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30363C" w14:paraId="1FD3EC28" w14:textId="77777777" w:rsidTr="00796BDB">
        <w:trPr>
          <w:cantSplit/>
          <w:trHeight w:val="23"/>
        </w:trPr>
        <w:tc>
          <w:tcPr>
            <w:tcW w:w="3969" w:type="dxa"/>
            <w:vMerge w:val="restart"/>
            <w:tcMar>
              <w:left w:w="0" w:type="dxa"/>
            </w:tcMar>
          </w:tcPr>
          <w:p w14:paraId="7706E848" w14:textId="3F407E05" w:rsidR="00D72F49" w:rsidRPr="0030363C" w:rsidRDefault="00D72F49" w:rsidP="00796BDB">
            <w:pPr>
              <w:tabs>
                <w:tab w:val="left" w:pos="851"/>
              </w:tabs>
              <w:spacing w:before="0" w:line="240" w:lineRule="atLeast"/>
              <w:rPr>
                <w:b/>
              </w:rPr>
            </w:pPr>
            <w:r w:rsidRPr="0030363C">
              <w:rPr>
                <w:b/>
              </w:rPr>
              <w:t>Point de l'ordre du jour:</w:t>
            </w:r>
            <w:r w:rsidR="008A2E3D" w:rsidRPr="0030363C">
              <w:rPr>
                <w:b/>
              </w:rPr>
              <w:t xml:space="preserve"> PL 2</w:t>
            </w:r>
          </w:p>
        </w:tc>
        <w:tc>
          <w:tcPr>
            <w:tcW w:w="5245" w:type="dxa"/>
          </w:tcPr>
          <w:p w14:paraId="5F0A0E50" w14:textId="63A5145F" w:rsidR="00D72F49" w:rsidRPr="0030363C" w:rsidRDefault="00D72F49" w:rsidP="00796BDB">
            <w:pPr>
              <w:tabs>
                <w:tab w:val="left" w:pos="851"/>
              </w:tabs>
              <w:spacing w:before="0" w:line="240" w:lineRule="atLeast"/>
              <w:jc w:val="right"/>
              <w:rPr>
                <w:b/>
              </w:rPr>
            </w:pPr>
            <w:r w:rsidRPr="0030363C">
              <w:rPr>
                <w:b/>
              </w:rPr>
              <w:t>Document C2</w:t>
            </w:r>
            <w:r w:rsidR="00E4448E" w:rsidRPr="0030363C">
              <w:rPr>
                <w:b/>
              </w:rPr>
              <w:t>6</w:t>
            </w:r>
            <w:r w:rsidRPr="0030363C">
              <w:rPr>
                <w:b/>
              </w:rPr>
              <w:t>/</w:t>
            </w:r>
            <w:r w:rsidR="008A2E3D" w:rsidRPr="0030363C">
              <w:rPr>
                <w:b/>
              </w:rPr>
              <w:t>76</w:t>
            </w:r>
            <w:r w:rsidRPr="0030363C">
              <w:rPr>
                <w:b/>
              </w:rPr>
              <w:t>-F</w:t>
            </w:r>
          </w:p>
        </w:tc>
      </w:tr>
      <w:tr w:rsidR="00D72F49" w:rsidRPr="0030363C" w14:paraId="7BCF3215" w14:textId="77777777" w:rsidTr="00796BDB">
        <w:trPr>
          <w:cantSplit/>
        </w:trPr>
        <w:tc>
          <w:tcPr>
            <w:tcW w:w="3969" w:type="dxa"/>
            <w:vMerge/>
          </w:tcPr>
          <w:p w14:paraId="20176CE3" w14:textId="77777777" w:rsidR="00D72F49" w:rsidRPr="0030363C" w:rsidRDefault="00D72F49" w:rsidP="00796BDB">
            <w:pPr>
              <w:tabs>
                <w:tab w:val="left" w:pos="851"/>
              </w:tabs>
              <w:spacing w:line="240" w:lineRule="atLeast"/>
              <w:rPr>
                <w:b/>
              </w:rPr>
            </w:pPr>
          </w:p>
        </w:tc>
        <w:tc>
          <w:tcPr>
            <w:tcW w:w="5245" w:type="dxa"/>
          </w:tcPr>
          <w:p w14:paraId="3DB8F657" w14:textId="65F31C62" w:rsidR="00D72F49" w:rsidRPr="0030363C" w:rsidRDefault="008A2E3D" w:rsidP="00796BDB">
            <w:pPr>
              <w:tabs>
                <w:tab w:val="left" w:pos="851"/>
              </w:tabs>
              <w:spacing w:before="0"/>
              <w:jc w:val="right"/>
              <w:rPr>
                <w:b/>
              </w:rPr>
            </w:pPr>
            <w:r w:rsidRPr="0030363C">
              <w:rPr>
                <w:b/>
              </w:rPr>
              <w:t>13 avril 2026</w:t>
            </w:r>
          </w:p>
        </w:tc>
      </w:tr>
      <w:tr w:rsidR="00D72F49" w:rsidRPr="0030363C" w14:paraId="51373921" w14:textId="77777777" w:rsidTr="00796BDB">
        <w:trPr>
          <w:cantSplit/>
          <w:trHeight w:val="23"/>
        </w:trPr>
        <w:tc>
          <w:tcPr>
            <w:tcW w:w="3969" w:type="dxa"/>
            <w:vMerge/>
          </w:tcPr>
          <w:p w14:paraId="56C13E99" w14:textId="77777777" w:rsidR="00D72F49" w:rsidRPr="0030363C" w:rsidRDefault="00D72F49" w:rsidP="00796BDB">
            <w:pPr>
              <w:tabs>
                <w:tab w:val="left" w:pos="851"/>
              </w:tabs>
              <w:spacing w:line="240" w:lineRule="atLeast"/>
              <w:rPr>
                <w:b/>
              </w:rPr>
            </w:pPr>
          </w:p>
        </w:tc>
        <w:tc>
          <w:tcPr>
            <w:tcW w:w="5245" w:type="dxa"/>
          </w:tcPr>
          <w:p w14:paraId="4E8B4DDF" w14:textId="77777777" w:rsidR="00D72F49" w:rsidRPr="0030363C" w:rsidRDefault="00D72F49" w:rsidP="00796BDB">
            <w:pPr>
              <w:tabs>
                <w:tab w:val="left" w:pos="851"/>
              </w:tabs>
              <w:spacing w:before="0" w:line="240" w:lineRule="atLeast"/>
              <w:jc w:val="right"/>
              <w:rPr>
                <w:b/>
              </w:rPr>
            </w:pPr>
            <w:r w:rsidRPr="0030363C">
              <w:rPr>
                <w:b/>
              </w:rPr>
              <w:t>Original: anglais</w:t>
            </w:r>
          </w:p>
        </w:tc>
      </w:tr>
      <w:tr w:rsidR="00D72F49" w:rsidRPr="0030363C" w14:paraId="777A0415" w14:textId="77777777" w:rsidTr="00796BDB">
        <w:trPr>
          <w:cantSplit/>
          <w:trHeight w:val="23"/>
        </w:trPr>
        <w:tc>
          <w:tcPr>
            <w:tcW w:w="3969" w:type="dxa"/>
          </w:tcPr>
          <w:p w14:paraId="4E978E04" w14:textId="77777777" w:rsidR="00D72F49" w:rsidRPr="0030363C" w:rsidRDefault="00D72F49" w:rsidP="00796BDB">
            <w:pPr>
              <w:tabs>
                <w:tab w:val="left" w:pos="851"/>
              </w:tabs>
              <w:spacing w:line="240" w:lineRule="atLeast"/>
              <w:rPr>
                <w:b/>
              </w:rPr>
            </w:pPr>
          </w:p>
        </w:tc>
        <w:tc>
          <w:tcPr>
            <w:tcW w:w="5245" w:type="dxa"/>
          </w:tcPr>
          <w:p w14:paraId="272FFFEE" w14:textId="77777777" w:rsidR="00D72F49" w:rsidRPr="0030363C" w:rsidRDefault="00D72F49" w:rsidP="00796BDB">
            <w:pPr>
              <w:tabs>
                <w:tab w:val="left" w:pos="851"/>
              </w:tabs>
              <w:spacing w:before="0" w:line="240" w:lineRule="atLeast"/>
              <w:jc w:val="right"/>
              <w:rPr>
                <w:b/>
              </w:rPr>
            </w:pPr>
          </w:p>
        </w:tc>
      </w:tr>
      <w:tr w:rsidR="00D72F49" w:rsidRPr="0030363C" w14:paraId="31EDD8B8" w14:textId="77777777" w:rsidTr="00796BDB">
        <w:trPr>
          <w:cantSplit/>
        </w:trPr>
        <w:tc>
          <w:tcPr>
            <w:tcW w:w="9214" w:type="dxa"/>
            <w:gridSpan w:val="2"/>
            <w:tcMar>
              <w:left w:w="0" w:type="dxa"/>
            </w:tcMar>
          </w:tcPr>
          <w:p w14:paraId="1EFB836E" w14:textId="3A1B4F51" w:rsidR="00D72F49" w:rsidRPr="0030363C" w:rsidRDefault="008A2E3D" w:rsidP="00796BDB">
            <w:pPr>
              <w:pStyle w:val="Source"/>
              <w:jc w:val="left"/>
              <w:rPr>
                <w:sz w:val="34"/>
                <w:szCs w:val="34"/>
              </w:rPr>
            </w:pPr>
            <w:r w:rsidRPr="0030363C">
              <w:rPr>
                <w:rFonts w:cstheme="minorHAnsi"/>
                <w:color w:val="000000"/>
                <w:sz w:val="34"/>
                <w:szCs w:val="34"/>
              </w:rPr>
              <w:t>Contribution du Portugal</w:t>
            </w:r>
          </w:p>
        </w:tc>
      </w:tr>
      <w:tr w:rsidR="00D72F49" w:rsidRPr="0030363C" w14:paraId="6DB2F821" w14:textId="77777777" w:rsidTr="00796BDB">
        <w:trPr>
          <w:cantSplit/>
        </w:trPr>
        <w:tc>
          <w:tcPr>
            <w:tcW w:w="9214" w:type="dxa"/>
            <w:gridSpan w:val="2"/>
            <w:tcMar>
              <w:left w:w="0" w:type="dxa"/>
            </w:tcMar>
          </w:tcPr>
          <w:p w14:paraId="0C9FE8CF" w14:textId="386EA2D5" w:rsidR="00D72F49" w:rsidRPr="0030363C" w:rsidRDefault="00CE1E11" w:rsidP="008A2E3D">
            <w:pPr>
              <w:pStyle w:val="Subtitle"/>
              <w:framePr w:hSpace="0" w:wrap="auto" w:hAnchor="text" w:xAlign="left" w:yAlign="inline"/>
              <w:rPr>
                <w:sz w:val="32"/>
                <w:szCs w:val="32"/>
                <w:lang w:val="fr-FR"/>
              </w:rPr>
            </w:pPr>
            <w:r w:rsidRPr="0030363C">
              <w:rPr>
                <w:rFonts w:cstheme="minorHAnsi"/>
                <w:sz w:val="32"/>
                <w:szCs w:val="32"/>
                <w:lang w:val="fr-FR"/>
              </w:rPr>
              <w:t>RENFORCER LA RÉSILIENCE DES CÂBLES SOUS-</w:t>
            </w:r>
            <w:proofErr w:type="gramStart"/>
            <w:r w:rsidRPr="0030363C">
              <w:rPr>
                <w:rFonts w:cstheme="minorHAnsi"/>
                <w:sz w:val="32"/>
                <w:szCs w:val="32"/>
                <w:lang w:val="fr-FR"/>
              </w:rPr>
              <w:t>MARINS:</w:t>
            </w:r>
            <w:proofErr w:type="gramEnd"/>
            <w:r w:rsidRPr="0030363C">
              <w:rPr>
                <w:rFonts w:cstheme="minorHAnsi"/>
                <w:sz w:val="32"/>
                <w:szCs w:val="32"/>
                <w:lang w:val="fr-FR"/>
              </w:rPr>
              <w:t xml:space="preserve"> L'ORGANE CONSULTATIF INTERNATIONAL POUR LA RÉSILIENCE DES CÂBLES SOUS-MARINS ET LE SOMMET DE PORTO DE 2026</w:t>
            </w:r>
          </w:p>
        </w:tc>
      </w:tr>
      <w:tr w:rsidR="00D72F49" w:rsidRPr="0030363C" w14:paraId="07672572" w14:textId="77777777" w:rsidTr="00796BDB">
        <w:trPr>
          <w:cantSplit/>
        </w:trPr>
        <w:tc>
          <w:tcPr>
            <w:tcW w:w="9214" w:type="dxa"/>
            <w:gridSpan w:val="2"/>
            <w:tcBorders>
              <w:top w:val="single" w:sz="4" w:space="0" w:color="auto"/>
              <w:bottom w:val="single" w:sz="4" w:space="0" w:color="auto"/>
            </w:tcBorders>
            <w:tcMar>
              <w:left w:w="0" w:type="dxa"/>
            </w:tcMar>
          </w:tcPr>
          <w:p w14:paraId="05E60D44" w14:textId="77777777" w:rsidR="00D72F49" w:rsidRPr="0030363C" w:rsidRDefault="00F37FE5" w:rsidP="00796BDB">
            <w:pPr>
              <w:spacing w:before="160"/>
              <w:rPr>
                <w:b/>
                <w:bCs/>
                <w:sz w:val="26"/>
                <w:szCs w:val="26"/>
              </w:rPr>
            </w:pPr>
            <w:r w:rsidRPr="0030363C">
              <w:rPr>
                <w:b/>
                <w:bCs/>
                <w:sz w:val="26"/>
                <w:szCs w:val="26"/>
              </w:rPr>
              <w:t>Objet</w:t>
            </w:r>
          </w:p>
          <w:p w14:paraId="6597A62B" w14:textId="1F362EB0" w:rsidR="00D72F49" w:rsidRPr="0030363C" w:rsidRDefault="008A2E3D" w:rsidP="00E3069F">
            <w:pPr>
              <w:jc w:val="both"/>
            </w:pPr>
            <w:r w:rsidRPr="0030363C">
              <w:t xml:space="preserve">Le présent document a pour objet de faire le point sur l'Organe consultatif international pour la résilience des câbles sous-marins, créé par l'UIT et le Comité international de protection des câbles (CIPC), coprésidé par S. E. M. Bosun Tijani, Ministre des communications, de l'innovation et de l'économie numérique de la République fédérale du Nigéria, et Mme Sandra Maximiano, Présidente du Conseil d'administration de l'Autorité nationale des communications de la République du Portugal (ANACOM), ainsi que sur le </w:t>
            </w:r>
            <w:hyperlink r:id="rId7" w:anchor="/fr" w:history="1">
              <w:r w:rsidRPr="0030363C">
                <w:rPr>
                  <w:rStyle w:val="Hyperlink"/>
                  <w:rFonts w:eastAsia="Times New Roman" w:cs="Times New Roman"/>
                  <w:szCs w:val="20"/>
                </w:rPr>
                <w:t>Sommet international sur la résilience des câbles sous-marins de 2026</w:t>
              </w:r>
            </w:hyperlink>
            <w:r w:rsidRPr="0030363C">
              <w:t>, tenu à Porto les 2 et 3 février 2026 à l'aimable invitation du Portugal.</w:t>
            </w:r>
          </w:p>
          <w:p w14:paraId="05CEAFDE" w14:textId="77777777" w:rsidR="00D72F49" w:rsidRPr="0030363C" w:rsidRDefault="00D72F49" w:rsidP="00796BDB">
            <w:pPr>
              <w:spacing w:before="160"/>
              <w:rPr>
                <w:b/>
                <w:bCs/>
                <w:sz w:val="26"/>
                <w:szCs w:val="26"/>
              </w:rPr>
            </w:pPr>
            <w:r w:rsidRPr="0030363C">
              <w:rPr>
                <w:b/>
                <w:bCs/>
                <w:sz w:val="26"/>
                <w:szCs w:val="26"/>
              </w:rPr>
              <w:t>Suite à donner par le Conseil</w:t>
            </w:r>
          </w:p>
          <w:p w14:paraId="653D8EDE" w14:textId="3B4E040D" w:rsidR="00D72F49" w:rsidRPr="0030363C" w:rsidRDefault="008A2E3D" w:rsidP="00796BDB">
            <w:r w:rsidRPr="0030363C">
              <w:t xml:space="preserve">Le Conseil de l'UIT est invité à </w:t>
            </w:r>
            <w:r w:rsidRPr="0030363C">
              <w:rPr>
                <w:b/>
                <w:bCs/>
              </w:rPr>
              <w:t>prendre note</w:t>
            </w:r>
            <w:r w:rsidRPr="0030363C">
              <w:t xml:space="preserve"> du présent document.</w:t>
            </w:r>
          </w:p>
          <w:p w14:paraId="1D3A52F4" w14:textId="77777777" w:rsidR="00D72F49" w:rsidRPr="0030363C" w:rsidRDefault="00D72F49" w:rsidP="00796BDB">
            <w:pPr>
              <w:spacing w:before="160"/>
              <w:rPr>
                <w:caps/>
                <w:sz w:val="22"/>
              </w:rPr>
            </w:pPr>
            <w:r w:rsidRPr="0030363C">
              <w:rPr>
                <w:sz w:val="22"/>
              </w:rPr>
              <w:t>__________________</w:t>
            </w:r>
          </w:p>
          <w:p w14:paraId="618D2617" w14:textId="77777777" w:rsidR="00D72F49" w:rsidRPr="0030363C" w:rsidRDefault="00D72F49" w:rsidP="00796BDB">
            <w:pPr>
              <w:spacing w:before="160"/>
              <w:rPr>
                <w:b/>
                <w:bCs/>
                <w:sz w:val="26"/>
                <w:szCs w:val="26"/>
              </w:rPr>
            </w:pPr>
            <w:r w:rsidRPr="0030363C">
              <w:rPr>
                <w:b/>
                <w:bCs/>
                <w:sz w:val="26"/>
                <w:szCs w:val="26"/>
              </w:rPr>
              <w:t>Références</w:t>
            </w:r>
          </w:p>
          <w:p w14:paraId="7EFB3D2F" w14:textId="72548684" w:rsidR="00D72F49" w:rsidRPr="0030363C" w:rsidRDefault="008A2E3D" w:rsidP="00CE5172">
            <w:pPr>
              <w:pStyle w:val="Referencetext"/>
              <w:framePr w:hSpace="0" w:wrap="auto" w:vAnchor="margin" w:hAnchor="text" w:xAlign="left" w:yAlign="inline"/>
            </w:pPr>
            <w:hyperlink r:id="rId8" w:history="1">
              <w:r w:rsidRPr="0030363C">
                <w:rPr>
                  <w:rStyle w:val="Hyperlink"/>
                  <w:rFonts w:eastAsia="Times New Roman" w:cs="Times New Roman"/>
                  <w:sz w:val="24"/>
                  <w:szCs w:val="24"/>
                </w:rPr>
                <w:t>Document C25/81</w:t>
              </w:r>
            </w:hyperlink>
          </w:p>
        </w:tc>
      </w:tr>
    </w:tbl>
    <w:p w14:paraId="70FAFD23" w14:textId="77777777" w:rsidR="00A51849" w:rsidRPr="0030363C" w:rsidRDefault="00A51849">
      <w:pPr>
        <w:tabs>
          <w:tab w:val="clear" w:pos="567"/>
          <w:tab w:val="clear" w:pos="1134"/>
          <w:tab w:val="clear" w:pos="1701"/>
          <w:tab w:val="clear" w:pos="2268"/>
          <w:tab w:val="clear" w:pos="2835"/>
        </w:tabs>
        <w:overflowPunct/>
        <w:autoSpaceDE/>
        <w:autoSpaceDN/>
        <w:adjustRightInd/>
        <w:spacing w:before="0"/>
        <w:textAlignment w:val="auto"/>
      </w:pPr>
      <w:r w:rsidRPr="0030363C">
        <w:br w:type="page"/>
      </w:r>
    </w:p>
    <w:p w14:paraId="355B8BFF" w14:textId="77777777" w:rsidR="008A2E3D" w:rsidRPr="0030363C" w:rsidRDefault="008A2E3D" w:rsidP="008A2E3D">
      <w:pPr>
        <w:pStyle w:val="Headingb"/>
      </w:pPr>
      <w:r w:rsidRPr="0030363C">
        <w:lastRenderedPageBreak/>
        <w:t>Introduction</w:t>
      </w:r>
    </w:p>
    <w:p w14:paraId="14167674" w14:textId="6DE02A08" w:rsidR="008A2E3D" w:rsidRPr="0030363C" w:rsidRDefault="008A2E3D" w:rsidP="00E3069F">
      <w:pPr>
        <w:jc w:val="both"/>
      </w:pPr>
      <w:r w:rsidRPr="0030363C">
        <w:t>Le deuxième Sommet international sur la résilience des câbles sous-marins, qui s'est tenu à Porto en 2026, a marqué le passage d'un processus de dialogue à une mise en œuvre structurée avec l'adoption de la Déclaration de Porto sur la résilience des câbles sous</w:t>
      </w:r>
      <w:r w:rsidRPr="0030363C">
        <w:noBreakHyphen/>
        <w:t xml:space="preserve">marins. La Déclaration contient des orientations concrètes visant à rationaliser les processus d'octroi de permis et de réparation, à renforcer les cadres juridiques et réglementaires, à promouvoir la diversité et la redondance des itinéraires, en particulier pour les régions vulnérables et mal desservies, à améliorer les mesures d'atténuation des risques et de protection des câbles, et à favoriser le renforcement des capacités et l'innovation. S'appuyant sur les bases posées à l'occasion du Sommet d'Abuja, la réunion de Porto a permis de consolider les engagements internationaux et de définir une transition vers un processus de mise en œuvre. Dans ce contexte, l'administration du Nigéria a soumis le </w:t>
      </w:r>
      <w:hyperlink r:id="rId9" w:history="1">
        <w:r w:rsidRPr="0030363C">
          <w:rPr>
            <w:rStyle w:val="Hyperlink"/>
            <w:rFonts w:eastAsia="Times New Roman" w:cs="Times New Roman"/>
            <w:szCs w:val="20"/>
          </w:rPr>
          <w:t>Document C25/81</w:t>
        </w:r>
      </w:hyperlink>
      <w:r w:rsidRPr="0030363C">
        <w:t xml:space="preserve"> à la session de 2025 du Conseil de l'Union internationale des télécommunications (UIT) pour faire le point sur les efforts déployés à l'échelle mondiale en vue d'améliorer la résilience des câbles de télécommunication sous-marins et pour présenter les résultats du Sommet d'Abuja de 2025.</w:t>
      </w:r>
    </w:p>
    <w:p w14:paraId="3CCAF830" w14:textId="793ECECB" w:rsidR="008A2E3D" w:rsidRPr="0030363C" w:rsidRDefault="008A2E3D" w:rsidP="00E3069F">
      <w:pPr>
        <w:jc w:val="both"/>
      </w:pPr>
      <w:r w:rsidRPr="0030363C">
        <w:t>Comme indiqué dans cette contribution, en novembre 2024, l'UIT et le Comité international de protection des câbles ont créé l'</w:t>
      </w:r>
      <w:hyperlink r:id="rId10" w:anchor="/fr" w:history="1">
        <w:r w:rsidRPr="0030363C">
          <w:rPr>
            <w:rStyle w:val="Hyperlink"/>
            <w:rFonts w:eastAsia="Times New Roman" w:cs="Times New Roman"/>
            <w:szCs w:val="20"/>
          </w:rPr>
          <w:t>Organe consultatif international sur la résilience des câbles sous-marins</w:t>
        </w:r>
      </w:hyperlink>
      <w:r w:rsidRPr="0030363C">
        <w:t>. Son objectif est de promouvoir la coopération et de trouver des solutions pour:</w:t>
      </w:r>
    </w:p>
    <w:p w14:paraId="51A01E2E" w14:textId="77777777" w:rsidR="008A2E3D" w:rsidRPr="0030363C" w:rsidRDefault="008A2E3D" w:rsidP="00E3069F">
      <w:pPr>
        <w:pStyle w:val="enumlev1"/>
        <w:jc w:val="both"/>
      </w:pPr>
      <w:r w:rsidRPr="0030363C">
        <w:t>–</w:t>
      </w:r>
      <w:r w:rsidRPr="0030363C">
        <w:tab/>
        <w:t>améliorer la maintenance et la réparation des câbles;</w:t>
      </w:r>
    </w:p>
    <w:p w14:paraId="06B2B543" w14:textId="77777777" w:rsidR="008A2E3D" w:rsidRPr="0030363C" w:rsidRDefault="008A2E3D" w:rsidP="00E3069F">
      <w:pPr>
        <w:pStyle w:val="enumlev1"/>
        <w:jc w:val="both"/>
      </w:pPr>
      <w:r w:rsidRPr="0030363C">
        <w:t>–</w:t>
      </w:r>
      <w:r w:rsidRPr="0030363C">
        <w:tab/>
        <w:t>prévenir tout dommage et réduire les risques;</w:t>
      </w:r>
    </w:p>
    <w:p w14:paraId="10E08A0F" w14:textId="77777777" w:rsidR="008A2E3D" w:rsidRPr="0030363C" w:rsidRDefault="008A2E3D" w:rsidP="00E3069F">
      <w:pPr>
        <w:pStyle w:val="enumlev1"/>
        <w:jc w:val="both"/>
      </w:pPr>
      <w:r w:rsidRPr="0030363C">
        <w:t>–</w:t>
      </w:r>
      <w:r w:rsidRPr="0030363C">
        <w:tab/>
        <w:t>augmenter la redondance et la diversité des itinéraires;</w:t>
      </w:r>
    </w:p>
    <w:p w14:paraId="111D1634" w14:textId="77777777" w:rsidR="008A2E3D" w:rsidRPr="0030363C" w:rsidRDefault="008A2E3D" w:rsidP="00E3069F">
      <w:pPr>
        <w:pStyle w:val="enumlev1"/>
        <w:jc w:val="both"/>
      </w:pPr>
      <w:r w:rsidRPr="0030363C">
        <w:t>–</w:t>
      </w:r>
      <w:r w:rsidRPr="0030363C">
        <w:tab/>
        <w:t>soutenir une infrastructure durable et résiliente.</w:t>
      </w:r>
    </w:p>
    <w:p w14:paraId="23E97793" w14:textId="79903535" w:rsidR="008A2E3D" w:rsidRPr="0030363C" w:rsidRDefault="008A2E3D" w:rsidP="00E3069F">
      <w:pPr>
        <w:jc w:val="both"/>
      </w:pPr>
      <w:r w:rsidRPr="0030363C">
        <w:t>L'organe consultatif est composé de 42 experts issus de gouvernements, du service privé et d'organisations internationales, et est coprésidé par S. E. M. Bosun Tijani, Ministre des communications, de l'innovation et de l'économie numérique de la République fédérale du Nigéria, et par Mme Sandra Maximiano, Présidente du Conseil d'administration de l'Autorité nationale des communications de la République du Portugal (ANACOM). Il a été créé à l'issue d'un processus de sélection ouvert et inclusif et se réunira régulièrement au cours de son mandat, d'une durée initiale de deux ans.</w:t>
      </w:r>
    </w:p>
    <w:p w14:paraId="4E9CFC19" w14:textId="6CB7D30F" w:rsidR="008A2E3D" w:rsidRPr="0030363C" w:rsidRDefault="008A2E3D" w:rsidP="00E3069F">
      <w:pPr>
        <w:jc w:val="both"/>
      </w:pPr>
      <w:r w:rsidRPr="0030363C">
        <w:t xml:space="preserve">Durant le Sommet international sur la résilience des câbles sous-marins tenu à Abuja en février 2025, les participants ont adopté la </w:t>
      </w:r>
      <w:hyperlink r:id="rId11" w:history="1">
        <w:r w:rsidRPr="0030363C">
          <w:rPr>
            <w:rStyle w:val="Hyperlink"/>
            <w:rFonts w:eastAsia="Times New Roman" w:cs="Times New Roman"/>
            <w:szCs w:val="20"/>
          </w:rPr>
          <w:t>Déclaration d'Abuja</w:t>
        </w:r>
      </w:hyperlink>
      <w:r w:rsidRPr="0030363C">
        <w:t xml:space="preserve"> et décidé de créer trois groupes de travail au sein de l'Organe consultatif international pour la résilience des câbles sous-marins, qui seront chargés des missions suivantes:</w:t>
      </w:r>
    </w:p>
    <w:p w14:paraId="77801FAC" w14:textId="3242508F" w:rsidR="008A2E3D" w:rsidRPr="0030363C" w:rsidRDefault="008A2E3D" w:rsidP="00E3069F">
      <w:pPr>
        <w:jc w:val="both"/>
      </w:pPr>
      <w:r w:rsidRPr="0030363C">
        <w:t>–</w:t>
      </w:r>
      <w:r w:rsidRPr="0030363C">
        <w:tab/>
        <w:t>Identification, suivi et atténuation des risques.</w:t>
      </w:r>
    </w:p>
    <w:p w14:paraId="094C0C76" w14:textId="254474D8" w:rsidR="008A2E3D" w:rsidRPr="0030363C" w:rsidRDefault="008A2E3D" w:rsidP="00E3069F">
      <w:pPr>
        <w:jc w:val="both"/>
      </w:pPr>
      <w:r w:rsidRPr="0030363C">
        <w:t>–</w:t>
      </w:r>
      <w:r w:rsidRPr="0030363C">
        <w:tab/>
        <w:t>Connectivité et diversité géographique des points d'atterrissement et des itinéraires.</w:t>
      </w:r>
    </w:p>
    <w:p w14:paraId="4586D1D3" w14:textId="77777777" w:rsidR="008A2E3D" w:rsidRPr="0030363C" w:rsidRDefault="008A2E3D" w:rsidP="00E3069F">
      <w:pPr>
        <w:jc w:val="both"/>
      </w:pPr>
      <w:r w:rsidRPr="0030363C">
        <w:t>–</w:t>
      </w:r>
      <w:r w:rsidRPr="0030363C">
        <w:tab/>
        <w:t>Déploiement et réparation rapides des câbles.</w:t>
      </w:r>
    </w:p>
    <w:p w14:paraId="602C6604" w14:textId="2DA0CF12" w:rsidR="008A2E3D" w:rsidRPr="0030363C" w:rsidRDefault="008A2E3D" w:rsidP="00E3069F">
      <w:pPr>
        <w:jc w:val="both"/>
      </w:pPr>
      <w:r w:rsidRPr="0030363C">
        <w:t>L'Organe consultatif crée actuellement ses groupes de travail.</w:t>
      </w:r>
    </w:p>
    <w:p w14:paraId="2252838B" w14:textId="71C5BCC3" w:rsidR="008A2E3D" w:rsidRPr="0030363C" w:rsidRDefault="008A2E3D" w:rsidP="00E3069F">
      <w:pPr>
        <w:jc w:val="both"/>
      </w:pPr>
      <w:r w:rsidRPr="0030363C">
        <w:t>Ces groupes élaboreront, d'ici le début de l'année 2026, des bonnes pratiques, des études de cas et des recommandations propres à renforcer la résilience des câbles sous-marins à l'échelle mondiale.</w:t>
      </w:r>
    </w:p>
    <w:p w14:paraId="528D280A" w14:textId="77777777" w:rsidR="008A2E3D" w:rsidRPr="0030363C" w:rsidRDefault="008A2E3D" w:rsidP="008A2E3D">
      <w:pPr>
        <w:pStyle w:val="Headingb"/>
      </w:pPr>
      <w:r w:rsidRPr="0030363C">
        <w:lastRenderedPageBreak/>
        <w:t>Activités des groupes de travail</w:t>
      </w:r>
    </w:p>
    <w:p w14:paraId="0C45D87C" w14:textId="0D34BA96" w:rsidR="008A2E3D" w:rsidRPr="0030363C" w:rsidRDefault="008A2E3D" w:rsidP="00E3069F">
      <w:pPr>
        <w:jc w:val="both"/>
      </w:pPr>
      <w:r w:rsidRPr="0030363C">
        <w:t>Compte tenu des décisions prises à Abuja (Nigéria) en février 2025, l'Organe consultatif international pour la résilience des câbles sous-marins est composé des trois groupes de travail suivants:</w:t>
      </w:r>
    </w:p>
    <w:p w14:paraId="6E8EC025" w14:textId="67E4C749" w:rsidR="008A2E3D" w:rsidRPr="0030363C" w:rsidRDefault="008A2E3D" w:rsidP="00E3069F">
      <w:pPr>
        <w:pStyle w:val="enumlev1"/>
        <w:jc w:val="both"/>
        <w:rPr>
          <w:b/>
          <w:bCs/>
        </w:rPr>
      </w:pPr>
      <w:r w:rsidRPr="0030363C">
        <w:rPr>
          <w:b/>
          <w:bCs/>
        </w:rPr>
        <w:t>–</w:t>
      </w:r>
      <w:r w:rsidRPr="0030363C">
        <w:rPr>
          <w:b/>
          <w:bCs/>
        </w:rPr>
        <w:tab/>
        <w:t>Groupe de travail 1</w:t>
      </w:r>
      <w:r w:rsidR="00A2022E" w:rsidRPr="0030363C">
        <w:rPr>
          <w:b/>
          <w:bCs/>
        </w:rPr>
        <w:t xml:space="preserve"> –</w:t>
      </w:r>
      <w:r w:rsidRPr="0030363C">
        <w:rPr>
          <w:b/>
          <w:bCs/>
        </w:rPr>
        <w:t xml:space="preserve"> </w:t>
      </w:r>
      <w:r w:rsidR="00A2022E" w:rsidRPr="0030363C">
        <w:rPr>
          <w:b/>
          <w:bCs/>
        </w:rPr>
        <w:t>D</w:t>
      </w:r>
      <w:r w:rsidRPr="0030363C">
        <w:rPr>
          <w:b/>
          <w:bCs/>
        </w:rPr>
        <w:t>éploiement et réparation rapides</w:t>
      </w:r>
    </w:p>
    <w:p w14:paraId="756E46FF" w14:textId="2DCEBC46" w:rsidR="008A2E3D" w:rsidRPr="0030363C" w:rsidRDefault="008A2E3D" w:rsidP="00E3069F">
      <w:pPr>
        <w:pStyle w:val="enumlev2"/>
        <w:jc w:val="both"/>
      </w:pPr>
      <w:r w:rsidRPr="0030363C">
        <w:t>•</w:t>
      </w:r>
      <w:r w:rsidRPr="0030363C">
        <w:tab/>
        <w:t>Composé de 53 membres.</w:t>
      </w:r>
    </w:p>
    <w:p w14:paraId="22A692B5" w14:textId="6F19A3CA" w:rsidR="008A2E3D" w:rsidRPr="0030363C" w:rsidRDefault="008A2E3D" w:rsidP="00E3069F">
      <w:pPr>
        <w:pStyle w:val="enumlev2"/>
        <w:jc w:val="both"/>
      </w:pPr>
      <w:r w:rsidRPr="0030363C">
        <w:t>•</w:t>
      </w:r>
      <w:r w:rsidRPr="0030363C">
        <w:tab/>
        <w:t>Co-dirigé par M. Zhiguo Zhao (République populaire de Chine) et M. Kevin Adams (Royaume-Uni).</w:t>
      </w:r>
    </w:p>
    <w:p w14:paraId="6B56FD26" w14:textId="1D196699" w:rsidR="008A2E3D" w:rsidRPr="0030363C" w:rsidRDefault="008A2E3D" w:rsidP="00E3069F">
      <w:pPr>
        <w:pStyle w:val="enumlev1"/>
        <w:jc w:val="both"/>
        <w:rPr>
          <w:b/>
          <w:bCs/>
        </w:rPr>
      </w:pPr>
      <w:r w:rsidRPr="0030363C">
        <w:rPr>
          <w:b/>
          <w:bCs/>
        </w:rPr>
        <w:t>–</w:t>
      </w:r>
      <w:r w:rsidRPr="0030363C">
        <w:rPr>
          <w:b/>
          <w:bCs/>
        </w:rPr>
        <w:tab/>
        <w:t>Groupe de travail 2</w:t>
      </w:r>
      <w:r w:rsidR="00A2022E" w:rsidRPr="0030363C">
        <w:rPr>
          <w:b/>
          <w:bCs/>
        </w:rPr>
        <w:t xml:space="preserve"> –</w:t>
      </w:r>
      <w:r w:rsidRPr="0030363C">
        <w:rPr>
          <w:b/>
          <w:bCs/>
        </w:rPr>
        <w:t xml:space="preserve"> </w:t>
      </w:r>
      <w:r w:rsidR="00A2022E" w:rsidRPr="0030363C">
        <w:rPr>
          <w:b/>
          <w:bCs/>
        </w:rPr>
        <w:t>I</w:t>
      </w:r>
      <w:r w:rsidRPr="0030363C">
        <w:rPr>
          <w:b/>
          <w:bCs/>
        </w:rPr>
        <w:t>dentification, suivi et atténuation des risques</w:t>
      </w:r>
    </w:p>
    <w:p w14:paraId="033A7B04" w14:textId="6E33653C" w:rsidR="008A2E3D" w:rsidRPr="0030363C" w:rsidRDefault="008A2E3D" w:rsidP="00E3069F">
      <w:pPr>
        <w:pStyle w:val="enumlev2"/>
        <w:jc w:val="both"/>
      </w:pPr>
      <w:r w:rsidRPr="0030363C">
        <w:t>•</w:t>
      </w:r>
      <w:r w:rsidRPr="0030363C">
        <w:tab/>
        <w:t>Composé de 61 membres.</w:t>
      </w:r>
    </w:p>
    <w:p w14:paraId="758E049E" w14:textId="54074453" w:rsidR="008A2E3D" w:rsidRPr="0030363C" w:rsidRDefault="008A2E3D" w:rsidP="00E3069F">
      <w:pPr>
        <w:pStyle w:val="enumlev2"/>
        <w:jc w:val="both"/>
      </w:pPr>
      <w:r w:rsidRPr="0030363C">
        <w:t>•</w:t>
      </w:r>
      <w:r w:rsidRPr="0030363C">
        <w:tab/>
        <w:t>Co-dirigé par Mme Nonkqubela Thathakahle Jordan-Dyani (République sudafricaine) et M. Andy Palmer-Felgate (Association nord</w:t>
      </w:r>
      <w:r w:rsidRPr="0030363C">
        <w:noBreakHyphen/>
        <w:t>américaine pour les câbles sous-marins).</w:t>
      </w:r>
    </w:p>
    <w:p w14:paraId="64541C22" w14:textId="7D445429" w:rsidR="008A2E3D" w:rsidRPr="0030363C" w:rsidRDefault="008A2E3D" w:rsidP="00E3069F">
      <w:pPr>
        <w:pStyle w:val="enumlev1"/>
        <w:jc w:val="both"/>
        <w:rPr>
          <w:b/>
          <w:bCs/>
        </w:rPr>
      </w:pPr>
      <w:r w:rsidRPr="0030363C">
        <w:rPr>
          <w:b/>
          <w:bCs/>
        </w:rPr>
        <w:t>–</w:t>
      </w:r>
      <w:r w:rsidRPr="0030363C">
        <w:rPr>
          <w:b/>
          <w:bCs/>
        </w:rPr>
        <w:tab/>
        <w:t>Groupe de travail 3</w:t>
      </w:r>
      <w:r w:rsidR="00A2022E" w:rsidRPr="0030363C">
        <w:rPr>
          <w:b/>
          <w:bCs/>
        </w:rPr>
        <w:t xml:space="preserve"> –</w:t>
      </w:r>
      <w:r w:rsidRPr="0030363C">
        <w:rPr>
          <w:b/>
          <w:bCs/>
        </w:rPr>
        <w:t xml:space="preserve"> </w:t>
      </w:r>
      <w:r w:rsidR="00A2022E" w:rsidRPr="0030363C">
        <w:rPr>
          <w:b/>
          <w:bCs/>
        </w:rPr>
        <w:t>P</w:t>
      </w:r>
      <w:r w:rsidRPr="0030363C">
        <w:rPr>
          <w:b/>
          <w:bCs/>
        </w:rPr>
        <w:t>romouvoir la connectivité et la diversité géographique</w:t>
      </w:r>
    </w:p>
    <w:p w14:paraId="09C82324" w14:textId="47FE20FD" w:rsidR="008A2E3D" w:rsidRPr="0030363C" w:rsidRDefault="008A2E3D" w:rsidP="00E3069F">
      <w:pPr>
        <w:pStyle w:val="enumlev2"/>
        <w:jc w:val="both"/>
      </w:pPr>
      <w:r w:rsidRPr="0030363C">
        <w:t>•</w:t>
      </w:r>
      <w:r w:rsidRPr="0030363C">
        <w:tab/>
        <w:t>Composé de 61 membres.</w:t>
      </w:r>
    </w:p>
    <w:p w14:paraId="5DF8C6F0" w14:textId="77777777" w:rsidR="008A2E3D" w:rsidRPr="0030363C" w:rsidRDefault="008A2E3D" w:rsidP="00E3069F">
      <w:pPr>
        <w:pStyle w:val="enumlev2"/>
        <w:jc w:val="both"/>
      </w:pPr>
      <w:r w:rsidRPr="0030363C">
        <w:t>•</w:t>
      </w:r>
      <w:r w:rsidRPr="0030363C">
        <w:tab/>
        <w:t>Co-dirigé par M. Sangbu Kim (Banque mondiale) et M. Rodney Taylor (Union des télécommunications des Caraïbes).</w:t>
      </w:r>
    </w:p>
    <w:p w14:paraId="2BF4BB22" w14:textId="28B5E8AF" w:rsidR="008A2E3D" w:rsidRPr="0030363C" w:rsidRDefault="008A2E3D" w:rsidP="00E3069F">
      <w:pPr>
        <w:jc w:val="both"/>
      </w:pPr>
      <w:r w:rsidRPr="0030363C">
        <w:t>Les travaux des trois groupes de travail de l'Organe consultatif international sur la résilience des câbles sous-marins progressent conformément au programme de travail et au calendrier convenus. Tous les groupes sont en train de parachever leurs principaux produits, se concentrant notamment sur l'élaboration de recommandations pratiques, exploitables et fondées sur le consensus.</w:t>
      </w:r>
    </w:p>
    <w:p w14:paraId="66BBC7F0" w14:textId="77777777" w:rsidR="008A2E3D" w:rsidRPr="0030363C" w:rsidRDefault="008A2E3D" w:rsidP="00E3069F">
      <w:pPr>
        <w:jc w:val="both"/>
      </w:pPr>
      <w:r w:rsidRPr="0030363C">
        <w:t>Chaque groupe de travail élabore actuellement un rapport complet de 50 pages maximum, qui contiendra une analyse approfondie des principaux défis et perspectives liés à leur domaine respectif. Ces rapports visent à identifier des recommandations concrètes et applicables et à désigner clairement les organisations qui seront chargées de leur mise en œuvre, y compris les organisations internationales, les gouvernements nationaux et les parties prenantes du secteur privé.</w:t>
      </w:r>
    </w:p>
    <w:p w14:paraId="4CF2320E" w14:textId="415DB622" w:rsidR="008A2E3D" w:rsidRPr="0030363C" w:rsidRDefault="008A2E3D" w:rsidP="00E3069F">
      <w:pPr>
        <w:jc w:val="both"/>
      </w:pPr>
      <w:r w:rsidRPr="0030363C">
        <w:t xml:space="preserve">Parallèlement, chaque groupe de travail a rédigé un résumé concis de ses </w:t>
      </w:r>
      <w:hyperlink r:id="rId12" w:anchor="/fr" w:history="1">
        <w:r w:rsidRPr="0030363C">
          <w:rPr>
            <w:rStyle w:val="Hyperlink"/>
            <w:rFonts w:eastAsia="Times New Roman" w:cs="Times New Roman"/>
            <w:szCs w:val="20"/>
          </w:rPr>
          <w:t>recommandations</w:t>
        </w:r>
      </w:hyperlink>
      <w:r w:rsidRPr="0030363C">
        <w:t xml:space="preserve"> les plus importantes et les plus exploitables, qui ont été adoptées au Sommet de Porto (voir ci-dessous). Ces résumés faciliteront la prise de décisions de haut niveau et le processus d'approbation.</w:t>
      </w:r>
    </w:p>
    <w:p w14:paraId="02772432" w14:textId="52E52803" w:rsidR="008A2E3D" w:rsidRPr="0030363C" w:rsidRDefault="008A2E3D" w:rsidP="00E3069F">
      <w:pPr>
        <w:jc w:val="both"/>
      </w:pPr>
      <w:r w:rsidRPr="0030363C">
        <w:t>Après le Sommet, les rapports dans leur intégralité feront l'objet d'une révision et d'un examen technique supplémentaires, la version finale étant attendue pour juin 2026.</w:t>
      </w:r>
    </w:p>
    <w:p w14:paraId="2FB4553A" w14:textId="77777777" w:rsidR="008A2E3D" w:rsidRPr="0030363C" w:rsidRDefault="008A2E3D" w:rsidP="00E3069F">
      <w:pPr>
        <w:pStyle w:val="Headingb"/>
        <w:jc w:val="both"/>
      </w:pPr>
      <w:r w:rsidRPr="0030363C">
        <w:t>Sommet international sur la résilience des câbles sous-marins de 2026, Porto (Portugal)</w:t>
      </w:r>
    </w:p>
    <w:p w14:paraId="34365B5B" w14:textId="6045D686" w:rsidR="008A2E3D" w:rsidRPr="0030363C" w:rsidRDefault="008A2E3D" w:rsidP="00E3069F">
      <w:pPr>
        <w:jc w:val="both"/>
      </w:pPr>
      <w:r w:rsidRPr="0030363C">
        <w:t>La deuxième édition du Sommet international sur la résilience des câbles sous-marins s'est déroulée les 2 et 3 février à Porto (Portugal).</w:t>
      </w:r>
    </w:p>
    <w:p w14:paraId="245B6EE7" w14:textId="7243A985" w:rsidR="008A2E3D" w:rsidRPr="0030363C" w:rsidRDefault="008A2E3D" w:rsidP="00E3069F">
      <w:pPr>
        <w:jc w:val="both"/>
      </w:pPr>
      <w:r w:rsidRPr="0030363C">
        <w:t>Placé sous le haut patronage du Président de la République portugaise, le Sommet s'est tenu à l'aimable invitation de l'ANACOM (Autoridade Nacional de Comunicações) (Portugal) avec l'appui de l'UIT et du Comité international de protection des câbles (CIPC).</w:t>
      </w:r>
    </w:p>
    <w:p w14:paraId="62BA5A46" w14:textId="4288D74D" w:rsidR="008A2E3D" w:rsidRPr="0030363C" w:rsidRDefault="008A2E3D" w:rsidP="00E3069F">
      <w:pPr>
        <w:jc w:val="both"/>
      </w:pPr>
      <w:r w:rsidRPr="0030363C">
        <w:lastRenderedPageBreak/>
        <w:t>Le Sommet de Porto a rassemblé plus de 350 participants provenant de plus de 70 pays, dont des représentants de gouvernements et d'autorités de régulation, des dirigeants du secteur privé, des investisseurs, des spécialistes des câbles sous-marins, des représentants d'organisations internationales et d'autres parties prenantes, en vue de poursuivre l'étude des défis les plus urgents en lien avec les systèmes de câbles de télécommunication sous</w:t>
      </w:r>
      <w:r w:rsidR="00A2022E" w:rsidRPr="0030363C">
        <w:noBreakHyphen/>
      </w:r>
      <w:r w:rsidRPr="0030363C">
        <w:t>marins.</w:t>
      </w:r>
    </w:p>
    <w:p w14:paraId="22261EC6" w14:textId="16B88449" w:rsidR="008A2E3D" w:rsidRPr="0030363C" w:rsidRDefault="008A2E3D" w:rsidP="00E3069F">
      <w:pPr>
        <w:spacing w:before="100"/>
        <w:jc w:val="both"/>
      </w:pPr>
      <w:r w:rsidRPr="0030363C">
        <w:t>Le Sommet international sur la résilience des câbles sous-marins de 2026 comprenait des sessions de haut niveau et des réunions d'experts, animées par des discussions interactives visant à accroître la résilience et le financement de cette infrastructure vitale.</w:t>
      </w:r>
    </w:p>
    <w:p w14:paraId="2B7768A0" w14:textId="3FB799CB" w:rsidR="008A2E3D" w:rsidRPr="0030363C" w:rsidRDefault="008A2E3D" w:rsidP="00E3069F">
      <w:pPr>
        <w:jc w:val="both"/>
      </w:pPr>
      <w:r w:rsidRPr="0030363C">
        <w:t>Les principaux résultats de ce Sommet sont les suivants:</w:t>
      </w:r>
    </w:p>
    <w:p w14:paraId="1EF57BAC" w14:textId="0F3E0A57" w:rsidR="008A2E3D" w:rsidRPr="0030363C" w:rsidRDefault="008A2E3D" w:rsidP="00E3069F">
      <w:pPr>
        <w:pStyle w:val="enumlev1"/>
        <w:jc w:val="both"/>
      </w:pPr>
      <w:r w:rsidRPr="0030363C">
        <w:t>1)</w:t>
      </w:r>
      <w:r w:rsidRPr="0030363C">
        <w:tab/>
        <w:t xml:space="preserve">Adoption de la </w:t>
      </w:r>
      <w:hyperlink r:id="rId13" w:history="1">
        <w:r w:rsidRPr="0030363C">
          <w:rPr>
            <w:rStyle w:val="Hyperlink"/>
            <w:rFonts w:eastAsia="Times New Roman" w:cs="Times New Roman"/>
            <w:szCs w:val="20"/>
          </w:rPr>
          <w:t>Déclaration de Porto</w:t>
        </w:r>
      </w:hyperlink>
      <w:r w:rsidRPr="0030363C">
        <w:t xml:space="preserve"> sur la résilience des câbles sous-marins</w:t>
      </w:r>
    </w:p>
    <w:p w14:paraId="4A963C24" w14:textId="77777777" w:rsidR="008A2E3D" w:rsidRPr="0030363C" w:rsidRDefault="008A2E3D" w:rsidP="00E3069F">
      <w:pPr>
        <w:pStyle w:val="enumlev1"/>
        <w:jc w:val="both"/>
      </w:pPr>
      <w:r w:rsidRPr="0030363C">
        <w:tab/>
        <w:t>La Déclaration de Porto vise à affirmer les orientations suivantes en vue de renforcer la coopération internationale et la résilience:</w:t>
      </w:r>
    </w:p>
    <w:p w14:paraId="008E15F0" w14:textId="68BB9F59" w:rsidR="008A2E3D" w:rsidRPr="0030363C" w:rsidRDefault="008A2E3D" w:rsidP="00E3069F">
      <w:pPr>
        <w:pStyle w:val="enumlev2"/>
        <w:spacing w:before="60"/>
        <w:jc w:val="both"/>
      </w:pPr>
      <w:r w:rsidRPr="0030363C">
        <w:t>–</w:t>
      </w:r>
      <w:r w:rsidRPr="0030363C">
        <w:tab/>
        <w:t>Rationaliser l'octroi de permis, la maintenance et la réparation des câbles sous</w:t>
      </w:r>
      <w:r w:rsidR="00A2022E" w:rsidRPr="0030363C">
        <w:noBreakHyphen/>
      </w:r>
      <w:r w:rsidRPr="0030363C">
        <w:t>marins grâce à des cadres réglementaires clairs, transparents et prévisibles et désigner un point de contact unique au sein de chaque gouvernement pour faciliter le déploiement et la réparation rapides des câbles</w:t>
      </w:r>
      <w:r w:rsidR="00A2022E" w:rsidRPr="0030363C">
        <w:t>.</w:t>
      </w:r>
    </w:p>
    <w:p w14:paraId="65EC3808" w14:textId="445DCB37" w:rsidR="008A2E3D" w:rsidRPr="0030363C" w:rsidRDefault="008A2E3D" w:rsidP="00E3069F">
      <w:pPr>
        <w:pStyle w:val="enumlev2"/>
        <w:spacing w:before="60"/>
        <w:jc w:val="both"/>
      </w:pPr>
      <w:r w:rsidRPr="0030363C">
        <w:t>–</w:t>
      </w:r>
      <w:r w:rsidRPr="0030363C">
        <w:tab/>
        <w:t>Améliorer le cadre juridique et les procédures réglementaires tout en réduisant les obstacles juridiques et réglementaires, notamment dans des domaines tels que le cabotage, les douanes ainsi que la planification et la gestion de l'espace marin.</w:t>
      </w:r>
    </w:p>
    <w:p w14:paraId="322E6C51" w14:textId="1F450ECF" w:rsidR="008A2E3D" w:rsidRPr="0030363C" w:rsidRDefault="008A2E3D" w:rsidP="00E3069F">
      <w:pPr>
        <w:pStyle w:val="enumlev2"/>
        <w:spacing w:before="60"/>
        <w:jc w:val="both"/>
      </w:pPr>
      <w:r w:rsidRPr="0030363C">
        <w:t>–</w:t>
      </w:r>
      <w:r w:rsidRPr="0030363C">
        <w:tab/>
        <w:t>Favoriser la diversité géographique et la redondance des câbles, en soutenant les investissements, par le biais de partenariats, y compris de partenariats public</w:t>
      </w:r>
      <w:r w:rsidR="00A2022E" w:rsidRPr="0030363C">
        <w:noBreakHyphen/>
      </w:r>
      <w:r w:rsidRPr="0030363C">
        <w:t>privé, afin de privilégier des itinéraires variés, des points d'atterrissement redondants et des infrastructures résilientes, en particulier pour les petits États insulaires en développement, les pays les moins avancés, les pays en développement sans littoral et les régions mal desservies.</w:t>
      </w:r>
    </w:p>
    <w:p w14:paraId="39FE2376" w14:textId="58950948" w:rsidR="008A2E3D" w:rsidRPr="0030363C" w:rsidRDefault="008A2E3D" w:rsidP="00E3069F">
      <w:pPr>
        <w:pStyle w:val="enumlev2"/>
        <w:spacing w:before="60"/>
        <w:jc w:val="both"/>
      </w:pPr>
      <w:r w:rsidRPr="0030363C">
        <w:t>–</w:t>
      </w:r>
      <w:r w:rsidRPr="0030363C">
        <w:tab/>
        <w:t>Encourager l'adoption de bonnes pratiques pour évaluer les risques liés aux infrastructures de câbles sous-marins, en atténuer les effets et y remédier</w:t>
      </w:r>
      <w:r w:rsidR="00A2022E" w:rsidRPr="0030363C">
        <w:t>.</w:t>
      </w:r>
    </w:p>
    <w:p w14:paraId="65A33D02" w14:textId="2B6D28C2" w:rsidR="008A2E3D" w:rsidRPr="0030363C" w:rsidRDefault="008A2E3D" w:rsidP="00E3069F">
      <w:pPr>
        <w:pStyle w:val="enumlev2"/>
        <w:spacing w:before="60"/>
        <w:jc w:val="both"/>
      </w:pPr>
      <w:r w:rsidRPr="0030363C">
        <w:t>–</w:t>
      </w:r>
      <w:r w:rsidRPr="0030363C">
        <w:tab/>
        <w:t>Encourager une meilleure protection des câbles en améliorant la planification dans différents secteurs maritimes pertinents</w:t>
      </w:r>
      <w:r w:rsidR="00A2022E" w:rsidRPr="0030363C">
        <w:t>.</w:t>
      </w:r>
    </w:p>
    <w:p w14:paraId="42685915" w14:textId="15C15346" w:rsidR="008A2E3D" w:rsidRPr="0030363C" w:rsidRDefault="008A2E3D" w:rsidP="00E3069F">
      <w:pPr>
        <w:pStyle w:val="enumlev2"/>
        <w:spacing w:before="60"/>
        <w:jc w:val="both"/>
      </w:pPr>
      <w:r w:rsidRPr="0030363C">
        <w:t>–</w:t>
      </w:r>
      <w:r w:rsidRPr="0030363C">
        <w:tab/>
        <w:t>Renforcer les capacités dans le domaine de la gestion des câbles et soutenir l'innovation à travers des formations et l'utilisation de technologies visant à améliorer la surveillance, la conception des itinéraires, la redondance et les infrastructures résilientes face aux changements climatiques.</w:t>
      </w:r>
    </w:p>
    <w:p w14:paraId="382E4EED" w14:textId="1DFA669A" w:rsidR="008A2E3D" w:rsidRPr="0030363C" w:rsidRDefault="008A2E3D" w:rsidP="00E3069F">
      <w:pPr>
        <w:spacing w:before="100"/>
        <w:jc w:val="both"/>
      </w:pPr>
      <w:r w:rsidRPr="0030363C">
        <w:t xml:space="preserve">La </w:t>
      </w:r>
      <w:hyperlink r:id="rId14" w:history="1">
        <w:r w:rsidRPr="0030363C">
          <w:rPr>
            <w:rStyle w:val="Hyperlink"/>
            <w:rFonts w:eastAsia="Times New Roman" w:cs="Times New Roman"/>
            <w:szCs w:val="20"/>
          </w:rPr>
          <w:t>Déclaration</w:t>
        </w:r>
      </w:hyperlink>
      <w:r w:rsidRPr="0030363C">
        <w:t xml:space="preserve"> a permis de réaffirmer l'engagement commun pris en faveur d'une coopération visant à faire en sorte que les câbles sous-marins constituent une base solide en vue de garantir une connectivité mondiale ouverte, fiable et interopérable pour tous.</w:t>
      </w:r>
    </w:p>
    <w:p w14:paraId="63969AD5" w14:textId="7A3A417C" w:rsidR="008A2E3D" w:rsidRPr="0030363C" w:rsidRDefault="008A2E3D" w:rsidP="00E3069F">
      <w:pPr>
        <w:pStyle w:val="enumlev1"/>
        <w:jc w:val="both"/>
      </w:pPr>
      <w:r w:rsidRPr="0030363C">
        <w:t>2)</w:t>
      </w:r>
      <w:r w:rsidRPr="0030363C">
        <w:tab/>
        <w:t xml:space="preserve">Approbation des </w:t>
      </w:r>
      <w:hyperlink r:id="rId15" w:anchor="/fr" w:history="1">
        <w:r w:rsidRPr="0030363C">
          <w:rPr>
            <w:rStyle w:val="Hyperlink"/>
            <w:rFonts w:eastAsia="Times New Roman" w:cs="Times New Roman"/>
            <w:szCs w:val="20"/>
          </w:rPr>
          <w:t>recommandations de l'Organe consultatif international</w:t>
        </w:r>
      </w:hyperlink>
      <w:r w:rsidRPr="0030363C">
        <w:t xml:space="preserve"> sur la résilience des câbles sous-marins contenant des orientations pratiques sur:</w:t>
      </w:r>
    </w:p>
    <w:p w14:paraId="23BEDB30" w14:textId="77777777" w:rsidR="008A2E3D" w:rsidRPr="0030363C" w:rsidRDefault="008A2E3D" w:rsidP="00E3069F">
      <w:pPr>
        <w:pStyle w:val="enumlev2"/>
        <w:spacing w:before="60"/>
        <w:jc w:val="both"/>
      </w:pPr>
      <w:r w:rsidRPr="0030363C">
        <w:t>–</w:t>
      </w:r>
      <w:r w:rsidRPr="0030363C">
        <w:tab/>
        <w:t>le déploiement et la réparation rapides des câbles;</w:t>
      </w:r>
    </w:p>
    <w:p w14:paraId="6BEB72F0" w14:textId="5913BAD8" w:rsidR="008A2E3D" w:rsidRPr="0030363C" w:rsidRDefault="008A2E3D" w:rsidP="00E3069F">
      <w:pPr>
        <w:pStyle w:val="enumlev2"/>
        <w:spacing w:before="60"/>
        <w:jc w:val="both"/>
      </w:pPr>
      <w:r w:rsidRPr="0030363C">
        <w:t>–</w:t>
      </w:r>
      <w:r w:rsidRPr="0030363C">
        <w:tab/>
        <w:t>l'identification et l'atténuation des risques et la promotion de la diversité des itinéraires</w:t>
      </w:r>
      <w:r w:rsidR="00A2022E" w:rsidRPr="0030363C">
        <w:t>; et</w:t>
      </w:r>
    </w:p>
    <w:p w14:paraId="42A54B5C" w14:textId="77777777" w:rsidR="008A2E3D" w:rsidRPr="0030363C" w:rsidRDefault="008A2E3D" w:rsidP="00E3069F">
      <w:pPr>
        <w:pStyle w:val="enumlev2"/>
        <w:widowControl w:val="0"/>
        <w:spacing w:before="60"/>
        <w:jc w:val="both"/>
      </w:pPr>
      <w:r w:rsidRPr="0030363C">
        <w:t>–</w:t>
      </w:r>
      <w:r w:rsidRPr="0030363C">
        <w:tab/>
        <w:t>la connectivité mondiale.</w:t>
      </w:r>
    </w:p>
    <w:p w14:paraId="5A48F118" w14:textId="77777777" w:rsidR="008A2E3D" w:rsidRPr="0030363C" w:rsidRDefault="008A2E3D" w:rsidP="00E3069F">
      <w:pPr>
        <w:jc w:val="both"/>
      </w:pPr>
      <w:r w:rsidRPr="0030363C">
        <w:lastRenderedPageBreak/>
        <w:t>La Déclaration de Porto et l'ensemble de recommandations élaborées par l'Organe consultatif international pour la résilience des câbles sous-marins offrent des orientations destinées à renforcer la coopération internationale dans les secteurs public et privé, afin de doper la résilience de cette infrastructure partagée qui revêt une importance vitale, allant de la réduction des délais de réparation des câbles à l'appui aux régions mal desservies.</w:t>
      </w:r>
    </w:p>
    <w:p w14:paraId="3B561C68" w14:textId="77777777" w:rsidR="008A2E3D" w:rsidRPr="0030363C" w:rsidRDefault="008A2E3D" w:rsidP="00E3069F">
      <w:pPr>
        <w:pStyle w:val="Headingb"/>
        <w:jc w:val="both"/>
      </w:pPr>
      <w:r w:rsidRPr="0030363C">
        <w:t>Prochaines étapes</w:t>
      </w:r>
    </w:p>
    <w:p w14:paraId="718C90D4" w14:textId="20AC7CDF" w:rsidR="008A2E3D" w:rsidRPr="0030363C" w:rsidRDefault="008A2E3D" w:rsidP="00E3069F">
      <w:pPr>
        <w:jc w:val="both"/>
      </w:pPr>
      <w:r w:rsidRPr="0030363C">
        <w:t>Après le Sommet de Porto, qui a été couronné de succès, l'accent ne sera plus mis sur l'approbation, mais sur la mise en œuvre.</w:t>
      </w:r>
    </w:p>
    <w:p w14:paraId="389D070F" w14:textId="143F4098" w:rsidR="008A2E3D" w:rsidRPr="0030363C" w:rsidRDefault="008A2E3D" w:rsidP="00E3069F">
      <w:pPr>
        <w:jc w:val="both"/>
      </w:pPr>
      <w:r w:rsidRPr="0030363C">
        <w:t>La priorité sera d'abord donnée au parachèvement technique et rédactionnel des rapports des Groupes de travail.</w:t>
      </w:r>
    </w:p>
    <w:p w14:paraId="7B248F9B" w14:textId="599DC8EE" w:rsidR="008A2E3D" w:rsidRPr="0030363C" w:rsidRDefault="008A2E3D" w:rsidP="00E3069F">
      <w:pPr>
        <w:jc w:val="both"/>
      </w:pPr>
      <w:r w:rsidRPr="0030363C">
        <w:t>Cela comprendra une révision, un processus de conception et un examen technique final visant à garantir que les documents sont cohérents, accessibles et alignés sur les différents domaines thématiques.</w:t>
      </w:r>
    </w:p>
    <w:p w14:paraId="44A62040" w14:textId="153237C4" w:rsidR="008A2E3D" w:rsidRPr="0030363C" w:rsidRDefault="008A2E3D" w:rsidP="00E3069F">
      <w:pPr>
        <w:jc w:val="both"/>
      </w:pPr>
      <w:r w:rsidRPr="0030363C">
        <w:t>Une fois terminés, les rapports de synthèse seront publiés, marquant la fin des procédures de consultation et d'analyse et le début de la mise en œuvre de mesures concrètes et d'un déploiement à l'échelle mondiale.</w:t>
      </w:r>
    </w:p>
    <w:p w14:paraId="3430034E" w14:textId="429223DC" w:rsidR="008A2E3D" w:rsidRPr="0030363C" w:rsidRDefault="008A2E3D" w:rsidP="00E3069F">
      <w:pPr>
        <w:jc w:val="both"/>
      </w:pPr>
      <w:r w:rsidRPr="0030363C">
        <w:t>Dans le même temps, il faudra s'attacher à favoriser l'adoption des résultats du Sommet. Cela impliquera de collaborer avec les principales parties prenantes, y compris les organisations internationales, les gouvernements nationaux, les acteurs du secteur privé et les institutions financières, pour traduire les recommandations approuvées en des politiques, cadres réglementaires, stratégies d'investissement et pratiques opérationnelles.</w:t>
      </w:r>
    </w:p>
    <w:p w14:paraId="30FB88D3" w14:textId="0D545A1A" w:rsidR="008A2E3D" w:rsidRPr="0030363C" w:rsidRDefault="008A2E3D" w:rsidP="00E3069F">
      <w:pPr>
        <w:jc w:val="both"/>
      </w:pPr>
      <w:r w:rsidRPr="0030363C">
        <w:t>Enfin, il sera essentiel de maintenir la dynamique après le Sommet pour faire en sorte que les recommandations conduisent à des améliorations tangibles en matière de résilience, de sécurité et de durabilité de l'infrastructure mondiale des câbles sous-marins.</w:t>
      </w:r>
    </w:p>
    <w:p w14:paraId="3CBCD70D" w14:textId="77777777" w:rsidR="008A2E3D" w:rsidRPr="0030363C" w:rsidRDefault="008A2E3D" w:rsidP="00A2022E">
      <w:pPr>
        <w:pStyle w:val="Headingb"/>
      </w:pPr>
      <w:r w:rsidRPr="0030363C">
        <w:t>Suite à donner par le Conseil</w:t>
      </w:r>
    </w:p>
    <w:p w14:paraId="67CE1ABA" w14:textId="4B76C5C4" w:rsidR="006A11AE" w:rsidRDefault="008A2E3D" w:rsidP="00E3069F">
      <w:pPr>
        <w:jc w:val="both"/>
      </w:pPr>
      <w:r w:rsidRPr="0030363C">
        <w:t xml:space="preserve">Le Conseil de l'UIT est invité à </w:t>
      </w:r>
      <w:r w:rsidRPr="0030363C">
        <w:rPr>
          <w:b/>
          <w:bCs/>
        </w:rPr>
        <w:t>prendre note</w:t>
      </w:r>
      <w:r w:rsidRPr="0030363C">
        <w:t xml:space="preserve"> du présent document et des progrès accomplis pour promouvoir la collaboration internationale sur la résilience des câbles sous-marins.</w:t>
      </w:r>
    </w:p>
    <w:p w14:paraId="7852F8FB" w14:textId="77777777" w:rsidR="00E3069F" w:rsidRPr="0030363C" w:rsidRDefault="00E3069F" w:rsidP="00E3069F">
      <w:pPr>
        <w:jc w:val="both"/>
      </w:pPr>
    </w:p>
    <w:p w14:paraId="19197681" w14:textId="77777777" w:rsidR="00897553" w:rsidRPr="0030363C" w:rsidRDefault="006A11AE" w:rsidP="002D2336">
      <w:pPr>
        <w:jc w:val="center"/>
      </w:pPr>
      <w:r w:rsidRPr="0030363C">
        <w:t>______________</w:t>
      </w:r>
    </w:p>
    <w:sectPr w:rsidR="00897553" w:rsidRPr="0030363C" w:rsidSect="00D72F49">
      <w:headerReference w:type="even" r:id="rId16"/>
      <w:footerReference w:type="even" r:id="rId17"/>
      <w:footerReference w:type="default" r:id="rId18"/>
      <w:headerReference w:type="first" r:id="rId19"/>
      <w:footerReference w:type="first" r:id="rId20"/>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A2124" w14:textId="77777777" w:rsidR="00172DD3" w:rsidRDefault="00172DD3">
      <w:r>
        <w:separator/>
      </w:r>
    </w:p>
  </w:endnote>
  <w:endnote w:type="continuationSeparator" w:id="0">
    <w:p w14:paraId="53DCC1CD" w14:textId="77777777" w:rsidR="00172DD3" w:rsidRDefault="00172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823A" w14:textId="64228E1B" w:rsidR="00732045" w:rsidRDefault="0030363C">
    <w:pPr>
      <w:pStyle w:val="Footer"/>
    </w:pPr>
    <w:fldSimple w:instr=" FILENAME \p \* MERGEFORMAT ">
      <w:r w:rsidR="00172DD3">
        <w:t>Document1</w:t>
      </w:r>
    </w:fldSimple>
    <w:r w:rsidR="00732045">
      <w:tab/>
    </w:r>
    <w:r w:rsidR="002F1B76">
      <w:fldChar w:fldCharType="begin"/>
    </w:r>
    <w:r w:rsidR="00732045">
      <w:instrText xml:space="preserve"> savedate \@ dd.MM.yy </w:instrText>
    </w:r>
    <w:r w:rsidR="002F1B76">
      <w:fldChar w:fldCharType="separate"/>
    </w:r>
    <w:r w:rsidR="001D3049">
      <w:t>17.04.26</w:t>
    </w:r>
    <w:r w:rsidR="002F1B76">
      <w:fldChar w:fldCharType="end"/>
    </w:r>
    <w:r w:rsidR="00732045">
      <w:tab/>
    </w:r>
    <w:r w:rsidR="002F1B76">
      <w:fldChar w:fldCharType="begin"/>
    </w:r>
    <w:r w:rsidR="00732045">
      <w:instrText xml:space="preserve"> printdate \@ dd.MM.yy </w:instrText>
    </w:r>
    <w:r w:rsidR="002F1B76">
      <w:fldChar w:fldCharType="separate"/>
    </w:r>
    <w:r w:rsidR="00172DD3">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5E89FE1" w14:textId="77777777" w:rsidTr="00E31DCE">
      <w:trPr>
        <w:jc w:val="center"/>
      </w:trPr>
      <w:tc>
        <w:tcPr>
          <w:tcW w:w="1803" w:type="dxa"/>
          <w:vAlign w:val="center"/>
        </w:tcPr>
        <w:p w14:paraId="3654BEDD" w14:textId="6607B50B" w:rsidR="008A2E3D" w:rsidRDefault="008A2E3D" w:rsidP="008A2E3D">
          <w:pPr>
            <w:pStyle w:val="Header"/>
            <w:jc w:val="left"/>
            <w:rPr>
              <w:noProof/>
            </w:rPr>
          </w:pPr>
          <w:r>
            <w:rPr>
              <w:noProof/>
            </w:rPr>
            <w:t>2600884</w:t>
          </w:r>
        </w:p>
      </w:tc>
      <w:tc>
        <w:tcPr>
          <w:tcW w:w="8261" w:type="dxa"/>
        </w:tcPr>
        <w:p w14:paraId="6C2AED90" w14:textId="5A87FA7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8A2E3D">
            <w:rPr>
              <w:bCs/>
            </w:rPr>
            <w:t>76</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84A4A3E"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784D554" w14:textId="77777777" w:rsidTr="00E31DCE">
      <w:trPr>
        <w:jc w:val="center"/>
      </w:trPr>
      <w:tc>
        <w:tcPr>
          <w:tcW w:w="1803" w:type="dxa"/>
          <w:vAlign w:val="center"/>
        </w:tcPr>
        <w:p w14:paraId="76D6CE9A"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29C0E102" w14:textId="3DF8302C"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8A2E3D">
            <w:rPr>
              <w:bCs/>
            </w:rPr>
            <w:t>76</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DF8DBEB"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AB1D0" w14:textId="77777777" w:rsidR="00172DD3" w:rsidRDefault="00172DD3">
      <w:r>
        <w:t>____________________</w:t>
      </w:r>
    </w:p>
  </w:footnote>
  <w:footnote w:type="continuationSeparator" w:id="0">
    <w:p w14:paraId="7A9D1161" w14:textId="77777777" w:rsidR="00172DD3" w:rsidRDefault="00172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FE3E"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E446DBC"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242A" w14:textId="77777777" w:rsidR="00A51849" w:rsidRPr="001342E0" w:rsidRDefault="001342E0" w:rsidP="001342E0">
    <w:pPr>
      <w:pStyle w:val="Header"/>
    </w:pPr>
    <w:r>
      <w:rPr>
        <w:noProof/>
      </w:rPr>
      <w:drawing>
        <wp:inline distT="0" distB="0" distL="0" distR="0" wp14:anchorId="02A476EB" wp14:editId="7A72BFC7">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D3"/>
    <w:rsid w:val="00076A2C"/>
    <w:rsid w:val="000D0D0A"/>
    <w:rsid w:val="00103163"/>
    <w:rsid w:val="00106B19"/>
    <w:rsid w:val="001133EF"/>
    <w:rsid w:val="00115D93"/>
    <w:rsid w:val="001247A8"/>
    <w:rsid w:val="001342E0"/>
    <w:rsid w:val="001370B2"/>
    <w:rsid w:val="001378C0"/>
    <w:rsid w:val="001658F9"/>
    <w:rsid w:val="00172DD3"/>
    <w:rsid w:val="0018694A"/>
    <w:rsid w:val="0019129B"/>
    <w:rsid w:val="001A3287"/>
    <w:rsid w:val="001A6508"/>
    <w:rsid w:val="001D3049"/>
    <w:rsid w:val="001D4C31"/>
    <w:rsid w:val="001E4D21"/>
    <w:rsid w:val="00207CD1"/>
    <w:rsid w:val="00226657"/>
    <w:rsid w:val="002477A2"/>
    <w:rsid w:val="00263A51"/>
    <w:rsid w:val="00267E02"/>
    <w:rsid w:val="00271321"/>
    <w:rsid w:val="00277DEA"/>
    <w:rsid w:val="002A5D44"/>
    <w:rsid w:val="002C3F32"/>
    <w:rsid w:val="002C4E3D"/>
    <w:rsid w:val="002D2336"/>
    <w:rsid w:val="002E0BC4"/>
    <w:rsid w:val="002F1B76"/>
    <w:rsid w:val="0030363C"/>
    <w:rsid w:val="0033568E"/>
    <w:rsid w:val="00355FF5"/>
    <w:rsid w:val="00361350"/>
    <w:rsid w:val="003C3FAE"/>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3890"/>
    <w:rsid w:val="005F5DDA"/>
    <w:rsid w:val="005F7BFE"/>
    <w:rsid w:val="00600017"/>
    <w:rsid w:val="00602682"/>
    <w:rsid w:val="006235CA"/>
    <w:rsid w:val="0062366E"/>
    <w:rsid w:val="006643AB"/>
    <w:rsid w:val="006A11AE"/>
    <w:rsid w:val="006B224B"/>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16C3B"/>
    <w:rsid w:val="0082299A"/>
    <w:rsid w:val="0083391C"/>
    <w:rsid w:val="0084546D"/>
    <w:rsid w:val="00861D73"/>
    <w:rsid w:val="00882919"/>
    <w:rsid w:val="00897553"/>
    <w:rsid w:val="008A2E3D"/>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022E"/>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A08ED"/>
    <w:rsid w:val="00CC6EAA"/>
    <w:rsid w:val="00CE1E11"/>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3069F"/>
    <w:rsid w:val="00E4428F"/>
    <w:rsid w:val="00E4448E"/>
    <w:rsid w:val="00E47427"/>
    <w:rsid w:val="00E93668"/>
    <w:rsid w:val="00E95647"/>
    <w:rsid w:val="00EB6350"/>
    <w:rsid w:val="00ED799B"/>
    <w:rsid w:val="00F15B57"/>
    <w:rsid w:val="00F35EF4"/>
    <w:rsid w:val="00F37FE5"/>
    <w:rsid w:val="00F427DB"/>
    <w:rsid w:val="00FA2D7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B7E7D"/>
  <w15:docId w15:val="{6F825B91-FBE4-4A4F-A966-F69A5ECD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81/fr" TargetMode="External"/><Relationship Id="rId13" Type="http://schemas.openxmlformats.org/officeDocument/2006/relationships/hyperlink" Target="https://www.itu.int/digital-resilience/submarine-cables/wp-content/uploads/sites/2/2026/02/Porto-Summit-Declaration.pdf?utm_source=P2C+and+Memberships&amp;utm_campaign=fd59bf4fce-EMAIL_CAMPAIGN_2024_12_10_09_35_COPY_01&amp;utm_medium=email&amp;utm_term=0_-7cfceeebe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tu.int/digital-resilience/submarine-cables/events/about-porto-summit/program-2026/" TargetMode="External"/><Relationship Id="rId12" Type="http://schemas.openxmlformats.org/officeDocument/2006/relationships/hyperlink" Target="https://www.itu.int/digital-resilience/submarine-cables/events/iab-deliverabl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digital-resilience/submarine-cables/wp-content/uploads/sites/2/2025/02/summit-declaration-nigeria-2025.pdf" TargetMode="External"/><Relationship Id="rId5" Type="http://schemas.openxmlformats.org/officeDocument/2006/relationships/footnotes" Target="footnotes.xml"/><Relationship Id="rId15" Type="http://schemas.openxmlformats.org/officeDocument/2006/relationships/hyperlink" Target="https://www.itu.int/digital-resilience/submarine-cables/events/iab-deliverable/" TargetMode="External"/><Relationship Id="rId10" Type="http://schemas.openxmlformats.org/officeDocument/2006/relationships/hyperlink" Target="https://www.itu.int/digital-resilience/submarine-cables/advisory-body/"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itu.int/md/S25-CL-C-0081/fr" TargetMode="External"/><Relationship Id="rId14" Type="http://schemas.openxmlformats.org/officeDocument/2006/relationships/hyperlink" Target="https://www.itu.int/digital-resilience/submarine-cables/wp-content/uploads/sites/2/2026/02/Porto-Summit-Declaration.pdf?utm_source=P2C+and+Memberships&amp;utm_campaign=fd59bf4fce-EMAIL_CAMPAIGN_2024_12_10_09_35_COPY_01&amp;utm_medium=email&amp;utm_term=0_-7cfceeebe8-"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1</TotalTime>
  <Pages>5</Pages>
  <Words>1752</Words>
  <Characters>11619</Characters>
  <Application>Microsoft Office Word</Application>
  <DocSecurity>0</DocSecurity>
  <Lines>242</Lines>
  <Paragraphs>123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13248</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Renforcer la résilience des câbles sous-marins: l'organe consultatif international pour la résilience des câbles sous-marins et le Sommet de Porto de 2026</dc:title>
  <dc:subject>Conseil 2026 de l'UIT</dc:subject>
  <cp:keywords>C26; C2026; Council 2026; PP26</cp:keywords>
  <dc:description/>
  <cp:lastPrinted>2000-07-18T08:55:00Z</cp:lastPrinted>
  <dcterms:created xsi:type="dcterms:W3CDTF">2026-04-21T12:15:00Z</dcterms:created>
  <dcterms:modified xsi:type="dcterms:W3CDTF">2026-04-21T12:15:00Z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