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36769074" w:rsidR="007B0AA0" w:rsidRPr="007B0AA0" w:rsidRDefault="007B0AA0" w:rsidP="00F363FE">
            <w:pPr>
              <w:spacing w:before="60" w:after="60" w:line="260" w:lineRule="exact"/>
              <w:rPr>
                <w:b/>
                <w:bCs/>
                <w:rtl/>
              </w:rPr>
            </w:pPr>
            <w:r w:rsidRPr="007B0AA0">
              <w:rPr>
                <w:rFonts w:hint="cs"/>
                <w:b/>
                <w:bCs/>
                <w:rtl/>
                <w:lang w:bidi="ar-EG"/>
              </w:rPr>
              <w:t>بند جدول الأعمال:</w:t>
            </w:r>
            <w:r w:rsidR="005B0256">
              <w:rPr>
                <w:rFonts w:hint="cs"/>
                <w:b/>
                <w:bCs/>
                <w:rtl/>
              </w:rPr>
              <w:t xml:space="preserve"> </w:t>
            </w:r>
            <w:r w:rsidR="005B0256" w:rsidRPr="00A16240">
              <w:rPr>
                <w:b/>
                <w:bCs/>
                <w:color w:val="000000"/>
                <w:rtl/>
              </w:rPr>
              <w:t>PL-2</w:t>
            </w:r>
          </w:p>
        </w:tc>
        <w:tc>
          <w:tcPr>
            <w:tcW w:w="3117" w:type="dxa"/>
          </w:tcPr>
          <w:p w14:paraId="339A15C6" w14:textId="18D1376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B0256">
              <w:rPr>
                <w:b/>
                <w:bCs/>
                <w:lang w:bidi="ar-EG"/>
              </w:rPr>
              <w:t>76</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3BD028DD" w:rsidR="007B0AA0" w:rsidRPr="005B0256" w:rsidRDefault="005B0256" w:rsidP="00F363FE">
            <w:pPr>
              <w:spacing w:before="60" w:after="60" w:line="260" w:lineRule="exact"/>
              <w:rPr>
                <w:b/>
                <w:bCs/>
                <w:lang w:val="en-GB"/>
              </w:rPr>
            </w:pPr>
            <w:r>
              <w:rPr>
                <w:b/>
                <w:bCs/>
                <w:lang w:bidi="ar-EG"/>
              </w:rPr>
              <w:t>13</w:t>
            </w:r>
            <w:r>
              <w:rPr>
                <w:rFonts w:hint="cs"/>
                <w:b/>
                <w:bCs/>
                <w:rtl/>
              </w:rPr>
              <w:t xml:space="preserve"> أبريل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69EFD964" w:rsidR="007B0AA0" w:rsidRDefault="005B0256" w:rsidP="007B0AA0">
            <w:pPr>
              <w:pStyle w:val="Source"/>
              <w:jc w:val="left"/>
              <w:rPr>
                <w:lang w:bidi="ar-EG"/>
              </w:rPr>
            </w:pPr>
            <w:r w:rsidRPr="005B0256">
              <w:rPr>
                <w:rtl/>
                <w:lang w:bidi="ar-EG"/>
              </w:rPr>
              <w:t>مساهمة مقدمة من البرتغال</w:t>
            </w:r>
            <w:r w:rsidR="00C66BC2" w:rsidRPr="005B0256">
              <w:rPr>
                <w:rtl/>
                <w:lang w:bidi="ar-EG"/>
              </w:rPr>
              <w:t xml:space="preserve"> </w:t>
            </w:r>
            <w:r w:rsidR="00C66BC2" w:rsidRPr="00C66BC2">
              <w:rPr>
                <w:rtl/>
                <w:lang w:bidi="ar-EG"/>
              </w:rPr>
              <w:t>و</w:t>
            </w:r>
            <w:r w:rsidR="00C66BC2" w:rsidRPr="005B0256">
              <w:rPr>
                <w:rtl/>
                <w:lang w:bidi="ar-EG"/>
              </w:rPr>
              <w:t xml:space="preserve"> </w:t>
            </w:r>
            <w:r w:rsidR="00C66BC2" w:rsidRPr="00C66BC2">
              <w:rPr>
                <w:rtl/>
                <w:lang w:bidi="ar-EG"/>
              </w:rPr>
              <w:t>نيجيريا</w:t>
            </w:r>
            <w:r w:rsidR="00C66BC2" w:rsidRPr="005B0256">
              <w:rPr>
                <w:rtl/>
                <w:lang w:bidi="ar-EG"/>
              </w:rPr>
              <w:t xml:space="preserve"> </w:t>
            </w:r>
            <w:r w:rsidR="00C66BC2" w:rsidRPr="00C66BC2">
              <w:rPr>
                <w:rtl/>
                <w:lang w:bidi="ar-EG"/>
              </w:rPr>
              <w:t>(جمهورية نيجيريا الاتحادية)</w:t>
            </w:r>
          </w:p>
        </w:tc>
      </w:tr>
      <w:tr w:rsidR="007B0AA0" w14:paraId="07BBDF5C" w14:textId="77777777" w:rsidTr="007B0AA0">
        <w:tc>
          <w:tcPr>
            <w:tcW w:w="9629" w:type="dxa"/>
            <w:gridSpan w:val="2"/>
            <w:tcBorders>
              <w:bottom w:val="single" w:sz="4" w:space="0" w:color="auto"/>
            </w:tcBorders>
          </w:tcPr>
          <w:p w14:paraId="4CEEFF10" w14:textId="147D5478" w:rsidR="007B0AA0" w:rsidRPr="005546CF" w:rsidRDefault="005B0256" w:rsidP="007B0AA0">
            <w:pPr>
              <w:pStyle w:val="Subtitle0"/>
              <w:rPr>
                <w:sz w:val="32"/>
                <w:szCs w:val="32"/>
              </w:rPr>
            </w:pPr>
            <w:r w:rsidRPr="005B0256">
              <w:rPr>
                <w:sz w:val="32"/>
                <w:szCs w:val="32"/>
                <w:rtl/>
              </w:rPr>
              <w:t>تعزيز صمود الكبلات البحرية - الهيئة الاستشارية الدولية المعنية بصمود الكبلات البحرية وقمة بورتو لعام 2026</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727293C6" w:rsidR="007B0AA0" w:rsidRDefault="005B0256" w:rsidP="007B0AA0">
            <w:pPr>
              <w:rPr>
                <w:rtl/>
              </w:rPr>
            </w:pPr>
            <w:r w:rsidRPr="005B0256">
              <w:rPr>
                <w:rtl/>
              </w:rPr>
              <w:t>تقدم هذه الوثيقة معلومات محدَّثة عن الهيئة الاستشارية الدولية لصمود الكبلات البحرية التي أنشأها الاتحاد الدولي للاتصالات (</w:t>
            </w:r>
            <w:r w:rsidRPr="005B0256">
              <w:t>ITU</w:t>
            </w:r>
            <w:r w:rsidRPr="005B0256">
              <w:rPr>
                <w:rtl/>
              </w:rPr>
              <w:t>) واللجنة الدولية لحماية الكبلات (</w:t>
            </w:r>
            <w:r w:rsidRPr="005B0256">
              <w:t>ICPC</w:t>
            </w:r>
            <w:r w:rsidRPr="005B0256">
              <w:rPr>
                <w:rtl/>
              </w:rPr>
              <w:t>)، ويشترك في رئاستها سعادة الوزير بوسون تيجاني، وزير الاتصالات والابتكار والاقتصاد الرقمي في جمهورية نيجيريا الاتحادية، والبروفيسورة ساندرا ماكسيميانو، رئيسة مجلس إدارة الهيئة الوطنية للاتصالات في جمهورية البرتغال (</w:t>
            </w:r>
            <w:r w:rsidRPr="005B0256">
              <w:t>ANACOM</w:t>
            </w:r>
            <w:r w:rsidRPr="005B0256">
              <w:rPr>
                <w:rtl/>
              </w:rPr>
              <w:t xml:space="preserve">) </w:t>
            </w:r>
            <w:hyperlink r:id="rId8" w:anchor="/ar" w:history="1">
              <w:r w:rsidRPr="00A528B5">
                <w:rPr>
                  <w:rtl/>
                </w:rPr>
                <w:t>و</w:t>
              </w:r>
              <w:r w:rsidR="00A528B5">
                <w:rPr>
                  <w:rFonts w:hint="cs"/>
                  <w:rtl/>
                </w:rPr>
                <w:t xml:space="preserve">عن </w:t>
              </w:r>
              <w:r w:rsidRPr="005B0256">
                <w:rPr>
                  <w:rStyle w:val="Hyperlink"/>
                  <w:noProof w:val="0"/>
                  <w:rtl/>
                  <w:lang w:val="en-US" w:eastAsia="zh-CN"/>
                </w:rPr>
                <w:t>القمة الدولية لصمود الكبلات البحرية لعام 2026</w:t>
              </w:r>
            </w:hyperlink>
            <w:r>
              <w:rPr>
                <w:rFonts w:hint="cs"/>
                <w:rtl/>
              </w:rPr>
              <w:t xml:space="preserve"> </w:t>
            </w:r>
            <w:r w:rsidRPr="005B0256">
              <w:rPr>
                <w:rtl/>
              </w:rPr>
              <w:t>التي استضافتها البرتغال في بورتو يومي 2 و3 فبراير 2026.</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1C2D5F21" w:rsidR="007B0AA0" w:rsidRDefault="005B0256" w:rsidP="007B0AA0">
            <w:pPr>
              <w:rPr>
                <w:rtl/>
              </w:rPr>
            </w:pPr>
            <w:r w:rsidRPr="005B0256">
              <w:rPr>
                <w:rtl/>
              </w:rPr>
              <w:t xml:space="preserve">يُدعى مجلس الاتحاد إلى </w:t>
            </w:r>
            <w:r w:rsidRPr="005B0256">
              <w:rPr>
                <w:b/>
                <w:bCs/>
                <w:rtl/>
              </w:rPr>
              <w:t>الإحاطة علماً</w:t>
            </w:r>
            <w:r w:rsidRPr="005B0256">
              <w:rPr>
                <w:rtl/>
              </w:rPr>
              <w:t xml:space="preserve"> بهذه الوثيقة.</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39B016E5" w:rsidR="007B0AA0" w:rsidRPr="005546CF" w:rsidRDefault="005B0256" w:rsidP="007B0AA0">
            <w:pPr>
              <w:rPr>
                <w:i/>
                <w:iCs/>
                <w:rtl/>
              </w:rPr>
            </w:pPr>
            <w:r w:rsidRPr="005B0256">
              <w:rPr>
                <w:i/>
                <w:iCs/>
                <w:rtl/>
              </w:rPr>
              <w:t xml:space="preserve">الوثيقة </w:t>
            </w:r>
            <w:hyperlink r:id="rId9" w:history="1">
              <w:r w:rsidRPr="005B0256">
                <w:rPr>
                  <w:rStyle w:val="Hyperlink"/>
                  <w:i/>
                  <w:iCs/>
                  <w:noProof w:val="0"/>
                  <w:lang w:val="en-US" w:eastAsia="zh-CN"/>
                </w:rPr>
                <w:t>C25/81</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369872AA" w14:textId="77777777" w:rsidR="005B0256" w:rsidRPr="005B0256" w:rsidRDefault="005B0256" w:rsidP="005B0256">
      <w:pPr>
        <w:pStyle w:val="Headingb"/>
        <w:rPr>
          <w:lang w:val="ar-SA" w:eastAsia="zh-TW" w:bidi="en-GB"/>
        </w:rPr>
      </w:pPr>
      <w:r w:rsidRPr="005B0256">
        <w:rPr>
          <w:rtl/>
        </w:rPr>
        <w:lastRenderedPageBreak/>
        <w:t>مقدمة</w:t>
      </w:r>
    </w:p>
    <w:p w14:paraId="1173BA01" w14:textId="2FABF196" w:rsidR="005B0256" w:rsidRPr="005B0256" w:rsidRDefault="005B0256" w:rsidP="005B0256">
      <w:pPr>
        <w:rPr>
          <w:lang w:val="ar-SA" w:eastAsia="zh-TW" w:bidi="en-GB"/>
        </w:rPr>
      </w:pPr>
      <w:r w:rsidRPr="005B0256">
        <w:rPr>
          <w:rtl/>
        </w:rPr>
        <w:t xml:space="preserve">مثلت القمة الدولية الثانية لصمود الكبلات البحرية، التي عُقدت في بورتو في عام </w:t>
      </w:r>
      <w:r w:rsidR="00A528B5">
        <w:rPr>
          <w:rFonts w:hint="cs"/>
          <w:rtl/>
        </w:rPr>
        <w:t>2025</w:t>
      </w:r>
      <w:r w:rsidRPr="005B0256">
        <w:rPr>
          <w:rtl/>
        </w:rPr>
        <w:t xml:space="preserve">، تحولاً من الحوار إلى التنفيذ المنظم من خلال اعتماد إعلان بورتو بشأن صمود الكبلات البحرية. وحدد الإعلان إرشادات ملموسة لتبسيط إجراءات التصاريح والإصلاح، وتعزيز الأطر القانونية والتنظيمية، وتشجيع تنوع المسارات وتكرارها - خاصة لفائدة المناطق الضعيفة والشحيحة الخدمات - وتعزيز تدابير التخفيف من المخاطر وحماية الكبلات، ودعم بناء القدرات والابتكار. وبناء على الأسس التي أرستها قمة أبوجا، رسخ اجتماع بورتو الالتزامات الدولية وحدد الانتقال نحو التنفيذ. وفي هذا السياق، تضمنت الوثيقة </w:t>
      </w:r>
      <w:hyperlink r:id="rId10" w:history="1">
        <w:r w:rsidRPr="005B0256">
          <w:rPr>
            <w:rStyle w:val="Hyperlink"/>
            <w:noProof w:val="0"/>
            <w:rtl/>
            <w:lang w:val="en-US" w:eastAsia="zh-CN"/>
          </w:rPr>
          <w:t>C25/81</w:t>
        </w:r>
      </w:hyperlink>
      <w:r w:rsidRPr="005B0256">
        <w:rPr>
          <w:rtl/>
        </w:rPr>
        <w:t xml:space="preserve"> المقدمة من نيجيريا إلى دورة مجلس الاتحاد الدولي للاتصالات </w:t>
      </w:r>
      <w:r w:rsidRPr="005B0256">
        <w:t>(ITU)</w:t>
      </w:r>
      <w:r w:rsidRPr="005B0256">
        <w:rPr>
          <w:rtl/>
        </w:rPr>
        <w:t xml:space="preserve"> لعام 2025 معلومات محدثة عن الجهود العالمية الرامية إلى تحسين قدرة كبلات الاتصالات البحرية على الصمود وعرضت نتائج قمة أبوجا لعام 2025.</w:t>
      </w:r>
      <w:hyperlink r:id="rId11" w:history="1"/>
    </w:p>
    <w:p w14:paraId="1FB36E77" w14:textId="3DF7A147" w:rsidR="005B0256" w:rsidRPr="005B0256" w:rsidRDefault="005B0256" w:rsidP="005B0256">
      <w:pPr>
        <w:rPr>
          <w:lang w:val="ar-SA" w:eastAsia="zh-TW" w:bidi="en-GB"/>
        </w:rPr>
      </w:pPr>
      <w:r w:rsidRPr="005B0256">
        <w:rPr>
          <w:rtl/>
        </w:rPr>
        <w:t xml:space="preserve">وعلى النحو المبين في هذه المساهمة، أنشأ الاتحاد واللجنة الدولية لحماية الكبلات في نوفمبر 2024 </w:t>
      </w:r>
      <w:hyperlink r:id="rId12" w:anchor="/ar" w:history="1">
        <w:r w:rsidRPr="005B0256">
          <w:rPr>
            <w:rStyle w:val="Hyperlink"/>
            <w:noProof w:val="0"/>
            <w:rtl/>
            <w:lang w:val="en-US" w:eastAsia="zh-CN"/>
          </w:rPr>
          <w:t>الهيئة الاستشارية الدولية المعنية بصمود الكبلات البحرية (الهيئة الاستشارية الدولية</w:t>
        </w:r>
        <w:r w:rsidR="00A528B5">
          <w:rPr>
            <w:rStyle w:val="Hyperlink"/>
            <w:rFonts w:hint="cs"/>
            <w:noProof w:val="0"/>
            <w:rtl/>
            <w:lang w:val="en-US" w:eastAsia="zh-CN"/>
          </w:rPr>
          <w:t> </w:t>
        </w:r>
        <w:r w:rsidR="00A528B5">
          <w:rPr>
            <w:rStyle w:val="Hyperlink"/>
            <w:noProof w:val="0"/>
            <w:lang w:val="en-US" w:eastAsia="zh-CN"/>
          </w:rPr>
          <w:t>(IAB)</w:t>
        </w:r>
        <w:r w:rsidRPr="005B0256">
          <w:rPr>
            <w:rStyle w:val="Hyperlink"/>
            <w:noProof w:val="0"/>
            <w:rtl/>
            <w:lang w:val="en-US" w:eastAsia="zh-CN"/>
          </w:rPr>
          <w:t>)</w:t>
        </w:r>
      </w:hyperlink>
      <w:r w:rsidRPr="005B0256">
        <w:rPr>
          <w:rtl/>
        </w:rPr>
        <w:t>. وتهدف الهيئة إلى تعزيز التعاون ووضع حلول من</w:t>
      </w:r>
      <w:r w:rsidR="002C02FB">
        <w:rPr>
          <w:rFonts w:hint="cs"/>
          <w:rtl/>
        </w:rPr>
        <w:t> </w:t>
      </w:r>
      <w:r w:rsidRPr="005B0256">
        <w:rPr>
          <w:rtl/>
        </w:rPr>
        <w:t>أجل:</w:t>
      </w:r>
      <w:hyperlink r:id="rId13" w:history="1"/>
    </w:p>
    <w:p w14:paraId="41A18440" w14:textId="4B6EDE51" w:rsidR="005B0256" w:rsidRPr="005B0256" w:rsidRDefault="002C02FB" w:rsidP="002C02FB">
      <w:pPr>
        <w:pStyle w:val="enumlev1"/>
        <w:rPr>
          <w:lang w:val="ar-SA" w:eastAsia="zh-TW" w:bidi="en-GB"/>
        </w:rPr>
      </w:pPr>
      <w:r>
        <w:rPr>
          <w:rFonts w:hint="cs"/>
          <w:rtl/>
        </w:rPr>
        <w:t>-</w:t>
      </w:r>
      <w:r w:rsidR="005B0256" w:rsidRPr="005B0256">
        <w:rPr>
          <w:rtl/>
        </w:rPr>
        <w:tab/>
        <w:t>تحسين صيانة الكبلات وإصلاحها.</w:t>
      </w:r>
    </w:p>
    <w:p w14:paraId="6C5B6DDA" w14:textId="5C8ED1B0" w:rsidR="005B0256" w:rsidRPr="005B0256" w:rsidRDefault="002C02FB" w:rsidP="002C02FB">
      <w:pPr>
        <w:pStyle w:val="enumlev1"/>
        <w:rPr>
          <w:lang w:val="ar-SA" w:eastAsia="zh-TW" w:bidi="en-GB"/>
        </w:rPr>
      </w:pPr>
      <w:r>
        <w:rPr>
          <w:rFonts w:hint="cs"/>
          <w:rtl/>
        </w:rPr>
        <w:t>-</w:t>
      </w:r>
      <w:r w:rsidR="005B0256" w:rsidRPr="005B0256">
        <w:rPr>
          <w:rtl/>
        </w:rPr>
        <w:tab/>
        <w:t>منع التلف والحد من المخاطر.</w:t>
      </w:r>
    </w:p>
    <w:p w14:paraId="0A9245E6" w14:textId="77777777" w:rsidR="005B0256" w:rsidRPr="005B0256" w:rsidRDefault="005B0256" w:rsidP="002C02FB">
      <w:pPr>
        <w:pStyle w:val="enumlev1"/>
        <w:rPr>
          <w:lang w:val="ar-SA" w:eastAsia="zh-TW" w:bidi="en-GB"/>
        </w:rPr>
      </w:pPr>
      <w:r w:rsidRPr="005B0256">
        <w:t>–</w:t>
      </w:r>
      <w:r w:rsidRPr="005B0256">
        <w:rPr>
          <w:rtl/>
        </w:rPr>
        <w:tab/>
        <w:t>زيادة التكرار وتنوع المسارات.</w:t>
      </w:r>
    </w:p>
    <w:p w14:paraId="28904C37" w14:textId="5763658C" w:rsidR="005B0256" w:rsidRPr="005B0256" w:rsidRDefault="002C02FB" w:rsidP="002C02FB">
      <w:pPr>
        <w:pStyle w:val="enumlev1"/>
        <w:rPr>
          <w:lang w:val="ar-SA" w:eastAsia="zh-TW" w:bidi="en-GB"/>
        </w:rPr>
      </w:pPr>
      <w:r>
        <w:rPr>
          <w:rFonts w:hint="cs"/>
          <w:rtl/>
        </w:rPr>
        <w:t>-</w:t>
      </w:r>
      <w:r w:rsidR="005B0256" w:rsidRPr="005B0256">
        <w:rPr>
          <w:rtl/>
        </w:rPr>
        <w:tab/>
        <w:t>دعم البنية التحتية المستدامة والقادرة على الصمود.</w:t>
      </w:r>
    </w:p>
    <w:p w14:paraId="42C8B4A5" w14:textId="6C1FAF15" w:rsidR="005B0256" w:rsidRPr="005B0256" w:rsidRDefault="005B0256" w:rsidP="005B0256">
      <w:pPr>
        <w:rPr>
          <w:lang w:val="ar-SA" w:eastAsia="zh-TW" w:bidi="en-GB"/>
        </w:rPr>
      </w:pPr>
      <w:r w:rsidRPr="005B0256">
        <w:rPr>
          <w:rtl/>
        </w:rPr>
        <w:t xml:space="preserve">وتضم الهيئة الاستشارية 42 خبيراً من الحكومات ودوائر الصناعة والمنظمات الدولية، ويشترك في رئاستها سعادة الوزير بوسون تيجاني، وزير الاتصالات والابتكار والاقتصاد الرقمي في جمهورية نيجيريا الاتحادية، والبروفيسورة ساندرا ماكسيميانو، رئيسة مجلس إدارة الهيئة الوطنية للاتصالات في جمهورية البرتغال </w:t>
      </w:r>
      <w:r w:rsidRPr="005B0256">
        <w:t>(ANACOM)</w:t>
      </w:r>
      <w:r w:rsidRPr="005B0256">
        <w:rPr>
          <w:rtl/>
        </w:rPr>
        <w:t>. وتم تشكيل الهيئة عن طريق عملية اختيار مفتوحة وشاملة، وستجتمع بانتظام خلال ولاية أولية مدتها سنتان.</w:t>
      </w:r>
    </w:p>
    <w:p w14:paraId="28C6EF8A" w14:textId="30AD54A7" w:rsidR="005B0256" w:rsidRPr="005B0256" w:rsidRDefault="005B0256" w:rsidP="005B0256">
      <w:pPr>
        <w:rPr>
          <w:lang w:val="ar-SA" w:eastAsia="zh-TW" w:bidi="en-GB"/>
        </w:rPr>
      </w:pPr>
      <w:r w:rsidRPr="005B0256">
        <w:rPr>
          <w:rtl/>
        </w:rPr>
        <w:t>واعتمدت القمة الدولية لصمود الكبلات البحرية، التي عُقدت في أبوجا في فبراير 2025، </w:t>
      </w:r>
      <w:hyperlink r:id="rId14" w:history="1">
        <w:r w:rsidRPr="002C02FB">
          <w:rPr>
            <w:rStyle w:val="Hyperlink"/>
            <w:noProof w:val="0"/>
            <w:rtl/>
            <w:lang w:val="en-US" w:eastAsia="zh-CN"/>
          </w:rPr>
          <w:t>إعلان أبوجا</w:t>
        </w:r>
      </w:hyperlink>
      <w:r w:rsidRPr="005B0256">
        <w:rPr>
          <w:rtl/>
        </w:rPr>
        <w:t xml:space="preserve"> وقررت إنشاء ثلاثة أفرقة عمل تابعة للهيئة الاستشارية الدولية بهدف التركيز على ما يلي:</w:t>
      </w:r>
      <w:hyperlink r:id="rId15" w:history="1"/>
    </w:p>
    <w:p w14:paraId="72E0538D" w14:textId="7199C844" w:rsidR="005B0256" w:rsidRPr="005B0256" w:rsidRDefault="002C02FB" w:rsidP="002C02FB">
      <w:pPr>
        <w:pStyle w:val="enumlev1"/>
        <w:rPr>
          <w:lang w:val="ar-SA" w:eastAsia="zh-TW" w:bidi="en-GB"/>
        </w:rPr>
      </w:pPr>
      <w:r>
        <w:rPr>
          <w:rFonts w:hint="cs"/>
          <w:rtl/>
        </w:rPr>
        <w:t>-</w:t>
      </w:r>
      <w:r w:rsidR="005B0256" w:rsidRPr="005B0256">
        <w:rPr>
          <w:rtl/>
        </w:rPr>
        <w:tab/>
        <w:t>تحديد المخاطر ورصدها والتخفيف منها.</w:t>
      </w:r>
    </w:p>
    <w:p w14:paraId="22F240EF" w14:textId="56C5E695" w:rsidR="005B0256" w:rsidRPr="005B0256" w:rsidRDefault="002C02FB" w:rsidP="002C02FB">
      <w:pPr>
        <w:pStyle w:val="enumlev1"/>
        <w:rPr>
          <w:lang w:val="ar-SA" w:eastAsia="zh-TW" w:bidi="en-GB"/>
        </w:rPr>
      </w:pPr>
      <w:r>
        <w:rPr>
          <w:rFonts w:hint="cs"/>
          <w:rtl/>
        </w:rPr>
        <w:t>-</w:t>
      </w:r>
      <w:r w:rsidR="005B0256" w:rsidRPr="005B0256">
        <w:rPr>
          <w:rtl/>
        </w:rPr>
        <w:tab/>
        <w:t>التوصيلية والتنوع الجغرافي.</w:t>
      </w:r>
    </w:p>
    <w:p w14:paraId="42B1DC47" w14:textId="051093B1" w:rsidR="005B0256" w:rsidRPr="005B0256" w:rsidRDefault="002C02FB" w:rsidP="002C02FB">
      <w:pPr>
        <w:pStyle w:val="enumlev1"/>
        <w:rPr>
          <w:lang w:val="ar-SA" w:eastAsia="zh-TW" w:bidi="en-GB"/>
        </w:rPr>
      </w:pPr>
      <w:r>
        <w:rPr>
          <w:rFonts w:hint="cs"/>
          <w:rtl/>
        </w:rPr>
        <w:t>-</w:t>
      </w:r>
      <w:r w:rsidR="005B0256" w:rsidRPr="005B0256">
        <w:rPr>
          <w:rtl/>
        </w:rPr>
        <w:tab/>
        <w:t>كفاءة النشر والإصلاح.</w:t>
      </w:r>
    </w:p>
    <w:p w14:paraId="3C5C6643" w14:textId="6ECFB37B" w:rsidR="005B0256" w:rsidRPr="005B0256" w:rsidRDefault="005B0256" w:rsidP="005B0256">
      <w:pPr>
        <w:rPr>
          <w:rtl/>
          <w:lang w:val="ar-SA" w:eastAsia="zh-TW" w:bidi="en-GB"/>
        </w:rPr>
      </w:pPr>
      <w:r w:rsidRPr="005B0256">
        <w:rPr>
          <w:rtl/>
        </w:rPr>
        <w:t>وتعكف الهيئة الاستشارية حالياً على إنشاء أفرقة العمل التابعة لها.</w:t>
      </w:r>
    </w:p>
    <w:p w14:paraId="3FCBE358" w14:textId="77777777" w:rsidR="005B0256" w:rsidRPr="005B0256" w:rsidRDefault="005B0256" w:rsidP="005B0256">
      <w:pPr>
        <w:rPr>
          <w:lang w:val="ar-SA" w:eastAsia="zh-TW" w:bidi="en-GB"/>
        </w:rPr>
      </w:pPr>
      <w:r w:rsidRPr="005B0256">
        <w:rPr>
          <w:rtl/>
        </w:rPr>
        <w:t>وستقوم هذه الأفرقة بإعداد أفضل الممارسات، ودراسات حالة، وتوصيات بحلول أوائل عام 2026 لتعزيز قدرة الكبلات البحرية على الصمود على الصعيد العالمي.</w:t>
      </w:r>
    </w:p>
    <w:p w14:paraId="0BDD79FE" w14:textId="77777777" w:rsidR="005B0256" w:rsidRPr="005B0256" w:rsidRDefault="005B0256" w:rsidP="005B0256">
      <w:pPr>
        <w:pStyle w:val="Headingb"/>
        <w:rPr>
          <w:lang w:val="ar-SA" w:eastAsia="zh-TW" w:bidi="en-GB"/>
        </w:rPr>
      </w:pPr>
      <w:r w:rsidRPr="005B0256">
        <w:rPr>
          <w:rtl/>
        </w:rPr>
        <w:t>أنشطة أفرقة العمل</w:t>
      </w:r>
    </w:p>
    <w:p w14:paraId="4A9DC2A4" w14:textId="51B87536" w:rsidR="005B0256" w:rsidRPr="005B0256" w:rsidRDefault="005B0256" w:rsidP="005B0256">
      <w:pPr>
        <w:rPr>
          <w:lang w:val="ar-SA" w:eastAsia="zh-TW" w:bidi="en-GB"/>
        </w:rPr>
      </w:pPr>
      <w:r w:rsidRPr="005B0256">
        <w:rPr>
          <w:rtl/>
        </w:rPr>
        <w:t>استناداً إلى القرارات المتخذة في أبوجا، نيجيريا، في فبراير 2025، يضم هيكل الهيئة الاستشارية الدولية المعنية بصمود الكبلات البحرية ثلاثة أفرقة عمل، على النحو التالي</w:t>
      </w:r>
      <w:r w:rsidRPr="005B0256">
        <w:t>:</w:t>
      </w:r>
    </w:p>
    <w:p w14:paraId="2140DE5A" w14:textId="6095A7FE" w:rsidR="005B0256" w:rsidRPr="002C02FB" w:rsidRDefault="002C02FB" w:rsidP="002C02FB">
      <w:pPr>
        <w:pStyle w:val="enumlev1"/>
        <w:rPr>
          <w:b/>
          <w:bCs/>
          <w:lang w:val="ar-SA" w:eastAsia="zh-TW" w:bidi="en-GB"/>
        </w:rPr>
      </w:pPr>
      <w:r w:rsidRPr="002C02FB">
        <w:rPr>
          <w:rFonts w:hint="cs"/>
          <w:b/>
          <w:bCs/>
          <w:rtl/>
        </w:rPr>
        <w:t>-</w:t>
      </w:r>
      <w:r w:rsidR="005B0256" w:rsidRPr="002C02FB">
        <w:rPr>
          <w:b/>
          <w:bCs/>
          <w:rtl/>
        </w:rPr>
        <w:tab/>
        <w:t xml:space="preserve">فريق العمل 1 - النشر والإصلاح في الوقت المناسب </w:t>
      </w:r>
    </w:p>
    <w:p w14:paraId="509EF531" w14:textId="79C637CA"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يتألف من 53 عضواً</w:t>
      </w:r>
    </w:p>
    <w:p w14:paraId="7D31321D" w14:textId="463A34E8"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يشارك في تيسير أعماله السيد Zhiguo Zhao، جمهورية الصين الشعبية، والسيد Kevin Adams، المملكة المتحدة.</w:t>
      </w:r>
    </w:p>
    <w:p w14:paraId="635C7027" w14:textId="651731FF" w:rsidR="005B0256" w:rsidRPr="002C02FB" w:rsidRDefault="002C02FB" w:rsidP="002C02FB">
      <w:pPr>
        <w:pStyle w:val="enumlev1"/>
        <w:rPr>
          <w:b/>
          <w:bCs/>
          <w:lang w:val="ar-SA" w:eastAsia="zh-TW" w:bidi="en-GB"/>
        </w:rPr>
      </w:pPr>
      <w:r w:rsidRPr="002C02FB">
        <w:rPr>
          <w:rFonts w:hint="cs"/>
          <w:b/>
          <w:bCs/>
          <w:rtl/>
        </w:rPr>
        <w:t>-</w:t>
      </w:r>
      <w:r w:rsidR="005B0256" w:rsidRPr="002C02FB">
        <w:rPr>
          <w:b/>
          <w:bCs/>
          <w:rtl/>
        </w:rPr>
        <w:tab/>
        <w:t>فريق العمل 2 - تحديد المخاطر ورصدها والتخفيف منها</w:t>
      </w:r>
    </w:p>
    <w:p w14:paraId="6C477E7A" w14:textId="6B574C72"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 xml:space="preserve">يتألف من 61 عضواً </w:t>
      </w:r>
    </w:p>
    <w:p w14:paraId="0DCC0742" w14:textId="56DA59FB"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يشارك في تيسير أعماله كل من السيدة Nonkqubela Thathakahle Jordan-Dyani، جنوب إفريقيا، والسيد Andy Palmer-Felgate، رابطة الكبلات البحرية في أمريكا الشمالية.</w:t>
      </w:r>
    </w:p>
    <w:p w14:paraId="673F290B" w14:textId="5B8894FE" w:rsidR="005B0256" w:rsidRPr="002C02FB" w:rsidRDefault="002C02FB" w:rsidP="002C02FB">
      <w:pPr>
        <w:pStyle w:val="enumlev1"/>
        <w:rPr>
          <w:b/>
          <w:bCs/>
          <w:lang w:val="ar-SA" w:eastAsia="zh-TW" w:bidi="en-GB"/>
        </w:rPr>
      </w:pPr>
      <w:r w:rsidRPr="002C02FB">
        <w:rPr>
          <w:rFonts w:hint="cs"/>
          <w:b/>
          <w:bCs/>
          <w:rtl/>
        </w:rPr>
        <w:lastRenderedPageBreak/>
        <w:t>-</w:t>
      </w:r>
      <w:r w:rsidR="005B0256" w:rsidRPr="002C02FB">
        <w:rPr>
          <w:b/>
          <w:bCs/>
          <w:rtl/>
        </w:rPr>
        <w:tab/>
        <w:t xml:space="preserve">فريق العمل 3 </w:t>
      </w:r>
      <w:r>
        <w:rPr>
          <w:rFonts w:hint="cs"/>
          <w:b/>
          <w:bCs/>
          <w:rtl/>
        </w:rPr>
        <w:t>-</w:t>
      </w:r>
      <w:r w:rsidR="005B0256" w:rsidRPr="002C02FB">
        <w:rPr>
          <w:b/>
          <w:bCs/>
          <w:rtl/>
        </w:rPr>
        <w:t xml:space="preserve"> تعزيز التوصيلية والتنوع الجغرافي</w:t>
      </w:r>
    </w:p>
    <w:p w14:paraId="7D16826E" w14:textId="46E6EBB4"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يتألف من 61 عضواً</w:t>
      </w:r>
    </w:p>
    <w:p w14:paraId="6396A454" w14:textId="5EF1A47D" w:rsidR="005B0256" w:rsidRPr="005B0256" w:rsidRDefault="002C02FB" w:rsidP="002C02FB">
      <w:pPr>
        <w:pStyle w:val="enumlev2"/>
        <w:rPr>
          <w:lang w:val="ar-SA" w:eastAsia="zh-TW" w:bidi="en-GB"/>
        </w:rPr>
      </w:pPr>
      <w:r>
        <w:rPr>
          <w:rFonts w:ascii="Times New Roman" w:hAnsi="Times New Roman" w:cs="Times New Roman"/>
        </w:rPr>
        <w:t>●</w:t>
      </w:r>
      <w:r w:rsidR="005B0256" w:rsidRPr="005B0256">
        <w:rPr>
          <w:rtl/>
        </w:rPr>
        <w:tab/>
        <w:t>يشارك في تيسير أعماله السيد Sangbu Kim، البنك الدولي، والسيد Rodney Taylor، الاتحاد الكاريبي للاتصالات.</w:t>
      </w:r>
    </w:p>
    <w:p w14:paraId="252B19C9" w14:textId="77777777" w:rsidR="005B0256" w:rsidRPr="005B0256" w:rsidRDefault="005B0256" w:rsidP="005B0256">
      <w:pPr>
        <w:rPr>
          <w:lang w:val="ar-SA" w:eastAsia="zh-TW" w:bidi="en-GB"/>
        </w:rPr>
      </w:pPr>
      <w:r w:rsidRPr="005B0256">
        <w:rPr>
          <w:rtl/>
        </w:rPr>
        <w:t>ويُحرز تقدم في أعمال أفرقة العمل الثلاثة التابعة للهيئة الاستشارية الدولية المعنية بصمود الكبلات البحرية بما يتماشى مع خطة العمل والجدول الزمني المتفق عليهما. وتعمل جميع الأفرقة حالياً على وضع اللمسات الأخيرة على منجزاتها الرئيسية، مع التركيز بقوة على إصدار توصيات عملية وقابلة للتنفيذ وقائمة على توافق الآراء.</w:t>
      </w:r>
    </w:p>
    <w:p w14:paraId="018903BF" w14:textId="77777777" w:rsidR="005B0256" w:rsidRPr="005B0256" w:rsidRDefault="005B0256" w:rsidP="005B0256">
      <w:pPr>
        <w:rPr>
          <w:lang w:val="ar-SA" w:eastAsia="zh-TW" w:bidi="en-GB"/>
        </w:rPr>
      </w:pPr>
      <w:r w:rsidRPr="005B0256">
        <w:rPr>
          <w:rtl/>
        </w:rPr>
        <w:t>ويعكف كل فريق عمل على إعداد تقرير شامل يصل إلى 50 صفحة، وسيقدم تحليلاً متعمقاً للتحديات والفرص الرئيسية في مجال اختصاصه. وتهدف هذه التقارير إلى تحديد توصيات ملموسة وقابلة للتنفيذ، والإشارة بوضوح إلى الكيانات المسؤولة عن تنفيذها، بما في ذلك المنظمات الدولية والحكومات الوطنية وأصحاب المصلحة في الصناعة.</w:t>
      </w:r>
    </w:p>
    <w:p w14:paraId="0061740F" w14:textId="48283F9E" w:rsidR="005B0256" w:rsidRPr="005B0256" w:rsidRDefault="005B0256" w:rsidP="005B0256">
      <w:pPr>
        <w:rPr>
          <w:lang w:val="ar-SA" w:eastAsia="zh-TW" w:bidi="en-GB"/>
        </w:rPr>
      </w:pPr>
      <w:r w:rsidRPr="005B0256">
        <w:rPr>
          <w:rtl/>
        </w:rPr>
        <w:t xml:space="preserve">وبالتوازي مع ذلك، أعد كل فريق عمل ملخصاً موجزاً لأهم </w:t>
      </w:r>
      <w:hyperlink r:id="rId16" w:anchor="/ar" w:history="1">
        <w:r w:rsidRPr="002C02FB">
          <w:rPr>
            <w:rStyle w:val="Hyperlink"/>
            <w:noProof w:val="0"/>
            <w:rtl/>
            <w:lang w:val="en-US" w:eastAsia="zh-CN"/>
          </w:rPr>
          <w:t>توصياته</w:t>
        </w:r>
        <w:r w:rsidRPr="00A528B5">
          <w:rPr>
            <w:rtl/>
          </w:rPr>
          <w:t> </w:t>
        </w:r>
      </w:hyperlink>
      <w:r w:rsidRPr="005B0256">
        <w:rPr>
          <w:rtl/>
        </w:rPr>
        <w:t>وأكثرها قابلية للتنفيذ، وقد اعتُمدت هذه التوصيات في قمة بورتو (انظر أدناه). وستدعم هذه الملخصات عملية صنع القرار على المستوى الرفيع وتسهِّل عملية الإقرار.</w:t>
      </w:r>
      <w:hyperlink r:id="rId17" w:history="1"/>
    </w:p>
    <w:p w14:paraId="35AE035F" w14:textId="77777777" w:rsidR="005B0256" w:rsidRPr="005B0256" w:rsidRDefault="005B0256" w:rsidP="005B0256">
      <w:pPr>
        <w:rPr>
          <w:lang w:val="ar-SA" w:eastAsia="zh-TW" w:bidi="en-GB"/>
        </w:rPr>
      </w:pPr>
      <w:r w:rsidRPr="005B0256">
        <w:rPr>
          <w:rtl/>
        </w:rPr>
        <w:t>وبعد القمة، ستخضع التقارير الكاملة لمزيد من التحرير والاستعراض التقني، ومن المتوقع نشرها في صيغتها النهائية بحلول يونيو 2026.</w:t>
      </w:r>
    </w:p>
    <w:p w14:paraId="6FC42105" w14:textId="77777777" w:rsidR="005B0256" w:rsidRPr="005B0256" w:rsidRDefault="005B0256" w:rsidP="005B0256">
      <w:pPr>
        <w:pStyle w:val="Headingb"/>
        <w:rPr>
          <w:lang w:val="ar-SA" w:eastAsia="zh-TW" w:bidi="en-GB"/>
        </w:rPr>
      </w:pPr>
      <w:r w:rsidRPr="005B0256">
        <w:rPr>
          <w:rtl/>
        </w:rPr>
        <w:t>القمة الدولية لصمود الكبلات البحرية لعام 2026، بورتو، البرتغال</w:t>
      </w:r>
    </w:p>
    <w:p w14:paraId="5233B886" w14:textId="4B1D636B" w:rsidR="005B0256" w:rsidRPr="005B0256" w:rsidRDefault="005B0256" w:rsidP="005B0256">
      <w:pPr>
        <w:rPr>
          <w:lang w:val="ar-SA" w:eastAsia="zh-TW" w:bidi="en-GB"/>
        </w:rPr>
      </w:pPr>
      <w:r w:rsidRPr="005B0256">
        <w:rPr>
          <w:rtl/>
        </w:rPr>
        <w:t>عُقدت القمة الدولية الثانية لصمود الكبلات البحرية في الفترة من 2 إلى 3 فبراير 2026 في بورتو، البرتغال.</w:t>
      </w:r>
    </w:p>
    <w:p w14:paraId="253AC253" w14:textId="1F227C0C" w:rsidR="005B0256" w:rsidRPr="005B0256" w:rsidRDefault="005B0256" w:rsidP="005B0256">
      <w:pPr>
        <w:rPr>
          <w:lang w:val="ar-SA" w:eastAsia="zh-TW" w:bidi="en-GB"/>
        </w:rPr>
      </w:pPr>
      <w:r w:rsidRPr="005B0256">
        <w:rPr>
          <w:rtl/>
        </w:rPr>
        <w:t>وتحت الرعاية السامية لرئيس الجمهورية البرتغالية، استضافت القمة</w:t>
      </w:r>
      <w:r w:rsidR="00A528B5">
        <w:rPr>
          <w:rFonts w:hint="cs"/>
          <w:rtl/>
        </w:rPr>
        <w:t>َ</w:t>
      </w:r>
      <w:r w:rsidRPr="005B0256">
        <w:rPr>
          <w:rtl/>
        </w:rPr>
        <w:t xml:space="preserve"> الهيئةُ الوطنية للاتصالات في البرتغال</w:t>
      </w:r>
      <w:r w:rsidR="00A528B5">
        <w:rPr>
          <w:rFonts w:hint="cs"/>
          <w:rtl/>
        </w:rPr>
        <w:t> </w:t>
      </w:r>
      <w:r w:rsidRPr="005B0256">
        <w:t>(ANACOM)</w:t>
      </w:r>
      <w:r w:rsidRPr="005B0256">
        <w:rPr>
          <w:rtl/>
        </w:rPr>
        <w:t xml:space="preserve">، بدعم من الاتحاد الدولي للاتصالات </w:t>
      </w:r>
      <w:r w:rsidRPr="005B0256">
        <w:t>(ITU)</w:t>
      </w:r>
      <w:r w:rsidRPr="005B0256">
        <w:rPr>
          <w:rtl/>
        </w:rPr>
        <w:t xml:space="preserve"> واللجنة الدولية لحماية الكبلات </w:t>
      </w:r>
      <w:r w:rsidRPr="005B0256">
        <w:t>(ICPC)</w:t>
      </w:r>
      <w:r w:rsidRPr="005B0256">
        <w:rPr>
          <w:rtl/>
        </w:rPr>
        <w:t>.</w:t>
      </w:r>
    </w:p>
    <w:p w14:paraId="5A3DB53B" w14:textId="77777777" w:rsidR="005B0256" w:rsidRPr="005B0256" w:rsidRDefault="005B0256" w:rsidP="005B0256">
      <w:pPr>
        <w:rPr>
          <w:lang w:val="ar-SA" w:eastAsia="zh-TW" w:bidi="en-GB"/>
        </w:rPr>
      </w:pPr>
      <w:r w:rsidRPr="005B0256">
        <w:rPr>
          <w:rtl/>
        </w:rPr>
        <w:t>وجمعت قمة بورتو ما يزيد على 350 مشاركاً من أكثر من 70 بلداً، مثلوا حكومات وهيئات تنظيمية وقادة صناعة ومستثمرين وخبراء في الكبلات البحرية ومنظمات دولية وأصحاب مصلحة آخرين، لمواصلة مناقشة التحديات الملحة المحيطة بأنظمة كبلات الاتصالات البحرية.</w:t>
      </w:r>
    </w:p>
    <w:p w14:paraId="0C5E726D" w14:textId="48D75BB8" w:rsidR="005B0256" w:rsidRPr="005B0256" w:rsidRDefault="005B0256" w:rsidP="005B0256">
      <w:pPr>
        <w:rPr>
          <w:lang w:val="ar-SA" w:eastAsia="zh-TW" w:bidi="en-GB"/>
        </w:rPr>
      </w:pPr>
      <w:r w:rsidRPr="005B0256">
        <w:rPr>
          <w:rtl/>
        </w:rPr>
        <w:t>وشملت القمة الدولية لصمود الكبلات البحرية لعام 2026 جلسات رفيعة المستوى، وحلقات نقاش للخبراء، مع مناقشات تفاعلية هدفت إلى تعزيز صمود هذه البنية التحتية الحيوية وتمويلها.</w:t>
      </w:r>
    </w:p>
    <w:p w14:paraId="1E5878D8" w14:textId="258986F9" w:rsidR="005B0256" w:rsidRPr="005B0256" w:rsidRDefault="005B0256" w:rsidP="005B0256">
      <w:pPr>
        <w:rPr>
          <w:lang w:val="ar-SA" w:eastAsia="zh-TW" w:bidi="en-GB"/>
        </w:rPr>
      </w:pPr>
      <w:r w:rsidRPr="005B0256">
        <w:rPr>
          <w:rtl/>
        </w:rPr>
        <w:t>وشملت النتائج الرئيسية للقمة ما يلي</w:t>
      </w:r>
      <w:r w:rsidRPr="005B0256">
        <w:t>:</w:t>
      </w:r>
    </w:p>
    <w:p w14:paraId="4320C79E" w14:textId="6D540715" w:rsidR="005B0256" w:rsidRPr="005B0256" w:rsidRDefault="005B0256" w:rsidP="006513F4">
      <w:pPr>
        <w:pStyle w:val="enumlev1"/>
        <w:rPr>
          <w:lang w:val="ar-SA" w:eastAsia="zh-TW" w:bidi="en-GB"/>
        </w:rPr>
      </w:pPr>
      <w:r w:rsidRPr="005B0256">
        <w:rPr>
          <w:rtl/>
        </w:rPr>
        <w:t>1)</w:t>
      </w:r>
      <w:r w:rsidRPr="005B0256">
        <w:rPr>
          <w:rtl/>
        </w:rPr>
        <w:tab/>
        <w:t xml:space="preserve">اعتماد </w:t>
      </w:r>
      <w:hyperlink r:id="rId18" w:history="1">
        <w:r w:rsidRPr="006513F4">
          <w:rPr>
            <w:rStyle w:val="Hyperlink"/>
            <w:noProof w:val="0"/>
            <w:rtl/>
            <w:lang w:val="en-US" w:eastAsia="zh-CN"/>
          </w:rPr>
          <w:t>إعلان بورتو</w:t>
        </w:r>
      </w:hyperlink>
      <w:r w:rsidRPr="005B0256">
        <w:rPr>
          <w:rtl/>
        </w:rPr>
        <w:t xml:space="preserve"> بشأن صمود الكبلات البحرية.</w:t>
      </w:r>
      <w:hyperlink r:id="rId19" w:history="1"/>
    </w:p>
    <w:p w14:paraId="5B96C75F" w14:textId="77777777" w:rsidR="005B0256" w:rsidRPr="005B0256" w:rsidRDefault="005B0256" w:rsidP="006513F4">
      <w:pPr>
        <w:pStyle w:val="enumlev1"/>
        <w:rPr>
          <w:lang w:val="ar-SA" w:eastAsia="zh-TW" w:bidi="en-GB"/>
        </w:rPr>
      </w:pPr>
      <w:r w:rsidRPr="005B0256">
        <w:rPr>
          <w:rtl/>
        </w:rPr>
        <w:tab/>
        <w:t>أكد إعلان بورتو الإرشادات التالية لتعزيز التعاون الدولي والقدرة على الصمود:</w:t>
      </w:r>
    </w:p>
    <w:p w14:paraId="426B7296" w14:textId="353186B3" w:rsidR="005B0256" w:rsidRPr="005B0256" w:rsidRDefault="006513F4" w:rsidP="006513F4">
      <w:pPr>
        <w:pStyle w:val="enumlev2"/>
        <w:rPr>
          <w:lang w:val="ar-SA" w:eastAsia="zh-TW" w:bidi="en-GB"/>
        </w:rPr>
      </w:pPr>
      <w:r>
        <w:rPr>
          <w:rFonts w:hint="cs"/>
          <w:rtl/>
        </w:rPr>
        <w:t>-</w:t>
      </w:r>
      <w:r w:rsidR="005B0256" w:rsidRPr="005B0256">
        <w:rPr>
          <w:rtl/>
        </w:rPr>
        <w:tab/>
        <w:t>تبسيط إجراءات التصريح والصيانة والإصلاح للكبلات البحرية من خلال أطر تنظيمية واضحة وشفافة ويمكن التنبؤ بها، وتعيين جهة اتصال حكومية واحدة لتسهيل نشر الكبلات وإصلاحها في</w:t>
      </w:r>
      <w:r>
        <w:rPr>
          <w:rFonts w:hint="cs"/>
          <w:rtl/>
        </w:rPr>
        <w:t> </w:t>
      </w:r>
      <w:r w:rsidR="005B0256" w:rsidRPr="005B0256">
        <w:rPr>
          <w:rtl/>
        </w:rPr>
        <w:t>الوقت المناسب.</w:t>
      </w:r>
    </w:p>
    <w:p w14:paraId="2F17ADA0" w14:textId="48094A3B" w:rsidR="005B0256" w:rsidRPr="005B0256" w:rsidRDefault="006513F4" w:rsidP="006513F4">
      <w:pPr>
        <w:pStyle w:val="enumlev2"/>
        <w:rPr>
          <w:lang w:val="ar-SA" w:eastAsia="zh-TW" w:bidi="en-GB"/>
        </w:rPr>
      </w:pPr>
      <w:r>
        <w:rPr>
          <w:rFonts w:hint="cs"/>
          <w:rtl/>
        </w:rPr>
        <w:t>-</w:t>
      </w:r>
      <w:r w:rsidR="005B0256" w:rsidRPr="005B0256">
        <w:rPr>
          <w:rtl/>
        </w:rPr>
        <w:tab/>
        <w:t>تحسين الإطار القانوني والإجراءات التنظيمية مع الحد من الحواجز القانونية والتنظيمية، في مجالات منها الملاحة الساحلية والجمارك وتخطيط المجال البحري وإدارته.</w:t>
      </w:r>
    </w:p>
    <w:p w14:paraId="3A6C9164" w14:textId="7E25E4EB" w:rsidR="005B0256" w:rsidRPr="005B0256" w:rsidRDefault="006513F4" w:rsidP="006513F4">
      <w:pPr>
        <w:pStyle w:val="enumlev2"/>
        <w:rPr>
          <w:lang w:val="ar-SA" w:eastAsia="zh-TW" w:bidi="en-GB"/>
        </w:rPr>
      </w:pPr>
      <w:r>
        <w:rPr>
          <w:rFonts w:hint="cs"/>
          <w:rtl/>
        </w:rPr>
        <w:t>-</w:t>
      </w:r>
      <w:r w:rsidR="005B0256" w:rsidRPr="005B0256">
        <w:rPr>
          <w:rtl/>
        </w:rPr>
        <w:tab/>
        <w:t>تشجيع التنوع الجغرافي للكبلات وتكرارها، من خلال دعم الاستثمار عن طريق الشراكات، بما في</w:t>
      </w:r>
      <w:r>
        <w:rPr>
          <w:rFonts w:hint="cs"/>
          <w:rtl/>
        </w:rPr>
        <w:t> </w:t>
      </w:r>
      <w:r w:rsidR="005B0256" w:rsidRPr="005B0256">
        <w:rPr>
          <w:rtl/>
        </w:rPr>
        <w:t>ذلك الشراكات بين القطاعين العام والخاص، ودعم تنوع المسارات، وتكرار نقاط التوصيل بالشبكة الأرضية، وصمود البنية التحتية، خاصة لفائدة الدول الجزرية الصغيرة النامية وأقل البلدان نمواً والبلدان النامية غير الساحلية والمناطق الشحيحة الخدمات.</w:t>
      </w:r>
    </w:p>
    <w:p w14:paraId="721280FE" w14:textId="0ECC0C07" w:rsidR="005B0256" w:rsidRPr="005B0256" w:rsidRDefault="006513F4" w:rsidP="006513F4">
      <w:pPr>
        <w:pStyle w:val="enumlev2"/>
        <w:rPr>
          <w:lang w:val="ar-SA" w:eastAsia="zh-TW" w:bidi="en-GB"/>
        </w:rPr>
      </w:pPr>
      <w:r>
        <w:rPr>
          <w:rFonts w:hint="cs"/>
          <w:rtl/>
        </w:rPr>
        <w:t>-</w:t>
      </w:r>
      <w:r w:rsidR="005B0256" w:rsidRPr="005B0256">
        <w:rPr>
          <w:rtl/>
        </w:rPr>
        <w:tab/>
        <w:t>تشجيع اعتماد أفضل الممارسات في الصناعة لتقييم المخاطر التي تهدد البنية التحتية للكبلات البحرية والتخفيف منها والتصدي لها.</w:t>
      </w:r>
    </w:p>
    <w:p w14:paraId="4AEB7E0B" w14:textId="44F61760" w:rsidR="005B0256" w:rsidRPr="005B0256" w:rsidRDefault="006513F4" w:rsidP="006513F4">
      <w:pPr>
        <w:pStyle w:val="enumlev2"/>
        <w:rPr>
          <w:lang w:val="ar-SA" w:eastAsia="zh-TW" w:bidi="en-GB"/>
        </w:rPr>
      </w:pPr>
      <w:r>
        <w:rPr>
          <w:rFonts w:hint="cs"/>
          <w:rtl/>
        </w:rPr>
        <w:t>-</w:t>
      </w:r>
      <w:r w:rsidR="005B0256" w:rsidRPr="005B0256">
        <w:rPr>
          <w:rtl/>
        </w:rPr>
        <w:tab/>
        <w:t>تشجيع تعزيز حماية الكبلات من خلال تخطيط أفضل وعبر القطاعات البحرية ذات الصلة.</w:t>
      </w:r>
    </w:p>
    <w:p w14:paraId="474F49E2" w14:textId="2FEB8582" w:rsidR="005B0256" w:rsidRPr="005B0256" w:rsidRDefault="006513F4" w:rsidP="006513F4">
      <w:pPr>
        <w:pStyle w:val="enumlev2"/>
        <w:rPr>
          <w:lang w:val="ar-SA" w:eastAsia="zh-TW" w:bidi="en-GB"/>
        </w:rPr>
      </w:pPr>
      <w:r>
        <w:rPr>
          <w:rFonts w:hint="cs"/>
          <w:rtl/>
        </w:rPr>
        <w:lastRenderedPageBreak/>
        <w:t>-</w:t>
      </w:r>
      <w:r w:rsidR="005B0256" w:rsidRPr="005B0256">
        <w:rPr>
          <w:rtl/>
        </w:rPr>
        <w:tab/>
        <w:t>بناء سعة الكبلات ودعم الابتكار من خلال التدريب واستخدام التكنولوجيات التي تعزز المراقبة وتصميم المسارات والتكرار والبنية التحتية القادرة على التكيف مع تغير المناخ.</w:t>
      </w:r>
    </w:p>
    <w:p w14:paraId="47D22D6E" w14:textId="6A1C16E6" w:rsidR="005B0256" w:rsidRPr="005B0256" w:rsidRDefault="005B0256" w:rsidP="005B0256">
      <w:pPr>
        <w:rPr>
          <w:lang w:val="ar-SA" w:eastAsia="zh-TW" w:bidi="en-GB"/>
        </w:rPr>
      </w:pPr>
      <w:r w:rsidRPr="005B0256">
        <w:rPr>
          <w:rtl/>
        </w:rPr>
        <w:t xml:space="preserve">وأكد </w:t>
      </w:r>
      <w:hyperlink r:id="rId20" w:history="1">
        <w:r w:rsidRPr="006513F4">
          <w:rPr>
            <w:rStyle w:val="Hyperlink"/>
            <w:noProof w:val="0"/>
            <w:rtl/>
            <w:lang w:val="en-US" w:eastAsia="zh-CN"/>
          </w:rPr>
          <w:t>الإعلان</w:t>
        </w:r>
      </w:hyperlink>
      <w:r w:rsidRPr="005B0256">
        <w:rPr>
          <w:rtl/>
        </w:rPr>
        <w:t xml:space="preserve"> من جديد الالتزام المشترك بالتعاون للمساعدة في ضمان أن تكون الكبلات البحرية أساساً مرناً مكيناً لتحقيق توصيلية عالمية مفتوحة وموثوقة وقابلة للتشغيل البيني للجميع.</w:t>
      </w:r>
      <w:hyperlink r:id="rId21" w:history="1"/>
    </w:p>
    <w:p w14:paraId="6525B5FE" w14:textId="00CBA092" w:rsidR="005B0256" w:rsidRPr="005B0256" w:rsidRDefault="005B0256" w:rsidP="006513F4">
      <w:pPr>
        <w:pStyle w:val="enumlev1"/>
        <w:rPr>
          <w:lang w:val="ar-SA" w:eastAsia="zh-TW" w:bidi="en-GB"/>
        </w:rPr>
      </w:pPr>
      <w:r w:rsidRPr="005B0256">
        <w:rPr>
          <w:rtl/>
        </w:rPr>
        <w:t>2)</w:t>
      </w:r>
      <w:r w:rsidRPr="005B0256">
        <w:rPr>
          <w:rtl/>
        </w:rPr>
        <w:tab/>
        <w:t xml:space="preserve">الموافقة على </w:t>
      </w:r>
      <w:hyperlink r:id="rId22" w:anchor="/ar" w:history="1">
        <w:r w:rsidRPr="006513F4">
          <w:rPr>
            <w:rStyle w:val="Hyperlink"/>
            <w:noProof w:val="0"/>
            <w:rtl/>
            <w:lang w:val="en-US" w:eastAsia="zh-CN"/>
          </w:rPr>
          <w:t>توصيات الهيئة الاستشارية الدولية</w:t>
        </w:r>
      </w:hyperlink>
      <w:r w:rsidRPr="005B0256">
        <w:rPr>
          <w:rtl/>
        </w:rPr>
        <w:t xml:space="preserve"> التي تقدم إرشادات عملية بشأن:</w:t>
      </w:r>
      <w:hyperlink r:id="rId23" w:history="1"/>
    </w:p>
    <w:p w14:paraId="72C3B3BA" w14:textId="5B9B9AFA" w:rsidR="005B0256" w:rsidRPr="005B0256" w:rsidRDefault="006513F4" w:rsidP="006513F4">
      <w:pPr>
        <w:pStyle w:val="enumlev2"/>
        <w:rPr>
          <w:lang w:val="ar-SA" w:eastAsia="zh-TW" w:bidi="en-GB"/>
        </w:rPr>
      </w:pPr>
      <w:r>
        <w:rPr>
          <w:rFonts w:hint="cs"/>
          <w:rtl/>
        </w:rPr>
        <w:t>-</w:t>
      </w:r>
      <w:r w:rsidR="005B0256" w:rsidRPr="005B0256">
        <w:rPr>
          <w:rtl/>
        </w:rPr>
        <w:tab/>
        <w:t>النشر والإصلاح في الوقت المناسب؛</w:t>
      </w:r>
    </w:p>
    <w:p w14:paraId="58D2DA55" w14:textId="0348FFE4" w:rsidR="005B0256" w:rsidRPr="005B0256" w:rsidRDefault="006513F4" w:rsidP="006513F4">
      <w:pPr>
        <w:pStyle w:val="enumlev2"/>
        <w:rPr>
          <w:lang w:val="ar-SA" w:eastAsia="zh-TW" w:bidi="en-GB"/>
        </w:rPr>
      </w:pPr>
      <w:r>
        <w:rPr>
          <w:rFonts w:hint="cs"/>
          <w:rtl/>
        </w:rPr>
        <w:t>-</w:t>
      </w:r>
      <w:r w:rsidR="005B0256" w:rsidRPr="005B0256">
        <w:rPr>
          <w:rtl/>
        </w:rPr>
        <w:tab/>
        <w:t>تحديد المخاطر والتخفيف منها، ودعم تنوع المسارات</w:t>
      </w:r>
      <w:r>
        <w:rPr>
          <w:rFonts w:hint="cs"/>
          <w:rtl/>
        </w:rPr>
        <w:t>؛</w:t>
      </w:r>
    </w:p>
    <w:p w14:paraId="2C0EE125" w14:textId="2BD405EC" w:rsidR="005B0256" w:rsidRPr="005B0256" w:rsidRDefault="006513F4" w:rsidP="006513F4">
      <w:pPr>
        <w:pStyle w:val="enumlev2"/>
        <w:rPr>
          <w:lang w:val="ar-SA" w:eastAsia="zh-TW" w:bidi="en-GB"/>
        </w:rPr>
      </w:pPr>
      <w:r>
        <w:rPr>
          <w:rFonts w:hint="cs"/>
          <w:rtl/>
        </w:rPr>
        <w:t>-</w:t>
      </w:r>
      <w:r w:rsidR="005B0256" w:rsidRPr="005B0256">
        <w:rPr>
          <w:rtl/>
        </w:rPr>
        <w:tab/>
        <w:t>التوصيلية العالمية</w:t>
      </w:r>
      <w:r>
        <w:rPr>
          <w:rFonts w:hint="cs"/>
          <w:rtl/>
        </w:rPr>
        <w:t>.</w:t>
      </w:r>
    </w:p>
    <w:p w14:paraId="51E0225B" w14:textId="77777777" w:rsidR="005B0256" w:rsidRPr="005B0256" w:rsidRDefault="005B0256" w:rsidP="005B0256">
      <w:pPr>
        <w:rPr>
          <w:lang w:val="ar-SA" w:eastAsia="zh-TW" w:bidi="en-GB"/>
        </w:rPr>
      </w:pPr>
      <w:r w:rsidRPr="005B0256">
        <w:rPr>
          <w:rtl/>
        </w:rPr>
        <w:t>ويقدم إعلان بورتو، إلى جانب مجموعة من التوصيات التي وضعتها الهيئة الاستشارية الدولية المعنية بصمود الكبلات البحرية، توجيهات لتوطيد أواصر التعاون الدولي عبر القطاعين العام والخاص بهدف تعزيز قدرة هذه البنية التحتية المشتركة الحيوية على الصمود، بدءاً من تقليل أوقات إصلاح الكبلات وحتى دعم المناطق التي تعاني من شح الخدمات.</w:t>
      </w:r>
    </w:p>
    <w:p w14:paraId="1E92D5B3" w14:textId="6AC829D5" w:rsidR="005B0256" w:rsidRPr="005B0256" w:rsidRDefault="005B0256" w:rsidP="005B0256">
      <w:pPr>
        <w:pStyle w:val="Headingb"/>
        <w:rPr>
          <w:lang w:val="ar-SA" w:eastAsia="zh-TW" w:bidi="en-GB"/>
        </w:rPr>
      </w:pPr>
      <w:r w:rsidRPr="005B0256">
        <w:rPr>
          <w:rtl/>
        </w:rPr>
        <w:t>الخطوات المقبلة</w:t>
      </w:r>
    </w:p>
    <w:p w14:paraId="021D094D" w14:textId="77565FC6" w:rsidR="005B0256" w:rsidRPr="005B0256" w:rsidRDefault="005B0256" w:rsidP="005B0256">
      <w:pPr>
        <w:rPr>
          <w:lang w:val="ar-SA" w:eastAsia="zh-TW" w:bidi="en-GB"/>
        </w:rPr>
      </w:pPr>
      <w:r w:rsidRPr="005B0256">
        <w:rPr>
          <w:rtl/>
        </w:rPr>
        <w:t>بعد نجاح قمة بورتو، سيتحول التركيز من الإقرار إلى التنفيذ.</w:t>
      </w:r>
    </w:p>
    <w:p w14:paraId="2EFA7736" w14:textId="2C757A40" w:rsidR="005B0256" w:rsidRPr="005B0256" w:rsidRDefault="005B0256" w:rsidP="005B0256">
      <w:pPr>
        <w:rPr>
          <w:lang w:val="ar-SA" w:eastAsia="zh-TW" w:bidi="en-GB"/>
        </w:rPr>
      </w:pPr>
      <w:r w:rsidRPr="005B0256">
        <w:rPr>
          <w:rtl/>
        </w:rPr>
        <w:t>وستتمثل الأولوية الأولى في استكمال تقارير أفرقة العمل تقنياً وصياغياً.</w:t>
      </w:r>
    </w:p>
    <w:p w14:paraId="59BC1AD9" w14:textId="47A527B7" w:rsidR="005B0256" w:rsidRPr="005B0256" w:rsidRDefault="005B0256" w:rsidP="005B0256">
      <w:pPr>
        <w:rPr>
          <w:lang w:val="ar-SA" w:eastAsia="zh-TW" w:bidi="en-GB"/>
        </w:rPr>
      </w:pPr>
      <w:r w:rsidRPr="005B0256">
        <w:rPr>
          <w:rtl/>
        </w:rPr>
        <w:t>وسيشمل ذلك التنقيح الصياغي والتصميم والاستعراض التقني النهائي لضمان اتساق الوثائق وإمكانية النفاذ إليها ومواءمتها عبر مختلف المجالات المواضيعية.</w:t>
      </w:r>
    </w:p>
    <w:p w14:paraId="205EEB93" w14:textId="2FF8A9CF" w:rsidR="005B0256" w:rsidRPr="005B0256" w:rsidRDefault="005B0256" w:rsidP="005B0256">
      <w:pPr>
        <w:rPr>
          <w:lang w:val="ar-SA" w:eastAsia="zh-TW" w:bidi="en-GB"/>
        </w:rPr>
      </w:pPr>
      <w:r w:rsidRPr="005B0256">
        <w:rPr>
          <w:rtl/>
        </w:rPr>
        <w:t>وبمجرد الانتهاء منها، ستُنشر التقارير الموحدة، إيذاناً بالانتقال من التشاور والتحليل إلى إجراءات ملموسة وانتشار عالمي.</w:t>
      </w:r>
    </w:p>
    <w:p w14:paraId="748019BA" w14:textId="71973AD2" w:rsidR="005B0256" w:rsidRPr="005B0256" w:rsidRDefault="005B0256" w:rsidP="005B0256">
      <w:pPr>
        <w:rPr>
          <w:lang w:val="ar-SA" w:eastAsia="zh-TW" w:bidi="en-GB"/>
        </w:rPr>
      </w:pPr>
      <w:r w:rsidRPr="005B0256">
        <w:rPr>
          <w:rtl/>
        </w:rPr>
        <w:t>وفي الوقت نفسه، سيتعين تركيز الجهود على تشجيع اعتماد نتائج القمة. وسيقتضي ذلك العمل مع أصحاب المصلحة الرئيسيين - بما في ذلك المنظمات الدولية والحكومات الوطنية والجهات الفاعلة في الصناعة والمؤسسات المالية - لتحويل التوصيات المعتمدة إلى سياسات وأطر تنظيمية واستراتيجيات استثمار وممارسات تشغيلية.</w:t>
      </w:r>
    </w:p>
    <w:p w14:paraId="7167DEAB" w14:textId="77777777" w:rsidR="005B0256" w:rsidRPr="005B0256" w:rsidRDefault="005B0256" w:rsidP="005B0256">
      <w:pPr>
        <w:rPr>
          <w:lang w:val="ar-SA" w:eastAsia="zh-TW" w:bidi="en-GB"/>
        </w:rPr>
      </w:pPr>
      <w:r w:rsidRPr="005B0256">
        <w:rPr>
          <w:rtl/>
        </w:rPr>
        <w:t>وأخيراً، سيكون الحفاظ على الزخم بعد القمة أمراً حاسماً لضمان أن تفضي التوصيات إلى تحسينات ملموسة في صمود وأمن واستدامة البنية التحتية العالمية للكبلات البحرية.</w:t>
      </w:r>
    </w:p>
    <w:p w14:paraId="38D627C1" w14:textId="77777777" w:rsidR="005B0256" w:rsidRPr="005B0256" w:rsidRDefault="005B0256" w:rsidP="005B0256">
      <w:pPr>
        <w:pStyle w:val="Headingb"/>
        <w:rPr>
          <w:lang w:val="ar-SA" w:eastAsia="zh-TW" w:bidi="en-GB"/>
        </w:rPr>
      </w:pPr>
      <w:r w:rsidRPr="005B0256">
        <w:rPr>
          <w:rtl/>
        </w:rPr>
        <w:t>الإجراء المطلوب من المجلس</w:t>
      </w:r>
    </w:p>
    <w:p w14:paraId="0ABFE4AB" w14:textId="77777777" w:rsidR="005B0256" w:rsidRPr="005B0256" w:rsidRDefault="005B0256" w:rsidP="005B0256">
      <w:pPr>
        <w:rPr>
          <w:lang w:val="ar-SA" w:eastAsia="zh-TW" w:bidi="en-GB"/>
        </w:rPr>
      </w:pPr>
      <w:r w:rsidRPr="005B0256">
        <w:rPr>
          <w:rtl/>
        </w:rPr>
        <w:t xml:space="preserve">يُدعى مجلس الاتحاد إلى </w:t>
      </w:r>
      <w:r w:rsidRPr="006513F4">
        <w:rPr>
          <w:b/>
          <w:bCs/>
          <w:rtl/>
        </w:rPr>
        <w:t>الإحاطة علماً</w:t>
      </w:r>
      <w:r w:rsidRPr="005B0256">
        <w:rPr>
          <w:rtl/>
        </w:rPr>
        <w:t xml:space="preserve"> بالوثيقة وبالتقدم المحرز في النهوض بالتعاون الدولي بشأن صمود الكبلات البحرية.</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4"/>
      <w:headerReference w:type="first" r:id="rId25"/>
      <w:footerReference w:type="first" r:id="rId2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F845" w14:textId="77777777" w:rsidR="00F4071F" w:rsidRDefault="00F4071F" w:rsidP="006C3242">
      <w:pPr>
        <w:spacing w:before="0" w:line="240" w:lineRule="auto"/>
      </w:pPr>
      <w:r>
        <w:separator/>
      </w:r>
    </w:p>
  </w:endnote>
  <w:endnote w:type="continuationSeparator" w:id="0">
    <w:p w14:paraId="5F67D5CE" w14:textId="77777777" w:rsidR="00F4071F" w:rsidRDefault="00F407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2766A670" w:rsidR="00F50E3F" w:rsidRPr="007B0AA0" w:rsidRDefault="002C02FB"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2600884</w:t>
          </w:r>
        </w:p>
      </w:tc>
      <w:tc>
        <w:tcPr>
          <w:tcW w:w="3912" w:type="pct"/>
        </w:tcPr>
        <w:p w14:paraId="62EE8B15" w14:textId="566ED1E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2C02FB">
            <w:rPr>
              <w:rFonts w:ascii="Calibri" w:hAnsi="Calibri" w:cs="Arial"/>
              <w:bCs/>
              <w:color w:val="7F7F7F"/>
              <w:sz w:val="18"/>
            </w:rPr>
            <w:t>76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2C49526D"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2C02FB">
            <w:rPr>
              <w:rFonts w:ascii="Calibri" w:hAnsi="Calibri" w:cs="Arial"/>
              <w:bCs/>
              <w:color w:val="7F7F7F"/>
              <w:sz w:val="18"/>
            </w:rPr>
            <w:t>76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0080" w14:textId="77777777" w:rsidR="00F4071F" w:rsidRDefault="00F4071F" w:rsidP="006C3242">
      <w:pPr>
        <w:spacing w:before="0" w:line="240" w:lineRule="auto"/>
      </w:pPr>
      <w:r>
        <w:separator/>
      </w:r>
    </w:p>
  </w:footnote>
  <w:footnote w:type="continuationSeparator" w:id="0">
    <w:p w14:paraId="7810738E" w14:textId="77777777" w:rsidR="00F4071F" w:rsidRDefault="00F4071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14155">
    <w:abstractNumId w:val="9"/>
  </w:num>
  <w:num w:numId="2" w16cid:durableId="778764295">
    <w:abstractNumId w:val="7"/>
  </w:num>
  <w:num w:numId="3" w16cid:durableId="966004774">
    <w:abstractNumId w:val="6"/>
  </w:num>
  <w:num w:numId="4" w16cid:durableId="562525233">
    <w:abstractNumId w:val="5"/>
  </w:num>
  <w:num w:numId="5" w16cid:durableId="383725632">
    <w:abstractNumId w:val="4"/>
  </w:num>
  <w:num w:numId="6" w16cid:durableId="493033313">
    <w:abstractNumId w:val="8"/>
  </w:num>
  <w:num w:numId="7" w16cid:durableId="1193609663">
    <w:abstractNumId w:val="3"/>
  </w:num>
  <w:num w:numId="8" w16cid:durableId="1599292206">
    <w:abstractNumId w:val="2"/>
  </w:num>
  <w:num w:numId="9" w16cid:durableId="1359114890">
    <w:abstractNumId w:val="1"/>
  </w:num>
  <w:num w:numId="10" w16cid:durableId="85276083">
    <w:abstractNumId w:val="0"/>
  </w:num>
  <w:num w:numId="11" w16cid:durableId="53628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4F4"/>
    <w:rsid w:val="001D6745"/>
    <w:rsid w:val="001E446E"/>
    <w:rsid w:val="002154EE"/>
    <w:rsid w:val="002276D2"/>
    <w:rsid w:val="0023283D"/>
    <w:rsid w:val="00254393"/>
    <w:rsid w:val="0026373E"/>
    <w:rsid w:val="00271C43"/>
    <w:rsid w:val="00290728"/>
    <w:rsid w:val="002978F4"/>
    <w:rsid w:val="002B028D"/>
    <w:rsid w:val="002C02FB"/>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49B2"/>
    <w:rsid w:val="005409AC"/>
    <w:rsid w:val="005434E0"/>
    <w:rsid w:val="00546AE6"/>
    <w:rsid w:val="005546CF"/>
    <w:rsid w:val="0055516A"/>
    <w:rsid w:val="0058491B"/>
    <w:rsid w:val="00592EA5"/>
    <w:rsid w:val="005A3170"/>
    <w:rsid w:val="005B0256"/>
    <w:rsid w:val="006513F4"/>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07B17"/>
    <w:rsid w:val="00810B7B"/>
    <w:rsid w:val="0082358A"/>
    <w:rsid w:val="008235CD"/>
    <w:rsid w:val="008247DE"/>
    <w:rsid w:val="008339C0"/>
    <w:rsid w:val="00840B10"/>
    <w:rsid w:val="008513CB"/>
    <w:rsid w:val="00874E9F"/>
    <w:rsid w:val="008A45B6"/>
    <w:rsid w:val="008A7F84"/>
    <w:rsid w:val="0091702E"/>
    <w:rsid w:val="00923B0C"/>
    <w:rsid w:val="00924F46"/>
    <w:rsid w:val="00935AAC"/>
    <w:rsid w:val="0093725D"/>
    <w:rsid w:val="0094021C"/>
    <w:rsid w:val="00952F86"/>
    <w:rsid w:val="0096716C"/>
    <w:rsid w:val="00982B28"/>
    <w:rsid w:val="009868AC"/>
    <w:rsid w:val="009D313F"/>
    <w:rsid w:val="00A47A5A"/>
    <w:rsid w:val="00A528B5"/>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599D"/>
    <w:rsid w:val="00C0602B"/>
    <w:rsid w:val="00C224DA"/>
    <w:rsid w:val="00C53BF8"/>
    <w:rsid w:val="00C66157"/>
    <w:rsid w:val="00C66BC2"/>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4071F"/>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igital-resilience/submarine-cables/events/about-porto-summit/program-2026/" TargetMode="External"/><Relationship Id="rId13" Type="http://schemas.openxmlformats.org/officeDocument/2006/relationships/hyperlink" Target="https://www.itu.int/digital-resilience/submarine-cables/advisory-body/" TargetMode="External"/><Relationship Id="rId18"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7" Type="http://schemas.openxmlformats.org/officeDocument/2006/relationships/endnotes" Target="endnotes.xml"/><Relationship Id="rId12" Type="http://schemas.openxmlformats.org/officeDocument/2006/relationships/hyperlink" Target="https://www.itu.int/digital-resilience/submarine-cables/advisory-body/" TargetMode="External"/><Relationship Id="rId17" Type="http://schemas.openxmlformats.org/officeDocument/2006/relationships/hyperlink" Target="https://www.itu.int/digital-resilience/submarine-cables/events/iab-deliverabl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digital-resilience/submarine-cables/events/iab-deliverable/" TargetMode="External"/><Relationship Id="rId20"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digital-resilience/submarine-cables/wp-content/uploads/sites/2/2025/02/summit-declaration-nigeria-2025.pdf" TargetMode="External"/><Relationship Id="rId23" Type="http://schemas.openxmlformats.org/officeDocument/2006/relationships/hyperlink" Target="https://www.itu.int/digital-resilience/submarine-cables/events/iab-deliverable/" TargetMode="External"/><Relationship Id="rId28" Type="http://schemas.openxmlformats.org/officeDocument/2006/relationships/theme" Target="theme/theme1.xml"/><Relationship Id="rId10" Type="http://schemas.openxmlformats.org/officeDocument/2006/relationships/hyperlink" Target="https://www.itu.int/md/S25-CL-C-0081/en" TargetMode="External"/><Relationship Id="rId19"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4" Type="http://schemas.openxmlformats.org/officeDocument/2006/relationships/settings" Target="settings.xml"/><Relationship Id="rId9" Type="http://schemas.openxmlformats.org/officeDocument/2006/relationships/hyperlink" Target="https://www.itu.int/md/S25-CL-C-0081/en" TargetMode="External"/><Relationship Id="rId14" Type="http://schemas.openxmlformats.org/officeDocument/2006/relationships/hyperlink" Target="https://www.itu.int/digital-resilience/submarine-cables/wp-content/uploads/sites/2/2025/02/summit-declaration-nigeria-2025.pdf" TargetMode="External"/><Relationship Id="rId22" Type="http://schemas.openxmlformats.org/officeDocument/2006/relationships/hyperlink" Target="https://www.itu.int/digital-resilience/submarine-cables/events/iab-deliverabl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4</Pages>
  <Words>1258</Words>
  <Characters>9339</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submarine cable resilience - The International Advisory Body on submarine cable resilience and the 2026 Porto Summit</dc:title>
  <dc:subject>ITU Council 2026</dc:subject>
  <cp:keywords>C26; C2026; Council 2026; PP26</cp:keywords>
  <dc:description/>
  <dcterms:created xsi:type="dcterms:W3CDTF">2026-04-29T15:40:00Z</dcterms:created>
  <dcterms:modified xsi:type="dcterms:W3CDTF">2026-04-29T15:43:00Z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