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249C99D9" w14:textId="77777777" w:rsidTr="00C4421B">
        <w:trPr>
          <w:cantSplit/>
          <w:trHeight w:val="23"/>
        </w:trPr>
        <w:tc>
          <w:tcPr>
            <w:tcW w:w="3969" w:type="dxa"/>
            <w:vMerge w:val="restart"/>
            <w:tcMar>
              <w:left w:w="0" w:type="dxa"/>
            </w:tcMar>
          </w:tcPr>
          <w:p w14:paraId="57DBF811" w14:textId="04B8DE87" w:rsidR="00FE57F6" w:rsidRPr="00BB6FD8" w:rsidRDefault="00BB6FD8" w:rsidP="00C4421B">
            <w:pPr>
              <w:tabs>
                <w:tab w:val="left" w:pos="851"/>
              </w:tabs>
              <w:spacing w:before="0" w:line="240" w:lineRule="atLeast"/>
              <w:rPr>
                <w:b/>
              </w:rPr>
            </w:pPr>
            <w:bookmarkStart w:id="0" w:name="_Hlk133421839"/>
            <w:r w:rsidRPr="00BB6FD8">
              <w:rPr>
                <w:b/>
              </w:rPr>
              <w:t>Orden del día</w:t>
            </w:r>
            <w:r w:rsidR="00FE57F6" w:rsidRPr="00BB6FD8">
              <w:rPr>
                <w:b/>
              </w:rPr>
              <w:t xml:space="preserve">: </w:t>
            </w:r>
            <w:r w:rsidR="004844F6">
              <w:rPr>
                <w:b/>
              </w:rPr>
              <w:t>ADM 1</w:t>
            </w:r>
          </w:p>
        </w:tc>
        <w:tc>
          <w:tcPr>
            <w:tcW w:w="5245" w:type="dxa"/>
          </w:tcPr>
          <w:p w14:paraId="2CC88B81" w14:textId="0C336154" w:rsidR="00FE57F6" w:rsidRPr="00BB6FD8" w:rsidRDefault="00FE57F6" w:rsidP="00C4421B">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F85E5C">
              <w:rPr>
                <w:b/>
              </w:rPr>
              <w:t>6</w:t>
            </w:r>
            <w:r w:rsidRPr="00BB6FD8">
              <w:rPr>
                <w:b/>
              </w:rPr>
              <w:t>/</w:t>
            </w:r>
            <w:r w:rsidR="004844F6">
              <w:rPr>
                <w:b/>
              </w:rPr>
              <w:t>75</w:t>
            </w:r>
            <w:r w:rsidRPr="00BB6FD8">
              <w:rPr>
                <w:b/>
              </w:rPr>
              <w:t>-</w:t>
            </w:r>
            <w:r w:rsidR="00F24B71" w:rsidRPr="00BB6FD8">
              <w:rPr>
                <w:b/>
              </w:rPr>
              <w:t>S</w:t>
            </w:r>
          </w:p>
        </w:tc>
      </w:tr>
      <w:tr w:rsidR="00FE57F6" w:rsidRPr="00666D09" w14:paraId="264E3A62" w14:textId="77777777" w:rsidTr="00C4421B">
        <w:trPr>
          <w:cantSplit/>
        </w:trPr>
        <w:tc>
          <w:tcPr>
            <w:tcW w:w="3969" w:type="dxa"/>
            <w:vMerge/>
          </w:tcPr>
          <w:p w14:paraId="26C6E656" w14:textId="77777777" w:rsidR="00FE57F6" w:rsidRPr="00BB6FD8" w:rsidRDefault="00FE57F6" w:rsidP="00C4421B">
            <w:pPr>
              <w:tabs>
                <w:tab w:val="left" w:pos="851"/>
              </w:tabs>
              <w:spacing w:line="240" w:lineRule="atLeast"/>
              <w:rPr>
                <w:b/>
              </w:rPr>
            </w:pPr>
          </w:p>
        </w:tc>
        <w:tc>
          <w:tcPr>
            <w:tcW w:w="5245" w:type="dxa"/>
          </w:tcPr>
          <w:p w14:paraId="377F362D" w14:textId="4EF2A333" w:rsidR="00FE57F6" w:rsidRPr="00666D09" w:rsidRDefault="004844F6" w:rsidP="00C4421B">
            <w:pPr>
              <w:tabs>
                <w:tab w:val="left" w:pos="851"/>
              </w:tabs>
              <w:spacing w:before="0"/>
              <w:jc w:val="right"/>
              <w:rPr>
                <w:b/>
                <w:lang w:val="en-GB"/>
              </w:rPr>
            </w:pPr>
            <w:r>
              <w:rPr>
                <w:b/>
                <w:lang w:val="es-ES"/>
              </w:rPr>
              <w:t>10 de abril de 2026</w:t>
            </w:r>
          </w:p>
        </w:tc>
      </w:tr>
      <w:tr w:rsidR="00FE57F6" w:rsidRPr="00BB6FD8" w14:paraId="524B55E4" w14:textId="77777777" w:rsidTr="00C4421B">
        <w:trPr>
          <w:cantSplit/>
          <w:trHeight w:val="23"/>
        </w:trPr>
        <w:tc>
          <w:tcPr>
            <w:tcW w:w="3969" w:type="dxa"/>
            <w:vMerge/>
          </w:tcPr>
          <w:p w14:paraId="222299DF" w14:textId="77777777" w:rsidR="00FE57F6" w:rsidRPr="00666D09" w:rsidRDefault="00FE57F6" w:rsidP="00C4421B">
            <w:pPr>
              <w:tabs>
                <w:tab w:val="left" w:pos="851"/>
              </w:tabs>
              <w:spacing w:line="240" w:lineRule="atLeast"/>
              <w:rPr>
                <w:b/>
                <w:lang w:val="en-GB"/>
              </w:rPr>
            </w:pPr>
          </w:p>
        </w:tc>
        <w:tc>
          <w:tcPr>
            <w:tcW w:w="5245" w:type="dxa"/>
          </w:tcPr>
          <w:p w14:paraId="2475B271" w14:textId="021D0361" w:rsidR="00FE57F6" w:rsidRPr="00BB6FD8" w:rsidRDefault="00F24B71" w:rsidP="00C4421B">
            <w:pPr>
              <w:tabs>
                <w:tab w:val="left" w:pos="851"/>
              </w:tabs>
              <w:spacing w:before="0" w:line="240" w:lineRule="atLeast"/>
              <w:jc w:val="right"/>
              <w:rPr>
                <w:b/>
                <w:bCs/>
              </w:rPr>
            </w:pPr>
            <w:r w:rsidRPr="00BB6FD8">
              <w:rPr>
                <w:rFonts w:cstheme="minorHAnsi"/>
                <w:b/>
                <w:bCs/>
              </w:rPr>
              <w:t xml:space="preserve">Original: </w:t>
            </w:r>
            <w:r w:rsidR="004844F6">
              <w:rPr>
                <w:rFonts w:cstheme="minorHAnsi"/>
                <w:b/>
                <w:bCs/>
              </w:rPr>
              <w:t>español</w:t>
            </w:r>
          </w:p>
        </w:tc>
      </w:tr>
      <w:tr w:rsidR="00FE57F6" w:rsidRPr="00BB6FD8" w14:paraId="48F75B95" w14:textId="77777777" w:rsidTr="00C4421B">
        <w:trPr>
          <w:cantSplit/>
          <w:trHeight w:val="23"/>
        </w:trPr>
        <w:tc>
          <w:tcPr>
            <w:tcW w:w="3969" w:type="dxa"/>
          </w:tcPr>
          <w:p w14:paraId="2F2AF88D" w14:textId="77777777" w:rsidR="00FE57F6" w:rsidRPr="00BB6FD8" w:rsidRDefault="00FE57F6" w:rsidP="00C4421B">
            <w:pPr>
              <w:tabs>
                <w:tab w:val="left" w:pos="851"/>
              </w:tabs>
              <w:spacing w:line="240" w:lineRule="atLeast"/>
              <w:rPr>
                <w:b/>
              </w:rPr>
            </w:pPr>
          </w:p>
        </w:tc>
        <w:tc>
          <w:tcPr>
            <w:tcW w:w="5245" w:type="dxa"/>
          </w:tcPr>
          <w:p w14:paraId="1E8E0235" w14:textId="77777777" w:rsidR="00FE57F6" w:rsidRPr="00BB6FD8" w:rsidRDefault="00FE57F6" w:rsidP="00C4421B">
            <w:pPr>
              <w:tabs>
                <w:tab w:val="left" w:pos="851"/>
              </w:tabs>
              <w:spacing w:before="0" w:line="240" w:lineRule="atLeast"/>
              <w:jc w:val="right"/>
              <w:rPr>
                <w:b/>
              </w:rPr>
            </w:pPr>
          </w:p>
        </w:tc>
      </w:tr>
      <w:tr w:rsidR="00FE57F6" w:rsidRPr="00BB6FD8" w14:paraId="7DF59D49" w14:textId="77777777" w:rsidTr="00C4421B">
        <w:trPr>
          <w:cantSplit/>
        </w:trPr>
        <w:tc>
          <w:tcPr>
            <w:tcW w:w="9214" w:type="dxa"/>
            <w:gridSpan w:val="2"/>
            <w:tcMar>
              <w:left w:w="0" w:type="dxa"/>
            </w:tcMar>
          </w:tcPr>
          <w:p w14:paraId="54814309" w14:textId="76C523BB" w:rsidR="00FE57F6" w:rsidRPr="00BB6FD8" w:rsidRDefault="001317F9" w:rsidP="00C4421B">
            <w:pPr>
              <w:pStyle w:val="Source"/>
              <w:jc w:val="left"/>
              <w:rPr>
                <w:sz w:val="34"/>
                <w:szCs w:val="34"/>
              </w:rPr>
            </w:pPr>
            <w:r w:rsidRPr="001317F9">
              <w:rPr>
                <w:rFonts w:cstheme="minorHAnsi"/>
                <w:sz w:val="34"/>
                <w:szCs w:val="34"/>
              </w:rPr>
              <w:t xml:space="preserve">Contribución de </w:t>
            </w:r>
            <w:r w:rsidR="004844F6" w:rsidRPr="004844F6">
              <w:rPr>
                <w:rFonts w:cstheme="minorHAnsi"/>
                <w:sz w:val="34"/>
                <w:szCs w:val="34"/>
              </w:rPr>
              <w:t>Argentina (República)</w:t>
            </w:r>
          </w:p>
        </w:tc>
      </w:tr>
      <w:tr w:rsidR="00FE57F6" w:rsidRPr="00BB6FD8" w14:paraId="5FE28D04" w14:textId="77777777" w:rsidTr="00C4421B">
        <w:trPr>
          <w:cantSplit/>
        </w:trPr>
        <w:tc>
          <w:tcPr>
            <w:tcW w:w="9214" w:type="dxa"/>
            <w:gridSpan w:val="2"/>
            <w:tcMar>
              <w:left w:w="0" w:type="dxa"/>
            </w:tcMar>
          </w:tcPr>
          <w:p w14:paraId="52A004BC" w14:textId="4D83A138" w:rsidR="00FE57F6" w:rsidRPr="00F92BED" w:rsidRDefault="002319E8" w:rsidP="00554FC3">
            <w:pPr>
              <w:pStyle w:val="Subtitle"/>
              <w:framePr w:hSpace="0" w:wrap="auto" w:vAnchor="margin" w:hAnchor="text" w:xAlign="left" w:yAlign="inline"/>
              <w:jc w:val="both"/>
            </w:pPr>
            <w:r>
              <w:t>PROPUESTA PARA LA REDUCCIÓN DEL ATRASO (BACKLOG) EN EL ANÁLISIS DE REDES Y SISTEMAS DE SATÉLITES EN EL DEPARTAMENTO DE SERVICIOS ESPACIALES DE LA UIT</w:t>
            </w:r>
          </w:p>
        </w:tc>
      </w:tr>
      <w:tr w:rsidR="00FE57F6" w:rsidRPr="00BB6FD8" w14:paraId="25445176" w14:textId="77777777" w:rsidTr="00C4421B">
        <w:trPr>
          <w:cantSplit/>
        </w:trPr>
        <w:tc>
          <w:tcPr>
            <w:tcW w:w="9214" w:type="dxa"/>
            <w:gridSpan w:val="2"/>
            <w:tcBorders>
              <w:top w:val="single" w:sz="4" w:space="0" w:color="auto"/>
              <w:bottom w:val="single" w:sz="4" w:space="0" w:color="auto"/>
            </w:tcBorders>
            <w:tcMar>
              <w:left w:w="0" w:type="dxa"/>
            </w:tcMar>
          </w:tcPr>
          <w:p w14:paraId="1148C1CD" w14:textId="77777777" w:rsidR="00FE57F6" w:rsidRPr="00BB6FD8" w:rsidRDefault="00F24B71" w:rsidP="00C4421B">
            <w:pPr>
              <w:spacing w:before="160"/>
              <w:rPr>
                <w:b/>
                <w:bCs/>
                <w:sz w:val="26"/>
                <w:szCs w:val="26"/>
              </w:rPr>
            </w:pPr>
            <w:r w:rsidRPr="00BB6FD8">
              <w:rPr>
                <w:b/>
                <w:bCs/>
                <w:sz w:val="26"/>
                <w:szCs w:val="26"/>
              </w:rPr>
              <w:t>Finalidad</w:t>
            </w:r>
          </w:p>
          <w:p w14:paraId="290D5AB2" w14:textId="406F1086" w:rsidR="004B5DDA" w:rsidRPr="00AD44E7" w:rsidRDefault="004B5DDA" w:rsidP="00C9543F">
            <w:pPr>
              <w:jc w:val="both"/>
              <w:rPr>
                <w:lang w:val="es-AR"/>
              </w:rPr>
            </w:pPr>
            <w:r w:rsidRPr="00AD44E7">
              <w:t>La presente contribución tiene por finalidad exponer el impacto del atraso (backlog) en el análisis de las notificaciones de redes y sistemas de satélites, en particular en lo relativo a la previsibilidad del proceso regulatorio y a la aplicación de los mecanismos de recuperación de costos. Asimismo, propone la consideración de medidas orientadas a mitigar dicha situación, en particular mediante el refuerzo del Departamento de Servicios Espaciales.</w:t>
            </w:r>
          </w:p>
          <w:p w14:paraId="32FCE962" w14:textId="77777777" w:rsidR="00FE57F6" w:rsidRPr="00BB6FD8" w:rsidRDefault="00F24B71" w:rsidP="00C4421B">
            <w:pPr>
              <w:spacing w:before="160"/>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27B84DAC" w14:textId="77777777" w:rsidR="004B5DDA" w:rsidRPr="00AD44E7" w:rsidRDefault="004B5DDA" w:rsidP="004844F6">
            <w:pPr>
              <w:jc w:val="both"/>
              <w:rPr>
                <w:szCs w:val="24"/>
                <w:lang w:val="es-AR"/>
              </w:rPr>
            </w:pPr>
            <w:r w:rsidRPr="00AD44E7">
              <w:rPr>
                <w:szCs w:val="24"/>
                <w:lang w:val="es-AR"/>
              </w:rPr>
              <w:t>Se invita al Consejo de la Unión Internacional de Telecomunicaciones (UIT) a:</w:t>
            </w:r>
          </w:p>
          <w:p w14:paraId="64887B33" w14:textId="77777777" w:rsidR="004B5DDA" w:rsidRPr="00AD44E7" w:rsidRDefault="004B5DDA" w:rsidP="004844F6">
            <w:pPr>
              <w:numPr>
                <w:ilvl w:val="0"/>
                <w:numId w:val="11"/>
              </w:numPr>
              <w:tabs>
                <w:tab w:val="clear" w:pos="567"/>
                <w:tab w:val="clear" w:pos="720"/>
                <w:tab w:val="clear" w:pos="1134"/>
                <w:tab w:val="clear" w:pos="1701"/>
                <w:tab w:val="clear" w:pos="2268"/>
                <w:tab w:val="clear" w:pos="2835"/>
              </w:tabs>
              <w:spacing w:before="84"/>
              <w:ind w:hanging="436"/>
              <w:jc w:val="both"/>
              <w:rPr>
                <w:szCs w:val="24"/>
                <w:lang w:val="es-AR"/>
              </w:rPr>
            </w:pPr>
            <w:r w:rsidRPr="00AD44E7">
              <w:rPr>
                <w:szCs w:val="24"/>
                <w:lang w:val="es-AR"/>
              </w:rPr>
              <w:t xml:space="preserve">tomar nota de la situación de atraso en el análisis de las notificaciones de redes y sistemas de satélites y de sus impactos en la previsibilidad del proceso regulatorio y en la aplicación de los mecanismos de recuperación de costos; y </w:t>
            </w:r>
          </w:p>
          <w:p w14:paraId="62EB4AD0" w14:textId="77777777" w:rsidR="004B5DDA" w:rsidRPr="00AD44E7" w:rsidRDefault="004B5DDA" w:rsidP="004844F6">
            <w:pPr>
              <w:numPr>
                <w:ilvl w:val="0"/>
                <w:numId w:val="11"/>
              </w:numPr>
              <w:tabs>
                <w:tab w:val="clear" w:pos="567"/>
                <w:tab w:val="clear" w:pos="720"/>
                <w:tab w:val="clear" w:pos="1134"/>
                <w:tab w:val="clear" w:pos="1701"/>
                <w:tab w:val="clear" w:pos="2268"/>
                <w:tab w:val="clear" w:pos="2835"/>
              </w:tabs>
              <w:spacing w:before="84"/>
              <w:ind w:hanging="436"/>
              <w:jc w:val="both"/>
              <w:rPr>
                <w:szCs w:val="24"/>
                <w:lang w:val="es-AR"/>
              </w:rPr>
            </w:pPr>
            <w:r w:rsidRPr="00AD44E7">
              <w:rPr>
                <w:szCs w:val="24"/>
                <w:lang w:val="es-AR"/>
              </w:rPr>
              <w:t>considerar la propuesta de la Administración Argentina relativa al refuerzo del Departamento de Servicios Espaciales, mediante la incorporación de recursos profesionales adicionales, en los términos expuestos en la presente contribución.</w:t>
            </w:r>
          </w:p>
          <w:p w14:paraId="69570791" w14:textId="77777777" w:rsidR="00FE57F6" w:rsidRPr="00BB6FD8" w:rsidRDefault="00FE57F6" w:rsidP="00C4421B">
            <w:pPr>
              <w:spacing w:before="160"/>
              <w:rPr>
                <w:caps/>
                <w:sz w:val="22"/>
              </w:rPr>
            </w:pPr>
            <w:r w:rsidRPr="00BB6FD8">
              <w:rPr>
                <w:sz w:val="22"/>
              </w:rPr>
              <w:t>__________________</w:t>
            </w:r>
          </w:p>
          <w:p w14:paraId="4ACA39BE" w14:textId="77777777" w:rsidR="00FE57F6" w:rsidRPr="00BB6FD8" w:rsidRDefault="00F24B71" w:rsidP="00C4421B">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4B15FAD3" w14:textId="125F0147" w:rsidR="004C55E4" w:rsidRPr="004D3A3C" w:rsidRDefault="004C55E4" w:rsidP="004844F6">
            <w:pPr>
              <w:spacing w:after="160"/>
              <w:rPr>
                <w:i/>
                <w:iCs/>
                <w:sz w:val="22"/>
                <w:szCs w:val="22"/>
              </w:rPr>
            </w:pPr>
            <w:r w:rsidRPr="00327A18">
              <w:rPr>
                <w:i/>
                <w:iCs/>
                <w:sz w:val="22"/>
                <w:szCs w:val="22"/>
              </w:rPr>
              <w:t>Documento RRB25-3-11-S de la Junta del Reglamento de Radiocomunicaciones</w:t>
            </w:r>
            <w:r w:rsidR="004844F6">
              <w:rPr>
                <w:i/>
                <w:iCs/>
                <w:sz w:val="22"/>
                <w:szCs w:val="22"/>
              </w:rPr>
              <w:t xml:space="preserve">; </w:t>
            </w:r>
            <w:hyperlink r:id="rId7" w:history="1">
              <w:r w:rsidRPr="004844F6">
                <w:rPr>
                  <w:rStyle w:val="Hyperlink"/>
                  <w:i/>
                  <w:iCs/>
                  <w:sz w:val="22"/>
                  <w:szCs w:val="22"/>
                </w:rPr>
                <w:t xml:space="preserve">Reglamento de Radiocomunicaciones de la Unión Internacional de </w:t>
              </w:r>
              <w:r w:rsidR="0051028E" w:rsidRPr="004844F6">
                <w:rPr>
                  <w:rStyle w:val="Hyperlink"/>
                  <w:i/>
                  <w:iCs/>
                  <w:sz w:val="22"/>
                  <w:szCs w:val="22"/>
                </w:rPr>
                <w:t>Telecomunicaciones</w:t>
              </w:r>
            </w:hyperlink>
            <w:r w:rsidR="004844F6">
              <w:rPr>
                <w:i/>
                <w:iCs/>
                <w:sz w:val="22"/>
                <w:szCs w:val="22"/>
              </w:rPr>
              <w:t xml:space="preserve">; </w:t>
            </w:r>
            <w:hyperlink r:id="rId8" w:history="1">
              <w:r w:rsidRPr="004844F6">
                <w:rPr>
                  <w:rStyle w:val="Hyperlink"/>
                  <w:i/>
                  <w:iCs/>
                  <w:sz w:val="22"/>
                  <w:szCs w:val="22"/>
                </w:rPr>
                <w:t xml:space="preserve">Acuerdo </w:t>
              </w:r>
              <w:r w:rsidR="0051028E" w:rsidRPr="004844F6">
                <w:rPr>
                  <w:rStyle w:val="Hyperlink"/>
                  <w:i/>
                  <w:iCs/>
                  <w:sz w:val="22"/>
                  <w:szCs w:val="22"/>
                </w:rPr>
                <w:t>482 del Consejo de la Unión Internacional de Telecomunicaciones</w:t>
              </w:r>
            </w:hyperlink>
            <w:r w:rsidR="0051028E" w:rsidRPr="00327A18">
              <w:rPr>
                <w:i/>
                <w:iCs/>
                <w:sz w:val="22"/>
                <w:szCs w:val="22"/>
              </w:rPr>
              <w:t>.</w:t>
            </w:r>
            <w:r w:rsidR="0051028E">
              <w:rPr>
                <w:i/>
                <w:iCs/>
                <w:sz w:val="22"/>
                <w:szCs w:val="22"/>
              </w:rPr>
              <w:t xml:space="preserve"> </w:t>
            </w:r>
          </w:p>
        </w:tc>
      </w:tr>
      <w:bookmarkEnd w:id="0"/>
    </w:tbl>
    <w:p w14:paraId="72661439" w14:textId="77777777" w:rsidR="004844F6" w:rsidRDefault="004844F6">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sz w:val="28"/>
          <w:szCs w:val="28"/>
        </w:rPr>
      </w:pPr>
      <w:r>
        <w:rPr>
          <w:rFonts w:asciiTheme="minorHAnsi" w:hAnsiTheme="minorHAnsi" w:cstheme="minorHAnsi"/>
          <w:sz w:val="28"/>
          <w:szCs w:val="28"/>
        </w:rPr>
        <w:br w:type="page"/>
      </w:r>
    </w:p>
    <w:p w14:paraId="023FD0C8" w14:textId="23194885" w:rsidR="00434E64" w:rsidRPr="007F0374" w:rsidRDefault="00434E64" w:rsidP="004844F6">
      <w:pPr>
        <w:pStyle w:val="Heading2"/>
        <w:keepNext w:val="0"/>
        <w:keepLines w:val="0"/>
        <w:numPr>
          <w:ilvl w:val="0"/>
          <w:numId w:val="12"/>
        </w:numPr>
        <w:tabs>
          <w:tab w:val="clear" w:pos="567"/>
          <w:tab w:val="clear" w:pos="1134"/>
          <w:tab w:val="clear" w:pos="1701"/>
          <w:tab w:val="clear" w:pos="2268"/>
          <w:tab w:val="clear" w:pos="2835"/>
        </w:tabs>
        <w:spacing w:before="120" w:after="120"/>
        <w:ind w:hanging="720"/>
        <w:rPr>
          <w:rFonts w:asciiTheme="minorHAnsi" w:hAnsiTheme="minorHAnsi" w:cstheme="minorHAnsi"/>
          <w:sz w:val="28"/>
          <w:szCs w:val="28"/>
        </w:rPr>
      </w:pPr>
      <w:r w:rsidRPr="007F0374">
        <w:rPr>
          <w:rFonts w:asciiTheme="minorHAnsi" w:hAnsiTheme="minorHAnsi" w:cstheme="minorHAnsi"/>
          <w:sz w:val="28"/>
          <w:szCs w:val="28"/>
        </w:rPr>
        <w:lastRenderedPageBreak/>
        <w:t>Introducción</w:t>
      </w:r>
    </w:p>
    <w:p w14:paraId="203ECA0B" w14:textId="501A0DB6" w:rsidR="00291446" w:rsidRPr="00080B47" w:rsidRDefault="00291446" w:rsidP="004844F6">
      <w:pPr>
        <w:tabs>
          <w:tab w:val="clear" w:pos="567"/>
          <w:tab w:val="clear" w:pos="1134"/>
          <w:tab w:val="clear" w:pos="1701"/>
          <w:tab w:val="clear" w:pos="2268"/>
          <w:tab w:val="clear" w:pos="2835"/>
        </w:tabs>
        <w:spacing w:after="120"/>
        <w:jc w:val="both"/>
        <w:rPr>
          <w:rFonts w:cstheme="minorHAnsi"/>
          <w:szCs w:val="24"/>
          <w:lang w:val="es-ES" w:eastAsia="es-ES"/>
        </w:rPr>
      </w:pPr>
      <w:r w:rsidRPr="00080B47">
        <w:rPr>
          <w:rFonts w:cstheme="minorHAnsi"/>
          <w:szCs w:val="24"/>
          <w:lang w:val="es-ES" w:eastAsia="es-ES"/>
        </w:rPr>
        <w:t xml:space="preserve">La </w:t>
      </w:r>
      <w:r w:rsidR="00D537BD">
        <w:rPr>
          <w:rFonts w:cstheme="minorHAnsi"/>
          <w:szCs w:val="24"/>
          <w:lang w:val="es-ES" w:eastAsia="es-ES"/>
        </w:rPr>
        <w:t>administración</w:t>
      </w:r>
      <w:r w:rsidRPr="00080B47">
        <w:rPr>
          <w:rFonts w:cstheme="minorHAnsi"/>
          <w:szCs w:val="24"/>
          <w:lang w:val="es-ES" w:eastAsia="es-ES"/>
        </w:rPr>
        <w:t xml:space="preserve"> Argentina toma nota con preocupación del significativo atraso (backlog) existente en el análisis de las notificaciones de redes y sistemas de satélites presentadas por las Administraciones ante la UIT, tal como se describe en el documento RRB25-3/11-S de la </w:t>
      </w:r>
      <w:r w:rsidRPr="00080B47">
        <w:rPr>
          <w:rFonts w:cstheme="minorHAnsi"/>
          <w:bCs/>
          <w:szCs w:val="24"/>
          <w:lang w:val="es-ES" w:eastAsia="es-ES"/>
        </w:rPr>
        <w:t>Junta del Reglamento de Radiocomunicaciones</w:t>
      </w:r>
      <w:r w:rsidRPr="00080B47">
        <w:rPr>
          <w:rFonts w:cstheme="minorHAnsi"/>
          <w:szCs w:val="24"/>
          <w:lang w:val="es-ES" w:eastAsia="es-ES"/>
        </w:rPr>
        <w:t>.</w:t>
      </w:r>
    </w:p>
    <w:p w14:paraId="23D9D52D" w14:textId="77777777" w:rsidR="00291446" w:rsidRPr="00080B47" w:rsidRDefault="00291446" w:rsidP="004844F6">
      <w:pPr>
        <w:tabs>
          <w:tab w:val="clear" w:pos="567"/>
          <w:tab w:val="clear" w:pos="1134"/>
          <w:tab w:val="clear" w:pos="1701"/>
          <w:tab w:val="clear" w:pos="2268"/>
          <w:tab w:val="clear" w:pos="2835"/>
        </w:tabs>
        <w:spacing w:after="120"/>
        <w:jc w:val="both"/>
        <w:rPr>
          <w:rFonts w:cstheme="minorHAnsi"/>
          <w:szCs w:val="24"/>
          <w:lang w:val="es-ES" w:eastAsia="es-ES"/>
        </w:rPr>
      </w:pPr>
      <w:r w:rsidRPr="00080B47">
        <w:rPr>
          <w:rFonts w:cstheme="minorHAnsi"/>
          <w:szCs w:val="24"/>
          <w:lang w:val="es-ES" w:eastAsia="es-ES"/>
        </w:rPr>
        <w:t>Este atraso impacta negativamente tanto en la previsibilidad del proceso regulatorio internacional de los servicios espaciales como en la capacidad de la UIT para aplicar de manera oportuna los mecanismos de recuperación de costos establecidos por el Consejo.</w:t>
      </w:r>
    </w:p>
    <w:p w14:paraId="6D06DD0E" w14:textId="77777777" w:rsidR="00434E64" w:rsidRPr="007F0374" w:rsidRDefault="00001483" w:rsidP="004844F6">
      <w:pPr>
        <w:tabs>
          <w:tab w:val="clear" w:pos="567"/>
          <w:tab w:val="clear" w:pos="1134"/>
          <w:tab w:val="clear" w:pos="1701"/>
          <w:tab w:val="clear" w:pos="2268"/>
          <w:tab w:val="clear" w:pos="2835"/>
        </w:tabs>
        <w:spacing w:after="120"/>
        <w:jc w:val="both"/>
        <w:rPr>
          <w:rFonts w:cstheme="minorHAnsi"/>
        </w:rPr>
      </w:pPr>
      <w:r>
        <w:rPr>
          <w:rFonts w:cstheme="minorHAnsi"/>
        </w:rPr>
        <w:pict w14:anchorId="6BA5BA04">
          <v:rect id="_x0000_i1025" style="width:0;height:1.5pt" o:hralign="center" o:hrstd="t" o:hr="t" fillcolor="#a0a0a0" stroked="f"/>
        </w:pict>
      </w:r>
    </w:p>
    <w:p w14:paraId="3B5B612A" w14:textId="35E2BEBB" w:rsidR="00434E64" w:rsidRPr="007F0374" w:rsidRDefault="00291446" w:rsidP="004844F6">
      <w:pPr>
        <w:pStyle w:val="Heading2"/>
        <w:keepNext w:val="0"/>
        <w:keepLines w:val="0"/>
        <w:numPr>
          <w:ilvl w:val="0"/>
          <w:numId w:val="12"/>
        </w:numPr>
        <w:tabs>
          <w:tab w:val="clear" w:pos="567"/>
          <w:tab w:val="clear" w:pos="1134"/>
          <w:tab w:val="clear" w:pos="1701"/>
          <w:tab w:val="clear" w:pos="2268"/>
          <w:tab w:val="clear" w:pos="2835"/>
        </w:tabs>
        <w:spacing w:before="240" w:after="120"/>
        <w:ind w:hanging="720"/>
        <w:rPr>
          <w:rFonts w:asciiTheme="minorHAnsi" w:hAnsiTheme="minorHAnsi" w:cstheme="minorHAnsi"/>
          <w:sz w:val="28"/>
          <w:szCs w:val="28"/>
        </w:rPr>
      </w:pPr>
      <w:r>
        <w:rPr>
          <w:rFonts w:asciiTheme="minorHAnsi" w:hAnsiTheme="minorHAnsi" w:cstheme="minorHAnsi"/>
          <w:sz w:val="28"/>
          <w:szCs w:val="28"/>
        </w:rPr>
        <w:t>Impacto del atraso en la aplicación</w:t>
      </w:r>
      <w:r w:rsidR="00434E64" w:rsidRPr="007F0374">
        <w:rPr>
          <w:rFonts w:asciiTheme="minorHAnsi" w:hAnsiTheme="minorHAnsi" w:cstheme="minorHAnsi"/>
          <w:sz w:val="28"/>
          <w:szCs w:val="28"/>
        </w:rPr>
        <w:t xml:space="preserve"> del Acuerdo 482</w:t>
      </w:r>
      <w:r w:rsidR="00434E64">
        <w:rPr>
          <w:rFonts w:asciiTheme="minorHAnsi" w:hAnsiTheme="minorHAnsi" w:cstheme="minorHAnsi"/>
          <w:sz w:val="28"/>
          <w:szCs w:val="28"/>
        </w:rPr>
        <w:t xml:space="preserve"> del Consejo</w:t>
      </w:r>
    </w:p>
    <w:p w14:paraId="0C114285" w14:textId="77777777" w:rsidR="00291446" w:rsidRDefault="00291446" w:rsidP="004844F6">
      <w:pPr>
        <w:tabs>
          <w:tab w:val="clear" w:pos="567"/>
          <w:tab w:val="clear" w:pos="1134"/>
          <w:tab w:val="clear" w:pos="1701"/>
          <w:tab w:val="clear" w:pos="2268"/>
          <w:tab w:val="clear" w:pos="2835"/>
        </w:tabs>
        <w:spacing w:after="120"/>
        <w:jc w:val="both"/>
        <w:rPr>
          <w:rFonts w:cstheme="minorHAnsi"/>
          <w:szCs w:val="24"/>
          <w:lang w:val="es-ES" w:eastAsia="es-ES"/>
        </w:rPr>
      </w:pPr>
      <w:r>
        <w:rPr>
          <w:rFonts w:cstheme="minorHAnsi"/>
          <w:szCs w:val="24"/>
          <w:lang w:val="es-ES" w:eastAsia="es-ES"/>
        </w:rPr>
        <w:t xml:space="preserve">La Administración </w:t>
      </w:r>
      <w:r w:rsidRPr="00080B47">
        <w:rPr>
          <w:rFonts w:cstheme="minorHAnsi"/>
          <w:szCs w:val="24"/>
          <w:lang w:val="es-ES" w:eastAsia="es-ES"/>
        </w:rPr>
        <w:t xml:space="preserve">Argentina observa </w:t>
      </w:r>
      <w:r>
        <w:rPr>
          <w:rFonts w:cstheme="minorHAnsi"/>
          <w:szCs w:val="24"/>
          <w:lang w:val="es-ES" w:eastAsia="es-ES"/>
        </w:rPr>
        <w:t>que el Cuadro 2-6 donde se publican las</w:t>
      </w:r>
      <w:r w:rsidRPr="00345BA8">
        <w:rPr>
          <w:rFonts w:cstheme="minorHAnsi"/>
          <w:szCs w:val="24"/>
          <w:lang w:val="es-ES" w:eastAsia="es-ES"/>
        </w:rPr>
        <w:t xml:space="preserve"> solicitudes de coordinación (CR/C) de redes de satélites</w:t>
      </w:r>
      <w:r>
        <w:rPr>
          <w:rFonts w:cstheme="minorHAnsi"/>
          <w:szCs w:val="24"/>
          <w:lang w:val="es-ES" w:eastAsia="es-ES"/>
        </w:rPr>
        <w:t>,</w:t>
      </w:r>
      <w:r w:rsidRPr="00345BA8">
        <w:rPr>
          <w:rFonts w:cstheme="minorHAnsi"/>
          <w:szCs w:val="24"/>
          <w:lang w:val="es-ES" w:eastAsia="es-ES"/>
        </w:rPr>
        <w:t xml:space="preserve"> </w:t>
      </w:r>
      <w:r>
        <w:rPr>
          <w:rFonts w:cstheme="minorHAnsi"/>
          <w:szCs w:val="24"/>
          <w:lang w:val="es-ES" w:eastAsia="es-ES"/>
        </w:rPr>
        <w:t>muestra que al mes de septiembre de 2025 había en trámite 268 solicitudes con un plazo de tramitación estimado en 14 meses, cuando el p</w:t>
      </w:r>
      <w:r w:rsidRPr="00345BA8">
        <w:rPr>
          <w:rFonts w:cstheme="minorHAnsi"/>
          <w:szCs w:val="24"/>
          <w:lang w:val="es-ES" w:eastAsia="es-ES"/>
        </w:rPr>
        <w:t>lazo reglamentario con arreglo al número 9.38 del RR</w:t>
      </w:r>
      <w:r>
        <w:rPr>
          <w:rFonts w:cstheme="minorHAnsi"/>
          <w:szCs w:val="24"/>
          <w:lang w:val="es-ES" w:eastAsia="es-ES"/>
        </w:rPr>
        <w:t xml:space="preserve"> es de</w:t>
      </w:r>
      <w:r w:rsidRPr="00345BA8">
        <w:rPr>
          <w:rFonts w:cstheme="minorHAnsi"/>
          <w:szCs w:val="24"/>
          <w:lang w:val="es-ES" w:eastAsia="es-ES"/>
        </w:rPr>
        <w:t xml:space="preserve"> cuatro meses</w:t>
      </w:r>
      <w:r>
        <w:rPr>
          <w:rFonts w:cstheme="minorHAnsi"/>
          <w:szCs w:val="24"/>
          <w:lang w:val="es-ES" w:eastAsia="es-ES"/>
        </w:rPr>
        <w:t>.</w:t>
      </w:r>
    </w:p>
    <w:p w14:paraId="0D319700" w14:textId="73FEEA7C" w:rsidR="00291446" w:rsidRDefault="00291446" w:rsidP="004844F6">
      <w:pPr>
        <w:tabs>
          <w:tab w:val="clear" w:pos="567"/>
          <w:tab w:val="clear" w:pos="1134"/>
          <w:tab w:val="clear" w:pos="1701"/>
          <w:tab w:val="clear" w:pos="2268"/>
          <w:tab w:val="clear" w:pos="2835"/>
        </w:tabs>
        <w:spacing w:after="120"/>
        <w:jc w:val="both"/>
        <w:rPr>
          <w:rFonts w:cstheme="minorHAnsi"/>
          <w:szCs w:val="24"/>
          <w:lang w:val="es-ES" w:eastAsia="es-ES"/>
        </w:rPr>
      </w:pPr>
      <w:r>
        <w:rPr>
          <w:rFonts w:cstheme="minorHAnsi"/>
          <w:szCs w:val="24"/>
          <w:lang w:val="es-ES" w:eastAsia="es-ES"/>
        </w:rPr>
        <w:t>El</w:t>
      </w:r>
      <w:r w:rsidRPr="00080B47">
        <w:rPr>
          <w:rFonts w:cstheme="minorHAnsi"/>
          <w:szCs w:val="24"/>
          <w:lang w:val="es-ES" w:eastAsia="es-ES"/>
        </w:rPr>
        <w:t xml:space="preserve"> </w:t>
      </w:r>
      <w:r w:rsidR="002C665F">
        <w:rPr>
          <w:rFonts w:cstheme="minorHAnsi"/>
          <w:szCs w:val="24"/>
          <w:lang w:val="es-ES" w:eastAsia="es-ES"/>
        </w:rPr>
        <w:t>atraso</w:t>
      </w:r>
      <w:r w:rsidRPr="00080B47">
        <w:rPr>
          <w:rFonts w:cstheme="minorHAnsi"/>
          <w:szCs w:val="24"/>
          <w:lang w:val="es-ES" w:eastAsia="es-ES"/>
        </w:rPr>
        <w:t xml:space="preserve"> actual limita la posibilidad de que la UIT facture en tiempo y forma los importes correspondientes al análisis de redes y sistemas de satélites, de conformidad con el Acuerdo 482 del Consejo. </w:t>
      </w:r>
    </w:p>
    <w:p w14:paraId="427A94B2" w14:textId="77777777" w:rsidR="00291446" w:rsidRPr="00080B47" w:rsidRDefault="00291446" w:rsidP="004844F6">
      <w:pPr>
        <w:tabs>
          <w:tab w:val="clear" w:pos="567"/>
          <w:tab w:val="clear" w:pos="1134"/>
          <w:tab w:val="clear" w:pos="1701"/>
          <w:tab w:val="clear" w:pos="2268"/>
          <w:tab w:val="clear" w:pos="2835"/>
        </w:tabs>
        <w:spacing w:after="120"/>
        <w:jc w:val="both"/>
        <w:rPr>
          <w:rFonts w:cstheme="minorHAnsi"/>
          <w:szCs w:val="24"/>
          <w:lang w:val="es-ES" w:eastAsia="es-ES"/>
        </w:rPr>
      </w:pPr>
      <w:r w:rsidRPr="00080B47">
        <w:rPr>
          <w:rFonts w:cstheme="minorHAnsi"/>
          <w:szCs w:val="24"/>
          <w:lang w:val="es-ES" w:eastAsia="es-ES"/>
        </w:rPr>
        <w:t>Esta situación genera:</w:t>
      </w:r>
    </w:p>
    <w:p w14:paraId="73A74541" w14:textId="77777777" w:rsidR="00291446" w:rsidRPr="00080B47" w:rsidRDefault="00291446" w:rsidP="004844F6">
      <w:pPr>
        <w:numPr>
          <w:ilvl w:val="0"/>
          <w:numId w:val="9"/>
        </w:numPr>
        <w:tabs>
          <w:tab w:val="clear" w:pos="567"/>
          <w:tab w:val="clear" w:pos="720"/>
          <w:tab w:val="clear" w:pos="1134"/>
          <w:tab w:val="clear" w:pos="1701"/>
          <w:tab w:val="clear" w:pos="2268"/>
          <w:tab w:val="clear" w:pos="2835"/>
        </w:tabs>
        <w:overflowPunct/>
        <w:autoSpaceDE/>
        <w:autoSpaceDN/>
        <w:adjustRightInd/>
        <w:spacing w:after="84"/>
        <w:ind w:hanging="436"/>
        <w:jc w:val="both"/>
        <w:textAlignment w:val="auto"/>
        <w:rPr>
          <w:rFonts w:cstheme="minorHAnsi"/>
          <w:szCs w:val="24"/>
          <w:lang w:val="es-ES" w:eastAsia="es-ES"/>
        </w:rPr>
      </w:pPr>
      <w:r w:rsidRPr="00080B47">
        <w:rPr>
          <w:rFonts w:cstheme="minorHAnsi"/>
          <w:szCs w:val="24"/>
          <w:lang w:val="es-ES" w:eastAsia="es-ES"/>
        </w:rPr>
        <w:t>Retrasos en la recuperación de costos por parte de la UIT</w:t>
      </w:r>
      <w:r>
        <w:rPr>
          <w:rFonts w:cstheme="minorHAnsi"/>
          <w:szCs w:val="24"/>
          <w:lang w:val="es-ES" w:eastAsia="es-ES"/>
        </w:rPr>
        <w:t>;</w:t>
      </w:r>
    </w:p>
    <w:p w14:paraId="7318D196" w14:textId="77777777" w:rsidR="00291446" w:rsidRPr="00080B47" w:rsidRDefault="00291446" w:rsidP="004844F6">
      <w:pPr>
        <w:numPr>
          <w:ilvl w:val="0"/>
          <w:numId w:val="9"/>
        </w:numPr>
        <w:tabs>
          <w:tab w:val="clear" w:pos="567"/>
          <w:tab w:val="clear" w:pos="720"/>
          <w:tab w:val="clear" w:pos="1134"/>
          <w:tab w:val="clear" w:pos="1701"/>
          <w:tab w:val="clear" w:pos="2268"/>
          <w:tab w:val="clear" w:pos="2835"/>
        </w:tabs>
        <w:overflowPunct/>
        <w:autoSpaceDE/>
        <w:autoSpaceDN/>
        <w:adjustRightInd/>
        <w:spacing w:before="84" w:after="84"/>
        <w:ind w:hanging="436"/>
        <w:jc w:val="both"/>
        <w:textAlignment w:val="auto"/>
        <w:rPr>
          <w:rFonts w:cstheme="minorHAnsi"/>
          <w:szCs w:val="24"/>
          <w:lang w:val="es-ES" w:eastAsia="es-ES"/>
        </w:rPr>
      </w:pPr>
      <w:r w:rsidRPr="00080B47">
        <w:rPr>
          <w:rFonts w:cstheme="minorHAnsi"/>
          <w:szCs w:val="24"/>
          <w:lang w:val="es-ES" w:eastAsia="es-ES"/>
        </w:rPr>
        <w:t>Incertidumbre para las Administraciones y operadores respecto de los plazos regulatorios</w:t>
      </w:r>
      <w:r>
        <w:rPr>
          <w:rFonts w:cstheme="minorHAnsi"/>
          <w:szCs w:val="24"/>
          <w:lang w:val="es-ES" w:eastAsia="es-ES"/>
        </w:rPr>
        <w:t>;</w:t>
      </w:r>
    </w:p>
    <w:p w14:paraId="1A2D54D1" w14:textId="77777777" w:rsidR="00291446" w:rsidRDefault="00291446" w:rsidP="004844F6">
      <w:pPr>
        <w:numPr>
          <w:ilvl w:val="0"/>
          <w:numId w:val="9"/>
        </w:numPr>
        <w:tabs>
          <w:tab w:val="clear" w:pos="567"/>
          <w:tab w:val="clear" w:pos="720"/>
          <w:tab w:val="clear" w:pos="1134"/>
          <w:tab w:val="clear" w:pos="1701"/>
          <w:tab w:val="clear" w:pos="2268"/>
          <w:tab w:val="clear" w:pos="2835"/>
        </w:tabs>
        <w:overflowPunct/>
        <w:autoSpaceDE/>
        <w:autoSpaceDN/>
        <w:adjustRightInd/>
        <w:spacing w:before="84" w:after="84"/>
        <w:ind w:hanging="436"/>
        <w:jc w:val="both"/>
        <w:textAlignment w:val="auto"/>
        <w:rPr>
          <w:rFonts w:cstheme="minorHAnsi"/>
          <w:szCs w:val="24"/>
          <w:lang w:val="es-ES" w:eastAsia="es-ES"/>
        </w:rPr>
      </w:pPr>
      <w:r w:rsidRPr="00080B47">
        <w:rPr>
          <w:rFonts w:cstheme="minorHAnsi"/>
          <w:szCs w:val="24"/>
          <w:lang w:val="es-ES" w:eastAsia="es-ES"/>
        </w:rPr>
        <w:t>Riesgos para la sostenibilidad financiera del sistema de notificación y examen de redes satelitales.</w:t>
      </w:r>
    </w:p>
    <w:p w14:paraId="581B8A00" w14:textId="77777777" w:rsidR="00291446" w:rsidRPr="00080B47" w:rsidRDefault="00291446" w:rsidP="004844F6">
      <w:pPr>
        <w:numPr>
          <w:ilvl w:val="0"/>
          <w:numId w:val="9"/>
        </w:numPr>
        <w:tabs>
          <w:tab w:val="clear" w:pos="567"/>
          <w:tab w:val="clear" w:pos="720"/>
          <w:tab w:val="clear" w:pos="1134"/>
          <w:tab w:val="clear" w:pos="1701"/>
          <w:tab w:val="clear" w:pos="2268"/>
          <w:tab w:val="clear" w:pos="2835"/>
        </w:tabs>
        <w:overflowPunct/>
        <w:autoSpaceDE/>
        <w:autoSpaceDN/>
        <w:adjustRightInd/>
        <w:spacing w:before="84" w:after="120"/>
        <w:ind w:hanging="436"/>
        <w:jc w:val="both"/>
        <w:textAlignment w:val="auto"/>
        <w:rPr>
          <w:rFonts w:cstheme="minorHAnsi"/>
          <w:szCs w:val="24"/>
          <w:lang w:val="es-ES" w:eastAsia="es-ES"/>
        </w:rPr>
      </w:pPr>
      <w:r>
        <w:rPr>
          <w:rFonts w:cstheme="minorHAnsi"/>
          <w:szCs w:val="24"/>
          <w:lang w:val="es-ES" w:eastAsia="es-ES"/>
        </w:rPr>
        <w:t>Imposibilidad de disponer de dinero ya depositado en las cuentas de UIT por no haber finalizado las tramitaciones en curso.</w:t>
      </w:r>
    </w:p>
    <w:p w14:paraId="2D454401" w14:textId="77777777" w:rsidR="00434E64" w:rsidRPr="007F0374" w:rsidRDefault="00001483" w:rsidP="004844F6">
      <w:pPr>
        <w:tabs>
          <w:tab w:val="clear" w:pos="567"/>
          <w:tab w:val="clear" w:pos="1134"/>
          <w:tab w:val="clear" w:pos="1701"/>
          <w:tab w:val="clear" w:pos="2268"/>
          <w:tab w:val="clear" w:pos="2835"/>
        </w:tabs>
        <w:spacing w:after="120"/>
        <w:rPr>
          <w:rFonts w:cstheme="minorHAnsi"/>
        </w:rPr>
      </w:pPr>
      <w:r>
        <w:rPr>
          <w:rFonts w:cstheme="minorHAnsi"/>
        </w:rPr>
        <w:pict w14:anchorId="4FDE0DAF">
          <v:rect id="_x0000_i1026" style="width:0;height:1.5pt" o:hralign="center" o:hrstd="t" o:hr="t" fillcolor="#a0a0a0" stroked="f"/>
        </w:pict>
      </w:r>
    </w:p>
    <w:p w14:paraId="554EB493" w14:textId="09A380E8" w:rsidR="00434E64" w:rsidRPr="007F0374" w:rsidRDefault="00291446" w:rsidP="004844F6">
      <w:pPr>
        <w:pStyle w:val="Heading2"/>
        <w:keepNext w:val="0"/>
        <w:keepLines w:val="0"/>
        <w:numPr>
          <w:ilvl w:val="0"/>
          <w:numId w:val="12"/>
        </w:numPr>
        <w:tabs>
          <w:tab w:val="clear" w:pos="567"/>
          <w:tab w:val="clear" w:pos="1134"/>
          <w:tab w:val="clear" w:pos="1701"/>
          <w:tab w:val="clear" w:pos="2268"/>
          <w:tab w:val="clear" w:pos="2835"/>
        </w:tabs>
        <w:spacing w:before="240" w:after="120"/>
        <w:ind w:hanging="720"/>
        <w:rPr>
          <w:rFonts w:asciiTheme="minorHAnsi" w:hAnsiTheme="minorHAnsi" w:cstheme="minorHAnsi"/>
          <w:sz w:val="28"/>
          <w:szCs w:val="28"/>
        </w:rPr>
      </w:pPr>
      <w:r>
        <w:rPr>
          <w:rFonts w:asciiTheme="minorHAnsi" w:hAnsiTheme="minorHAnsi" w:cstheme="minorHAnsi"/>
          <w:sz w:val="28"/>
          <w:szCs w:val="28"/>
        </w:rPr>
        <w:t>Propuesta para la mitigación del atraso</w:t>
      </w:r>
    </w:p>
    <w:p w14:paraId="1A641C43" w14:textId="134660BA" w:rsidR="00291446" w:rsidRPr="00DB276B" w:rsidRDefault="00291446" w:rsidP="004844F6">
      <w:pPr>
        <w:tabs>
          <w:tab w:val="clear" w:pos="567"/>
          <w:tab w:val="clear" w:pos="1134"/>
          <w:tab w:val="clear" w:pos="1701"/>
          <w:tab w:val="clear" w:pos="2268"/>
          <w:tab w:val="clear" w:pos="2835"/>
        </w:tabs>
        <w:spacing w:after="120"/>
        <w:jc w:val="both"/>
        <w:rPr>
          <w:rFonts w:cstheme="minorHAnsi"/>
          <w:szCs w:val="24"/>
          <w:lang w:val="es-ES" w:eastAsia="es-ES"/>
        </w:rPr>
      </w:pPr>
      <w:r w:rsidRPr="00DB276B">
        <w:rPr>
          <w:rFonts w:cstheme="minorHAnsi"/>
          <w:szCs w:val="24"/>
          <w:lang w:val="es-ES" w:eastAsia="es-ES"/>
        </w:rPr>
        <w:t xml:space="preserve">Con el objetivo de abordar de manera concreta y eficaz la situación actual, la </w:t>
      </w:r>
      <w:r w:rsidR="00D537BD" w:rsidRPr="00DB276B">
        <w:rPr>
          <w:rFonts w:cstheme="minorHAnsi"/>
          <w:szCs w:val="24"/>
          <w:lang w:val="es-ES" w:eastAsia="es-ES"/>
        </w:rPr>
        <w:t>Administración</w:t>
      </w:r>
      <w:r w:rsidRPr="00DB276B">
        <w:rPr>
          <w:rFonts w:cstheme="minorHAnsi"/>
          <w:szCs w:val="24"/>
          <w:lang w:val="es-ES" w:eastAsia="es-ES"/>
        </w:rPr>
        <w:t xml:space="preserve"> Argentina propone que el Consejo considere autorizar el refuerzo del Departamento de Servicios Espaciales mediante la contratación de una cantidad de profesionales adicionales, a determinar por el BR, con las siguientes especializaciones:</w:t>
      </w:r>
    </w:p>
    <w:p w14:paraId="0D9CE686" w14:textId="77777777" w:rsidR="00291446" w:rsidRPr="00DB276B" w:rsidRDefault="00291446" w:rsidP="004844F6">
      <w:pPr>
        <w:numPr>
          <w:ilvl w:val="0"/>
          <w:numId w:val="10"/>
        </w:numPr>
        <w:tabs>
          <w:tab w:val="clear" w:pos="567"/>
          <w:tab w:val="clear" w:pos="720"/>
          <w:tab w:val="clear" w:pos="1134"/>
          <w:tab w:val="clear" w:pos="1701"/>
          <w:tab w:val="clear" w:pos="2268"/>
          <w:tab w:val="clear" w:pos="2835"/>
        </w:tabs>
        <w:overflowPunct/>
        <w:autoSpaceDE/>
        <w:autoSpaceDN/>
        <w:adjustRightInd/>
        <w:spacing w:after="84"/>
        <w:jc w:val="both"/>
        <w:textAlignment w:val="auto"/>
        <w:rPr>
          <w:rFonts w:cstheme="minorHAnsi"/>
          <w:szCs w:val="24"/>
          <w:lang w:val="es-ES" w:eastAsia="es-ES"/>
        </w:rPr>
      </w:pPr>
      <w:r w:rsidRPr="00DB276B">
        <w:rPr>
          <w:rFonts w:cstheme="minorHAnsi"/>
          <w:szCs w:val="24"/>
          <w:lang w:val="es-ES" w:eastAsia="es-ES"/>
        </w:rPr>
        <w:t>Ingenieros especialistas en análisis técnico-regulatorio de redes y sistemas satelitales, con experiencia en coordinación de frecuencias y aplicación del Reglamento de Radiocomunicaciones.</w:t>
      </w:r>
    </w:p>
    <w:p w14:paraId="57444E49" w14:textId="77777777" w:rsidR="00291446" w:rsidRPr="00080B47" w:rsidRDefault="00291446" w:rsidP="004844F6">
      <w:pPr>
        <w:numPr>
          <w:ilvl w:val="0"/>
          <w:numId w:val="10"/>
        </w:numPr>
        <w:tabs>
          <w:tab w:val="clear" w:pos="567"/>
          <w:tab w:val="clear" w:pos="720"/>
          <w:tab w:val="clear" w:pos="1134"/>
          <w:tab w:val="clear" w:pos="1701"/>
          <w:tab w:val="clear" w:pos="2268"/>
          <w:tab w:val="clear" w:pos="2835"/>
        </w:tabs>
        <w:overflowPunct/>
        <w:autoSpaceDE/>
        <w:autoSpaceDN/>
        <w:adjustRightInd/>
        <w:spacing w:before="84" w:after="120"/>
        <w:jc w:val="both"/>
        <w:textAlignment w:val="auto"/>
        <w:rPr>
          <w:rFonts w:ascii="Times New Roman" w:hAnsi="Times New Roman"/>
          <w:szCs w:val="24"/>
          <w:lang w:val="es-ES" w:eastAsia="es-ES"/>
        </w:rPr>
      </w:pPr>
      <w:r w:rsidRPr="00DB276B">
        <w:rPr>
          <w:rFonts w:cstheme="minorHAnsi"/>
          <w:szCs w:val="24"/>
          <w:lang w:val="es-ES" w:eastAsia="es-ES"/>
        </w:rPr>
        <w:t>Ingenieros de software,</w:t>
      </w:r>
      <w:r w:rsidRPr="00080B47">
        <w:rPr>
          <w:rFonts w:cstheme="minorHAnsi"/>
          <w:szCs w:val="24"/>
          <w:lang w:val="es-ES" w:eastAsia="es-ES"/>
        </w:rPr>
        <w:t xml:space="preserve"> orientados al desarrollo, mantenimiento y optimización de herramientas informáticas para el procesamiento y análisis de notificaciones.</w:t>
      </w:r>
    </w:p>
    <w:p w14:paraId="3CE647AE" w14:textId="77777777" w:rsidR="00434E64" w:rsidRPr="007F0374" w:rsidRDefault="00001483" w:rsidP="004844F6">
      <w:pPr>
        <w:tabs>
          <w:tab w:val="clear" w:pos="567"/>
          <w:tab w:val="clear" w:pos="1134"/>
          <w:tab w:val="clear" w:pos="1701"/>
          <w:tab w:val="clear" w:pos="2268"/>
          <w:tab w:val="clear" w:pos="2835"/>
        </w:tabs>
        <w:spacing w:after="120"/>
        <w:rPr>
          <w:rFonts w:cstheme="minorHAnsi"/>
        </w:rPr>
      </w:pPr>
      <w:r>
        <w:rPr>
          <w:rFonts w:cstheme="minorHAnsi"/>
        </w:rPr>
        <w:pict w14:anchorId="14BFD183">
          <v:rect id="_x0000_i1027" style="width:0;height:1.5pt" o:hralign="center" o:hrstd="t" o:hr="t" fillcolor="#a0a0a0" stroked="f"/>
        </w:pict>
      </w:r>
    </w:p>
    <w:p w14:paraId="084F624A" w14:textId="15483F76" w:rsidR="00434E64" w:rsidRPr="007F0374" w:rsidRDefault="00291446" w:rsidP="004844F6">
      <w:pPr>
        <w:pStyle w:val="Heading2"/>
        <w:numPr>
          <w:ilvl w:val="0"/>
          <w:numId w:val="12"/>
        </w:numPr>
        <w:tabs>
          <w:tab w:val="clear" w:pos="567"/>
          <w:tab w:val="clear" w:pos="1134"/>
          <w:tab w:val="clear" w:pos="1701"/>
          <w:tab w:val="clear" w:pos="2268"/>
          <w:tab w:val="clear" w:pos="2835"/>
        </w:tabs>
        <w:spacing w:before="120" w:after="120"/>
        <w:ind w:hanging="720"/>
        <w:rPr>
          <w:rFonts w:asciiTheme="minorHAnsi" w:hAnsiTheme="minorHAnsi" w:cstheme="minorHAnsi"/>
          <w:sz w:val="26"/>
          <w:szCs w:val="26"/>
        </w:rPr>
      </w:pPr>
      <w:r>
        <w:rPr>
          <w:rFonts w:asciiTheme="minorHAnsi" w:hAnsiTheme="minorHAnsi" w:cstheme="minorHAnsi"/>
          <w:sz w:val="28"/>
          <w:szCs w:val="28"/>
        </w:rPr>
        <w:lastRenderedPageBreak/>
        <w:t>Modalidades de contratación</w:t>
      </w:r>
    </w:p>
    <w:p w14:paraId="0CACD609" w14:textId="77777777" w:rsidR="00291446" w:rsidRPr="00DB276B" w:rsidRDefault="00291446" w:rsidP="004844F6">
      <w:pPr>
        <w:keepNext/>
        <w:keepLines/>
        <w:tabs>
          <w:tab w:val="clear" w:pos="567"/>
          <w:tab w:val="clear" w:pos="1134"/>
          <w:tab w:val="clear" w:pos="1701"/>
          <w:tab w:val="clear" w:pos="2268"/>
          <w:tab w:val="clear" w:pos="2835"/>
        </w:tabs>
        <w:spacing w:after="120"/>
        <w:jc w:val="both"/>
        <w:rPr>
          <w:rFonts w:cstheme="minorHAnsi"/>
          <w:szCs w:val="24"/>
          <w:lang w:val="es-ES" w:eastAsia="es-ES"/>
        </w:rPr>
      </w:pPr>
      <w:r>
        <w:rPr>
          <w:rFonts w:cstheme="minorHAnsi"/>
          <w:szCs w:val="24"/>
          <w:lang w:val="es-ES" w:eastAsia="es-ES"/>
        </w:rPr>
        <w:t xml:space="preserve">La </w:t>
      </w:r>
      <w:r w:rsidRPr="00DB276B">
        <w:rPr>
          <w:rFonts w:cstheme="minorHAnsi"/>
          <w:szCs w:val="24"/>
          <w:lang w:val="es-ES" w:eastAsia="es-ES"/>
        </w:rPr>
        <w:t>Administración Argentina considera que la incorporación de estos profesionales podría instrumentarse mediante dos modalidades complementarias:</w:t>
      </w:r>
    </w:p>
    <w:p w14:paraId="5D9BDA7B" w14:textId="62CA9B74" w:rsidR="00291446" w:rsidRPr="00DB276B" w:rsidRDefault="00291446" w:rsidP="004844F6">
      <w:pPr>
        <w:tabs>
          <w:tab w:val="clear" w:pos="567"/>
          <w:tab w:val="clear" w:pos="1134"/>
          <w:tab w:val="clear" w:pos="1701"/>
          <w:tab w:val="clear" w:pos="2268"/>
          <w:tab w:val="clear" w:pos="2835"/>
        </w:tabs>
        <w:spacing w:after="84"/>
        <w:ind w:left="709" w:hanging="425"/>
        <w:jc w:val="both"/>
        <w:rPr>
          <w:rFonts w:cstheme="minorHAnsi"/>
          <w:szCs w:val="24"/>
          <w:lang w:val="es-ES" w:eastAsia="es-ES"/>
        </w:rPr>
      </w:pPr>
      <w:r w:rsidRPr="00DB276B">
        <w:rPr>
          <w:rFonts w:cstheme="minorHAnsi"/>
          <w:szCs w:val="24"/>
          <w:lang w:val="es-ES" w:eastAsia="es-ES"/>
        </w:rPr>
        <w:t>a)</w:t>
      </w:r>
      <w:r w:rsidR="004844F6">
        <w:rPr>
          <w:rFonts w:cstheme="minorHAnsi"/>
          <w:szCs w:val="24"/>
          <w:lang w:val="es-ES" w:eastAsia="es-ES"/>
        </w:rPr>
        <w:tab/>
      </w:r>
      <w:r w:rsidRPr="00DB276B">
        <w:rPr>
          <w:rFonts w:cstheme="minorHAnsi"/>
          <w:szCs w:val="24"/>
          <w:lang w:val="es-ES" w:eastAsia="es-ES"/>
        </w:rPr>
        <w:t xml:space="preserve">Contratación presencial en la sede de la UIT, permitiendo una integración directa con los equipos existentes y un impacto inmediato en la reducción del </w:t>
      </w:r>
      <w:r w:rsidR="002C665F" w:rsidRPr="00DB276B">
        <w:rPr>
          <w:rFonts w:cstheme="minorHAnsi"/>
          <w:szCs w:val="24"/>
          <w:lang w:val="es-ES" w:eastAsia="es-ES"/>
        </w:rPr>
        <w:t>atraso</w:t>
      </w:r>
      <w:r w:rsidRPr="00DB276B">
        <w:rPr>
          <w:rFonts w:cstheme="minorHAnsi"/>
          <w:szCs w:val="24"/>
          <w:lang w:val="es-ES" w:eastAsia="es-ES"/>
        </w:rPr>
        <w:t>.</w:t>
      </w:r>
    </w:p>
    <w:p w14:paraId="3F1977E7" w14:textId="3E94B849" w:rsidR="00291446" w:rsidRDefault="00291446" w:rsidP="004844F6">
      <w:pPr>
        <w:tabs>
          <w:tab w:val="clear" w:pos="567"/>
          <w:tab w:val="clear" w:pos="1134"/>
          <w:tab w:val="clear" w:pos="1701"/>
          <w:tab w:val="clear" w:pos="2268"/>
          <w:tab w:val="clear" w:pos="2835"/>
        </w:tabs>
        <w:spacing w:before="84" w:after="120"/>
        <w:ind w:left="709" w:hanging="425"/>
        <w:jc w:val="both"/>
        <w:rPr>
          <w:rFonts w:cstheme="minorHAnsi"/>
          <w:szCs w:val="24"/>
          <w:lang w:val="es-ES" w:eastAsia="es-ES"/>
        </w:rPr>
      </w:pPr>
      <w:r w:rsidRPr="00DB276B">
        <w:rPr>
          <w:rFonts w:cstheme="minorHAnsi"/>
          <w:szCs w:val="24"/>
          <w:lang w:val="es-ES" w:eastAsia="es-ES"/>
        </w:rPr>
        <w:t>b)</w:t>
      </w:r>
      <w:r w:rsidR="004844F6">
        <w:rPr>
          <w:rFonts w:cstheme="minorHAnsi"/>
          <w:szCs w:val="24"/>
          <w:lang w:val="es-ES" w:eastAsia="es-ES"/>
        </w:rPr>
        <w:tab/>
      </w:r>
      <w:r w:rsidRPr="00DB276B">
        <w:rPr>
          <w:rFonts w:cstheme="minorHAnsi"/>
          <w:szCs w:val="24"/>
          <w:lang w:val="es-ES" w:eastAsia="es-ES"/>
        </w:rPr>
        <w:t>Contratación de profesionales para trabajo remoto, modalidad que podría ampliar el universo de expertos disponibles y optimizar costos. En este caso, se prevé un período inicial de capacitación presencial en la sede de la UIT de tres (3) meses, a fin de asegurar</w:t>
      </w:r>
      <w:r w:rsidRPr="00080B47">
        <w:rPr>
          <w:rFonts w:cstheme="minorHAnsi"/>
          <w:szCs w:val="24"/>
          <w:lang w:val="es-ES" w:eastAsia="es-ES"/>
        </w:rPr>
        <w:t xml:space="preserve"> </w:t>
      </w:r>
      <w:r>
        <w:rPr>
          <w:rFonts w:cstheme="minorHAnsi"/>
          <w:szCs w:val="24"/>
          <w:lang w:val="es-ES" w:eastAsia="es-ES"/>
        </w:rPr>
        <w:t xml:space="preserve">que los profesionales adquieran </w:t>
      </w:r>
      <w:r w:rsidRPr="00080B47">
        <w:rPr>
          <w:rFonts w:cstheme="minorHAnsi"/>
          <w:szCs w:val="24"/>
          <w:lang w:val="es-ES" w:eastAsia="es-ES"/>
        </w:rPr>
        <w:t>el adecuado conocimiento de los procedimientos internos, herramientas y criterios técnicos aplicables.</w:t>
      </w:r>
    </w:p>
    <w:p w14:paraId="4F199CE1" w14:textId="77777777" w:rsidR="00291446" w:rsidRDefault="00291446" w:rsidP="004844F6">
      <w:pPr>
        <w:tabs>
          <w:tab w:val="clear" w:pos="567"/>
          <w:tab w:val="clear" w:pos="1134"/>
          <w:tab w:val="clear" w:pos="1701"/>
          <w:tab w:val="clear" w:pos="2268"/>
          <w:tab w:val="clear" w:pos="2835"/>
        </w:tabs>
        <w:spacing w:after="120"/>
        <w:jc w:val="both"/>
        <w:rPr>
          <w:rFonts w:cstheme="minorHAnsi"/>
          <w:szCs w:val="24"/>
          <w:lang w:val="es-ES" w:eastAsia="es-ES"/>
        </w:rPr>
      </w:pPr>
      <w:r>
        <w:rPr>
          <w:rFonts w:cstheme="minorHAnsi"/>
          <w:szCs w:val="24"/>
          <w:lang w:val="es-ES" w:eastAsia="es-ES"/>
        </w:rPr>
        <w:t>Luego de esta capacitación presencial, los profesionales podrían continuar colaborando en forma remota con los trabajos necesarios en la UIT, por un plazo de 2 años, y, finalizado ese período, se podrían contratar esos mismos profesionales en la plantilla estable de la UIT, para continuar la tarea de personal de la UIT que se haya retirado en ese mismo período.</w:t>
      </w:r>
    </w:p>
    <w:p w14:paraId="24A433EA" w14:textId="2EEA9108" w:rsidR="00291446" w:rsidRPr="00080B47" w:rsidRDefault="00291446" w:rsidP="004844F6">
      <w:pPr>
        <w:tabs>
          <w:tab w:val="clear" w:pos="567"/>
          <w:tab w:val="clear" w:pos="1134"/>
          <w:tab w:val="clear" w:pos="1701"/>
          <w:tab w:val="clear" w:pos="2268"/>
          <w:tab w:val="clear" w:pos="2835"/>
        </w:tabs>
        <w:spacing w:after="120"/>
        <w:jc w:val="both"/>
        <w:rPr>
          <w:rFonts w:cstheme="minorHAnsi"/>
          <w:szCs w:val="24"/>
          <w:lang w:val="es-ES" w:eastAsia="es-ES"/>
        </w:rPr>
      </w:pPr>
      <w:r>
        <w:rPr>
          <w:rFonts w:cstheme="minorHAnsi"/>
          <w:szCs w:val="24"/>
          <w:lang w:val="es-ES" w:eastAsia="es-ES"/>
        </w:rPr>
        <w:t xml:space="preserve">De este modo, se estima que se logrará reducir el </w:t>
      </w:r>
      <w:r w:rsidR="002C665F">
        <w:rPr>
          <w:rFonts w:cstheme="minorHAnsi"/>
          <w:szCs w:val="24"/>
          <w:lang w:val="es-ES" w:eastAsia="es-ES"/>
        </w:rPr>
        <w:t>atraso</w:t>
      </w:r>
      <w:r>
        <w:rPr>
          <w:rFonts w:cstheme="minorHAnsi"/>
          <w:szCs w:val="24"/>
          <w:lang w:val="es-ES" w:eastAsia="es-ES"/>
        </w:rPr>
        <w:t xml:space="preserve">, capacitar nuevos recursos y planificar la continuidad de la tarea considerando el retiro de personal que cumple los requisitos para retirarse de sus funciones en la UIT. Asimismo, reducir el </w:t>
      </w:r>
      <w:r w:rsidR="002C665F">
        <w:rPr>
          <w:rFonts w:cstheme="minorHAnsi"/>
          <w:szCs w:val="24"/>
          <w:lang w:val="es-ES" w:eastAsia="es-ES"/>
        </w:rPr>
        <w:t>atraso</w:t>
      </w:r>
      <w:r>
        <w:rPr>
          <w:rFonts w:cstheme="minorHAnsi"/>
          <w:szCs w:val="24"/>
          <w:lang w:val="es-ES" w:eastAsia="es-ES"/>
        </w:rPr>
        <w:t xml:space="preserve"> permitirá disponer del presupuesto que se encuentra ya en poder de la </w:t>
      </w:r>
      <w:proofErr w:type="gramStart"/>
      <w:r>
        <w:rPr>
          <w:rFonts w:cstheme="minorHAnsi"/>
          <w:szCs w:val="24"/>
          <w:lang w:val="es-ES" w:eastAsia="es-ES"/>
        </w:rPr>
        <w:t>UIT</w:t>
      </w:r>
      <w:proofErr w:type="gramEnd"/>
      <w:r>
        <w:rPr>
          <w:rFonts w:cstheme="minorHAnsi"/>
          <w:szCs w:val="24"/>
          <w:lang w:val="es-ES" w:eastAsia="es-ES"/>
        </w:rPr>
        <w:t xml:space="preserve"> pero del que no es posible disponer por no haber finalizado la tarea de análisis de las tramitaciones correspondientes.</w:t>
      </w:r>
    </w:p>
    <w:p w14:paraId="51AF200C" w14:textId="77777777" w:rsidR="00434E64" w:rsidRPr="007F0374" w:rsidRDefault="00001483" w:rsidP="004844F6">
      <w:pPr>
        <w:tabs>
          <w:tab w:val="clear" w:pos="567"/>
          <w:tab w:val="clear" w:pos="1134"/>
          <w:tab w:val="clear" w:pos="1701"/>
          <w:tab w:val="clear" w:pos="2268"/>
          <w:tab w:val="clear" w:pos="2835"/>
        </w:tabs>
        <w:spacing w:after="120"/>
        <w:rPr>
          <w:rFonts w:cstheme="minorHAnsi"/>
        </w:rPr>
      </w:pPr>
      <w:r>
        <w:rPr>
          <w:rFonts w:cstheme="minorHAnsi"/>
        </w:rPr>
        <w:pict w14:anchorId="69425775">
          <v:rect id="_x0000_i1028" style="width:0;height:1.5pt" o:hralign="center" o:hrstd="t" o:hr="t" fillcolor="#a0a0a0" stroked="f"/>
        </w:pict>
      </w:r>
    </w:p>
    <w:p w14:paraId="006A6500" w14:textId="09C4281C" w:rsidR="00434E64" w:rsidRPr="007F0374" w:rsidRDefault="00291446" w:rsidP="004844F6">
      <w:pPr>
        <w:pStyle w:val="Heading2"/>
        <w:keepNext w:val="0"/>
        <w:keepLines w:val="0"/>
        <w:numPr>
          <w:ilvl w:val="0"/>
          <w:numId w:val="12"/>
        </w:numPr>
        <w:tabs>
          <w:tab w:val="clear" w:pos="567"/>
          <w:tab w:val="clear" w:pos="1134"/>
          <w:tab w:val="clear" w:pos="1701"/>
          <w:tab w:val="clear" w:pos="2268"/>
          <w:tab w:val="clear" w:pos="2835"/>
        </w:tabs>
        <w:spacing w:before="240" w:after="120"/>
        <w:ind w:hanging="720"/>
        <w:rPr>
          <w:rFonts w:asciiTheme="minorHAnsi" w:hAnsiTheme="minorHAnsi" w:cstheme="minorHAnsi"/>
          <w:sz w:val="28"/>
          <w:szCs w:val="28"/>
        </w:rPr>
      </w:pPr>
      <w:r>
        <w:rPr>
          <w:rFonts w:asciiTheme="minorHAnsi" w:hAnsiTheme="minorHAnsi" w:cstheme="minorHAnsi"/>
          <w:sz w:val="28"/>
          <w:szCs w:val="28"/>
        </w:rPr>
        <w:t>Conclusión</w:t>
      </w:r>
    </w:p>
    <w:p w14:paraId="51DF4C25" w14:textId="0C2392E1" w:rsidR="00291446" w:rsidRPr="00512D53" w:rsidRDefault="00291446" w:rsidP="004844F6">
      <w:pPr>
        <w:tabs>
          <w:tab w:val="clear" w:pos="567"/>
          <w:tab w:val="clear" w:pos="1134"/>
          <w:tab w:val="clear" w:pos="1701"/>
          <w:tab w:val="clear" w:pos="2268"/>
          <w:tab w:val="clear" w:pos="2835"/>
        </w:tabs>
        <w:spacing w:after="120"/>
        <w:jc w:val="both"/>
        <w:rPr>
          <w:rFonts w:cstheme="minorHAnsi"/>
          <w:szCs w:val="24"/>
          <w:lang w:val="es-ES" w:eastAsia="es-ES"/>
        </w:rPr>
      </w:pPr>
      <w:r w:rsidRPr="00080B47">
        <w:rPr>
          <w:rFonts w:cstheme="minorHAnsi"/>
          <w:szCs w:val="24"/>
          <w:lang w:val="es-ES" w:eastAsia="es-ES"/>
        </w:rPr>
        <w:t xml:space="preserve">La </w:t>
      </w:r>
      <w:r>
        <w:rPr>
          <w:rFonts w:cstheme="minorHAnsi"/>
          <w:szCs w:val="24"/>
          <w:lang w:val="es-ES" w:eastAsia="es-ES"/>
        </w:rPr>
        <w:t>Administración</w:t>
      </w:r>
      <w:r w:rsidRPr="00080B47">
        <w:rPr>
          <w:rFonts w:cstheme="minorHAnsi"/>
          <w:szCs w:val="24"/>
          <w:lang w:val="es-ES" w:eastAsia="es-ES"/>
        </w:rPr>
        <w:t xml:space="preserve"> Argentina considera que la adopción de las medidas propuestas contribuirá de manera significativa a reducir el </w:t>
      </w:r>
      <w:r>
        <w:rPr>
          <w:rFonts w:cstheme="minorHAnsi"/>
          <w:szCs w:val="24"/>
          <w:lang w:val="es-ES" w:eastAsia="es-ES"/>
        </w:rPr>
        <w:t>retraso en el análisis de las redes y sistemas de satélites (</w:t>
      </w:r>
      <w:r w:rsidR="002C665F">
        <w:rPr>
          <w:rFonts w:cstheme="minorHAnsi"/>
          <w:szCs w:val="24"/>
          <w:lang w:val="es-ES" w:eastAsia="es-ES"/>
        </w:rPr>
        <w:t>atraso</w:t>
      </w:r>
      <w:r w:rsidRPr="00080B47">
        <w:rPr>
          <w:rFonts w:cstheme="minorHAnsi"/>
          <w:szCs w:val="24"/>
          <w:lang w:val="es-ES" w:eastAsia="es-ES"/>
        </w:rPr>
        <w:t xml:space="preserve"> actual</w:t>
      </w:r>
      <w:r>
        <w:rPr>
          <w:rFonts w:cstheme="minorHAnsi"/>
          <w:szCs w:val="24"/>
          <w:lang w:val="es-ES" w:eastAsia="es-ES"/>
        </w:rPr>
        <w:t>)</w:t>
      </w:r>
      <w:r w:rsidRPr="00080B47">
        <w:rPr>
          <w:rFonts w:cstheme="minorHAnsi"/>
          <w:szCs w:val="24"/>
          <w:lang w:val="es-ES" w:eastAsia="es-ES"/>
        </w:rPr>
        <w:t xml:space="preserve">, fortalecer la eficiencia del Departamento de Servicios Espaciales y asegurar la sostenibilidad financiera y operativa de la UIT en el ámbito de los </w:t>
      </w:r>
      <w:r>
        <w:rPr>
          <w:rFonts w:cstheme="minorHAnsi"/>
          <w:szCs w:val="24"/>
          <w:lang w:val="es-ES" w:eastAsia="es-ES"/>
        </w:rPr>
        <w:t>Servicios Espaciales.</w:t>
      </w:r>
    </w:p>
    <w:p w14:paraId="1E047CEB" w14:textId="77777777" w:rsidR="00F92BED" w:rsidRPr="00F92BED" w:rsidRDefault="00F92BED" w:rsidP="004844F6">
      <w:pPr>
        <w:tabs>
          <w:tab w:val="clear" w:pos="567"/>
          <w:tab w:val="clear" w:pos="1134"/>
          <w:tab w:val="clear" w:pos="1701"/>
          <w:tab w:val="clear" w:pos="2268"/>
          <w:tab w:val="clear" w:pos="2835"/>
        </w:tabs>
        <w:spacing w:before="720"/>
        <w:jc w:val="center"/>
      </w:pPr>
      <w:r>
        <w:t>______________</w:t>
      </w:r>
    </w:p>
    <w:sectPr w:rsidR="00F92BED" w:rsidRPr="00F92BED" w:rsidSect="00C538FC">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87F3" w14:textId="77777777" w:rsidR="0018119E" w:rsidRDefault="0018119E">
      <w:r>
        <w:separator/>
      </w:r>
    </w:p>
  </w:endnote>
  <w:endnote w:type="continuationSeparator" w:id="0">
    <w:p w14:paraId="7B8B25A7" w14:textId="77777777" w:rsidR="0018119E" w:rsidRDefault="0018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F89D7A0" w14:textId="77777777" w:rsidTr="00437F15">
      <w:trPr>
        <w:jc w:val="center"/>
      </w:trPr>
      <w:tc>
        <w:tcPr>
          <w:tcW w:w="1803" w:type="dxa"/>
          <w:vAlign w:val="center"/>
        </w:tcPr>
        <w:p w14:paraId="4B0B336E" w14:textId="77777777" w:rsidR="003273A4" w:rsidRDefault="002946E2" w:rsidP="003273A4">
          <w:pPr>
            <w:pStyle w:val="Header"/>
            <w:jc w:val="left"/>
            <w:rPr>
              <w:noProof/>
            </w:rPr>
          </w:pPr>
          <w:r>
            <w:rPr>
              <w:noProof/>
            </w:rPr>
            <w:t>gDoc #</w:t>
          </w:r>
        </w:p>
      </w:tc>
      <w:tc>
        <w:tcPr>
          <w:tcW w:w="8261" w:type="dxa"/>
        </w:tcPr>
        <w:p w14:paraId="07C0EE7D" w14:textId="01E017B1"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844F6">
            <w:rPr>
              <w:bCs/>
            </w:rPr>
            <w:t>75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621E107"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48B71A4" w14:textId="77777777" w:rsidTr="00437F15">
      <w:trPr>
        <w:jc w:val="center"/>
      </w:trPr>
      <w:tc>
        <w:tcPr>
          <w:tcW w:w="1803" w:type="dxa"/>
          <w:vAlign w:val="center"/>
        </w:tcPr>
        <w:p w14:paraId="2AB14CB8" w14:textId="77777777" w:rsidR="00F24B71" w:rsidRPr="002946E2" w:rsidRDefault="00F85E5C" w:rsidP="00F24B71">
          <w:pPr>
            <w:pStyle w:val="Header"/>
            <w:jc w:val="left"/>
            <w:rPr>
              <w:noProof/>
            </w:rPr>
          </w:pPr>
          <w:hyperlink r:id="rId1" w:anchor="/es" w:history="1">
            <w:r>
              <w:rPr>
                <w:rStyle w:val="Hyperlink"/>
                <w:noProof/>
                <w:color w:val="4F81BD" w:themeColor="accent1"/>
                <w:u w:val="none"/>
              </w:rPr>
              <w:t>council.itu.int/2026</w:t>
            </w:r>
          </w:hyperlink>
          <w:r w:rsidR="002946E2" w:rsidRPr="002946E2">
            <w:rPr>
              <w:noProof/>
            </w:rPr>
            <w:t xml:space="preserve"> </w:t>
          </w:r>
        </w:p>
      </w:tc>
      <w:tc>
        <w:tcPr>
          <w:tcW w:w="8261" w:type="dxa"/>
        </w:tcPr>
        <w:p w14:paraId="6ED8F712" w14:textId="6EE95918"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844F6">
            <w:rPr>
              <w:bCs/>
            </w:rPr>
            <w:t>75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44935D0C"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188E" w14:textId="77777777" w:rsidR="0018119E" w:rsidRDefault="0018119E">
      <w:r>
        <w:t>____________________</w:t>
      </w:r>
    </w:p>
  </w:footnote>
  <w:footnote w:type="continuationSeparator" w:id="0">
    <w:p w14:paraId="57A0778E" w14:textId="77777777" w:rsidR="0018119E" w:rsidRDefault="00181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9824" w14:textId="77777777" w:rsidR="001559F5" w:rsidRPr="00B1560D" w:rsidRDefault="00B1560D" w:rsidP="00B1560D">
    <w:pPr>
      <w:pStyle w:val="Header"/>
    </w:pPr>
    <w:r>
      <w:rPr>
        <w:noProof/>
      </w:rPr>
      <w:drawing>
        <wp:inline distT="0" distB="0" distL="0" distR="0" wp14:anchorId="42086835" wp14:editId="57928468">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44F"/>
    <w:multiLevelType w:val="multilevel"/>
    <w:tmpl w:val="E20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36CAC"/>
    <w:multiLevelType w:val="multilevel"/>
    <w:tmpl w:val="C46C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A75D7"/>
    <w:multiLevelType w:val="multilevel"/>
    <w:tmpl w:val="2F96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91BFE"/>
    <w:multiLevelType w:val="multilevel"/>
    <w:tmpl w:val="2F14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E477A"/>
    <w:multiLevelType w:val="multilevel"/>
    <w:tmpl w:val="9D900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81970"/>
    <w:multiLevelType w:val="multilevel"/>
    <w:tmpl w:val="2B72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E3C26"/>
    <w:multiLevelType w:val="multilevel"/>
    <w:tmpl w:val="98D0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F3655"/>
    <w:multiLevelType w:val="multilevel"/>
    <w:tmpl w:val="1E7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70089"/>
    <w:multiLevelType w:val="hybridMultilevel"/>
    <w:tmpl w:val="75166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4522C"/>
    <w:multiLevelType w:val="multilevel"/>
    <w:tmpl w:val="4C28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F6B9D"/>
    <w:multiLevelType w:val="multilevel"/>
    <w:tmpl w:val="7F8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E056C"/>
    <w:multiLevelType w:val="hybridMultilevel"/>
    <w:tmpl w:val="485C4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859308">
    <w:abstractNumId w:val="3"/>
  </w:num>
  <w:num w:numId="2" w16cid:durableId="1383409814">
    <w:abstractNumId w:val="10"/>
  </w:num>
  <w:num w:numId="3" w16cid:durableId="2103144811">
    <w:abstractNumId w:val="6"/>
  </w:num>
  <w:num w:numId="4" w16cid:durableId="1816677469">
    <w:abstractNumId w:val="0"/>
  </w:num>
  <w:num w:numId="5" w16cid:durableId="1073091798">
    <w:abstractNumId w:val="9"/>
  </w:num>
  <w:num w:numId="6" w16cid:durableId="193887435">
    <w:abstractNumId w:val="4"/>
  </w:num>
  <w:num w:numId="7" w16cid:durableId="1138378815">
    <w:abstractNumId w:val="2"/>
  </w:num>
  <w:num w:numId="8" w16cid:durableId="1745184242">
    <w:abstractNumId w:val="8"/>
  </w:num>
  <w:num w:numId="9" w16cid:durableId="711072507">
    <w:abstractNumId w:val="5"/>
  </w:num>
  <w:num w:numId="10" w16cid:durableId="1964459910">
    <w:abstractNumId w:val="7"/>
  </w:num>
  <w:num w:numId="11" w16cid:durableId="1216702754">
    <w:abstractNumId w:val="1"/>
  </w:num>
  <w:num w:numId="12" w16cid:durableId="1568104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B1"/>
    <w:rsid w:val="000007D1"/>
    <w:rsid w:val="00001483"/>
    <w:rsid w:val="000175E8"/>
    <w:rsid w:val="00050307"/>
    <w:rsid w:val="0006007D"/>
    <w:rsid w:val="00093EEB"/>
    <w:rsid w:val="000B0D00"/>
    <w:rsid w:val="000B7C15"/>
    <w:rsid w:val="000D1D0F"/>
    <w:rsid w:val="000E3F07"/>
    <w:rsid w:val="000F5290"/>
    <w:rsid w:val="0010165C"/>
    <w:rsid w:val="001317F9"/>
    <w:rsid w:val="001335F9"/>
    <w:rsid w:val="00146BFB"/>
    <w:rsid w:val="001559F5"/>
    <w:rsid w:val="00157AC4"/>
    <w:rsid w:val="0016169C"/>
    <w:rsid w:val="0018119E"/>
    <w:rsid w:val="001958F5"/>
    <w:rsid w:val="001A1BF7"/>
    <w:rsid w:val="001B6E2B"/>
    <w:rsid w:val="001F14A2"/>
    <w:rsid w:val="002319E8"/>
    <w:rsid w:val="00247B91"/>
    <w:rsid w:val="00250F8B"/>
    <w:rsid w:val="00277DEA"/>
    <w:rsid w:val="002801AA"/>
    <w:rsid w:val="00291446"/>
    <w:rsid w:val="002946E2"/>
    <w:rsid w:val="002C3F32"/>
    <w:rsid w:val="002C4676"/>
    <w:rsid w:val="002C665F"/>
    <w:rsid w:val="002C70B0"/>
    <w:rsid w:val="002F0E9C"/>
    <w:rsid w:val="002F3CC4"/>
    <w:rsid w:val="003032E2"/>
    <w:rsid w:val="0031300A"/>
    <w:rsid w:val="003273A4"/>
    <w:rsid w:val="00327A18"/>
    <w:rsid w:val="003434E9"/>
    <w:rsid w:val="0034796E"/>
    <w:rsid w:val="003B1112"/>
    <w:rsid w:val="00434E64"/>
    <w:rsid w:val="00437F15"/>
    <w:rsid w:val="004571B0"/>
    <w:rsid w:val="00465C35"/>
    <w:rsid w:val="00473962"/>
    <w:rsid w:val="004844F6"/>
    <w:rsid w:val="0049075E"/>
    <w:rsid w:val="004B5D49"/>
    <w:rsid w:val="004B5DDA"/>
    <w:rsid w:val="004C55E4"/>
    <w:rsid w:val="004D3A3C"/>
    <w:rsid w:val="004D7312"/>
    <w:rsid w:val="0050705B"/>
    <w:rsid w:val="0051028E"/>
    <w:rsid w:val="00513630"/>
    <w:rsid w:val="00523633"/>
    <w:rsid w:val="00554FC3"/>
    <w:rsid w:val="00560125"/>
    <w:rsid w:val="00585553"/>
    <w:rsid w:val="005B34D9"/>
    <w:rsid w:val="005D0CCF"/>
    <w:rsid w:val="005F3BCB"/>
    <w:rsid w:val="005F410F"/>
    <w:rsid w:val="0060149A"/>
    <w:rsid w:val="00601924"/>
    <w:rsid w:val="006447EA"/>
    <w:rsid w:val="0064481D"/>
    <w:rsid w:val="0064731F"/>
    <w:rsid w:val="00664572"/>
    <w:rsid w:val="00666D09"/>
    <w:rsid w:val="00670579"/>
    <w:rsid w:val="006710F6"/>
    <w:rsid w:val="00677A97"/>
    <w:rsid w:val="006874B1"/>
    <w:rsid w:val="006A6667"/>
    <w:rsid w:val="006B2922"/>
    <w:rsid w:val="006C1B56"/>
    <w:rsid w:val="006D4761"/>
    <w:rsid w:val="00726872"/>
    <w:rsid w:val="00760F1C"/>
    <w:rsid w:val="007657F0"/>
    <w:rsid w:val="0077110E"/>
    <w:rsid w:val="0077252D"/>
    <w:rsid w:val="007732F6"/>
    <w:rsid w:val="00786F3C"/>
    <w:rsid w:val="007955DA"/>
    <w:rsid w:val="007E37B6"/>
    <w:rsid w:val="007E5DD3"/>
    <w:rsid w:val="007F350B"/>
    <w:rsid w:val="00812690"/>
    <w:rsid w:val="00820BE4"/>
    <w:rsid w:val="008451E8"/>
    <w:rsid w:val="0084546D"/>
    <w:rsid w:val="0085385A"/>
    <w:rsid w:val="008B1F35"/>
    <w:rsid w:val="008F6ABC"/>
    <w:rsid w:val="00913B9C"/>
    <w:rsid w:val="00927F93"/>
    <w:rsid w:val="00956E77"/>
    <w:rsid w:val="00980CFD"/>
    <w:rsid w:val="009A338E"/>
    <w:rsid w:val="009A76A8"/>
    <w:rsid w:val="009F4811"/>
    <w:rsid w:val="00A109AF"/>
    <w:rsid w:val="00A6107C"/>
    <w:rsid w:val="00A94438"/>
    <w:rsid w:val="00AA390C"/>
    <w:rsid w:val="00AA547A"/>
    <w:rsid w:val="00AD44E7"/>
    <w:rsid w:val="00AD5A4D"/>
    <w:rsid w:val="00AF0EAC"/>
    <w:rsid w:val="00B0200A"/>
    <w:rsid w:val="00B0345C"/>
    <w:rsid w:val="00B060DF"/>
    <w:rsid w:val="00B12392"/>
    <w:rsid w:val="00B1560D"/>
    <w:rsid w:val="00B359B5"/>
    <w:rsid w:val="00B574DB"/>
    <w:rsid w:val="00B57CC0"/>
    <w:rsid w:val="00B826C2"/>
    <w:rsid w:val="00B8298E"/>
    <w:rsid w:val="00BB6FD8"/>
    <w:rsid w:val="00BD0723"/>
    <w:rsid w:val="00BD2518"/>
    <w:rsid w:val="00BF1D1C"/>
    <w:rsid w:val="00C20C59"/>
    <w:rsid w:val="00C2727F"/>
    <w:rsid w:val="00C4421B"/>
    <w:rsid w:val="00C538FC"/>
    <w:rsid w:val="00C55B1F"/>
    <w:rsid w:val="00C655C7"/>
    <w:rsid w:val="00C9543F"/>
    <w:rsid w:val="00CC4944"/>
    <w:rsid w:val="00CF1A67"/>
    <w:rsid w:val="00D2750E"/>
    <w:rsid w:val="00D375E0"/>
    <w:rsid w:val="00D50A36"/>
    <w:rsid w:val="00D537BD"/>
    <w:rsid w:val="00D62446"/>
    <w:rsid w:val="00DA4EA2"/>
    <w:rsid w:val="00DB276B"/>
    <w:rsid w:val="00DC3D3E"/>
    <w:rsid w:val="00DE2C90"/>
    <w:rsid w:val="00DE3B24"/>
    <w:rsid w:val="00DE7376"/>
    <w:rsid w:val="00E06947"/>
    <w:rsid w:val="00E11319"/>
    <w:rsid w:val="00E21444"/>
    <w:rsid w:val="00E34072"/>
    <w:rsid w:val="00E3592D"/>
    <w:rsid w:val="00E50D76"/>
    <w:rsid w:val="00E60D7F"/>
    <w:rsid w:val="00E8018B"/>
    <w:rsid w:val="00E9192C"/>
    <w:rsid w:val="00E92DE8"/>
    <w:rsid w:val="00EB1212"/>
    <w:rsid w:val="00EC29A7"/>
    <w:rsid w:val="00ED65AB"/>
    <w:rsid w:val="00F12850"/>
    <w:rsid w:val="00F24B71"/>
    <w:rsid w:val="00F33BF4"/>
    <w:rsid w:val="00F7105E"/>
    <w:rsid w:val="00F75F57"/>
    <w:rsid w:val="00F82FEE"/>
    <w:rsid w:val="00F85E5C"/>
    <w:rsid w:val="00F92BED"/>
    <w:rsid w:val="00FA17AB"/>
    <w:rsid w:val="00FB3B81"/>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781B027"/>
  <w15:docId w15:val="{9F1BACC1-761D-4B6A-BBB2-541FB77A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NormalWeb">
    <w:name w:val="Normal (Web)"/>
    <w:basedOn w:val="Normal"/>
    <w:uiPriority w:val="99"/>
    <w:semiHidden/>
    <w:unhideWhenUsed/>
    <w:rsid w:val="00434E6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s-ES" w:eastAsia="es-ES"/>
    </w:rPr>
  </w:style>
  <w:style w:type="character" w:styleId="Strong">
    <w:name w:val="Strong"/>
    <w:basedOn w:val="DefaultParagraphFont"/>
    <w:uiPriority w:val="22"/>
    <w:qFormat/>
    <w:rsid w:val="00434E64"/>
    <w:rPr>
      <w:b/>
      <w:bCs/>
    </w:rPr>
  </w:style>
  <w:style w:type="character" w:styleId="CommentReference">
    <w:name w:val="annotation reference"/>
    <w:basedOn w:val="DefaultParagraphFont"/>
    <w:semiHidden/>
    <w:unhideWhenUsed/>
    <w:rsid w:val="004B5DDA"/>
    <w:rPr>
      <w:sz w:val="16"/>
      <w:szCs w:val="16"/>
    </w:rPr>
  </w:style>
  <w:style w:type="paragraph" w:styleId="CommentText">
    <w:name w:val="annotation text"/>
    <w:basedOn w:val="Normal"/>
    <w:link w:val="CommentTextChar"/>
    <w:unhideWhenUsed/>
    <w:rsid w:val="004B5DDA"/>
    <w:rPr>
      <w:sz w:val="20"/>
    </w:rPr>
  </w:style>
  <w:style w:type="character" w:customStyle="1" w:styleId="CommentTextChar">
    <w:name w:val="Comment Text Char"/>
    <w:basedOn w:val="DefaultParagraphFont"/>
    <w:link w:val="CommentText"/>
    <w:rsid w:val="004B5DDA"/>
    <w:rPr>
      <w:rFonts w:ascii="Calibri" w:hAnsi="Calibri"/>
      <w:lang w:val="es-ES_tradnl" w:eastAsia="en-US"/>
    </w:rPr>
  </w:style>
  <w:style w:type="paragraph" w:styleId="CommentSubject">
    <w:name w:val="annotation subject"/>
    <w:basedOn w:val="CommentText"/>
    <w:next w:val="CommentText"/>
    <w:link w:val="CommentSubjectChar"/>
    <w:semiHidden/>
    <w:unhideWhenUsed/>
    <w:rsid w:val="004B5DDA"/>
    <w:rPr>
      <w:b/>
      <w:bCs/>
    </w:rPr>
  </w:style>
  <w:style w:type="character" w:customStyle="1" w:styleId="CommentSubjectChar">
    <w:name w:val="Comment Subject Char"/>
    <w:basedOn w:val="CommentTextChar"/>
    <w:link w:val="CommentSubject"/>
    <w:semiHidden/>
    <w:rsid w:val="004B5DDA"/>
    <w:rPr>
      <w:rFonts w:ascii="Calibri" w:hAnsi="Calibri"/>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5/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dmsweb.itu.int/publ/R-REG-RR-2024/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870</Words>
  <Characters>5116</Characters>
  <Application>Microsoft Office Word</Application>
  <DocSecurity>0</DocSecurity>
  <Lines>82</Lines>
  <Paragraphs>47</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
      <vt:lpstr/>
    </vt:vector>
  </TitlesOfParts>
  <Manager>Secretaría General - Pool</Manager>
  <Company>International Telecommunication Union</Company>
  <LinksUpToDate>false</LinksUpToDate>
  <CharactersWithSpaces>5939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Argentina -Propuesta para la reducción del atraso (backlog) en el análisis de redes y sistemas de satélites en el departamento de servicios espaciales de la UIT</dc:title>
  <dc:subject>Consejo 2026 de la UIT</dc:subject>
  <dc:creator/>
  <cp:keywords>C26; C2026; Council 2026; PP26</cp:keywords>
  <dc:description/>
  <cp:lastModifiedBy>GBS</cp:lastModifiedBy>
  <cp:revision>3</cp:revision>
  <cp:lastPrinted>2026-04-07T19:05:00Z</cp:lastPrinted>
  <dcterms:created xsi:type="dcterms:W3CDTF">2026-04-13T09:27:00Z</dcterms:created>
  <dcterms:modified xsi:type="dcterms:W3CDTF">2026-04-13T09:38:00Z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