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7824D0" w14:paraId="6D38FDC4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308BE87" w14:textId="132DFA24" w:rsidR="00796BD3" w:rsidRPr="007824D0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7824D0">
              <w:rPr>
                <w:b/>
                <w:lang w:val="ru-RU"/>
              </w:rPr>
              <w:t>Пункт повестки дня:</w:t>
            </w:r>
            <w:r w:rsidR="007824D0" w:rsidRPr="007824D0">
              <w:rPr>
                <w:lang w:val="ru-RU"/>
              </w:rPr>
              <w:t xml:space="preserve"> </w:t>
            </w:r>
            <w:r w:rsidR="007824D0" w:rsidRPr="007824D0">
              <w:rPr>
                <w:b/>
                <w:lang w:val="ru-RU"/>
              </w:rPr>
              <w:t>ADM 1</w:t>
            </w:r>
          </w:p>
        </w:tc>
        <w:tc>
          <w:tcPr>
            <w:tcW w:w="5245" w:type="dxa"/>
          </w:tcPr>
          <w:p w14:paraId="3182425F" w14:textId="02287DFB" w:rsidR="00796BD3" w:rsidRPr="007824D0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7824D0">
              <w:rPr>
                <w:b/>
                <w:lang w:val="ru-RU"/>
              </w:rPr>
              <w:t xml:space="preserve">Документ </w:t>
            </w:r>
            <w:r w:rsidR="00796BD3" w:rsidRPr="007824D0">
              <w:rPr>
                <w:b/>
                <w:lang w:val="ru-RU"/>
              </w:rPr>
              <w:t>C2</w:t>
            </w:r>
            <w:r w:rsidR="00BE00DD" w:rsidRPr="007824D0">
              <w:rPr>
                <w:b/>
                <w:lang w:val="ru-RU"/>
              </w:rPr>
              <w:t>6</w:t>
            </w:r>
            <w:r w:rsidR="00796BD3" w:rsidRPr="007824D0">
              <w:rPr>
                <w:b/>
                <w:lang w:val="ru-RU"/>
              </w:rPr>
              <w:t>/</w:t>
            </w:r>
            <w:r w:rsidR="007824D0" w:rsidRPr="007824D0">
              <w:rPr>
                <w:b/>
                <w:lang w:val="ru-RU"/>
              </w:rPr>
              <w:t>75</w:t>
            </w:r>
            <w:r w:rsidR="00796BD3" w:rsidRPr="007824D0">
              <w:rPr>
                <w:b/>
                <w:lang w:val="ru-RU"/>
              </w:rPr>
              <w:t>-R</w:t>
            </w:r>
          </w:p>
        </w:tc>
      </w:tr>
      <w:tr w:rsidR="00796BD3" w:rsidRPr="007824D0" w14:paraId="0D56EAD1" w14:textId="77777777" w:rsidTr="00D17718">
        <w:trPr>
          <w:cantSplit/>
        </w:trPr>
        <w:tc>
          <w:tcPr>
            <w:tcW w:w="3969" w:type="dxa"/>
            <w:vMerge/>
          </w:tcPr>
          <w:p w14:paraId="3E6C3E71" w14:textId="77777777" w:rsidR="00796BD3" w:rsidRPr="007824D0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9A440CD" w14:textId="5EA535A6" w:rsidR="00796BD3" w:rsidRPr="007824D0" w:rsidRDefault="007824D0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7824D0">
              <w:rPr>
                <w:b/>
                <w:lang w:val="ru-RU"/>
              </w:rPr>
              <w:t>10 апреля 2026 года</w:t>
            </w:r>
          </w:p>
        </w:tc>
      </w:tr>
      <w:tr w:rsidR="00796BD3" w:rsidRPr="007824D0" w14:paraId="3B984978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5A7B0E72" w14:textId="77777777" w:rsidR="00796BD3" w:rsidRPr="007824D0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3DE5FFEF" w14:textId="48CCCF14" w:rsidR="00796BD3" w:rsidRPr="007824D0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7824D0">
              <w:rPr>
                <w:b/>
                <w:lang w:val="ru-RU"/>
              </w:rPr>
              <w:t xml:space="preserve">Оригинал: </w:t>
            </w:r>
            <w:r w:rsidR="007824D0" w:rsidRPr="007824D0">
              <w:rPr>
                <w:b/>
                <w:lang w:val="ru-RU"/>
              </w:rPr>
              <w:t>испанский</w:t>
            </w:r>
          </w:p>
        </w:tc>
      </w:tr>
      <w:tr w:rsidR="00796BD3" w:rsidRPr="007824D0" w14:paraId="3F400491" w14:textId="77777777" w:rsidTr="00D17718">
        <w:trPr>
          <w:cantSplit/>
          <w:trHeight w:val="23"/>
        </w:trPr>
        <w:tc>
          <w:tcPr>
            <w:tcW w:w="3969" w:type="dxa"/>
          </w:tcPr>
          <w:p w14:paraId="5C474BAC" w14:textId="77777777" w:rsidR="00796BD3" w:rsidRPr="007824D0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362EDF79" w14:textId="77777777" w:rsidR="00796BD3" w:rsidRPr="007824D0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7824D0" w14:paraId="7F9210A0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5FBFFD3" w14:textId="1C6391ED" w:rsidR="00796BD3" w:rsidRPr="007824D0" w:rsidRDefault="007824D0" w:rsidP="00E83ECD">
            <w:pPr>
              <w:pStyle w:val="Source"/>
              <w:framePr w:hSpace="0" w:wrap="auto" w:vAnchor="margin" w:hAnchor="text" w:xAlign="left" w:yAlign="inline"/>
              <w:spacing w:before="840"/>
              <w:suppressOverlap w:val="0"/>
            </w:pPr>
            <w:bookmarkStart w:id="5" w:name="dsource" w:colFirst="0" w:colLast="0"/>
            <w:bookmarkEnd w:id="4"/>
            <w:r w:rsidRPr="007824D0">
              <w:rPr>
                <w:bCs/>
              </w:rPr>
              <w:t>Вклад Аргентинской Республики</w:t>
            </w:r>
          </w:p>
        </w:tc>
      </w:tr>
      <w:tr w:rsidR="00796BD3" w:rsidRPr="00D419B4" w14:paraId="60F82EBB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194B533" w14:textId="7EEC0985" w:rsidR="00796BD3" w:rsidRPr="007824D0" w:rsidRDefault="007824D0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7824D0">
              <w:rPr>
                <w:sz w:val="32"/>
              </w:rPr>
              <w:t>ПРЕДЛОЖЕНИЕ ПО СОКРАЩЕНИЮ НАКОПИВШЕГОСЯ ОБЪЕМА НЕВЫПОЛНЕННОЙ РАБОТЫ ПО ОБРАБОТКЕ ЗАЯВОК НА РЕГИСТРАЦИЮ СПУТНИКОВЫХ СЕТЕЙ И СИСТЕМ В ДЕПАРТАМЕНТЕ КОСМИЧЕСКИХ СЛУЖБ МСЭ</w:t>
            </w:r>
          </w:p>
        </w:tc>
      </w:tr>
      <w:tr w:rsidR="00796BD3" w:rsidRPr="00D419B4" w14:paraId="277327A8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C25A788" w14:textId="77777777" w:rsidR="00796BD3" w:rsidRPr="007824D0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7824D0">
              <w:rPr>
                <w:b/>
                <w:bCs/>
                <w:szCs w:val="22"/>
                <w:lang w:val="ru-RU"/>
              </w:rPr>
              <w:t>Назначение</w:t>
            </w:r>
          </w:p>
          <w:p w14:paraId="3B98DFF4" w14:textId="0EFA517C" w:rsidR="00796BD3" w:rsidRPr="007824D0" w:rsidRDefault="007824D0" w:rsidP="00E83ECD">
            <w:pPr>
              <w:jc w:val="both"/>
              <w:rPr>
                <w:szCs w:val="22"/>
                <w:lang w:val="ru-RU"/>
              </w:rPr>
            </w:pPr>
            <w:r w:rsidRPr="007824D0">
              <w:rPr>
                <w:szCs w:val="22"/>
                <w:lang w:val="ru-RU"/>
              </w:rPr>
              <w:t>Цель настоящего вклада заключается в том, чтобы обратить внимание на влияние накопившегося объема невыполненной работы по обработке заявок на регистрацию спутниковых сетей и систем, в первую очередь на предсказуемость регламентарного процесса и применение механизмов возмещения затрат. В нем также предлагаются меры, направленные на улучшение ситуации, в частности путем укрепления Департамента космических служб.</w:t>
            </w:r>
          </w:p>
          <w:p w14:paraId="72D45B6B" w14:textId="77777777" w:rsidR="00796BD3" w:rsidRPr="007824D0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7824D0">
              <w:rPr>
                <w:b/>
                <w:bCs/>
                <w:szCs w:val="22"/>
                <w:lang w:val="ru-RU"/>
              </w:rPr>
              <w:t>Необходимые действия Совета</w:t>
            </w:r>
          </w:p>
          <w:p w14:paraId="5B75AD9E" w14:textId="77777777" w:rsidR="007824D0" w:rsidRPr="007824D0" w:rsidRDefault="007824D0" w:rsidP="007824D0">
            <w:pPr>
              <w:rPr>
                <w:szCs w:val="22"/>
                <w:lang w:val="ru-RU"/>
              </w:rPr>
            </w:pPr>
            <w:r w:rsidRPr="007824D0">
              <w:rPr>
                <w:szCs w:val="22"/>
                <w:lang w:val="ru-RU"/>
              </w:rPr>
              <w:t>Совету МСЭ предлагается:</w:t>
            </w:r>
          </w:p>
          <w:p w14:paraId="4C925F7D" w14:textId="3A542BD8" w:rsidR="007824D0" w:rsidRPr="007824D0" w:rsidRDefault="007824D0" w:rsidP="00E83ECD">
            <w:pPr>
              <w:pStyle w:val="enumlev1"/>
              <w:jc w:val="both"/>
              <w:rPr>
                <w:szCs w:val="22"/>
                <w:lang w:val="ru-RU"/>
              </w:rPr>
            </w:pPr>
            <w:r w:rsidRPr="007824D0">
              <w:rPr>
                <w:szCs w:val="22"/>
                <w:lang w:val="ru-RU"/>
              </w:rPr>
              <w:t>•</w:t>
            </w:r>
            <w:r w:rsidRPr="007824D0">
              <w:rPr>
                <w:szCs w:val="22"/>
                <w:lang w:val="ru-RU"/>
              </w:rPr>
              <w:tab/>
              <w:t xml:space="preserve">принять к сведению ситуацию, связанную с накопившимся объемом невыполненной работы по обработке заявок на регистрацию спутниковых сетей и систем, и ее влияние на предсказуемость регламентарного процесса и применение механизмов возмещения затрат; </w:t>
            </w:r>
          </w:p>
          <w:p w14:paraId="57C41886" w14:textId="26661721" w:rsidR="00796BD3" w:rsidRPr="007824D0" w:rsidRDefault="007824D0" w:rsidP="00E83ECD">
            <w:pPr>
              <w:pStyle w:val="enumlev1"/>
              <w:jc w:val="both"/>
              <w:rPr>
                <w:szCs w:val="22"/>
                <w:lang w:val="ru-RU"/>
              </w:rPr>
            </w:pPr>
            <w:r w:rsidRPr="007824D0">
              <w:rPr>
                <w:szCs w:val="22"/>
                <w:lang w:val="ru-RU"/>
              </w:rPr>
              <w:t>•</w:t>
            </w:r>
            <w:r w:rsidRPr="007824D0">
              <w:rPr>
                <w:szCs w:val="22"/>
                <w:lang w:val="ru-RU"/>
              </w:rPr>
              <w:tab/>
              <w:t>рассмотреть предложение администрации Аргентины, касающееся укрепления Департамента космических служб путем набора дополнительного персонала категории специалистов, как указано в настоящем вкладе.</w:t>
            </w:r>
          </w:p>
          <w:p w14:paraId="08877B5A" w14:textId="77777777" w:rsidR="00796BD3" w:rsidRPr="007824D0" w:rsidRDefault="00796BD3" w:rsidP="00D17718">
            <w:pPr>
              <w:spacing w:before="160"/>
              <w:rPr>
                <w:caps/>
                <w:szCs w:val="22"/>
                <w:lang w:val="ru-RU"/>
              </w:rPr>
            </w:pPr>
            <w:r w:rsidRPr="007824D0">
              <w:rPr>
                <w:szCs w:val="22"/>
                <w:lang w:val="ru-RU"/>
              </w:rPr>
              <w:t>__________________</w:t>
            </w:r>
          </w:p>
          <w:p w14:paraId="5093DFB2" w14:textId="77777777" w:rsidR="00796BD3" w:rsidRPr="007824D0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7824D0">
              <w:rPr>
                <w:b/>
                <w:bCs/>
                <w:szCs w:val="22"/>
                <w:lang w:val="ru-RU"/>
              </w:rPr>
              <w:t>Справочные материалы</w:t>
            </w:r>
          </w:p>
          <w:p w14:paraId="53F98BC0" w14:textId="529358CF" w:rsidR="00796BD3" w:rsidRPr="007824D0" w:rsidRDefault="007824D0" w:rsidP="00D17718">
            <w:pPr>
              <w:spacing w:after="160"/>
              <w:rPr>
                <w:i/>
                <w:iCs/>
                <w:lang w:val="ru-RU"/>
              </w:rPr>
            </w:pPr>
            <w:r w:rsidRPr="007824D0">
              <w:rPr>
                <w:i/>
                <w:iCs/>
                <w:szCs w:val="22"/>
                <w:lang w:val="ru-RU"/>
              </w:rPr>
              <w:t xml:space="preserve">Документ </w:t>
            </w:r>
            <w:hyperlink r:id="rId7" w:history="1">
              <w:r w:rsidRPr="007824D0">
                <w:rPr>
                  <w:rStyle w:val="Hyperlink"/>
                  <w:i/>
                  <w:iCs/>
                  <w:szCs w:val="22"/>
                  <w:lang w:val="ru-RU"/>
                </w:rPr>
                <w:t>RRB25-3/11</w:t>
              </w:r>
            </w:hyperlink>
            <w:r w:rsidRPr="007824D0">
              <w:rPr>
                <w:i/>
                <w:iCs/>
                <w:szCs w:val="22"/>
                <w:lang w:val="ru-RU"/>
              </w:rPr>
              <w:t xml:space="preserve"> Радиорегламентарного комитета; </w:t>
            </w:r>
            <w:hyperlink r:id="rId8" w:history="1">
              <w:r w:rsidRPr="007824D0">
                <w:rPr>
                  <w:rStyle w:val="Hyperlink"/>
                  <w:i/>
                  <w:iCs/>
                  <w:szCs w:val="22"/>
                  <w:lang w:val="ru-RU"/>
                </w:rPr>
                <w:t>Регламент радиосвязи Международного союза электросвязи</w:t>
              </w:r>
            </w:hyperlink>
            <w:r w:rsidRPr="007824D0">
              <w:rPr>
                <w:i/>
                <w:iCs/>
                <w:szCs w:val="22"/>
                <w:lang w:val="ru-RU"/>
              </w:rPr>
              <w:t xml:space="preserve">; Решение </w:t>
            </w:r>
            <w:hyperlink r:id="rId9" w:history="1">
              <w:r w:rsidRPr="007824D0">
                <w:rPr>
                  <w:rStyle w:val="Hyperlink"/>
                  <w:i/>
                  <w:iCs/>
                  <w:szCs w:val="22"/>
                  <w:lang w:val="ru-RU"/>
                </w:rPr>
                <w:t>482</w:t>
              </w:r>
            </w:hyperlink>
            <w:r w:rsidRPr="007824D0">
              <w:rPr>
                <w:i/>
                <w:iCs/>
                <w:szCs w:val="22"/>
                <w:lang w:val="ru-RU"/>
              </w:rPr>
              <w:t xml:space="preserve"> Совета МСЭ</w:t>
            </w:r>
          </w:p>
        </w:tc>
      </w:tr>
      <w:bookmarkEnd w:id="2"/>
      <w:bookmarkEnd w:id="6"/>
    </w:tbl>
    <w:p w14:paraId="07C528E2" w14:textId="77777777" w:rsidR="00796BD3" w:rsidRPr="007824D0" w:rsidRDefault="00796BD3" w:rsidP="00796BD3">
      <w:pPr>
        <w:rPr>
          <w:lang w:val="ru-RU"/>
        </w:rPr>
      </w:pPr>
    </w:p>
    <w:p w14:paraId="31BE1934" w14:textId="77777777" w:rsidR="00D17718" w:rsidRPr="007824D0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64D9B515" w14:textId="77777777" w:rsidR="00165D06" w:rsidRPr="007824D0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7824D0">
        <w:rPr>
          <w:lang w:val="ru-RU"/>
        </w:rPr>
        <w:br w:type="page"/>
      </w:r>
    </w:p>
    <w:p w14:paraId="68F04750" w14:textId="77777777" w:rsidR="007824D0" w:rsidRPr="007824D0" w:rsidRDefault="007824D0" w:rsidP="00E83ECD">
      <w:pPr>
        <w:pStyle w:val="Heading1"/>
      </w:pPr>
      <w:r w:rsidRPr="007824D0">
        <w:lastRenderedPageBreak/>
        <w:t>1</w:t>
      </w:r>
      <w:r w:rsidRPr="007824D0">
        <w:tab/>
        <w:t>Введение</w:t>
      </w:r>
    </w:p>
    <w:p w14:paraId="64ECB455" w14:textId="6123ED51" w:rsidR="007824D0" w:rsidRPr="007824D0" w:rsidRDefault="007824D0" w:rsidP="00E83ECD">
      <w:pPr>
        <w:jc w:val="both"/>
        <w:rPr>
          <w:lang w:val="ru-RU"/>
        </w:rPr>
      </w:pPr>
      <w:r w:rsidRPr="007824D0">
        <w:rPr>
          <w:lang w:val="ru-RU"/>
        </w:rPr>
        <w:t>Администрация Аргентины с обеспокоенностью отмечает, что, как указано в Документе RRB25</w:t>
      </w:r>
      <w:r w:rsidRPr="007824D0">
        <w:rPr>
          <w:lang w:val="ru-RU"/>
        </w:rPr>
        <w:noBreakHyphen/>
        <w:t>3/11 Радиорегламентарного комитета, в настоящее время накопился значительный объем невыполненной работы по обработке заявок на регистрацию спутниковых сетей и систем, представленных администрациями в МСЭ.</w:t>
      </w:r>
    </w:p>
    <w:p w14:paraId="67CF0CC6" w14:textId="77777777" w:rsidR="007824D0" w:rsidRPr="007824D0" w:rsidRDefault="007824D0" w:rsidP="00E83ECD">
      <w:pPr>
        <w:jc w:val="both"/>
        <w:rPr>
          <w:lang w:val="ru-RU"/>
        </w:rPr>
      </w:pPr>
      <w:r w:rsidRPr="007824D0">
        <w:rPr>
          <w:lang w:val="ru-RU"/>
        </w:rPr>
        <w:t>Этот объем невыполненной работы негативно сказывается на предсказуемости международного регламентарного процесса в отношении космических служб и на способности МСЭ своевременно внедрять механизмы возмещения затрат, созданные Советом.</w:t>
      </w:r>
    </w:p>
    <w:p w14:paraId="0D29F75A" w14:textId="465D4AB6" w:rsidR="007824D0" w:rsidRPr="007824D0" w:rsidRDefault="007824D0" w:rsidP="00E83ECD">
      <w:pPr>
        <w:pStyle w:val="Heading1"/>
      </w:pPr>
      <w:r w:rsidRPr="007824D0">
        <w:t>2</w:t>
      </w:r>
      <w:r w:rsidRPr="007824D0">
        <w:tab/>
        <w:t>Влияние накопившегося объема невыполненной работы на выполнение Решения 482 Совета</w:t>
      </w:r>
    </w:p>
    <w:p w14:paraId="1E02EEFF" w14:textId="77777777" w:rsidR="007824D0" w:rsidRPr="007824D0" w:rsidRDefault="007824D0" w:rsidP="00E83ECD">
      <w:pPr>
        <w:jc w:val="both"/>
        <w:rPr>
          <w:lang w:val="ru-RU"/>
        </w:rPr>
      </w:pPr>
      <w:r w:rsidRPr="007824D0">
        <w:rPr>
          <w:lang w:val="ru-RU"/>
        </w:rPr>
        <w:t>Администрация Аргентины отмечает, что в Таблице 2-6, содержащей запросы о координации (CR/C) для спутниковых сетей, показано, что по состоянию на сентябрь 2025 года на рассмотрении находились 268 запросов с расчетным временем обработки 14 месяцев, тогда как согласно п. 9.38 Регламента радиосвязи регламентарный предельный срок составляет четыре месяца.</w:t>
      </w:r>
    </w:p>
    <w:p w14:paraId="7197620F" w14:textId="77777777" w:rsidR="007824D0" w:rsidRPr="007824D0" w:rsidRDefault="007824D0" w:rsidP="00E83ECD">
      <w:pPr>
        <w:jc w:val="both"/>
        <w:rPr>
          <w:lang w:val="ru-RU"/>
        </w:rPr>
      </w:pPr>
      <w:r w:rsidRPr="007824D0">
        <w:rPr>
          <w:lang w:val="ru-RU"/>
        </w:rPr>
        <w:t xml:space="preserve">Имеющийся объем невыполненной работы ограничивает возможности МСЭ своевременно и надлежащим образом выставлять счета за обработку заявок на регистрацию спутниковых сетей и систем в соответствии с Решением 482 Совета. </w:t>
      </w:r>
    </w:p>
    <w:p w14:paraId="5799C6D8" w14:textId="77777777" w:rsidR="007824D0" w:rsidRPr="007824D0" w:rsidRDefault="007824D0" w:rsidP="00E83ECD">
      <w:pPr>
        <w:jc w:val="both"/>
        <w:rPr>
          <w:lang w:val="ru-RU"/>
        </w:rPr>
      </w:pPr>
      <w:r w:rsidRPr="007824D0">
        <w:rPr>
          <w:lang w:val="ru-RU"/>
        </w:rPr>
        <w:t>Следствием являются:</w:t>
      </w:r>
    </w:p>
    <w:p w14:paraId="416E2DCD" w14:textId="77777777" w:rsidR="007824D0" w:rsidRPr="007824D0" w:rsidRDefault="007824D0" w:rsidP="00E83ECD">
      <w:pPr>
        <w:pStyle w:val="enumlev1"/>
        <w:jc w:val="both"/>
        <w:rPr>
          <w:lang w:val="ru-RU"/>
        </w:rPr>
      </w:pPr>
      <w:r w:rsidRPr="007824D0">
        <w:rPr>
          <w:lang w:val="ru-RU"/>
        </w:rPr>
        <w:t>•</w:t>
      </w:r>
      <w:r w:rsidRPr="007824D0">
        <w:rPr>
          <w:lang w:val="ru-RU"/>
        </w:rPr>
        <w:tab/>
        <w:t>задержки по линии возмещения затрат со стороны МСЭ;</w:t>
      </w:r>
    </w:p>
    <w:p w14:paraId="3ADFE970" w14:textId="77777777" w:rsidR="007824D0" w:rsidRPr="007824D0" w:rsidRDefault="007824D0" w:rsidP="00E83ECD">
      <w:pPr>
        <w:pStyle w:val="enumlev1"/>
        <w:jc w:val="both"/>
        <w:rPr>
          <w:lang w:val="ru-RU"/>
        </w:rPr>
      </w:pPr>
      <w:r w:rsidRPr="007824D0">
        <w:rPr>
          <w:lang w:val="ru-RU"/>
        </w:rPr>
        <w:t>•</w:t>
      </w:r>
      <w:r w:rsidRPr="007824D0">
        <w:rPr>
          <w:lang w:val="ru-RU"/>
        </w:rPr>
        <w:tab/>
        <w:t>неопределенность для администраций и операторов в отношении регламентарных предельных сроков;</w:t>
      </w:r>
    </w:p>
    <w:p w14:paraId="3B0B50F8" w14:textId="77777777" w:rsidR="007824D0" w:rsidRPr="007824D0" w:rsidRDefault="007824D0" w:rsidP="00E83ECD">
      <w:pPr>
        <w:pStyle w:val="enumlev1"/>
        <w:jc w:val="both"/>
        <w:rPr>
          <w:lang w:val="ru-RU"/>
        </w:rPr>
      </w:pPr>
      <w:r w:rsidRPr="007824D0">
        <w:rPr>
          <w:lang w:val="ru-RU"/>
        </w:rPr>
        <w:t>•</w:t>
      </w:r>
      <w:r w:rsidRPr="007824D0">
        <w:rPr>
          <w:lang w:val="ru-RU"/>
        </w:rPr>
        <w:tab/>
        <w:t>риски для финансовой устойчивости системы заявления и рассмотрения спутниковых сетей; и</w:t>
      </w:r>
    </w:p>
    <w:p w14:paraId="3C2E076C" w14:textId="77777777" w:rsidR="007824D0" w:rsidRPr="007824D0" w:rsidRDefault="007824D0" w:rsidP="00E83ECD">
      <w:pPr>
        <w:pStyle w:val="enumlev1"/>
        <w:jc w:val="both"/>
        <w:rPr>
          <w:lang w:val="ru-RU"/>
        </w:rPr>
      </w:pPr>
      <w:r w:rsidRPr="007824D0">
        <w:rPr>
          <w:lang w:val="ru-RU"/>
        </w:rPr>
        <w:t>•</w:t>
      </w:r>
      <w:r w:rsidRPr="007824D0">
        <w:rPr>
          <w:lang w:val="ru-RU"/>
        </w:rPr>
        <w:tab/>
        <w:t>невозможность доступа к уже размещенным на счетах МСЭ денежным средствам ввиду незавершенности текущих процедур.</w:t>
      </w:r>
    </w:p>
    <w:p w14:paraId="4CDF7F18" w14:textId="77777777" w:rsidR="007824D0" w:rsidRPr="007824D0" w:rsidRDefault="007824D0" w:rsidP="00E83ECD">
      <w:pPr>
        <w:pStyle w:val="Heading1"/>
      </w:pPr>
      <w:r w:rsidRPr="007824D0">
        <w:t>3</w:t>
      </w:r>
      <w:r w:rsidRPr="007824D0">
        <w:tab/>
        <w:t>Предложение по уменьшению накопившегося объема невыполненной работы</w:t>
      </w:r>
    </w:p>
    <w:p w14:paraId="351B92C9" w14:textId="77777777" w:rsidR="007824D0" w:rsidRPr="007824D0" w:rsidRDefault="007824D0" w:rsidP="00E83ECD">
      <w:pPr>
        <w:jc w:val="both"/>
        <w:rPr>
          <w:lang w:val="ru-RU"/>
        </w:rPr>
      </w:pPr>
      <w:r w:rsidRPr="007824D0">
        <w:rPr>
          <w:lang w:val="ru-RU"/>
        </w:rPr>
        <w:t>Для реализации эффективного целевого разрешения сложившейся ситуации администрация Аргентины предлагает Совету рассмотреть вопрос о принятии решения об укреплении Департамента космических служб путем набора нескольких дополнительных сотрудников категории специалистов, которые будут выбраны Бюро радиосвязи, со следующими областями специализации:</w:t>
      </w:r>
    </w:p>
    <w:p w14:paraId="7DDB0567" w14:textId="77777777" w:rsidR="007824D0" w:rsidRPr="007824D0" w:rsidRDefault="007824D0" w:rsidP="00E83ECD">
      <w:pPr>
        <w:pStyle w:val="enumlev1"/>
        <w:jc w:val="both"/>
        <w:rPr>
          <w:lang w:val="ru-RU"/>
        </w:rPr>
      </w:pPr>
      <w:r w:rsidRPr="007824D0">
        <w:rPr>
          <w:lang w:val="ru-RU"/>
        </w:rPr>
        <w:t>•</w:t>
      </w:r>
      <w:r w:rsidRPr="007824D0">
        <w:rPr>
          <w:lang w:val="ru-RU"/>
        </w:rPr>
        <w:tab/>
        <w:t xml:space="preserve">инженеры– специалисты по технико-регламентарному анализу спутниковых сетей и систем с опытом работы в области координации частот и применения Регламента радиосвязи; </w:t>
      </w:r>
    </w:p>
    <w:p w14:paraId="566B3F32" w14:textId="77777777" w:rsidR="007824D0" w:rsidRPr="007824D0" w:rsidRDefault="007824D0" w:rsidP="00E83ECD">
      <w:pPr>
        <w:pStyle w:val="enumlev1"/>
        <w:jc w:val="both"/>
        <w:rPr>
          <w:lang w:val="ru-RU"/>
        </w:rPr>
      </w:pPr>
      <w:r w:rsidRPr="007824D0">
        <w:rPr>
          <w:lang w:val="ru-RU"/>
        </w:rPr>
        <w:t>•</w:t>
      </w:r>
      <w:r w:rsidRPr="007824D0">
        <w:rPr>
          <w:lang w:val="ru-RU"/>
        </w:rPr>
        <w:tab/>
        <w:t>инженеры-программисты, специализирующиеся на разработке, сопровождении и оптимизации ИТ-инструментов для обработки и анализа заявок на регистрацию.</w:t>
      </w:r>
    </w:p>
    <w:p w14:paraId="6B6447E3" w14:textId="77777777" w:rsidR="007824D0" w:rsidRPr="007824D0" w:rsidRDefault="007824D0" w:rsidP="00E83ECD">
      <w:pPr>
        <w:pStyle w:val="Heading1"/>
      </w:pPr>
      <w:r w:rsidRPr="007824D0">
        <w:t>4</w:t>
      </w:r>
      <w:r w:rsidRPr="007824D0">
        <w:tab/>
        <w:t>Способ набора персонала</w:t>
      </w:r>
    </w:p>
    <w:p w14:paraId="0126D0CC" w14:textId="77777777" w:rsidR="007824D0" w:rsidRPr="007824D0" w:rsidRDefault="007824D0" w:rsidP="00E83ECD">
      <w:pPr>
        <w:jc w:val="both"/>
        <w:rPr>
          <w:lang w:val="ru-RU"/>
        </w:rPr>
      </w:pPr>
      <w:r w:rsidRPr="007824D0">
        <w:rPr>
          <w:lang w:val="ru-RU"/>
        </w:rPr>
        <w:t>Администрация Аргентины считает, что такой персонал категории специалистов может быть набран с использованием двух взаимодополняющих подходов:</w:t>
      </w:r>
    </w:p>
    <w:p w14:paraId="4924C301" w14:textId="77777777" w:rsidR="007824D0" w:rsidRPr="007824D0" w:rsidRDefault="007824D0" w:rsidP="00E83ECD">
      <w:pPr>
        <w:pStyle w:val="enumlev1"/>
        <w:jc w:val="both"/>
        <w:rPr>
          <w:lang w:val="ru-RU"/>
        </w:rPr>
      </w:pPr>
      <w:r w:rsidRPr="007824D0">
        <w:rPr>
          <w:lang w:val="ru-RU"/>
        </w:rPr>
        <w:lastRenderedPageBreak/>
        <w:t>a)</w:t>
      </w:r>
      <w:r w:rsidRPr="007824D0">
        <w:rPr>
          <w:lang w:val="ru-RU"/>
        </w:rPr>
        <w:tab/>
        <w:t>набор для работы на месте в штаб-квартире МСЭ, что позволит непосредственно включиться в работу существующих групп и без промедления сократить накопившийся объем невыполненной работы;</w:t>
      </w:r>
    </w:p>
    <w:p w14:paraId="2259CD3D" w14:textId="77777777" w:rsidR="007824D0" w:rsidRPr="007824D0" w:rsidRDefault="007824D0" w:rsidP="00E83ECD">
      <w:pPr>
        <w:pStyle w:val="enumlev1"/>
        <w:jc w:val="both"/>
        <w:rPr>
          <w:lang w:val="ru-RU"/>
        </w:rPr>
      </w:pPr>
      <w:r w:rsidRPr="007824D0">
        <w:rPr>
          <w:lang w:val="ru-RU"/>
        </w:rPr>
        <w:t>b)</w:t>
      </w:r>
      <w:r w:rsidRPr="007824D0">
        <w:rPr>
          <w:lang w:val="ru-RU"/>
        </w:rPr>
        <w:tab/>
        <w:t>набор на удаленную работу, что позволит расширить имеющийся пул экспертов и оптимизировать затраты. В этом случае необходимо предусмотреть первоначальный трехмесячный период очного обучения в штаб-квартире МСЭ, чтобы обеспечить приобретение персоналом достаточных знаний о внутренних процедурах, инструментах и применимых технических критериях.</w:t>
      </w:r>
    </w:p>
    <w:p w14:paraId="6A237439" w14:textId="77777777" w:rsidR="007824D0" w:rsidRPr="007824D0" w:rsidRDefault="007824D0" w:rsidP="00E83ECD">
      <w:pPr>
        <w:jc w:val="both"/>
        <w:rPr>
          <w:lang w:val="ru-RU"/>
        </w:rPr>
      </w:pPr>
      <w:r w:rsidRPr="007824D0">
        <w:rPr>
          <w:lang w:val="ru-RU"/>
        </w:rPr>
        <w:t>После очной подготовки сотрудники могут продолжить выполнять необходимую работу в МСЭ дистанционно в течение установленного двухгодичного срока, по окончании которого эти же сотрудники могут быть приняты на постоянную работу в МСЭ для занятия постов в Союзе, освобожденных сотрудниками, вышедшими на пенсию в течение этого периода.</w:t>
      </w:r>
    </w:p>
    <w:p w14:paraId="6D2EB174" w14:textId="77777777" w:rsidR="007824D0" w:rsidRPr="007824D0" w:rsidRDefault="007824D0" w:rsidP="00E83ECD">
      <w:pPr>
        <w:jc w:val="both"/>
        <w:rPr>
          <w:lang w:val="ru-RU"/>
        </w:rPr>
      </w:pPr>
      <w:r w:rsidRPr="007824D0">
        <w:rPr>
          <w:lang w:val="ru-RU"/>
        </w:rPr>
        <w:t>Ожидается, что такой подход поможет сократить накопившийся объем невыполненной работы, подготовить новый персонал и спланировать обеспечение непрерывности деятельности с учетом выхода на пенсию сотрудников МСЭ, отвечающих соответствующих критериям. Кроме того, сокращение накопившегося объема невыполненной работы позволит получить доступ к бюджетным ресурсам, которые уже имеются у МСЭ, но не могут быть использованы, поскольку соответствующие процедуры не завершены.</w:t>
      </w:r>
    </w:p>
    <w:p w14:paraId="335AADEC" w14:textId="77777777" w:rsidR="007824D0" w:rsidRPr="007824D0" w:rsidRDefault="007824D0" w:rsidP="00E83ECD">
      <w:pPr>
        <w:pStyle w:val="Heading1"/>
      </w:pPr>
      <w:r w:rsidRPr="007824D0">
        <w:t>5</w:t>
      </w:r>
      <w:r w:rsidRPr="007824D0">
        <w:tab/>
      </w:r>
      <w:r w:rsidRPr="00E83ECD">
        <w:t>Заключение</w:t>
      </w:r>
    </w:p>
    <w:p w14:paraId="38CEF719" w14:textId="77777777" w:rsidR="007824D0" w:rsidRPr="007824D0" w:rsidRDefault="007824D0" w:rsidP="00E83ECD">
      <w:pPr>
        <w:jc w:val="both"/>
        <w:rPr>
          <w:lang w:val="ru-RU"/>
        </w:rPr>
      </w:pPr>
      <w:r w:rsidRPr="007824D0">
        <w:rPr>
          <w:lang w:val="ru-RU"/>
        </w:rPr>
        <w:t>Администрация Аргентины считает, что принятие предлагаемых мер внесет существенный вклад в сокращение накопившегося объема невыполненной работы по обработке заявок на регистрацию спутниковых сетей и систем, повысит эффективность работы Департамента космических служб и обеспечит финансовую и оперативную устойчивость деятельности МСЭ в области космических служб.</w:t>
      </w:r>
    </w:p>
    <w:p w14:paraId="742D87AE" w14:textId="77777777" w:rsidR="00796BD3" w:rsidRPr="007824D0" w:rsidRDefault="00C462C5" w:rsidP="007824D0">
      <w:pPr>
        <w:spacing w:before="720"/>
        <w:jc w:val="center"/>
        <w:rPr>
          <w:lang w:val="ru-RU"/>
        </w:rPr>
      </w:pPr>
      <w:r w:rsidRPr="007824D0">
        <w:rPr>
          <w:lang w:val="ru-RU"/>
        </w:rPr>
        <w:t>______________</w:t>
      </w:r>
    </w:p>
    <w:sectPr w:rsidR="00796BD3" w:rsidRPr="007824D0" w:rsidSect="00796BD3">
      <w:footerReference w:type="default" r:id="rId10"/>
      <w:headerReference w:type="first" r:id="rId11"/>
      <w:footerReference w:type="first" r:id="rId1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03C4" w14:textId="77777777" w:rsidR="00B16E43" w:rsidRDefault="00B16E43">
      <w:r>
        <w:separator/>
      </w:r>
    </w:p>
  </w:endnote>
  <w:endnote w:type="continuationSeparator" w:id="0">
    <w:p w14:paraId="233BAE10" w14:textId="77777777" w:rsidR="00B16E43" w:rsidRDefault="00B1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8C9EAC2" w14:textId="77777777" w:rsidTr="00E31DCE">
      <w:trPr>
        <w:jc w:val="center"/>
      </w:trPr>
      <w:tc>
        <w:tcPr>
          <w:tcW w:w="1803" w:type="dxa"/>
          <w:vAlign w:val="center"/>
        </w:tcPr>
        <w:p w14:paraId="21DC182E" w14:textId="68979CCC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7824D0" w:rsidRPr="007824D0">
            <w:rPr>
              <w:noProof/>
            </w:rPr>
            <w:t>2600863</w:t>
          </w:r>
        </w:p>
      </w:tc>
      <w:tc>
        <w:tcPr>
          <w:tcW w:w="8261" w:type="dxa"/>
        </w:tcPr>
        <w:p w14:paraId="13986791" w14:textId="21435E28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7824D0">
            <w:rPr>
              <w:bCs/>
              <w:lang w:val="ru-RU"/>
            </w:rPr>
            <w:t>75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5400072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665C389" w14:textId="77777777" w:rsidTr="00E31DCE">
      <w:trPr>
        <w:jc w:val="center"/>
      </w:trPr>
      <w:tc>
        <w:tcPr>
          <w:tcW w:w="1803" w:type="dxa"/>
          <w:vAlign w:val="center"/>
        </w:tcPr>
        <w:p w14:paraId="41140D20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3948515A" w14:textId="127327AF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7824D0">
            <w:rPr>
              <w:bCs/>
              <w:lang w:val="ru-RU"/>
            </w:rPr>
            <w:t>75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90B3071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B047E" w14:textId="77777777" w:rsidR="00B16E43" w:rsidRDefault="00B16E43">
      <w:r>
        <w:t>____________________</w:t>
      </w:r>
    </w:p>
  </w:footnote>
  <w:footnote w:type="continuationSeparator" w:id="0">
    <w:p w14:paraId="1F2171CE" w14:textId="77777777" w:rsidR="00B16E43" w:rsidRDefault="00B16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9104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8B5108B" wp14:editId="554896D6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43"/>
    <w:rsid w:val="00005BE0"/>
    <w:rsid w:val="00007F5A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30C7C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A64D5"/>
    <w:rsid w:val="005B3DEC"/>
    <w:rsid w:val="00601994"/>
    <w:rsid w:val="00660449"/>
    <w:rsid w:val="00672F8A"/>
    <w:rsid w:val="006E2D42"/>
    <w:rsid w:val="00703676"/>
    <w:rsid w:val="00707304"/>
    <w:rsid w:val="00732269"/>
    <w:rsid w:val="00762555"/>
    <w:rsid w:val="0077110E"/>
    <w:rsid w:val="007824D0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16E43"/>
    <w:rsid w:val="00B41837"/>
    <w:rsid w:val="00B63EF2"/>
    <w:rsid w:val="00BA7D89"/>
    <w:rsid w:val="00BC0D39"/>
    <w:rsid w:val="00BC7BC0"/>
    <w:rsid w:val="00BD57B7"/>
    <w:rsid w:val="00BE00DD"/>
    <w:rsid w:val="00BE63E2"/>
    <w:rsid w:val="00C462C5"/>
    <w:rsid w:val="00CD2009"/>
    <w:rsid w:val="00CF629C"/>
    <w:rsid w:val="00D17718"/>
    <w:rsid w:val="00D419B4"/>
    <w:rsid w:val="00D631AA"/>
    <w:rsid w:val="00D92EEA"/>
    <w:rsid w:val="00DA5D4E"/>
    <w:rsid w:val="00DA770A"/>
    <w:rsid w:val="00E05752"/>
    <w:rsid w:val="00E176BA"/>
    <w:rsid w:val="00E423EC"/>
    <w:rsid w:val="00E55121"/>
    <w:rsid w:val="00E83ECD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263E63"/>
  <w15:docId w15:val="{BD7AA66C-985C-419C-BEB0-E0540E42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83ECD"/>
    <w:pPr>
      <w:keepNext/>
      <w:keepLines/>
      <w:spacing w:before="360"/>
      <w:ind w:left="794" w:hanging="794"/>
      <w:outlineLvl w:val="0"/>
    </w:pPr>
    <w:rPr>
      <w:b/>
      <w:sz w:val="26"/>
      <w:lang w:val="ru-RU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msweb.itu.int/publ/R-REG-RR-2024/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tu.int/md/R25-RRB25.3-C-0011/e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5-CL-C-0125/en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1</TotalTime>
  <Pages>3</Pages>
  <Words>669</Words>
  <Characters>5100</Characters>
  <Application>Microsoft Office Word</Application>
  <DocSecurity>0</DocSecurity>
  <Lines>98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 the reduction of the backlog in the processing of satellite network and system filings in the ITU Space Services Department</vt:lpstr>
    </vt:vector>
  </TitlesOfParts>
  <Manager>General Secretariat - Pool</Manager>
  <Company>International Telecommunication Union (ITU)</Company>
  <LinksUpToDate>false</LinksUpToDate>
  <CharactersWithSpaces>5707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 the reduction of the backlog in the processing of satellite network and system filings in the ITU Space Services Department</dc:title>
  <dc:subject>ITU Council 2026</dc:subject>
  <cp:keywords>C26; C2026; Council 2026; PP26</cp:keywords>
  <dc:description/>
  <cp:lastPrinted>2006-03-28T16:12:00Z</cp:lastPrinted>
  <dcterms:created xsi:type="dcterms:W3CDTF">2026-04-28T17:19:00Z</dcterms:created>
  <dcterms:modified xsi:type="dcterms:W3CDTF">2026-04-28T17:22:00Z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