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4107D" w14:paraId="0ADB4347" w14:textId="77777777" w:rsidTr="00C4421B">
        <w:trPr>
          <w:cantSplit/>
          <w:trHeight w:val="23"/>
        </w:trPr>
        <w:tc>
          <w:tcPr>
            <w:tcW w:w="3969" w:type="dxa"/>
            <w:vMerge w:val="restart"/>
            <w:tcMar>
              <w:left w:w="0" w:type="dxa"/>
            </w:tcMar>
          </w:tcPr>
          <w:p w14:paraId="694975F5" w14:textId="0B6BBE64" w:rsidR="00FE57F6" w:rsidRPr="00B4107D" w:rsidRDefault="00CC1FAF" w:rsidP="00C4421B">
            <w:pPr>
              <w:tabs>
                <w:tab w:val="left" w:pos="851"/>
              </w:tabs>
              <w:spacing w:before="0" w:line="240" w:lineRule="atLeast"/>
              <w:rPr>
                <w:b/>
                <w:lang w:val="es-ES"/>
              </w:rPr>
            </w:pPr>
            <w:bookmarkStart w:id="0" w:name="_Hlk133421839"/>
            <w:r w:rsidRPr="00B4107D">
              <w:rPr>
                <w:b/>
                <w:lang w:val="es-ES"/>
              </w:rPr>
              <w:t>Punto del o</w:t>
            </w:r>
            <w:r w:rsidR="00BB6FD8" w:rsidRPr="00B4107D">
              <w:rPr>
                <w:b/>
                <w:lang w:val="es-ES"/>
              </w:rPr>
              <w:t>rden del día</w:t>
            </w:r>
            <w:r w:rsidR="00FE57F6" w:rsidRPr="00B4107D">
              <w:rPr>
                <w:b/>
                <w:lang w:val="es-ES"/>
              </w:rPr>
              <w:t xml:space="preserve">: </w:t>
            </w:r>
            <w:r w:rsidR="002A0FAE" w:rsidRPr="00B4107D">
              <w:rPr>
                <w:b/>
                <w:lang w:val="es-ES"/>
              </w:rPr>
              <w:t>PL-2</w:t>
            </w:r>
          </w:p>
        </w:tc>
        <w:tc>
          <w:tcPr>
            <w:tcW w:w="5245" w:type="dxa"/>
          </w:tcPr>
          <w:p w14:paraId="423F20D4" w14:textId="7E135497" w:rsidR="00FE57F6" w:rsidRPr="00B4107D" w:rsidRDefault="00FE57F6" w:rsidP="00C4421B">
            <w:pPr>
              <w:tabs>
                <w:tab w:val="left" w:pos="851"/>
              </w:tabs>
              <w:spacing w:before="0" w:line="240" w:lineRule="atLeast"/>
              <w:jc w:val="right"/>
              <w:rPr>
                <w:b/>
                <w:lang w:val="es-ES"/>
              </w:rPr>
            </w:pPr>
            <w:r w:rsidRPr="00B4107D">
              <w:rPr>
                <w:b/>
                <w:lang w:val="es-ES"/>
              </w:rPr>
              <w:t>Document</w:t>
            </w:r>
            <w:r w:rsidR="00F24B71" w:rsidRPr="00B4107D">
              <w:rPr>
                <w:b/>
                <w:lang w:val="es-ES"/>
              </w:rPr>
              <w:t>o</w:t>
            </w:r>
            <w:r w:rsidRPr="00B4107D">
              <w:rPr>
                <w:b/>
                <w:lang w:val="es-ES"/>
              </w:rPr>
              <w:t xml:space="preserve"> C2</w:t>
            </w:r>
            <w:r w:rsidR="00F85E5C" w:rsidRPr="00B4107D">
              <w:rPr>
                <w:b/>
                <w:lang w:val="es-ES"/>
              </w:rPr>
              <w:t>6</w:t>
            </w:r>
            <w:r w:rsidRPr="00B4107D">
              <w:rPr>
                <w:b/>
                <w:lang w:val="es-ES"/>
              </w:rPr>
              <w:t>/</w:t>
            </w:r>
            <w:r w:rsidR="002A0FAE" w:rsidRPr="00B4107D">
              <w:rPr>
                <w:b/>
                <w:lang w:val="es-ES"/>
              </w:rPr>
              <w:t>74</w:t>
            </w:r>
            <w:r w:rsidRPr="00B4107D">
              <w:rPr>
                <w:b/>
                <w:lang w:val="es-ES"/>
              </w:rPr>
              <w:t>-</w:t>
            </w:r>
            <w:r w:rsidR="00F24B71" w:rsidRPr="00B4107D">
              <w:rPr>
                <w:b/>
                <w:lang w:val="es-ES"/>
              </w:rPr>
              <w:t>S</w:t>
            </w:r>
          </w:p>
        </w:tc>
      </w:tr>
      <w:tr w:rsidR="00FE57F6" w:rsidRPr="00B4107D" w14:paraId="2AA809D8" w14:textId="77777777" w:rsidTr="00C4421B">
        <w:trPr>
          <w:cantSplit/>
        </w:trPr>
        <w:tc>
          <w:tcPr>
            <w:tcW w:w="3969" w:type="dxa"/>
            <w:vMerge/>
          </w:tcPr>
          <w:p w14:paraId="18B0C19A" w14:textId="77777777" w:rsidR="00FE57F6" w:rsidRPr="00B4107D" w:rsidRDefault="00FE57F6" w:rsidP="00C4421B">
            <w:pPr>
              <w:tabs>
                <w:tab w:val="left" w:pos="851"/>
              </w:tabs>
              <w:spacing w:line="240" w:lineRule="atLeast"/>
              <w:rPr>
                <w:b/>
                <w:lang w:val="es-ES"/>
              </w:rPr>
            </w:pPr>
          </w:p>
        </w:tc>
        <w:tc>
          <w:tcPr>
            <w:tcW w:w="5245" w:type="dxa"/>
          </w:tcPr>
          <w:p w14:paraId="4FFFFD5F" w14:textId="4F079F13" w:rsidR="00FE57F6" w:rsidRPr="00B4107D" w:rsidRDefault="002A0FAE" w:rsidP="00C4421B">
            <w:pPr>
              <w:tabs>
                <w:tab w:val="left" w:pos="851"/>
              </w:tabs>
              <w:spacing w:before="0"/>
              <w:jc w:val="right"/>
              <w:rPr>
                <w:b/>
                <w:lang w:val="es-ES"/>
              </w:rPr>
            </w:pPr>
            <w:r w:rsidRPr="00B4107D">
              <w:rPr>
                <w:b/>
                <w:lang w:val="es-ES"/>
              </w:rPr>
              <w:t>30 de marzo de 2026</w:t>
            </w:r>
          </w:p>
        </w:tc>
      </w:tr>
      <w:tr w:rsidR="00FE57F6" w:rsidRPr="00B4107D" w14:paraId="67DD64BE" w14:textId="77777777" w:rsidTr="00C4421B">
        <w:trPr>
          <w:cantSplit/>
          <w:trHeight w:val="23"/>
        </w:trPr>
        <w:tc>
          <w:tcPr>
            <w:tcW w:w="3969" w:type="dxa"/>
            <w:vMerge/>
          </w:tcPr>
          <w:p w14:paraId="0B8E5F44" w14:textId="77777777" w:rsidR="00FE57F6" w:rsidRPr="00B4107D" w:rsidRDefault="00FE57F6" w:rsidP="00C4421B">
            <w:pPr>
              <w:tabs>
                <w:tab w:val="left" w:pos="851"/>
              </w:tabs>
              <w:spacing w:line="240" w:lineRule="atLeast"/>
              <w:rPr>
                <w:b/>
                <w:lang w:val="es-ES"/>
              </w:rPr>
            </w:pPr>
          </w:p>
        </w:tc>
        <w:tc>
          <w:tcPr>
            <w:tcW w:w="5245" w:type="dxa"/>
          </w:tcPr>
          <w:p w14:paraId="6FE9653A" w14:textId="77777777" w:rsidR="00FE57F6" w:rsidRPr="00B4107D" w:rsidRDefault="00F24B71" w:rsidP="00C4421B">
            <w:pPr>
              <w:tabs>
                <w:tab w:val="left" w:pos="851"/>
              </w:tabs>
              <w:spacing w:before="0" w:line="240" w:lineRule="atLeast"/>
              <w:jc w:val="right"/>
              <w:rPr>
                <w:b/>
                <w:bCs/>
                <w:lang w:val="es-ES"/>
              </w:rPr>
            </w:pPr>
            <w:r w:rsidRPr="00B4107D">
              <w:rPr>
                <w:rFonts w:cstheme="minorHAnsi"/>
                <w:b/>
                <w:bCs/>
                <w:lang w:val="es-ES"/>
              </w:rPr>
              <w:t>Original: inglés</w:t>
            </w:r>
          </w:p>
        </w:tc>
      </w:tr>
      <w:tr w:rsidR="00FE57F6" w:rsidRPr="00B4107D" w14:paraId="06CF2DAA" w14:textId="77777777" w:rsidTr="00C4421B">
        <w:trPr>
          <w:cantSplit/>
          <w:trHeight w:val="23"/>
        </w:trPr>
        <w:tc>
          <w:tcPr>
            <w:tcW w:w="3969" w:type="dxa"/>
          </w:tcPr>
          <w:p w14:paraId="336EC4D6" w14:textId="77777777" w:rsidR="00FE57F6" w:rsidRPr="00B4107D" w:rsidRDefault="00FE57F6" w:rsidP="00C4421B">
            <w:pPr>
              <w:tabs>
                <w:tab w:val="left" w:pos="851"/>
              </w:tabs>
              <w:spacing w:line="240" w:lineRule="atLeast"/>
              <w:rPr>
                <w:b/>
                <w:lang w:val="es-ES"/>
              </w:rPr>
            </w:pPr>
          </w:p>
        </w:tc>
        <w:tc>
          <w:tcPr>
            <w:tcW w:w="5245" w:type="dxa"/>
          </w:tcPr>
          <w:p w14:paraId="3B820A3A" w14:textId="77777777" w:rsidR="00FE57F6" w:rsidRPr="00B4107D" w:rsidRDefault="00FE57F6" w:rsidP="00C4421B">
            <w:pPr>
              <w:tabs>
                <w:tab w:val="left" w:pos="851"/>
              </w:tabs>
              <w:spacing w:before="0" w:line="240" w:lineRule="atLeast"/>
              <w:jc w:val="right"/>
              <w:rPr>
                <w:b/>
                <w:lang w:val="es-ES"/>
              </w:rPr>
            </w:pPr>
          </w:p>
        </w:tc>
      </w:tr>
      <w:tr w:rsidR="00FE57F6" w:rsidRPr="002B1635" w14:paraId="003DF7BA" w14:textId="77777777" w:rsidTr="00C4421B">
        <w:trPr>
          <w:cantSplit/>
        </w:trPr>
        <w:tc>
          <w:tcPr>
            <w:tcW w:w="9214" w:type="dxa"/>
            <w:gridSpan w:val="2"/>
            <w:tcMar>
              <w:left w:w="0" w:type="dxa"/>
            </w:tcMar>
          </w:tcPr>
          <w:p w14:paraId="55177706" w14:textId="77777777" w:rsidR="00FE57F6" w:rsidRPr="00B4107D" w:rsidRDefault="00157AC4" w:rsidP="00661B72">
            <w:pPr>
              <w:pStyle w:val="Source"/>
              <w:framePr w:hSpace="0" w:wrap="auto" w:vAnchor="margin" w:hAnchor="text" w:xAlign="left" w:yAlign="inline"/>
            </w:pPr>
            <w:r w:rsidRPr="00B4107D">
              <w:t xml:space="preserve">Informe de la Secretaria </w:t>
            </w:r>
            <w:r w:rsidRPr="00661B72">
              <w:t>General</w:t>
            </w:r>
          </w:p>
        </w:tc>
      </w:tr>
      <w:tr w:rsidR="00FE57F6" w:rsidRPr="002B1635" w14:paraId="3672219D" w14:textId="77777777" w:rsidTr="00C4421B">
        <w:trPr>
          <w:cantSplit/>
        </w:trPr>
        <w:tc>
          <w:tcPr>
            <w:tcW w:w="9214" w:type="dxa"/>
            <w:gridSpan w:val="2"/>
            <w:tcMar>
              <w:left w:w="0" w:type="dxa"/>
            </w:tcMar>
          </w:tcPr>
          <w:p w14:paraId="6455462D" w14:textId="29B6858E" w:rsidR="00FE57F6" w:rsidRPr="00B4107D" w:rsidRDefault="00661B72" w:rsidP="002A0FAE">
            <w:pPr>
              <w:pStyle w:val="Subtitle"/>
              <w:framePr w:hSpace="0" w:wrap="auto" w:hAnchor="text" w:xAlign="left" w:yAlign="inline"/>
              <w:rPr>
                <w:lang w:val="es-ES"/>
              </w:rPr>
            </w:pPr>
            <w:r w:rsidRPr="00B4107D">
              <w:rPr>
                <w:lang w:val="es-ES"/>
              </w:rPr>
              <w:t>INFORME SOBRE LA APLICACIÓN DE LA RESOLUCIÓN 30 (REV. BUCAREST, 2022) – MEDIDAS ESPECIALES EN FAVOR DE LOS PAÍSES MENOS ADELANTADOS, LOS PEQUEÑOS ESTADOS INSULARES EN DESARROLLO, LOS PAÍSES EN DESARROLLO SIN LITORAL Y LOS PAÍSES CON ECONOMÍAS EN TRANSICIÓN, 2025</w:t>
            </w:r>
          </w:p>
        </w:tc>
      </w:tr>
      <w:tr w:rsidR="00FE57F6" w:rsidRPr="002B1635" w14:paraId="69853F76" w14:textId="77777777" w:rsidTr="00C4421B">
        <w:trPr>
          <w:cantSplit/>
        </w:trPr>
        <w:tc>
          <w:tcPr>
            <w:tcW w:w="9214" w:type="dxa"/>
            <w:gridSpan w:val="2"/>
            <w:tcBorders>
              <w:top w:val="single" w:sz="4" w:space="0" w:color="auto"/>
              <w:bottom w:val="single" w:sz="4" w:space="0" w:color="auto"/>
            </w:tcBorders>
            <w:tcMar>
              <w:left w:w="0" w:type="dxa"/>
            </w:tcMar>
          </w:tcPr>
          <w:p w14:paraId="53805029" w14:textId="77777777" w:rsidR="00FE57F6" w:rsidRPr="00B4107D" w:rsidRDefault="00F24B71" w:rsidP="00C4421B">
            <w:pPr>
              <w:spacing w:before="160"/>
              <w:rPr>
                <w:b/>
                <w:bCs/>
                <w:sz w:val="26"/>
                <w:szCs w:val="26"/>
                <w:lang w:val="es-ES"/>
              </w:rPr>
            </w:pPr>
            <w:r w:rsidRPr="00B4107D">
              <w:rPr>
                <w:b/>
                <w:bCs/>
                <w:sz w:val="26"/>
                <w:szCs w:val="26"/>
                <w:lang w:val="es-ES"/>
              </w:rPr>
              <w:t>Finalidad</w:t>
            </w:r>
          </w:p>
          <w:p w14:paraId="7C9023B6" w14:textId="0B806996" w:rsidR="00FE57F6" w:rsidRPr="00B4107D" w:rsidRDefault="00EE634E" w:rsidP="00661B72">
            <w:pPr>
              <w:jc w:val="both"/>
              <w:rPr>
                <w:rFonts w:cs="Calibri"/>
                <w:lang w:val="es-ES"/>
              </w:rPr>
            </w:pPr>
            <w:r w:rsidRPr="00B4107D">
              <w:rPr>
                <w:lang w:val="es-ES"/>
              </w:rPr>
              <w:t>En el presente documento se informa acerca de la aplicación de la Resolución 30 (Rev.</w:t>
            </w:r>
            <w:r w:rsidR="00920EAB" w:rsidRPr="00B4107D">
              <w:rPr>
                <w:lang w:val="es-ES"/>
              </w:rPr>
              <w:t> </w:t>
            </w:r>
            <w:r w:rsidRPr="00B4107D">
              <w:rPr>
                <w:lang w:val="es-ES"/>
              </w:rPr>
              <w:t>Bucarest, 2022) de la Conferencia de Plenipotenciarios al Consejo de la UIT.</w:t>
            </w:r>
          </w:p>
          <w:p w14:paraId="40B6EFC2" w14:textId="77777777" w:rsidR="00FE57F6" w:rsidRPr="00B4107D" w:rsidRDefault="00F24B71" w:rsidP="00C4421B">
            <w:pPr>
              <w:spacing w:before="160"/>
              <w:rPr>
                <w:b/>
                <w:bCs/>
                <w:sz w:val="26"/>
                <w:szCs w:val="26"/>
                <w:lang w:val="es-ES"/>
              </w:rPr>
            </w:pPr>
            <w:r w:rsidRPr="00B4107D">
              <w:rPr>
                <w:b/>
                <w:bCs/>
                <w:sz w:val="26"/>
                <w:szCs w:val="26"/>
                <w:lang w:val="es-ES"/>
              </w:rPr>
              <w:t xml:space="preserve">Acción solicitada </w:t>
            </w:r>
            <w:r w:rsidR="00677A97" w:rsidRPr="00B4107D">
              <w:rPr>
                <w:b/>
                <w:bCs/>
                <w:sz w:val="26"/>
                <w:szCs w:val="26"/>
                <w:lang w:val="es-ES"/>
              </w:rPr>
              <w:t>al</w:t>
            </w:r>
            <w:r w:rsidRPr="00B4107D">
              <w:rPr>
                <w:b/>
                <w:bCs/>
                <w:sz w:val="26"/>
                <w:szCs w:val="26"/>
                <w:lang w:val="es-ES"/>
              </w:rPr>
              <w:t xml:space="preserve"> Consejo</w:t>
            </w:r>
          </w:p>
          <w:p w14:paraId="4518BC05" w14:textId="3ED108BC" w:rsidR="00F92BED" w:rsidRPr="00B4107D" w:rsidRDefault="00EE634E" w:rsidP="00661B72">
            <w:pPr>
              <w:spacing w:before="160"/>
              <w:jc w:val="both"/>
              <w:rPr>
                <w:szCs w:val="24"/>
                <w:lang w:val="es-ES"/>
              </w:rPr>
            </w:pPr>
            <w:r w:rsidRPr="00B4107D">
              <w:rPr>
                <w:szCs w:val="24"/>
                <w:lang w:val="es-ES"/>
              </w:rPr>
              <w:t xml:space="preserve">Se invita al Consejo a </w:t>
            </w:r>
            <w:r w:rsidRPr="00B4107D">
              <w:rPr>
                <w:b/>
                <w:bCs/>
                <w:szCs w:val="24"/>
                <w:lang w:val="es-ES"/>
              </w:rPr>
              <w:t>tomar nota</w:t>
            </w:r>
            <w:r w:rsidRPr="00B4107D">
              <w:rPr>
                <w:szCs w:val="24"/>
                <w:lang w:val="es-ES"/>
              </w:rPr>
              <w:t xml:space="preserve"> del informe y a </w:t>
            </w:r>
            <w:r w:rsidRPr="00B4107D">
              <w:rPr>
                <w:b/>
                <w:bCs/>
                <w:szCs w:val="24"/>
                <w:lang w:val="es-ES"/>
              </w:rPr>
              <w:t xml:space="preserve">proporcionar </w:t>
            </w:r>
            <w:r w:rsidRPr="00B4107D">
              <w:rPr>
                <w:szCs w:val="24"/>
                <w:lang w:val="es-ES"/>
              </w:rPr>
              <w:t>orientaciones adicionales.</w:t>
            </w:r>
          </w:p>
          <w:p w14:paraId="60F1DDC9" w14:textId="77777777" w:rsidR="00F92BED" w:rsidRPr="00B4107D" w:rsidRDefault="00F92BED" w:rsidP="00C4421B">
            <w:pPr>
              <w:spacing w:before="160"/>
              <w:rPr>
                <w:b/>
                <w:bCs/>
                <w:sz w:val="26"/>
                <w:szCs w:val="26"/>
                <w:lang w:val="es-ES"/>
              </w:rPr>
            </w:pPr>
            <w:r w:rsidRPr="00B4107D">
              <w:rPr>
                <w:b/>
                <w:bCs/>
                <w:sz w:val="26"/>
                <w:szCs w:val="26"/>
                <w:lang w:val="es-ES"/>
              </w:rPr>
              <w:t>Vínculo(s) pertinente(s) con el Plan Estratégico</w:t>
            </w:r>
          </w:p>
          <w:p w14:paraId="39D65D48" w14:textId="3E30134F" w:rsidR="00F92BED" w:rsidRPr="00B4107D" w:rsidRDefault="00EE634E" w:rsidP="00661B72">
            <w:pPr>
              <w:jc w:val="both"/>
              <w:rPr>
                <w:lang w:val="es-ES"/>
              </w:rPr>
            </w:pPr>
            <w:r w:rsidRPr="00B4107D">
              <w:rPr>
                <w:lang w:val="es-ES"/>
              </w:rPr>
              <w:t>Plataforma de encuentro; orientado a los Miembros; presencia regional; todas las prioridades temáticas.</w:t>
            </w:r>
          </w:p>
          <w:p w14:paraId="6FC57742" w14:textId="77777777" w:rsidR="00F92BED" w:rsidRPr="00B4107D" w:rsidRDefault="00F92BED" w:rsidP="00C4421B">
            <w:pPr>
              <w:spacing w:before="160"/>
              <w:rPr>
                <w:b/>
                <w:bCs/>
                <w:sz w:val="26"/>
                <w:szCs w:val="26"/>
                <w:lang w:val="es-ES"/>
              </w:rPr>
            </w:pPr>
            <w:r w:rsidRPr="00B4107D">
              <w:rPr>
                <w:b/>
                <w:bCs/>
                <w:sz w:val="26"/>
                <w:szCs w:val="26"/>
                <w:lang w:val="es-ES"/>
              </w:rPr>
              <w:t>Repercusiones financieras</w:t>
            </w:r>
          </w:p>
          <w:p w14:paraId="057D1298" w14:textId="71110C03" w:rsidR="00F92BED" w:rsidRPr="00B4107D" w:rsidRDefault="00EE634E" w:rsidP="00661B72">
            <w:pPr>
              <w:jc w:val="both"/>
              <w:rPr>
                <w:lang w:val="es-ES"/>
              </w:rPr>
            </w:pPr>
            <w:r w:rsidRPr="00B4107D">
              <w:rPr>
                <w:lang w:val="es-ES"/>
              </w:rPr>
              <w:t>La Oficina de Desarrollo de las Telecomunicaciones (BDT) está aplicando la Resolución 30 (Rev. Bucarest, 2022) con cargo al presupuesto ordinario y a fondos extrapresupuestarios recibidos a través de proyectos y contribuciones voluntarias. Se presentó a la reunión de 2026 del Grupo Asesor de Desarrollo de las Telecomunicaciones (GADT-26) un informe independiente sobre las implicaciones financieras de las resoluciones adoptadas por la CMDT-25.</w:t>
            </w:r>
          </w:p>
          <w:p w14:paraId="2A3F0F30" w14:textId="77777777" w:rsidR="00FE57F6" w:rsidRPr="00B4107D" w:rsidRDefault="00FE57F6" w:rsidP="00C4421B">
            <w:pPr>
              <w:spacing w:before="160"/>
              <w:rPr>
                <w:caps/>
                <w:sz w:val="22"/>
                <w:lang w:val="es-ES"/>
              </w:rPr>
            </w:pPr>
            <w:r w:rsidRPr="00B4107D">
              <w:rPr>
                <w:sz w:val="22"/>
                <w:lang w:val="es-ES"/>
              </w:rPr>
              <w:t>__________________</w:t>
            </w:r>
          </w:p>
          <w:p w14:paraId="5036603B" w14:textId="77777777" w:rsidR="00FE57F6" w:rsidRPr="00B4107D" w:rsidRDefault="00F24B71" w:rsidP="00C4421B">
            <w:pPr>
              <w:spacing w:before="160"/>
              <w:rPr>
                <w:b/>
                <w:bCs/>
                <w:sz w:val="26"/>
                <w:szCs w:val="26"/>
                <w:lang w:val="es-ES"/>
              </w:rPr>
            </w:pPr>
            <w:r w:rsidRPr="00B4107D">
              <w:rPr>
                <w:b/>
                <w:bCs/>
                <w:sz w:val="26"/>
                <w:szCs w:val="26"/>
                <w:lang w:val="es-ES"/>
              </w:rPr>
              <w:t>Referencia</w:t>
            </w:r>
            <w:r w:rsidR="00F92BED" w:rsidRPr="00B4107D">
              <w:rPr>
                <w:b/>
                <w:bCs/>
                <w:sz w:val="26"/>
                <w:szCs w:val="26"/>
                <w:lang w:val="es-ES"/>
              </w:rPr>
              <w:t>s</w:t>
            </w:r>
            <w:r w:rsidR="00D375E0" w:rsidRPr="00B4107D">
              <w:rPr>
                <w:sz w:val="26"/>
                <w:szCs w:val="26"/>
                <w:lang w:val="es-ES"/>
              </w:rPr>
              <w:t xml:space="preserve"> </w:t>
            </w:r>
          </w:p>
          <w:p w14:paraId="51168F53" w14:textId="554E98AD" w:rsidR="00FE57F6" w:rsidRPr="00661B72" w:rsidRDefault="00EE634E" w:rsidP="00661B72">
            <w:pPr>
              <w:spacing w:after="160"/>
              <w:jc w:val="both"/>
              <w:rPr>
                <w:i/>
                <w:iCs/>
                <w:sz w:val="22"/>
                <w:szCs w:val="22"/>
                <w:lang w:val="es-ES"/>
              </w:rPr>
            </w:pPr>
            <w:r w:rsidRPr="00661B72">
              <w:rPr>
                <w:i/>
                <w:iCs/>
                <w:sz w:val="22"/>
                <w:szCs w:val="22"/>
                <w:lang w:val="es-ES"/>
              </w:rPr>
              <w:t xml:space="preserve">Documentos </w:t>
            </w:r>
            <w:hyperlink r:id="rId6" w:history="1">
              <w:proofErr w:type="spellStart"/>
              <w:r w:rsidRPr="00661B72">
                <w:rPr>
                  <w:rStyle w:val="Hyperlink"/>
                  <w:rFonts w:eastAsia="Times New Roman" w:cs="Times New Roman"/>
                  <w:i/>
                  <w:iCs/>
                  <w:sz w:val="22"/>
                  <w:lang w:val="es-ES"/>
                </w:rPr>
                <w:t>TDAG</w:t>
              </w:r>
              <w:proofErr w:type="spellEnd"/>
              <w:r w:rsidRPr="00661B72">
                <w:rPr>
                  <w:rStyle w:val="Hyperlink"/>
                  <w:rFonts w:eastAsia="Times New Roman" w:cs="Times New Roman"/>
                  <w:i/>
                  <w:iCs/>
                  <w:sz w:val="22"/>
                  <w:lang w:val="es-ES"/>
                </w:rPr>
                <w:t>-26/2</w:t>
              </w:r>
            </w:hyperlink>
            <w:r w:rsidRPr="00661B72">
              <w:rPr>
                <w:i/>
                <w:iCs/>
                <w:sz w:val="22"/>
                <w:szCs w:val="22"/>
                <w:lang w:val="es-ES"/>
              </w:rPr>
              <w:t xml:space="preserve">, </w:t>
            </w:r>
            <w:hyperlink r:id="rId7" w:history="1">
              <w:proofErr w:type="spellStart"/>
              <w:r w:rsidRPr="00661B72">
                <w:rPr>
                  <w:rStyle w:val="Hyperlink"/>
                  <w:rFonts w:eastAsia="Times New Roman" w:cs="Times New Roman"/>
                  <w:i/>
                  <w:iCs/>
                  <w:sz w:val="22"/>
                  <w:lang w:val="es-ES"/>
                </w:rPr>
                <w:t>TDAG</w:t>
              </w:r>
              <w:proofErr w:type="spellEnd"/>
              <w:r w:rsidRPr="00661B72">
                <w:rPr>
                  <w:rStyle w:val="Hyperlink"/>
                  <w:rFonts w:eastAsia="Times New Roman" w:cs="Times New Roman"/>
                  <w:i/>
                  <w:iCs/>
                  <w:sz w:val="22"/>
                  <w:lang w:val="es-ES"/>
                </w:rPr>
                <w:t>-26/2(</w:t>
              </w:r>
              <w:proofErr w:type="spellStart"/>
              <w:r w:rsidRPr="00661B72">
                <w:rPr>
                  <w:rStyle w:val="Hyperlink"/>
                  <w:rFonts w:eastAsia="Times New Roman" w:cs="Times New Roman"/>
                  <w:i/>
                  <w:iCs/>
                  <w:sz w:val="22"/>
                  <w:lang w:val="es-ES"/>
                </w:rPr>
                <w:t>Add.1</w:t>
              </w:r>
              <w:proofErr w:type="spellEnd"/>
              <w:r w:rsidRPr="00661B72">
                <w:rPr>
                  <w:rStyle w:val="Hyperlink"/>
                  <w:rFonts w:eastAsia="Times New Roman" w:cs="Times New Roman"/>
                  <w:i/>
                  <w:iCs/>
                  <w:sz w:val="22"/>
                  <w:lang w:val="es-ES"/>
                </w:rPr>
                <w:t>)</w:t>
              </w:r>
            </w:hyperlink>
            <w:r w:rsidRPr="00661B72">
              <w:rPr>
                <w:i/>
                <w:iCs/>
                <w:sz w:val="22"/>
                <w:szCs w:val="22"/>
                <w:lang w:val="es-ES"/>
              </w:rPr>
              <w:t xml:space="preserve">, </w:t>
            </w:r>
            <w:hyperlink r:id="rId8" w:history="1">
              <w:proofErr w:type="spellStart"/>
              <w:r w:rsidRPr="00661B72">
                <w:rPr>
                  <w:rStyle w:val="Hyperlink"/>
                  <w:rFonts w:eastAsia="Times New Roman" w:cs="Times New Roman"/>
                  <w:i/>
                  <w:iCs/>
                  <w:sz w:val="22"/>
                  <w:lang w:val="es-ES"/>
                </w:rPr>
                <w:t>TDAG</w:t>
              </w:r>
              <w:proofErr w:type="spellEnd"/>
              <w:r w:rsidRPr="00661B72">
                <w:rPr>
                  <w:rStyle w:val="Hyperlink"/>
                  <w:rFonts w:eastAsia="Times New Roman" w:cs="Times New Roman"/>
                  <w:i/>
                  <w:iCs/>
                  <w:sz w:val="22"/>
                  <w:lang w:val="es-ES"/>
                </w:rPr>
                <w:t>-26/4</w:t>
              </w:r>
            </w:hyperlink>
            <w:r w:rsidRPr="00661B72">
              <w:rPr>
                <w:i/>
                <w:iCs/>
                <w:sz w:val="22"/>
                <w:szCs w:val="22"/>
                <w:lang w:val="es-ES"/>
              </w:rPr>
              <w:t xml:space="preserve"> y </w:t>
            </w:r>
            <w:hyperlink r:id="rId9" w:history="1">
              <w:proofErr w:type="spellStart"/>
              <w:r w:rsidRPr="00661B72">
                <w:rPr>
                  <w:rStyle w:val="Hyperlink"/>
                  <w:rFonts w:eastAsia="Times New Roman" w:cs="Times New Roman"/>
                  <w:i/>
                  <w:iCs/>
                  <w:sz w:val="22"/>
                  <w:lang w:val="es-ES"/>
                </w:rPr>
                <w:t>TDAG</w:t>
              </w:r>
              <w:proofErr w:type="spellEnd"/>
              <w:r w:rsidRPr="00661B72">
                <w:rPr>
                  <w:rStyle w:val="Hyperlink"/>
                  <w:rFonts w:eastAsia="Times New Roman" w:cs="Times New Roman"/>
                  <w:i/>
                  <w:iCs/>
                  <w:sz w:val="22"/>
                  <w:lang w:val="es-ES"/>
                </w:rPr>
                <w:t>-26/22</w:t>
              </w:r>
            </w:hyperlink>
            <w:r w:rsidR="00661B72" w:rsidRPr="00661B72">
              <w:rPr>
                <w:sz w:val="22"/>
                <w:szCs w:val="22"/>
                <w:lang w:val="es-ES"/>
              </w:rPr>
              <w:t xml:space="preserve"> </w:t>
            </w:r>
            <w:r w:rsidR="00661B72" w:rsidRPr="00661B72">
              <w:rPr>
                <w:i/>
                <w:iCs/>
                <w:sz w:val="22"/>
                <w:szCs w:val="22"/>
                <w:lang w:val="es-ES"/>
              </w:rPr>
              <w:t xml:space="preserve"> </w:t>
            </w:r>
            <w:r w:rsidR="00661B72" w:rsidRPr="00661B72">
              <w:rPr>
                <w:i/>
                <w:iCs/>
                <w:sz w:val="22"/>
                <w:szCs w:val="22"/>
                <w:lang w:val="es-ES"/>
              </w:rPr>
              <w:t>del Grupo Asesor de Desarrollo de las Telecomunicaciones</w:t>
            </w:r>
            <w:r w:rsidRPr="00661B72">
              <w:rPr>
                <w:i/>
                <w:iCs/>
                <w:sz w:val="22"/>
                <w:szCs w:val="22"/>
                <w:lang w:val="es-ES"/>
              </w:rPr>
              <w:t xml:space="preserve">; Documentos </w:t>
            </w:r>
            <w:hyperlink r:id="rId10" w:history="1">
              <w:r w:rsidRPr="00661B72">
                <w:rPr>
                  <w:rStyle w:val="Hyperlink"/>
                  <w:rFonts w:eastAsia="Times New Roman" w:cs="Times New Roman"/>
                  <w:i/>
                  <w:iCs/>
                  <w:sz w:val="22"/>
                  <w:lang w:val="es-ES"/>
                </w:rPr>
                <w:t>WTDC-25/2(</w:t>
              </w:r>
              <w:proofErr w:type="spellStart"/>
              <w:r w:rsidRPr="00661B72">
                <w:rPr>
                  <w:rStyle w:val="Hyperlink"/>
                  <w:rFonts w:eastAsia="Times New Roman" w:cs="Times New Roman"/>
                  <w:i/>
                  <w:iCs/>
                  <w:sz w:val="22"/>
                  <w:lang w:val="es-ES"/>
                </w:rPr>
                <w:t>Ann.2</w:t>
              </w:r>
              <w:proofErr w:type="spellEnd"/>
              <w:r w:rsidRPr="00661B72">
                <w:rPr>
                  <w:rStyle w:val="Hyperlink"/>
                  <w:rFonts w:eastAsia="Times New Roman" w:cs="Times New Roman"/>
                  <w:i/>
                  <w:iCs/>
                  <w:sz w:val="22"/>
                  <w:lang w:val="es-ES"/>
                </w:rPr>
                <w:t>)</w:t>
              </w:r>
            </w:hyperlink>
            <w:r w:rsidRPr="00661B72">
              <w:rPr>
                <w:i/>
                <w:iCs/>
                <w:sz w:val="22"/>
                <w:szCs w:val="22"/>
                <w:lang w:val="es-ES"/>
              </w:rPr>
              <w:t xml:space="preserve"> y </w:t>
            </w:r>
            <w:hyperlink r:id="rId11" w:history="1">
              <w:r w:rsidRPr="00661B72">
                <w:rPr>
                  <w:rStyle w:val="Hyperlink"/>
                  <w:rFonts w:eastAsia="Times New Roman" w:cs="Times New Roman"/>
                  <w:i/>
                  <w:iCs/>
                  <w:sz w:val="22"/>
                  <w:lang w:val="es-ES"/>
                </w:rPr>
                <w:t>WTDC-25/16</w:t>
              </w:r>
            </w:hyperlink>
            <w:r w:rsidR="00661B72" w:rsidRPr="00661B72">
              <w:rPr>
                <w:i/>
                <w:iCs/>
                <w:sz w:val="22"/>
                <w:szCs w:val="22"/>
                <w:lang w:val="es-ES"/>
              </w:rPr>
              <w:t xml:space="preserve"> </w:t>
            </w:r>
            <w:r w:rsidR="00661B72" w:rsidRPr="00661B72">
              <w:rPr>
                <w:i/>
                <w:iCs/>
                <w:sz w:val="22"/>
                <w:szCs w:val="22"/>
                <w:lang w:val="es-ES"/>
              </w:rPr>
              <w:t>de la Conferencia Mundial de Desarrollo de las Telecomunicaciones</w:t>
            </w:r>
            <w:r w:rsidRPr="00661B72">
              <w:rPr>
                <w:i/>
                <w:iCs/>
                <w:sz w:val="22"/>
                <w:szCs w:val="22"/>
                <w:lang w:val="es-ES"/>
              </w:rPr>
              <w:t>.</w:t>
            </w:r>
          </w:p>
        </w:tc>
      </w:tr>
      <w:bookmarkEnd w:id="0"/>
    </w:tbl>
    <w:p w14:paraId="3C0E9CB2" w14:textId="77777777" w:rsidR="001559F5" w:rsidRPr="00B4107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B4107D">
        <w:rPr>
          <w:lang w:val="es-ES"/>
        </w:rPr>
        <w:br w:type="page"/>
      </w:r>
    </w:p>
    <w:p w14:paraId="2621EDD2" w14:textId="77777777" w:rsidR="00920EAB" w:rsidRPr="00B4107D" w:rsidRDefault="00920EAB" w:rsidP="00C74C47">
      <w:pPr>
        <w:pStyle w:val="Headingb"/>
        <w:rPr>
          <w:lang w:val="es-ES"/>
        </w:rPr>
      </w:pPr>
      <w:r w:rsidRPr="00B4107D">
        <w:rPr>
          <w:lang w:val="es-ES"/>
        </w:rPr>
        <w:lastRenderedPageBreak/>
        <w:t>Introducción y marco institucional</w:t>
      </w:r>
    </w:p>
    <w:p w14:paraId="7EAD4BF4" w14:textId="66868767" w:rsidR="00920EAB" w:rsidRPr="00B4107D" w:rsidRDefault="00920EAB" w:rsidP="00600DF6">
      <w:pPr>
        <w:jc w:val="both"/>
        <w:rPr>
          <w:rFonts w:cs="Calibri"/>
          <w:lang w:val="es-ES"/>
        </w:rPr>
      </w:pPr>
      <w:r w:rsidRPr="00B4107D">
        <w:rPr>
          <w:lang w:val="es-ES"/>
        </w:rPr>
        <w:t xml:space="preserve">A pesar del progreso constante, reflejado en las tendencias al alza observadas en los países menos adelantados (PMA), los países en desarrollo sin litoral (PDSL) y los pequeños Estados insulares en desarrollo (PEID) en la </w:t>
      </w:r>
      <w:hyperlink w:anchor="Fig_1" w:history="1">
        <w:r w:rsidRPr="00B4107D">
          <w:rPr>
            <w:rStyle w:val="Hyperlink"/>
            <w:rFonts w:eastAsia="Times New Roman" w:cs="Times New Roman"/>
            <w:szCs w:val="20"/>
            <w:lang w:val="es-ES"/>
          </w:rPr>
          <w:t>Figura 1</w:t>
        </w:r>
      </w:hyperlink>
      <w:r w:rsidRPr="00B4107D">
        <w:rPr>
          <w:lang w:val="es-ES"/>
        </w:rPr>
        <w:t>, la utilización de Internet sigue registrando niveles considerablemente inferiores a las medias mundiales. En 2025, el porcentaje global de personas que utilizaban Internet había sido del 73,6 %. Por el contrario, los PMA registraron la tasa más baja de uso, que fue de un 33,7 %, Los PDSL experimentaron una tasa de penetración ligeramente superior del 37,6 %, mientras que los PEID reflejaron resultados comparativamente mejores, con una tasa del 64,1 %. Estos resultados se deben a diferentes obstáculos, como los elevados costes de la conectividad internacional, el coste del despliegue de infraestructuras, la falta de contenido local y el nivel insuficiente de capacidades digitales, siendo todos factores que afectan directamente a la asequibilidad, el acceso y la utilización.</w:t>
      </w:r>
      <w:hyperlink w:anchor="Fig_1" w:history="1"/>
    </w:p>
    <w:p w14:paraId="5947D875" w14:textId="6DB5EE16" w:rsidR="00920EAB" w:rsidRPr="00661B72" w:rsidRDefault="00920EAB" w:rsidP="00600DF6">
      <w:pPr>
        <w:jc w:val="both"/>
        <w:rPr>
          <w:rFonts w:cs="Calibri"/>
          <w:spacing w:val="-2"/>
          <w:lang w:val="es-ES"/>
        </w:rPr>
      </w:pPr>
      <w:r w:rsidRPr="00661B72">
        <w:rPr>
          <w:spacing w:val="-2"/>
          <w:lang w:val="es-ES"/>
        </w:rPr>
        <w:t>Hacer frente a estos obstáculos ocupa un lugar central en el programa de la UIT y la BDT, orientado por marcos establecidos, como la Resolución 30 (Rev. Bucarest, 2022) de la Conferencia de Plenipotenciarios (PP), la Resolución 16 (Rev. Bakú, 2025) de la Conferencia Mundial de Desarrollo de las Telecomunicaciones (</w:t>
      </w:r>
      <w:proofErr w:type="spellStart"/>
      <w:r w:rsidRPr="00661B72">
        <w:rPr>
          <w:spacing w:val="-2"/>
          <w:lang w:val="es-ES"/>
        </w:rPr>
        <w:t>CMDT</w:t>
      </w:r>
      <w:proofErr w:type="spellEnd"/>
      <w:r w:rsidRPr="00661B72">
        <w:rPr>
          <w:spacing w:val="-2"/>
          <w:lang w:val="es-ES"/>
        </w:rPr>
        <w:t xml:space="preserve">), el </w:t>
      </w:r>
      <w:hyperlink r:id="rId12" w:history="1">
        <w:r w:rsidRPr="00661B72">
          <w:rPr>
            <w:rStyle w:val="Hyperlink"/>
            <w:spacing w:val="-2"/>
            <w:lang w:val="es-ES"/>
          </w:rPr>
          <w:t>Plan de Acción de Bakú</w:t>
        </w:r>
      </w:hyperlink>
      <w:r w:rsidRPr="00661B72">
        <w:rPr>
          <w:spacing w:val="-2"/>
          <w:lang w:val="es-ES"/>
        </w:rPr>
        <w:t xml:space="preserve"> y los programas mundiales complementarios como el Programa de Acción de Doha para los PMA, el Programa de Acción de Awaza para los PDSL y la Agenda de Antigua y Barbuda para los PEID. La BDT informa periódicamente sobre su labor al respecto. Se hace referencia a los informes a la CMDT-25 y al GADT-26, contenidos en el Documento </w:t>
      </w:r>
      <w:hyperlink r:id="rId13" w:history="1">
        <w:proofErr w:type="spellStart"/>
        <w:r w:rsidRPr="00661B72">
          <w:rPr>
            <w:rStyle w:val="Hyperlink"/>
            <w:spacing w:val="-2"/>
            <w:lang w:val="es-ES"/>
          </w:rPr>
          <w:t>TDAG</w:t>
        </w:r>
        <w:proofErr w:type="spellEnd"/>
        <w:r w:rsidRPr="00661B72">
          <w:rPr>
            <w:rStyle w:val="Hyperlink"/>
            <w:spacing w:val="-2"/>
            <w:lang w:val="es-ES"/>
          </w:rPr>
          <w:t>-26/2</w:t>
        </w:r>
      </w:hyperlink>
      <w:r w:rsidRPr="00661B72">
        <w:rPr>
          <w:spacing w:val="-2"/>
          <w:lang w:val="es-ES"/>
        </w:rPr>
        <w:t xml:space="preserve"> y el Documento </w:t>
      </w:r>
      <w:hyperlink r:id="rId14" w:history="1">
        <w:r w:rsidRPr="00661B72">
          <w:rPr>
            <w:rStyle w:val="Hyperlink"/>
            <w:spacing w:val="-2"/>
            <w:lang w:val="es-ES"/>
          </w:rPr>
          <w:t>WTDC-25/2</w:t>
        </w:r>
      </w:hyperlink>
      <w:r w:rsidRPr="00661B72">
        <w:rPr>
          <w:spacing w:val="-2"/>
          <w:lang w:val="es-ES"/>
        </w:rPr>
        <w:t>.</w:t>
      </w:r>
      <w:hyperlink r:id="rId15"/>
      <w:hyperlink r:id="rId16"/>
      <w:hyperlink r:id="rId17"/>
    </w:p>
    <w:p w14:paraId="3447F46B" w14:textId="77777777" w:rsidR="00920EAB" w:rsidRPr="00B4107D" w:rsidRDefault="00920EAB" w:rsidP="00600DF6">
      <w:pPr>
        <w:jc w:val="both"/>
        <w:rPr>
          <w:rFonts w:cs="Calibri"/>
          <w:lang w:val="es-ES"/>
        </w:rPr>
      </w:pPr>
      <w:r w:rsidRPr="00B4107D">
        <w:rPr>
          <w:lang w:val="es-ES"/>
        </w:rPr>
        <w:t>De manera colectiva, en estos instrumentos se pide la adopción de medidas específicas para apoyar a los PMA, los PDSL, los PEID y los países en situaciones especiales, con énfasis en la creación de capacidad, el desarrollo de infraestructuras y la mejora de la cooperación internacional. En consonancia con estos mandatos, la reorganización en 2024 de la BDT ha fortalecido la capacidad de respuesta institucional, en particular mediante la creación de una división específica destinada a los países con necesidades especiales, mejorando la coordinación y la prestación de asistencia técnica específica y apoyo político.</w:t>
      </w:r>
    </w:p>
    <w:p w14:paraId="477886A3" w14:textId="77777777" w:rsidR="00920EAB" w:rsidRPr="00600DF6" w:rsidRDefault="00920EAB" w:rsidP="00600DF6">
      <w:pPr>
        <w:pStyle w:val="FigureNo"/>
      </w:pPr>
      <w:bookmarkStart w:id="1" w:name="Fig_1"/>
      <w:r w:rsidRPr="00B4107D">
        <w:rPr>
          <w:lang w:val="es-ES"/>
        </w:rPr>
        <w:lastRenderedPageBreak/>
        <w:t>FIGURA 1</w:t>
      </w:r>
      <w:bookmarkEnd w:id="1"/>
    </w:p>
    <w:p w14:paraId="75D1E5EA" w14:textId="65648AAA" w:rsidR="00920EAB" w:rsidRPr="00B4107D" w:rsidRDefault="00920EAB" w:rsidP="00AD467B">
      <w:pPr>
        <w:pStyle w:val="Figuretitle"/>
        <w:rPr>
          <w:lang w:val="es-ES"/>
        </w:rPr>
      </w:pPr>
      <w:r w:rsidRPr="00B4107D">
        <w:rPr>
          <w:lang w:val="es-ES"/>
        </w:rPr>
        <w:t>Personas que utilizan Internet, PMA, PDSL y PEID (porcentaje)</w:t>
      </w:r>
    </w:p>
    <w:p w14:paraId="106E45E3" w14:textId="1AC665F4" w:rsidR="00920EAB" w:rsidRPr="00B4107D" w:rsidRDefault="00033930" w:rsidP="00033930">
      <w:pPr>
        <w:pStyle w:val="Figurewithlegend"/>
        <w:rPr>
          <w:rFonts w:eastAsia="Aptos"/>
          <w:noProof w:val="0"/>
          <w:lang w:val="es-ES"/>
        </w:rPr>
      </w:pPr>
      <w:r w:rsidRPr="00B4107D">
        <w:rPr>
          <w:lang w:val="es-ES"/>
        </w:rPr>
        <w:drawing>
          <wp:inline distT="0" distB="0" distL="0" distR="0" wp14:anchorId="48420ED1" wp14:editId="4CA711C1">
            <wp:extent cx="5490388"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0388" cy="3240000"/>
                    </a:xfrm>
                    <a:prstGeom prst="rect">
                      <a:avLst/>
                    </a:prstGeom>
                  </pic:spPr>
                </pic:pic>
              </a:graphicData>
            </a:graphic>
          </wp:inline>
        </w:drawing>
      </w:r>
    </w:p>
    <w:p w14:paraId="717BBCF3" w14:textId="77777777" w:rsidR="00920EAB" w:rsidRPr="00B4107D" w:rsidRDefault="00920EAB" w:rsidP="00920EAB">
      <w:pPr>
        <w:pStyle w:val="Figurelegend"/>
        <w:rPr>
          <w:lang w:val="es-ES"/>
        </w:rPr>
      </w:pPr>
      <w:r w:rsidRPr="00B4107D">
        <w:rPr>
          <w:lang w:val="es-ES"/>
        </w:rPr>
        <w:t>Fuente: Estimaciones de la UIT.</w:t>
      </w:r>
    </w:p>
    <w:p w14:paraId="330CABEA" w14:textId="77777777" w:rsidR="00920EAB" w:rsidRPr="00B4107D" w:rsidRDefault="00920EAB" w:rsidP="00033930">
      <w:pPr>
        <w:pStyle w:val="Headingb"/>
        <w:rPr>
          <w:lang w:val="es-ES"/>
        </w:rPr>
      </w:pPr>
      <w:r w:rsidRPr="00B4107D">
        <w:rPr>
          <w:lang w:val="es-ES"/>
        </w:rPr>
        <w:t>Implementación de medidas especiales para los PMA, los PDSL, los PEID y los países con economías en transición</w:t>
      </w:r>
    </w:p>
    <w:p w14:paraId="082C10BE" w14:textId="7B6393FC" w:rsidR="00920EAB" w:rsidRPr="00B4107D" w:rsidRDefault="00920EAB" w:rsidP="00600DF6">
      <w:pPr>
        <w:jc w:val="both"/>
        <w:rPr>
          <w:rFonts w:cs="Calibri"/>
          <w:lang w:val="es-ES"/>
        </w:rPr>
      </w:pPr>
      <w:r w:rsidRPr="00B4107D">
        <w:rPr>
          <w:lang w:val="es-ES"/>
        </w:rPr>
        <w:t>La Conferencia de Plenipotenciarios (Bucarest, 2022) reafirmó el mandato de la Resolución</w:t>
      </w:r>
      <w:r w:rsidR="00033930" w:rsidRPr="00B4107D">
        <w:rPr>
          <w:lang w:val="es-ES"/>
        </w:rPr>
        <w:t> </w:t>
      </w:r>
      <w:r w:rsidRPr="00B4107D">
        <w:rPr>
          <w:lang w:val="es-ES"/>
        </w:rPr>
        <w:t>30 (Rev. Bucarest, 2022), en la que se encarga a la Secretaria General y al Director de la BDT que implementen medidas especiales para los PMA, los PDSL, los PEID y los países con economías en transición.</w:t>
      </w:r>
    </w:p>
    <w:p w14:paraId="1D8B0F9C" w14:textId="77777777" w:rsidR="00920EAB" w:rsidRPr="00B4107D" w:rsidRDefault="00920EAB" w:rsidP="00920EAB">
      <w:pPr>
        <w:pStyle w:val="Headingb"/>
        <w:rPr>
          <w:lang w:val="es-ES"/>
        </w:rPr>
      </w:pPr>
      <w:r w:rsidRPr="00B4107D">
        <w:rPr>
          <w:lang w:val="es-ES"/>
        </w:rPr>
        <w:t>Examen de la situación de las TIC</w:t>
      </w:r>
    </w:p>
    <w:p w14:paraId="7AE28B31" w14:textId="78CDA691" w:rsidR="00920EAB" w:rsidRPr="00B4107D" w:rsidRDefault="00920EAB" w:rsidP="00600DF6">
      <w:pPr>
        <w:jc w:val="both"/>
        <w:rPr>
          <w:rFonts w:eastAsia="Calibri" w:cs="Calibri"/>
          <w:lang w:val="es-ES"/>
        </w:rPr>
      </w:pPr>
      <w:r w:rsidRPr="00B4107D">
        <w:rPr>
          <w:lang w:val="es-ES"/>
        </w:rPr>
        <w:t xml:space="preserve">La UIT evalúa continuamente el desarrollo de las TIC e identifica las deficiencias críticas por conducto de su emblemática serie de publicaciones </w:t>
      </w:r>
      <w:hyperlink r:id="rId19" w:history="1">
        <w:proofErr w:type="spellStart"/>
        <w:r w:rsidRPr="00B4107D">
          <w:rPr>
            <w:rStyle w:val="Hyperlink"/>
            <w:i/>
            <w:iCs/>
            <w:lang w:val="es-ES"/>
          </w:rPr>
          <w:t>Facts</w:t>
        </w:r>
        <w:proofErr w:type="spellEnd"/>
        <w:r w:rsidRPr="00B4107D">
          <w:rPr>
            <w:rStyle w:val="Hyperlink"/>
            <w:i/>
            <w:iCs/>
            <w:lang w:val="es-ES"/>
          </w:rPr>
          <w:t xml:space="preserve"> and Figures</w:t>
        </w:r>
      </w:hyperlink>
      <w:r w:rsidRPr="00B4107D">
        <w:rPr>
          <w:lang w:val="es-ES"/>
        </w:rPr>
        <w:t xml:space="preserve">, completada en los últimos años con ediciones especiales dedicadas a los </w:t>
      </w:r>
      <w:hyperlink r:id="rId20" w:history="1">
        <w:proofErr w:type="spellStart"/>
        <w:r w:rsidRPr="00B4107D">
          <w:rPr>
            <w:rStyle w:val="Hyperlink"/>
            <w:lang w:val="es-ES"/>
          </w:rPr>
          <w:t>PMA</w:t>
        </w:r>
        <w:proofErr w:type="spellEnd"/>
      </w:hyperlink>
      <w:r w:rsidRPr="00B4107D">
        <w:rPr>
          <w:lang w:val="es-ES"/>
        </w:rPr>
        <w:t xml:space="preserve">, los </w:t>
      </w:r>
      <w:hyperlink r:id="rId21" w:history="1">
        <w:proofErr w:type="spellStart"/>
        <w:r w:rsidRPr="00B4107D">
          <w:rPr>
            <w:rStyle w:val="Hyperlink"/>
            <w:lang w:val="es-ES"/>
          </w:rPr>
          <w:t>PDSL</w:t>
        </w:r>
        <w:proofErr w:type="spellEnd"/>
      </w:hyperlink>
      <w:r w:rsidRPr="00B4107D">
        <w:rPr>
          <w:lang w:val="es-ES"/>
        </w:rPr>
        <w:t xml:space="preserve"> y los </w:t>
      </w:r>
      <w:hyperlink r:id="rId22" w:history="1">
        <w:r w:rsidRPr="00B4107D">
          <w:rPr>
            <w:rStyle w:val="Hyperlink"/>
            <w:lang w:val="es-ES"/>
          </w:rPr>
          <w:t>PEID</w:t>
        </w:r>
      </w:hyperlink>
      <w:r w:rsidRPr="00B4107D">
        <w:rPr>
          <w:lang w:val="es-ES"/>
        </w:rPr>
        <w:t xml:space="preserve">. Estas ediciones fueron adaptadas estratégicamente a los principales marcos de desarrollo internacionales de las Naciones Unidas, como el Programa de Acción de Doha para los PMA, el Programa de Acción de Awaza para los PDSL y la Agenda de Antigua y Barbuda para los PEID. Juntos, estos documentos proporcionan información exhaustiva sobre la situación del desarrollo digital en todo el mundo y en estos grupos especiales. Como se ilustra en la </w:t>
      </w:r>
      <w:hyperlink w:anchor="Fig_1" w:history="1">
        <w:r w:rsidRPr="00B4107D">
          <w:rPr>
            <w:rStyle w:val="Hyperlink"/>
            <w:rFonts w:eastAsia="Times New Roman" w:cs="Times New Roman"/>
            <w:szCs w:val="20"/>
            <w:lang w:val="es-ES"/>
          </w:rPr>
          <w:t>Figura</w:t>
        </w:r>
        <w:r w:rsidR="00033930" w:rsidRPr="00B4107D">
          <w:rPr>
            <w:rStyle w:val="Hyperlink"/>
            <w:rFonts w:eastAsia="Times New Roman" w:cs="Times New Roman"/>
            <w:szCs w:val="20"/>
            <w:lang w:val="es-ES"/>
          </w:rPr>
          <w:t> </w:t>
        </w:r>
        <w:r w:rsidRPr="00B4107D">
          <w:rPr>
            <w:rStyle w:val="Hyperlink"/>
            <w:rFonts w:eastAsia="Times New Roman" w:cs="Times New Roman"/>
            <w:szCs w:val="20"/>
            <w:lang w:val="es-ES"/>
          </w:rPr>
          <w:t>1</w:t>
        </w:r>
      </w:hyperlink>
      <w:r w:rsidRPr="00B4107D">
        <w:rPr>
          <w:lang w:val="es-ES"/>
        </w:rPr>
        <w:t>, el progreso ha sido constante. Sin embargo, sigue habiendo disparidades tanto entre estos grupos especiales como entre ellos y el resto del mundo.</w:t>
      </w:r>
      <w:hyperlink r:id="rId23" w:history="1"/>
      <w:hyperlink r:id="rId24" w:history="1"/>
      <w:hyperlink r:id="rId25" w:history="1"/>
      <w:hyperlink r:id="rId26" w:history="1"/>
      <w:hyperlink w:anchor="Fig_1" w:history="1"/>
    </w:p>
    <w:p w14:paraId="6002C77E" w14:textId="77777777" w:rsidR="00920EAB" w:rsidRPr="00B4107D" w:rsidRDefault="00920EAB" w:rsidP="00920EAB">
      <w:pPr>
        <w:pStyle w:val="TableNo"/>
        <w:rPr>
          <w:lang w:val="es-ES"/>
        </w:rPr>
      </w:pPr>
      <w:bookmarkStart w:id="2" w:name="Tab_1"/>
      <w:r w:rsidRPr="00B4107D">
        <w:rPr>
          <w:lang w:val="es-ES"/>
        </w:rPr>
        <w:lastRenderedPageBreak/>
        <w:t>CUADRO 1</w:t>
      </w:r>
      <w:bookmarkEnd w:id="2"/>
    </w:p>
    <w:p w14:paraId="65AC0DCE" w14:textId="77777777" w:rsidR="00920EAB" w:rsidRPr="00B4107D" w:rsidRDefault="00920EAB" w:rsidP="00033930">
      <w:pPr>
        <w:pStyle w:val="Tabletitle"/>
        <w:rPr>
          <w:lang w:val="es-ES"/>
        </w:rPr>
      </w:pPr>
      <w:r w:rsidRPr="00B4107D">
        <w:rPr>
          <w:lang w:val="es-ES"/>
        </w:rPr>
        <w:t>Indicadores de conectividad seleccionados, 2025</w:t>
      </w:r>
    </w:p>
    <w:tbl>
      <w:tblPr>
        <w:tblStyle w:val="TableGrid"/>
        <w:tblW w:w="5000" w:type="pct"/>
        <w:tblLayout w:type="fixed"/>
        <w:tblLook w:val="04A0" w:firstRow="1" w:lastRow="0" w:firstColumn="1" w:lastColumn="0" w:noHBand="0" w:noVBand="1"/>
      </w:tblPr>
      <w:tblGrid>
        <w:gridCol w:w="4556"/>
        <w:gridCol w:w="1136"/>
        <w:gridCol w:w="1624"/>
        <w:gridCol w:w="1745"/>
      </w:tblGrid>
      <w:tr w:rsidR="00920EAB" w:rsidRPr="00B4107D" w14:paraId="5488775F" w14:textId="77777777" w:rsidTr="00271605">
        <w:trPr>
          <w:tblHeader/>
        </w:trPr>
        <w:tc>
          <w:tcPr>
            <w:tcW w:w="2514" w:type="pct"/>
            <w:shd w:val="clear" w:color="auto" w:fill="F2F2F2" w:themeFill="background1" w:themeFillShade="F2"/>
          </w:tcPr>
          <w:p w14:paraId="149A7A4B" w14:textId="77777777" w:rsidR="00920EAB" w:rsidRPr="00B4107D" w:rsidRDefault="00920EAB" w:rsidP="00033930">
            <w:pPr>
              <w:pStyle w:val="Tablehead"/>
              <w:rPr>
                <w:lang w:val="es-ES"/>
              </w:rPr>
            </w:pPr>
            <w:r w:rsidRPr="00B4107D">
              <w:rPr>
                <w:lang w:val="es-ES"/>
              </w:rPr>
              <w:t>Porcentaje de la población con cobertura de al menos una red móvil LTE/WiMAX (4G)</w:t>
            </w:r>
          </w:p>
        </w:tc>
        <w:tc>
          <w:tcPr>
            <w:tcW w:w="627" w:type="pct"/>
            <w:shd w:val="clear" w:color="auto" w:fill="F2F2F2" w:themeFill="background1" w:themeFillShade="F2"/>
          </w:tcPr>
          <w:p w14:paraId="05525CA7" w14:textId="77777777" w:rsidR="00920EAB" w:rsidRPr="00B4107D" w:rsidRDefault="00920EAB" w:rsidP="00271605">
            <w:pPr>
              <w:pStyle w:val="Tablehead"/>
              <w:rPr>
                <w:lang w:val="es-ES"/>
              </w:rPr>
            </w:pPr>
            <w:r w:rsidRPr="00B4107D">
              <w:rPr>
                <w:lang w:val="es-ES"/>
              </w:rPr>
              <w:t>Total</w:t>
            </w:r>
          </w:p>
        </w:tc>
        <w:tc>
          <w:tcPr>
            <w:tcW w:w="896" w:type="pct"/>
            <w:shd w:val="clear" w:color="auto" w:fill="F2F2F2" w:themeFill="background1" w:themeFillShade="F2"/>
          </w:tcPr>
          <w:p w14:paraId="43B91822" w14:textId="77777777" w:rsidR="00920EAB" w:rsidRPr="00B4107D" w:rsidRDefault="00920EAB" w:rsidP="00271605">
            <w:pPr>
              <w:pStyle w:val="Tablehead"/>
              <w:rPr>
                <w:lang w:val="es-ES"/>
              </w:rPr>
            </w:pPr>
            <w:r w:rsidRPr="00B4107D">
              <w:rPr>
                <w:lang w:val="es-ES"/>
              </w:rPr>
              <w:t>Zonas urbanas</w:t>
            </w:r>
          </w:p>
        </w:tc>
        <w:tc>
          <w:tcPr>
            <w:tcW w:w="1745" w:type="dxa"/>
            <w:shd w:val="clear" w:color="auto" w:fill="F2F2F2" w:themeFill="background1" w:themeFillShade="F2"/>
          </w:tcPr>
          <w:p w14:paraId="2EDFA34C" w14:textId="77777777" w:rsidR="00920EAB" w:rsidRPr="00B4107D" w:rsidRDefault="00920EAB" w:rsidP="00271605">
            <w:pPr>
              <w:pStyle w:val="Tablehead"/>
              <w:rPr>
                <w:lang w:val="es-ES"/>
              </w:rPr>
            </w:pPr>
            <w:r w:rsidRPr="00B4107D">
              <w:rPr>
                <w:lang w:val="es-ES"/>
              </w:rPr>
              <w:t>Zonas rurales</w:t>
            </w:r>
          </w:p>
        </w:tc>
      </w:tr>
      <w:tr w:rsidR="00920EAB" w:rsidRPr="00B4107D" w14:paraId="35F268F9" w14:textId="77777777" w:rsidTr="00271605">
        <w:trPr>
          <w:trHeight w:val="91"/>
        </w:trPr>
        <w:tc>
          <w:tcPr>
            <w:tcW w:w="2514" w:type="pct"/>
          </w:tcPr>
          <w:p w14:paraId="12584C69" w14:textId="77777777" w:rsidR="00920EAB" w:rsidRPr="00B4107D" w:rsidRDefault="00920EAB" w:rsidP="00033930">
            <w:pPr>
              <w:pStyle w:val="Tabletext"/>
              <w:rPr>
                <w:lang w:val="es-ES"/>
              </w:rPr>
            </w:pPr>
            <w:r w:rsidRPr="00B4107D">
              <w:rPr>
                <w:lang w:val="es-ES"/>
              </w:rPr>
              <w:t>PMA</w:t>
            </w:r>
          </w:p>
        </w:tc>
        <w:tc>
          <w:tcPr>
            <w:tcW w:w="627" w:type="pct"/>
            <w:vAlign w:val="bottom"/>
          </w:tcPr>
          <w:p w14:paraId="607803E7" w14:textId="77777777" w:rsidR="00920EAB" w:rsidRPr="00B4107D" w:rsidRDefault="00920EAB" w:rsidP="00033930">
            <w:pPr>
              <w:pStyle w:val="Tabletext"/>
              <w:jc w:val="right"/>
              <w:rPr>
                <w:lang w:val="es-ES"/>
              </w:rPr>
            </w:pPr>
            <w:r w:rsidRPr="00B4107D">
              <w:rPr>
                <w:lang w:val="es-ES"/>
              </w:rPr>
              <w:t>71,2</w:t>
            </w:r>
          </w:p>
        </w:tc>
        <w:tc>
          <w:tcPr>
            <w:tcW w:w="896" w:type="pct"/>
            <w:vAlign w:val="bottom"/>
          </w:tcPr>
          <w:p w14:paraId="773A91C0" w14:textId="77777777" w:rsidR="00920EAB" w:rsidRPr="00B4107D" w:rsidRDefault="00920EAB" w:rsidP="00033930">
            <w:pPr>
              <w:pStyle w:val="Tabletext"/>
              <w:jc w:val="right"/>
              <w:rPr>
                <w:lang w:val="es-ES"/>
              </w:rPr>
            </w:pPr>
            <w:r w:rsidRPr="00B4107D">
              <w:rPr>
                <w:lang w:val="es-ES"/>
              </w:rPr>
              <w:t>95,2</w:t>
            </w:r>
          </w:p>
        </w:tc>
        <w:tc>
          <w:tcPr>
            <w:tcW w:w="1745" w:type="dxa"/>
            <w:vAlign w:val="bottom"/>
          </w:tcPr>
          <w:p w14:paraId="1CF674FA" w14:textId="77777777" w:rsidR="00920EAB" w:rsidRPr="00B4107D" w:rsidRDefault="00920EAB" w:rsidP="00033930">
            <w:pPr>
              <w:pStyle w:val="Tabletext"/>
              <w:jc w:val="right"/>
              <w:rPr>
                <w:lang w:val="es-ES"/>
              </w:rPr>
            </w:pPr>
            <w:r w:rsidRPr="00B4107D">
              <w:rPr>
                <w:lang w:val="es-ES"/>
              </w:rPr>
              <w:t>56,9</w:t>
            </w:r>
          </w:p>
        </w:tc>
      </w:tr>
      <w:tr w:rsidR="00920EAB" w:rsidRPr="00B4107D" w14:paraId="720B4C0E" w14:textId="77777777" w:rsidTr="00271605">
        <w:tc>
          <w:tcPr>
            <w:tcW w:w="2514" w:type="pct"/>
          </w:tcPr>
          <w:p w14:paraId="2FB1DD3E" w14:textId="77777777" w:rsidR="00920EAB" w:rsidRPr="00B4107D" w:rsidRDefault="00920EAB" w:rsidP="00271605">
            <w:pPr>
              <w:pStyle w:val="Tabletext"/>
              <w:rPr>
                <w:lang w:val="es-ES"/>
              </w:rPr>
            </w:pPr>
            <w:r w:rsidRPr="00B4107D">
              <w:rPr>
                <w:lang w:val="es-ES"/>
              </w:rPr>
              <w:t>PDSL</w:t>
            </w:r>
          </w:p>
        </w:tc>
        <w:tc>
          <w:tcPr>
            <w:tcW w:w="627" w:type="pct"/>
            <w:vAlign w:val="bottom"/>
          </w:tcPr>
          <w:p w14:paraId="5581639F" w14:textId="77777777" w:rsidR="00920EAB" w:rsidRPr="00B4107D" w:rsidRDefault="00920EAB" w:rsidP="00033930">
            <w:pPr>
              <w:pStyle w:val="Tabletext"/>
              <w:jc w:val="right"/>
              <w:rPr>
                <w:lang w:val="es-ES"/>
              </w:rPr>
            </w:pPr>
            <w:r w:rsidRPr="00B4107D">
              <w:rPr>
                <w:lang w:val="es-ES"/>
              </w:rPr>
              <w:t>66,1</w:t>
            </w:r>
          </w:p>
        </w:tc>
        <w:tc>
          <w:tcPr>
            <w:tcW w:w="896" w:type="pct"/>
            <w:vAlign w:val="bottom"/>
          </w:tcPr>
          <w:p w14:paraId="5FD7AB45" w14:textId="77777777" w:rsidR="00920EAB" w:rsidRPr="00B4107D" w:rsidRDefault="00920EAB" w:rsidP="00033930">
            <w:pPr>
              <w:pStyle w:val="Tabletext"/>
              <w:jc w:val="right"/>
              <w:rPr>
                <w:lang w:val="es-ES"/>
              </w:rPr>
            </w:pPr>
            <w:r w:rsidRPr="00B4107D">
              <w:rPr>
                <w:lang w:val="es-ES"/>
              </w:rPr>
              <w:t>92,4</w:t>
            </w:r>
          </w:p>
        </w:tc>
        <w:tc>
          <w:tcPr>
            <w:tcW w:w="1745" w:type="dxa"/>
            <w:vAlign w:val="bottom"/>
          </w:tcPr>
          <w:p w14:paraId="6FD24E1B" w14:textId="77777777" w:rsidR="00920EAB" w:rsidRPr="00B4107D" w:rsidRDefault="00920EAB" w:rsidP="00033930">
            <w:pPr>
              <w:pStyle w:val="Tabletext"/>
              <w:jc w:val="right"/>
              <w:rPr>
                <w:lang w:val="es-ES"/>
              </w:rPr>
            </w:pPr>
            <w:r w:rsidRPr="00B4107D">
              <w:rPr>
                <w:lang w:val="es-ES"/>
              </w:rPr>
              <w:t>53,2</w:t>
            </w:r>
          </w:p>
        </w:tc>
      </w:tr>
      <w:tr w:rsidR="00920EAB" w:rsidRPr="00B4107D" w14:paraId="626D5135" w14:textId="77777777" w:rsidTr="00271605">
        <w:tc>
          <w:tcPr>
            <w:tcW w:w="2514" w:type="pct"/>
          </w:tcPr>
          <w:p w14:paraId="3671A4CE" w14:textId="77777777" w:rsidR="00920EAB" w:rsidRPr="00B4107D" w:rsidRDefault="00920EAB" w:rsidP="00271605">
            <w:pPr>
              <w:pStyle w:val="Tabletext"/>
              <w:rPr>
                <w:lang w:val="es-ES"/>
              </w:rPr>
            </w:pPr>
            <w:r w:rsidRPr="00B4107D">
              <w:rPr>
                <w:lang w:val="es-ES"/>
              </w:rPr>
              <w:t>PEID</w:t>
            </w:r>
          </w:p>
        </w:tc>
        <w:tc>
          <w:tcPr>
            <w:tcW w:w="627" w:type="pct"/>
            <w:vAlign w:val="bottom"/>
          </w:tcPr>
          <w:p w14:paraId="40CC4615" w14:textId="77777777" w:rsidR="00920EAB" w:rsidRPr="00B4107D" w:rsidRDefault="00920EAB" w:rsidP="00033930">
            <w:pPr>
              <w:pStyle w:val="Tabletext"/>
              <w:jc w:val="right"/>
              <w:rPr>
                <w:lang w:val="es-ES"/>
              </w:rPr>
            </w:pPr>
            <w:r w:rsidRPr="00B4107D">
              <w:rPr>
                <w:lang w:val="es-ES"/>
              </w:rPr>
              <w:t>73,4</w:t>
            </w:r>
          </w:p>
        </w:tc>
        <w:tc>
          <w:tcPr>
            <w:tcW w:w="896" w:type="pct"/>
            <w:vAlign w:val="bottom"/>
          </w:tcPr>
          <w:p w14:paraId="77A965E6" w14:textId="77777777" w:rsidR="00920EAB" w:rsidRPr="00B4107D" w:rsidRDefault="00920EAB" w:rsidP="00033930">
            <w:pPr>
              <w:pStyle w:val="Tabletext"/>
              <w:jc w:val="right"/>
              <w:rPr>
                <w:lang w:val="es-ES"/>
              </w:rPr>
            </w:pPr>
            <w:r w:rsidRPr="00B4107D">
              <w:rPr>
                <w:lang w:val="es-ES"/>
              </w:rPr>
              <w:t>86,0</w:t>
            </w:r>
          </w:p>
        </w:tc>
        <w:tc>
          <w:tcPr>
            <w:tcW w:w="1745" w:type="dxa"/>
            <w:vAlign w:val="bottom"/>
          </w:tcPr>
          <w:p w14:paraId="38B71354" w14:textId="77777777" w:rsidR="00920EAB" w:rsidRPr="00B4107D" w:rsidRDefault="00920EAB" w:rsidP="00033930">
            <w:pPr>
              <w:pStyle w:val="Tabletext"/>
              <w:jc w:val="right"/>
              <w:rPr>
                <w:lang w:val="es-ES"/>
              </w:rPr>
            </w:pPr>
            <w:r w:rsidRPr="00B4107D">
              <w:rPr>
                <w:lang w:val="es-ES"/>
              </w:rPr>
              <w:t>52,9</w:t>
            </w:r>
          </w:p>
        </w:tc>
      </w:tr>
      <w:tr w:rsidR="00920EAB" w:rsidRPr="00B4107D" w14:paraId="12DAF9AB" w14:textId="77777777" w:rsidTr="00271605">
        <w:tc>
          <w:tcPr>
            <w:tcW w:w="2514" w:type="pct"/>
            <w:shd w:val="clear" w:color="auto" w:fill="F2F2F2" w:themeFill="background1" w:themeFillShade="F2"/>
          </w:tcPr>
          <w:p w14:paraId="16D15A57" w14:textId="77777777" w:rsidR="00920EAB" w:rsidRPr="00B4107D" w:rsidRDefault="00920EAB" w:rsidP="00271605">
            <w:pPr>
              <w:pStyle w:val="Tabletext"/>
              <w:rPr>
                <w:b/>
                <w:bCs/>
                <w:lang w:val="es-ES"/>
              </w:rPr>
            </w:pPr>
            <w:r w:rsidRPr="00B4107D">
              <w:rPr>
                <w:b/>
                <w:bCs/>
                <w:color w:val="000000"/>
                <w:lang w:val="es-ES"/>
              </w:rPr>
              <w:t>Proporción de personas que utilizan Internet</w:t>
            </w:r>
          </w:p>
        </w:tc>
        <w:tc>
          <w:tcPr>
            <w:tcW w:w="627" w:type="pct"/>
            <w:shd w:val="clear" w:color="auto" w:fill="F2F2F2" w:themeFill="background1" w:themeFillShade="F2"/>
          </w:tcPr>
          <w:p w14:paraId="78836749" w14:textId="77777777" w:rsidR="00920EAB" w:rsidRPr="00B4107D" w:rsidRDefault="00920EAB" w:rsidP="00271605">
            <w:pPr>
              <w:pStyle w:val="Tabletext"/>
              <w:jc w:val="center"/>
              <w:rPr>
                <w:b/>
                <w:bCs/>
                <w:lang w:val="es-ES"/>
              </w:rPr>
            </w:pPr>
            <w:r w:rsidRPr="00B4107D">
              <w:rPr>
                <w:b/>
                <w:bCs/>
                <w:color w:val="000000"/>
                <w:lang w:val="es-ES"/>
              </w:rPr>
              <w:t>Total</w:t>
            </w:r>
          </w:p>
        </w:tc>
        <w:tc>
          <w:tcPr>
            <w:tcW w:w="896" w:type="pct"/>
            <w:shd w:val="clear" w:color="auto" w:fill="F2F2F2" w:themeFill="background1" w:themeFillShade="F2"/>
          </w:tcPr>
          <w:p w14:paraId="641E57C0" w14:textId="77777777" w:rsidR="00920EAB" w:rsidRPr="00B4107D" w:rsidRDefault="00920EAB" w:rsidP="00271605">
            <w:pPr>
              <w:pStyle w:val="Tabletext"/>
              <w:jc w:val="center"/>
              <w:rPr>
                <w:b/>
                <w:bCs/>
                <w:lang w:val="es-ES"/>
              </w:rPr>
            </w:pPr>
            <w:r w:rsidRPr="00B4107D">
              <w:rPr>
                <w:b/>
                <w:bCs/>
                <w:color w:val="000000"/>
                <w:lang w:val="es-ES"/>
              </w:rPr>
              <w:t>Hombres</w:t>
            </w:r>
          </w:p>
        </w:tc>
        <w:tc>
          <w:tcPr>
            <w:tcW w:w="1745" w:type="dxa"/>
            <w:shd w:val="clear" w:color="auto" w:fill="F2F2F2" w:themeFill="background1" w:themeFillShade="F2"/>
          </w:tcPr>
          <w:p w14:paraId="7B1940E1" w14:textId="77777777" w:rsidR="00920EAB" w:rsidRPr="00B4107D" w:rsidRDefault="00920EAB" w:rsidP="00271605">
            <w:pPr>
              <w:pStyle w:val="Tabletext"/>
              <w:jc w:val="center"/>
              <w:rPr>
                <w:b/>
                <w:bCs/>
                <w:lang w:val="es-ES"/>
              </w:rPr>
            </w:pPr>
            <w:r w:rsidRPr="00B4107D">
              <w:rPr>
                <w:b/>
                <w:bCs/>
                <w:color w:val="000000"/>
                <w:lang w:val="es-ES"/>
              </w:rPr>
              <w:t>Mujeres</w:t>
            </w:r>
          </w:p>
        </w:tc>
      </w:tr>
      <w:tr w:rsidR="00920EAB" w:rsidRPr="00B4107D" w14:paraId="41F5007C" w14:textId="77777777" w:rsidTr="00271605">
        <w:tc>
          <w:tcPr>
            <w:tcW w:w="2514" w:type="pct"/>
          </w:tcPr>
          <w:p w14:paraId="75A8C765" w14:textId="77777777" w:rsidR="00920EAB" w:rsidRPr="00B4107D" w:rsidRDefault="00920EAB" w:rsidP="00271605">
            <w:pPr>
              <w:pStyle w:val="Tabletext"/>
              <w:rPr>
                <w:lang w:val="es-ES"/>
              </w:rPr>
            </w:pPr>
            <w:r w:rsidRPr="00B4107D">
              <w:rPr>
                <w:lang w:val="es-ES"/>
              </w:rPr>
              <w:t>PMA</w:t>
            </w:r>
          </w:p>
        </w:tc>
        <w:tc>
          <w:tcPr>
            <w:tcW w:w="627" w:type="pct"/>
            <w:vAlign w:val="center"/>
          </w:tcPr>
          <w:p w14:paraId="66F66952" w14:textId="77777777" w:rsidR="00920EAB" w:rsidRPr="00B4107D" w:rsidRDefault="00920EAB" w:rsidP="00033930">
            <w:pPr>
              <w:pStyle w:val="Tabletext"/>
              <w:jc w:val="right"/>
              <w:rPr>
                <w:lang w:val="es-ES"/>
              </w:rPr>
            </w:pPr>
            <w:r w:rsidRPr="00B4107D">
              <w:rPr>
                <w:lang w:val="es-ES"/>
              </w:rPr>
              <w:t>33,7</w:t>
            </w:r>
          </w:p>
        </w:tc>
        <w:tc>
          <w:tcPr>
            <w:tcW w:w="896" w:type="pct"/>
            <w:vAlign w:val="bottom"/>
          </w:tcPr>
          <w:p w14:paraId="163363E8" w14:textId="77777777" w:rsidR="00920EAB" w:rsidRPr="00B4107D" w:rsidRDefault="00920EAB" w:rsidP="00033930">
            <w:pPr>
              <w:pStyle w:val="Tabletext"/>
              <w:jc w:val="right"/>
              <w:rPr>
                <w:lang w:val="es-ES"/>
              </w:rPr>
            </w:pPr>
            <w:r w:rsidRPr="00B4107D">
              <w:rPr>
                <w:lang w:val="es-ES"/>
              </w:rPr>
              <w:t>39,1</w:t>
            </w:r>
          </w:p>
        </w:tc>
        <w:tc>
          <w:tcPr>
            <w:tcW w:w="1745" w:type="dxa"/>
            <w:vAlign w:val="bottom"/>
          </w:tcPr>
          <w:p w14:paraId="4C8C6B16" w14:textId="77777777" w:rsidR="00920EAB" w:rsidRPr="00B4107D" w:rsidRDefault="00920EAB" w:rsidP="00033930">
            <w:pPr>
              <w:pStyle w:val="Tabletext"/>
              <w:jc w:val="right"/>
              <w:rPr>
                <w:lang w:val="es-ES"/>
              </w:rPr>
            </w:pPr>
            <w:r w:rsidRPr="00B4107D">
              <w:rPr>
                <w:lang w:val="es-ES"/>
              </w:rPr>
              <w:t>28,4</w:t>
            </w:r>
          </w:p>
        </w:tc>
      </w:tr>
      <w:tr w:rsidR="00920EAB" w:rsidRPr="00B4107D" w14:paraId="419F1B83" w14:textId="77777777" w:rsidTr="00271605">
        <w:tc>
          <w:tcPr>
            <w:tcW w:w="2514" w:type="pct"/>
          </w:tcPr>
          <w:p w14:paraId="6F20788D" w14:textId="77777777" w:rsidR="00920EAB" w:rsidRPr="00B4107D" w:rsidRDefault="00920EAB" w:rsidP="00271605">
            <w:pPr>
              <w:pStyle w:val="Tabletext"/>
              <w:rPr>
                <w:lang w:val="es-ES"/>
              </w:rPr>
            </w:pPr>
            <w:r w:rsidRPr="00B4107D">
              <w:rPr>
                <w:lang w:val="es-ES"/>
              </w:rPr>
              <w:t>PDSL</w:t>
            </w:r>
          </w:p>
        </w:tc>
        <w:tc>
          <w:tcPr>
            <w:tcW w:w="627" w:type="pct"/>
            <w:vAlign w:val="center"/>
          </w:tcPr>
          <w:p w14:paraId="4BBD9B74" w14:textId="77777777" w:rsidR="00920EAB" w:rsidRPr="00B4107D" w:rsidRDefault="00920EAB" w:rsidP="00033930">
            <w:pPr>
              <w:pStyle w:val="Tabletext"/>
              <w:jc w:val="right"/>
              <w:rPr>
                <w:lang w:val="es-ES"/>
              </w:rPr>
            </w:pPr>
            <w:r w:rsidRPr="00B4107D">
              <w:rPr>
                <w:lang w:val="es-ES"/>
              </w:rPr>
              <w:t>37,6</w:t>
            </w:r>
          </w:p>
        </w:tc>
        <w:tc>
          <w:tcPr>
            <w:tcW w:w="896" w:type="pct"/>
            <w:vAlign w:val="bottom"/>
          </w:tcPr>
          <w:p w14:paraId="44019013" w14:textId="77777777" w:rsidR="00920EAB" w:rsidRPr="00B4107D" w:rsidRDefault="00920EAB" w:rsidP="00033930">
            <w:pPr>
              <w:pStyle w:val="Tabletext"/>
              <w:jc w:val="right"/>
              <w:rPr>
                <w:lang w:val="es-ES"/>
              </w:rPr>
            </w:pPr>
            <w:r w:rsidRPr="00B4107D">
              <w:rPr>
                <w:lang w:val="es-ES"/>
              </w:rPr>
              <w:t>41,0</w:t>
            </w:r>
          </w:p>
        </w:tc>
        <w:tc>
          <w:tcPr>
            <w:tcW w:w="1745" w:type="dxa"/>
            <w:vAlign w:val="bottom"/>
          </w:tcPr>
          <w:p w14:paraId="0B010811" w14:textId="77777777" w:rsidR="00920EAB" w:rsidRPr="00B4107D" w:rsidRDefault="00920EAB" w:rsidP="00033930">
            <w:pPr>
              <w:pStyle w:val="Tabletext"/>
              <w:jc w:val="right"/>
              <w:rPr>
                <w:lang w:val="es-ES"/>
              </w:rPr>
            </w:pPr>
            <w:r w:rsidRPr="00B4107D">
              <w:rPr>
                <w:lang w:val="es-ES"/>
              </w:rPr>
              <w:t>34,1</w:t>
            </w:r>
          </w:p>
        </w:tc>
      </w:tr>
      <w:tr w:rsidR="00920EAB" w:rsidRPr="00B4107D" w14:paraId="08A3B783" w14:textId="77777777" w:rsidTr="00271605">
        <w:tc>
          <w:tcPr>
            <w:tcW w:w="2514" w:type="pct"/>
            <w:tcBorders>
              <w:bottom w:val="single" w:sz="4" w:space="0" w:color="auto"/>
            </w:tcBorders>
          </w:tcPr>
          <w:p w14:paraId="0FEF584B" w14:textId="77777777" w:rsidR="00920EAB" w:rsidRPr="00B4107D" w:rsidRDefault="00920EAB" w:rsidP="00271605">
            <w:pPr>
              <w:pStyle w:val="Tabletext"/>
              <w:rPr>
                <w:lang w:val="es-ES"/>
              </w:rPr>
            </w:pPr>
            <w:r w:rsidRPr="00B4107D">
              <w:rPr>
                <w:lang w:val="es-ES"/>
              </w:rPr>
              <w:t>PEID</w:t>
            </w:r>
          </w:p>
        </w:tc>
        <w:tc>
          <w:tcPr>
            <w:tcW w:w="627" w:type="pct"/>
            <w:tcBorders>
              <w:bottom w:val="single" w:sz="4" w:space="0" w:color="auto"/>
            </w:tcBorders>
            <w:vAlign w:val="center"/>
          </w:tcPr>
          <w:p w14:paraId="6C1AF7B5" w14:textId="77777777" w:rsidR="00920EAB" w:rsidRPr="00B4107D" w:rsidRDefault="00920EAB" w:rsidP="00033930">
            <w:pPr>
              <w:pStyle w:val="Tabletext"/>
              <w:jc w:val="right"/>
              <w:rPr>
                <w:lang w:val="es-ES"/>
              </w:rPr>
            </w:pPr>
            <w:r w:rsidRPr="00B4107D">
              <w:rPr>
                <w:lang w:val="es-ES"/>
              </w:rPr>
              <w:t>64,1</w:t>
            </w:r>
          </w:p>
        </w:tc>
        <w:tc>
          <w:tcPr>
            <w:tcW w:w="896" w:type="pct"/>
            <w:tcBorders>
              <w:bottom w:val="single" w:sz="4" w:space="0" w:color="auto"/>
            </w:tcBorders>
            <w:vAlign w:val="bottom"/>
          </w:tcPr>
          <w:p w14:paraId="619DB903" w14:textId="77777777" w:rsidR="00920EAB" w:rsidRPr="00B4107D" w:rsidRDefault="00920EAB" w:rsidP="00033930">
            <w:pPr>
              <w:pStyle w:val="Tabletext"/>
              <w:jc w:val="right"/>
              <w:rPr>
                <w:lang w:val="es-ES"/>
              </w:rPr>
            </w:pPr>
            <w:r w:rsidRPr="00B4107D">
              <w:rPr>
                <w:lang w:val="es-ES"/>
              </w:rPr>
              <w:t>64,0</w:t>
            </w:r>
          </w:p>
        </w:tc>
        <w:tc>
          <w:tcPr>
            <w:tcW w:w="1745" w:type="dxa"/>
            <w:tcBorders>
              <w:bottom w:val="single" w:sz="4" w:space="0" w:color="auto"/>
            </w:tcBorders>
            <w:vAlign w:val="bottom"/>
          </w:tcPr>
          <w:p w14:paraId="7ACF9568" w14:textId="77777777" w:rsidR="00920EAB" w:rsidRPr="00B4107D" w:rsidRDefault="00920EAB" w:rsidP="00033930">
            <w:pPr>
              <w:pStyle w:val="Tabletext"/>
              <w:jc w:val="right"/>
              <w:rPr>
                <w:lang w:val="es-ES"/>
              </w:rPr>
            </w:pPr>
            <w:r w:rsidRPr="00B4107D">
              <w:rPr>
                <w:lang w:val="es-ES"/>
              </w:rPr>
              <w:t>64,2</w:t>
            </w:r>
          </w:p>
        </w:tc>
      </w:tr>
      <w:tr w:rsidR="00920EAB" w:rsidRPr="002B1635" w14:paraId="726DE9B5" w14:textId="77777777" w:rsidTr="00271605">
        <w:tc>
          <w:tcPr>
            <w:tcW w:w="5000" w:type="pct"/>
            <w:gridSpan w:val="4"/>
            <w:tcBorders>
              <w:top w:val="single" w:sz="4" w:space="0" w:color="auto"/>
              <w:left w:val="nil"/>
              <w:bottom w:val="nil"/>
              <w:right w:val="nil"/>
            </w:tcBorders>
          </w:tcPr>
          <w:p w14:paraId="0BC3D278" w14:textId="77777777" w:rsidR="00920EAB" w:rsidRPr="00B4107D" w:rsidRDefault="00920EAB" w:rsidP="00271605">
            <w:pPr>
              <w:pStyle w:val="Tablelegend"/>
              <w:rPr>
                <w:color w:val="000000" w:themeColor="text1"/>
                <w:lang w:val="es-ES"/>
              </w:rPr>
            </w:pPr>
            <w:r w:rsidRPr="00B4107D">
              <w:rPr>
                <w:color w:val="000000"/>
                <w:lang w:val="es-ES"/>
              </w:rPr>
              <w:t>Fuente: Estimaciones de la UIT.</w:t>
            </w:r>
          </w:p>
        </w:tc>
      </w:tr>
    </w:tbl>
    <w:p w14:paraId="7DABB3B8" w14:textId="77777777" w:rsidR="00920EAB" w:rsidRPr="00B4107D" w:rsidRDefault="00920EAB" w:rsidP="00920EAB">
      <w:pPr>
        <w:pStyle w:val="Tablefin"/>
        <w:rPr>
          <w:lang w:val="es-ES"/>
        </w:rPr>
      </w:pPr>
    </w:p>
    <w:p w14:paraId="3F1A9A7F" w14:textId="3ED6CDC9" w:rsidR="00920EAB" w:rsidRPr="00B4107D" w:rsidRDefault="00920EAB" w:rsidP="00600DF6">
      <w:pPr>
        <w:jc w:val="both"/>
        <w:rPr>
          <w:rFonts w:cs="Calibri"/>
          <w:lang w:val="es-ES"/>
        </w:rPr>
      </w:pPr>
      <w:r w:rsidRPr="00B4107D">
        <w:rPr>
          <w:lang w:val="es-ES"/>
        </w:rPr>
        <w:t xml:space="preserve">Con frecuencia, las estadísticas sobre toda la población encierran disparidades importantes en los países, por ejemplo, entre las zonas rurales y las urbanas, entre hombres y mujeres, o entre los diferentes grupos de edad. Los datos desglosados permiten elaborar intervenciones mucho más eficaces, destinadas a zonas geográficas o grupos demográficos específicos. El </w:t>
      </w:r>
      <w:hyperlink w:anchor="Tab_1" w:history="1">
        <w:r w:rsidRPr="00B4107D">
          <w:rPr>
            <w:rStyle w:val="Hyperlink"/>
            <w:rFonts w:eastAsia="Times New Roman" w:cs="Times New Roman"/>
            <w:szCs w:val="20"/>
            <w:lang w:val="es-ES"/>
          </w:rPr>
          <w:t>Cuadro 1</w:t>
        </w:r>
      </w:hyperlink>
      <w:r w:rsidRPr="00B4107D">
        <w:rPr>
          <w:lang w:val="es-ES"/>
        </w:rPr>
        <w:t xml:space="preserve"> muestra que dichas disparidades pueden ser muy importantes. Por ejemplo, en los PDSL, el 92 % de la población urbana por término medio tiene cobertura de una red móvil 4G, en comparación con solo el 53 % de la población rural, lo que representa una diferencia de casi 40 puntos porcentuales. De manera análoga, si bien la brecha de género en la utilización de Internet se ha reducido en los PEID, en los PMA los hombres tienen aproximadamente un 40 % más de probabilidades que las mujeres de tener conexión, siendo la tasa de utilización de los primeros del 39 % y la de las segundas del 28 %. Estos resultados tienen consecuencias políticas claras y ayudan a centrar los esfuerzos en las personas que más los necesitan.</w:t>
      </w:r>
      <w:hyperlink w:anchor="Tab_1" w:history="1"/>
    </w:p>
    <w:p w14:paraId="7AA5CF54" w14:textId="77777777" w:rsidR="00920EAB" w:rsidRPr="00B4107D" w:rsidRDefault="00920EAB" w:rsidP="00600DF6">
      <w:pPr>
        <w:jc w:val="both"/>
        <w:rPr>
          <w:lang w:val="es-ES"/>
        </w:rPr>
      </w:pPr>
      <w:r w:rsidRPr="00B4107D">
        <w:rPr>
          <w:lang w:val="es-ES"/>
        </w:rPr>
        <w:t>A pesar de la importancia de las estadísticas, sigue habiendo importantes deficiencias de datos, en particular en los PMA, los PDSL y los PEID, dado que solo una pequeña parte de estos países recopila estadísticas sobre TIC de manera habitual, y otra parte aún más pequeña comparte los datos desglosados recopilados.</w:t>
      </w:r>
    </w:p>
    <w:p w14:paraId="460FB783" w14:textId="10C7EF7A" w:rsidR="00920EAB" w:rsidRPr="00B4107D" w:rsidRDefault="00920EAB" w:rsidP="00600DF6">
      <w:pPr>
        <w:jc w:val="both"/>
        <w:rPr>
          <w:rFonts w:cs="Calibri"/>
          <w:lang w:val="es-ES"/>
        </w:rPr>
      </w:pPr>
      <w:r w:rsidRPr="00B4107D">
        <w:rPr>
          <w:lang w:val="es-ES"/>
        </w:rPr>
        <w:t xml:space="preserve">La BDT ofrece </w:t>
      </w:r>
      <w:hyperlink r:id="rId27" w:history="1">
        <w:r w:rsidRPr="00B4107D">
          <w:rPr>
            <w:rStyle w:val="Hyperlink"/>
            <w:lang w:val="es-ES"/>
          </w:rPr>
          <w:t>actividades de desarrollo de la capacidad y asistencia técnica</w:t>
        </w:r>
      </w:hyperlink>
      <w:r w:rsidRPr="00B4107D">
        <w:rPr>
          <w:lang w:val="es-ES"/>
        </w:rPr>
        <w:t xml:space="preserve"> a los Estados Miembros que buscan fortalecer sus capacidades para medir el desarrollo digital con mayor precisión, puntualidad y nivel de detalle.</w:t>
      </w:r>
      <w:hyperlink r:id="rId28" w:history="1"/>
    </w:p>
    <w:p w14:paraId="63FFE8F1" w14:textId="77777777" w:rsidR="00920EAB" w:rsidRPr="00B4107D" w:rsidRDefault="00920EAB" w:rsidP="00600DF6">
      <w:pPr>
        <w:jc w:val="both"/>
        <w:rPr>
          <w:rFonts w:cs="Calibri"/>
          <w:lang w:val="es-ES"/>
        </w:rPr>
      </w:pPr>
      <w:r w:rsidRPr="00B4107D">
        <w:rPr>
          <w:lang w:val="es-ES"/>
        </w:rPr>
        <w:t>Las estadísticas permiten tomar decisiones con base empírica, lo que puede acelerar el desarrollo digital y en última instancia mejorar las perspectivas económicas. La inversión en la recopilación de datos es fundamental y ofrece beneficios importantes.</w:t>
      </w:r>
    </w:p>
    <w:p w14:paraId="6B9842E9" w14:textId="77777777" w:rsidR="00920EAB" w:rsidRPr="00B4107D" w:rsidRDefault="00920EAB" w:rsidP="00600DF6">
      <w:pPr>
        <w:pStyle w:val="Headingb"/>
        <w:jc w:val="both"/>
        <w:rPr>
          <w:lang w:val="es-ES"/>
        </w:rPr>
      </w:pPr>
      <w:r w:rsidRPr="00B4107D">
        <w:rPr>
          <w:lang w:val="es-ES"/>
        </w:rPr>
        <w:t>Mejora de las capacidades y competencias digitales</w:t>
      </w:r>
    </w:p>
    <w:p w14:paraId="4B4BCAEC" w14:textId="67F0E8CC" w:rsidR="00920EAB" w:rsidRPr="00B4107D" w:rsidRDefault="00920EAB" w:rsidP="00600DF6">
      <w:pPr>
        <w:jc w:val="both"/>
        <w:rPr>
          <w:rFonts w:cs="Calibri"/>
          <w:lang w:val="es-ES"/>
        </w:rPr>
      </w:pPr>
      <w:r w:rsidRPr="00B4107D">
        <w:rPr>
          <w:lang w:val="es-ES"/>
        </w:rPr>
        <w:t xml:space="preserve">La Academia de la UIT constituye una plataforma exhaustiva que consolida una amplia variedad que actividades de formación y recursos del conocimiento en la esfera de las TIC y el desarrollo digital. Por conducto de su labor, fortalece la capacidad humana e institucional en los Estados Miembros. Desde 2022, la Academia de la UIT ha prestado apoyo específico a PMA, PDSL y PEID y a otros países en situaciones especiales por conducto de programas de formación adaptados, iniciativas de creación de capacidad y acceso a recursos de aprendizaje </w:t>
      </w:r>
      <w:r w:rsidRPr="00B4107D">
        <w:rPr>
          <w:lang w:val="es-ES"/>
        </w:rPr>
        <w:lastRenderedPageBreak/>
        <w:t>especializados. Entre 2022 y 2025, la plataforma registró prácticamente 28</w:t>
      </w:r>
      <w:r w:rsidR="00033930" w:rsidRPr="00B4107D">
        <w:rPr>
          <w:lang w:val="es-ES"/>
        </w:rPr>
        <w:t> </w:t>
      </w:r>
      <w:r w:rsidRPr="00B4107D">
        <w:rPr>
          <w:lang w:val="es-ES"/>
        </w:rPr>
        <w:t>000 participantes en sus cursos, de los siguientes grupos: 12</w:t>
      </w:r>
      <w:r w:rsidR="00033930" w:rsidRPr="00B4107D">
        <w:rPr>
          <w:lang w:val="es-ES"/>
        </w:rPr>
        <w:t> </w:t>
      </w:r>
      <w:r w:rsidRPr="00B4107D">
        <w:rPr>
          <w:lang w:val="es-ES"/>
        </w:rPr>
        <w:t>718 procedían de PMA (siendo mujeres el 29,7 % de ellos), de los cuales 3</w:t>
      </w:r>
      <w:r w:rsidR="00033930" w:rsidRPr="00B4107D">
        <w:rPr>
          <w:lang w:val="es-ES"/>
        </w:rPr>
        <w:t> </w:t>
      </w:r>
      <w:r w:rsidRPr="00B4107D">
        <w:rPr>
          <w:lang w:val="es-ES"/>
        </w:rPr>
        <w:t>154 obtuvieron una certificación; 9</w:t>
      </w:r>
      <w:r w:rsidR="00033930" w:rsidRPr="00B4107D">
        <w:rPr>
          <w:lang w:val="es-ES"/>
        </w:rPr>
        <w:t> </w:t>
      </w:r>
      <w:r w:rsidRPr="00B4107D">
        <w:rPr>
          <w:lang w:val="es-ES"/>
        </w:rPr>
        <w:t>061 procedían de PDSL (siendo mujeres el 43 % de ellos), de los cuales 2</w:t>
      </w:r>
      <w:r w:rsidR="00033930" w:rsidRPr="00B4107D">
        <w:rPr>
          <w:lang w:val="es-ES"/>
        </w:rPr>
        <w:t> </w:t>
      </w:r>
      <w:r w:rsidRPr="00B4107D">
        <w:rPr>
          <w:lang w:val="es-ES"/>
        </w:rPr>
        <w:t>503 obtuvieron una certificación; 4</w:t>
      </w:r>
      <w:r w:rsidR="00033930" w:rsidRPr="00B4107D">
        <w:rPr>
          <w:lang w:val="es-ES"/>
        </w:rPr>
        <w:t> </w:t>
      </w:r>
      <w:r w:rsidRPr="00B4107D">
        <w:rPr>
          <w:lang w:val="es-ES"/>
        </w:rPr>
        <w:t>912 procedían de PEID (siendo mujeres el 40 % de ellos), de los cuales 1</w:t>
      </w:r>
      <w:r w:rsidR="00033930" w:rsidRPr="00B4107D">
        <w:rPr>
          <w:lang w:val="es-ES"/>
        </w:rPr>
        <w:t> </w:t>
      </w:r>
      <w:r w:rsidRPr="00B4107D">
        <w:rPr>
          <w:lang w:val="es-ES"/>
        </w:rPr>
        <w:t>361 obtuvieron una certificación.</w:t>
      </w:r>
    </w:p>
    <w:p w14:paraId="35B49754" w14:textId="604CB856" w:rsidR="00920EAB" w:rsidRPr="00B4107D" w:rsidRDefault="00920EAB" w:rsidP="00600DF6">
      <w:pPr>
        <w:jc w:val="both"/>
        <w:rPr>
          <w:rFonts w:cs="Calibri"/>
          <w:lang w:val="es-ES"/>
        </w:rPr>
      </w:pPr>
      <w:r w:rsidRPr="00B4107D">
        <w:rPr>
          <w:lang w:val="es-ES"/>
        </w:rPr>
        <w:t xml:space="preserve">La UIT, en asociación con Cisco, puso en marcha la </w:t>
      </w:r>
      <w:hyperlink r:id="rId29" w:anchor="/es" w:history="1">
        <w:r w:rsidRPr="00B4107D">
          <w:rPr>
            <w:rStyle w:val="Hyperlink"/>
            <w:lang w:val="es-ES"/>
          </w:rPr>
          <w:t>Iniciativa Centros de Transformación Digital (CTD)</w:t>
        </w:r>
      </w:hyperlink>
      <w:r w:rsidRPr="00B4107D">
        <w:rPr>
          <w:lang w:val="es-ES"/>
        </w:rPr>
        <w:t xml:space="preserve"> en septiembre de 2019 con el objetivo de fortalecer las capacidades digitales de la población, en particular la de las comunidades rurales e insuficientemente atendidas. La Iniciativa funciona a través de una red mundial de instituciones nacionales, los Centros de Transformación Digital (CTD), que tienen el mandato de impartir programas de competencias digitales en sus países. Estos centros han demostrado capacidad, infraestructura y experiencia para impartir formación a nivel básico e intermedio.</w:t>
      </w:r>
      <w:hyperlink r:id="rId30"/>
    </w:p>
    <w:p w14:paraId="6C1E31F4" w14:textId="64E63DD7" w:rsidR="00920EAB" w:rsidRPr="00B4107D" w:rsidRDefault="00920EAB" w:rsidP="00600DF6">
      <w:pPr>
        <w:jc w:val="both"/>
        <w:rPr>
          <w:rFonts w:cs="Calibri"/>
          <w:lang w:val="es-ES"/>
        </w:rPr>
      </w:pPr>
      <w:r w:rsidRPr="00B4107D">
        <w:rPr>
          <w:lang w:val="es-ES"/>
        </w:rPr>
        <w:t>Actualmente hay 16 CTD en todo el mundo, de los cuales 8 se crearon en PMA, PDSL, PEID y países con economías en transición, a saber, República Dominicana, Papua Nueva Guinea, Rwanda, Senegal, Sierra Leona, Trinidad y Tabago, Uganda y Zambia. A finales de 2025, estos ocho CTD habían impartido formación a casi 227</w:t>
      </w:r>
      <w:r w:rsidR="00033930" w:rsidRPr="00B4107D">
        <w:rPr>
          <w:lang w:val="es-ES"/>
        </w:rPr>
        <w:t> </w:t>
      </w:r>
      <w:r w:rsidRPr="00B4107D">
        <w:rPr>
          <w:lang w:val="es-ES"/>
        </w:rPr>
        <w:t>000 participantes (de los cuales, el 54 % eran mujeres) sobre competencias digitales de nivel básico e intermedio. En total, los CTD llegaron a más de 422</w:t>
      </w:r>
      <w:r w:rsidR="00033930" w:rsidRPr="00B4107D">
        <w:rPr>
          <w:lang w:val="es-ES"/>
        </w:rPr>
        <w:t> </w:t>
      </w:r>
      <w:r w:rsidRPr="00B4107D">
        <w:rPr>
          <w:lang w:val="es-ES"/>
        </w:rPr>
        <w:t>000 participantes (de los cuales, el 54 % eran mujeres) entre 2022 y 2025 (véase el Cuadro 2 señalado más abajo para más información).</w:t>
      </w:r>
    </w:p>
    <w:p w14:paraId="5D6F3F92" w14:textId="77777777" w:rsidR="00920EAB" w:rsidRPr="00B4107D" w:rsidRDefault="00920EAB" w:rsidP="00920EAB">
      <w:pPr>
        <w:pStyle w:val="TableNo"/>
        <w:rPr>
          <w:lang w:val="es-ES"/>
        </w:rPr>
      </w:pPr>
      <w:r w:rsidRPr="00B4107D">
        <w:rPr>
          <w:lang w:val="es-ES"/>
        </w:rPr>
        <w:t>CUADRO 2</w:t>
      </w:r>
    </w:p>
    <w:p w14:paraId="0FE6AD77" w14:textId="77777777" w:rsidR="00920EAB" w:rsidRPr="00B4107D" w:rsidRDefault="00920EAB" w:rsidP="00033930">
      <w:pPr>
        <w:pStyle w:val="Tabletitle"/>
        <w:rPr>
          <w:lang w:val="es-ES"/>
        </w:rPr>
      </w:pPr>
      <w:r w:rsidRPr="00B4107D">
        <w:rPr>
          <w:lang w:val="es-ES"/>
        </w:rPr>
        <w:t>Participantes en cursos de los CTD entre 2022 y 2025</w:t>
      </w:r>
    </w:p>
    <w:tbl>
      <w:tblPr>
        <w:tblW w:w="9209" w:type="dxa"/>
        <w:tblLayout w:type="fixed"/>
        <w:tblLook w:val="04A0" w:firstRow="1" w:lastRow="0" w:firstColumn="1" w:lastColumn="0" w:noHBand="0" w:noVBand="1"/>
      </w:tblPr>
      <w:tblGrid>
        <w:gridCol w:w="810"/>
        <w:gridCol w:w="885"/>
        <w:gridCol w:w="1185"/>
        <w:gridCol w:w="945"/>
        <w:gridCol w:w="1110"/>
        <w:gridCol w:w="885"/>
        <w:gridCol w:w="1170"/>
        <w:gridCol w:w="1085"/>
        <w:gridCol w:w="1134"/>
      </w:tblGrid>
      <w:tr w:rsidR="00920EAB" w:rsidRPr="00B4107D" w14:paraId="6C606358" w14:textId="77777777" w:rsidTr="00271605">
        <w:trPr>
          <w:trHeight w:val="300"/>
        </w:trPr>
        <w:tc>
          <w:tcPr>
            <w:tcW w:w="810" w:type="dxa"/>
            <w:vMerge w:val="restart"/>
            <w:tcBorders>
              <w:top w:val="single" w:sz="4" w:space="0" w:color="auto"/>
              <w:left w:val="single" w:sz="4" w:space="0" w:color="auto"/>
              <w:right w:val="single" w:sz="8" w:space="0" w:color="auto"/>
            </w:tcBorders>
            <w:vAlign w:val="bottom"/>
          </w:tcPr>
          <w:p w14:paraId="1F997783" w14:textId="77777777" w:rsidR="00920EAB" w:rsidRPr="00B4107D" w:rsidRDefault="00920EAB" w:rsidP="00271605">
            <w:pPr>
              <w:pStyle w:val="Tablehead"/>
              <w:rPr>
                <w:rFonts w:eastAsia="Aptos Narrow"/>
                <w:lang w:val="es-ES"/>
              </w:rPr>
            </w:pPr>
          </w:p>
        </w:tc>
        <w:tc>
          <w:tcPr>
            <w:tcW w:w="2070" w:type="dxa"/>
            <w:gridSpan w:val="2"/>
            <w:tcBorders>
              <w:top w:val="single" w:sz="8" w:space="0" w:color="auto"/>
              <w:left w:val="single" w:sz="8" w:space="0" w:color="auto"/>
              <w:bottom w:val="single" w:sz="8" w:space="0" w:color="auto"/>
              <w:right w:val="single" w:sz="8" w:space="0" w:color="auto"/>
            </w:tcBorders>
            <w:shd w:val="clear" w:color="auto" w:fill="A6C9EC"/>
            <w:vAlign w:val="bottom"/>
          </w:tcPr>
          <w:p w14:paraId="5D8AA8CA" w14:textId="77777777" w:rsidR="00920EAB" w:rsidRPr="00B4107D" w:rsidRDefault="00920EAB" w:rsidP="00033930">
            <w:pPr>
              <w:pStyle w:val="Tablehead"/>
              <w:rPr>
                <w:lang w:val="es-ES"/>
              </w:rPr>
            </w:pPr>
            <w:r w:rsidRPr="00B4107D">
              <w:rPr>
                <w:lang w:val="es-ES"/>
              </w:rPr>
              <w:t>2022</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2B7A432C" w14:textId="77777777" w:rsidR="00920EAB" w:rsidRPr="00B4107D" w:rsidRDefault="00920EAB" w:rsidP="00271605">
            <w:pPr>
              <w:pStyle w:val="Tablehead"/>
              <w:rPr>
                <w:lang w:val="es-ES"/>
              </w:rPr>
            </w:pPr>
            <w:r w:rsidRPr="00B4107D">
              <w:rPr>
                <w:lang w:val="es-ES"/>
              </w:rPr>
              <w:t>2023</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0C6FB725" w14:textId="77777777" w:rsidR="00920EAB" w:rsidRPr="00B4107D" w:rsidRDefault="00920EAB" w:rsidP="00271605">
            <w:pPr>
              <w:pStyle w:val="Tablehead"/>
              <w:rPr>
                <w:lang w:val="es-ES"/>
              </w:rPr>
            </w:pPr>
            <w:r w:rsidRPr="00B4107D">
              <w:rPr>
                <w:lang w:val="es-ES"/>
              </w:rPr>
              <w:t>2024</w:t>
            </w:r>
          </w:p>
        </w:tc>
        <w:tc>
          <w:tcPr>
            <w:tcW w:w="2219" w:type="dxa"/>
            <w:gridSpan w:val="2"/>
            <w:tcBorders>
              <w:top w:val="single" w:sz="8" w:space="0" w:color="auto"/>
              <w:left w:val="nil"/>
              <w:bottom w:val="single" w:sz="8" w:space="0" w:color="auto"/>
              <w:right w:val="single" w:sz="8" w:space="0" w:color="auto"/>
            </w:tcBorders>
            <w:shd w:val="clear" w:color="auto" w:fill="A6C9EC"/>
            <w:vAlign w:val="bottom"/>
          </w:tcPr>
          <w:p w14:paraId="34D1B6D9" w14:textId="77777777" w:rsidR="00920EAB" w:rsidRPr="00B4107D" w:rsidRDefault="00920EAB" w:rsidP="00271605">
            <w:pPr>
              <w:pStyle w:val="Tablehead"/>
              <w:rPr>
                <w:lang w:val="es-ES"/>
              </w:rPr>
            </w:pPr>
            <w:r w:rsidRPr="00B4107D">
              <w:rPr>
                <w:lang w:val="es-ES"/>
              </w:rPr>
              <w:t>2025</w:t>
            </w:r>
          </w:p>
        </w:tc>
      </w:tr>
      <w:tr w:rsidR="00920EAB" w:rsidRPr="00B4107D" w14:paraId="150BAD9F" w14:textId="77777777" w:rsidTr="00271605">
        <w:trPr>
          <w:trHeight w:val="300"/>
        </w:trPr>
        <w:tc>
          <w:tcPr>
            <w:tcW w:w="810" w:type="dxa"/>
            <w:vMerge/>
            <w:tcBorders>
              <w:top w:val="single" w:sz="8" w:space="0" w:color="auto"/>
              <w:left w:val="single" w:sz="4" w:space="0" w:color="auto"/>
              <w:bottom w:val="single" w:sz="4" w:space="0" w:color="auto"/>
              <w:right w:val="single" w:sz="4" w:space="0" w:color="auto"/>
            </w:tcBorders>
            <w:vAlign w:val="center"/>
          </w:tcPr>
          <w:p w14:paraId="48D00FDE" w14:textId="77777777" w:rsidR="00920EAB" w:rsidRPr="00B4107D" w:rsidRDefault="00920EAB" w:rsidP="00271605">
            <w:pPr>
              <w:pStyle w:val="Tablehead"/>
              <w:rPr>
                <w:lang w:val="es-ES"/>
              </w:rPr>
            </w:pPr>
          </w:p>
        </w:tc>
        <w:tc>
          <w:tcPr>
            <w:tcW w:w="885" w:type="dxa"/>
            <w:tcBorders>
              <w:top w:val="single" w:sz="8" w:space="0" w:color="auto"/>
              <w:left w:val="single" w:sz="4" w:space="0" w:color="auto"/>
              <w:bottom w:val="single" w:sz="4" w:space="0" w:color="auto"/>
              <w:right w:val="single" w:sz="8" w:space="0" w:color="auto"/>
            </w:tcBorders>
            <w:shd w:val="clear" w:color="auto" w:fill="A6C9EC"/>
            <w:vAlign w:val="bottom"/>
          </w:tcPr>
          <w:p w14:paraId="70FD9CE0" w14:textId="77777777" w:rsidR="00920EAB" w:rsidRPr="00B4107D" w:rsidRDefault="00920EAB" w:rsidP="00271605">
            <w:pPr>
              <w:pStyle w:val="Tablehead"/>
              <w:rPr>
                <w:lang w:val="es-ES"/>
              </w:rPr>
            </w:pPr>
            <w:r w:rsidRPr="00B4107D">
              <w:rPr>
                <w:lang w:val="es-ES"/>
              </w:rPr>
              <w:t>Total</w:t>
            </w:r>
          </w:p>
        </w:tc>
        <w:tc>
          <w:tcPr>
            <w:tcW w:w="1185" w:type="dxa"/>
            <w:tcBorders>
              <w:top w:val="nil"/>
              <w:left w:val="single" w:sz="8" w:space="0" w:color="auto"/>
              <w:bottom w:val="single" w:sz="4" w:space="0" w:color="auto"/>
              <w:right w:val="single" w:sz="8" w:space="0" w:color="auto"/>
            </w:tcBorders>
            <w:shd w:val="clear" w:color="auto" w:fill="A6C9EC"/>
            <w:vAlign w:val="bottom"/>
          </w:tcPr>
          <w:p w14:paraId="4C78266D" w14:textId="77777777" w:rsidR="00920EAB" w:rsidRPr="00B4107D" w:rsidRDefault="00920EAB" w:rsidP="00271605">
            <w:pPr>
              <w:pStyle w:val="Tablehead"/>
              <w:rPr>
                <w:lang w:val="es-ES"/>
              </w:rPr>
            </w:pPr>
            <w:r w:rsidRPr="00B4107D">
              <w:rPr>
                <w:lang w:val="es-ES"/>
              </w:rPr>
              <w:t>% de mujeres</w:t>
            </w:r>
          </w:p>
        </w:tc>
        <w:tc>
          <w:tcPr>
            <w:tcW w:w="945" w:type="dxa"/>
            <w:tcBorders>
              <w:top w:val="single" w:sz="8" w:space="0" w:color="auto"/>
              <w:left w:val="single" w:sz="8" w:space="0" w:color="auto"/>
              <w:bottom w:val="single" w:sz="4" w:space="0" w:color="auto"/>
              <w:right w:val="single" w:sz="8" w:space="0" w:color="auto"/>
            </w:tcBorders>
            <w:shd w:val="clear" w:color="auto" w:fill="A6C9EC"/>
            <w:vAlign w:val="bottom"/>
          </w:tcPr>
          <w:p w14:paraId="3866F08D" w14:textId="77777777" w:rsidR="00920EAB" w:rsidRPr="00B4107D" w:rsidRDefault="00920EAB" w:rsidP="00271605">
            <w:pPr>
              <w:pStyle w:val="Tablehead"/>
              <w:rPr>
                <w:lang w:val="es-ES"/>
              </w:rPr>
            </w:pPr>
            <w:r w:rsidRPr="00B4107D">
              <w:rPr>
                <w:lang w:val="es-ES"/>
              </w:rPr>
              <w:t>Total</w:t>
            </w:r>
          </w:p>
        </w:tc>
        <w:tc>
          <w:tcPr>
            <w:tcW w:w="1110" w:type="dxa"/>
            <w:tcBorders>
              <w:top w:val="nil"/>
              <w:left w:val="single" w:sz="8" w:space="0" w:color="auto"/>
              <w:bottom w:val="single" w:sz="4" w:space="0" w:color="auto"/>
              <w:right w:val="single" w:sz="8" w:space="0" w:color="auto"/>
            </w:tcBorders>
            <w:shd w:val="clear" w:color="auto" w:fill="A6C9EC"/>
            <w:vAlign w:val="bottom"/>
          </w:tcPr>
          <w:p w14:paraId="6027199A" w14:textId="77777777" w:rsidR="00920EAB" w:rsidRPr="00B4107D" w:rsidRDefault="00920EAB" w:rsidP="00271605">
            <w:pPr>
              <w:pStyle w:val="Tablehead"/>
              <w:rPr>
                <w:lang w:val="es-ES"/>
              </w:rPr>
            </w:pPr>
            <w:r w:rsidRPr="00B4107D">
              <w:rPr>
                <w:lang w:val="es-ES"/>
              </w:rPr>
              <w:t>% de mujeres</w:t>
            </w:r>
          </w:p>
        </w:tc>
        <w:tc>
          <w:tcPr>
            <w:tcW w:w="885" w:type="dxa"/>
            <w:tcBorders>
              <w:top w:val="single" w:sz="8" w:space="0" w:color="auto"/>
              <w:left w:val="single" w:sz="8" w:space="0" w:color="auto"/>
              <w:bottom w:val="single" w:sz="4" w:space="0" w:color="auto"/>
              <w:right w:val="single" w:sz="8" w:space="0" w:color="auto"/>
            </w:tcBorders>
            <w:shd w:val="clear" w:color="auto" w:fill="A6C9EC"/>
            <w:vAlign w:val="bottom"/>
          </w:tcPr>
          <w:p w14:paraId="570E149E" w14:textId="77777777" w:rsidR="00920EAB" w:rsidRPr="00B4107D" w:rsidRDefault="00920EAB" w:rsidP="00271605">
            <w:pPr>
              <w:pStyle w:val="Tablehead"/>
              <w:rPr>
                <w:lang w:val="es-ES"/>
              </w:rPr>
            </w:pPr>
            <w:r w:rsidRPr="00B4107D">
              <w:rPr>
                <w:lang w:val="es-ES"/>
              </w:rPr>
              <w:t>Total</w:t>
            </w:r>
          </w:p>
        </w:tc>
        <w:tc>
          <w:tcPr>
            <w:tcW w:w="1170" w:type="dxa"/>
            <w:tcBorders>
              <w:top w:val="nil"/>
              <w:left w:val="single" w:sz="8" w:space="0" w:color="auto"/>
              <w:bottom w:val="single" w:sz="4" w:space="0" w:color="auto"/>
              <w:right w:val="single" w:sz="8" w:space="0" w:color="auto"/>
            </w:tcBorders>
            <w:shd w:val="clear" w:color="auto" w:fill="A6C9EC"/>
            <w:vAlign w:val="bottom"/>
          </w:tcPr>
          <w:p w14:paraId="5239CBE9" w14:textId="77777777" w:rsidR="00920EAB" w:rsidRPr="00B4107D" w:rsidRDefault="00920EAB" w:rsidP="00271605">
            <w:pPr>
              <w:pStyle w:val="Tablehead"/>
              <w:rPr>
                <w:lang w:val="es-ES"/>
              </w:rPr>
            </w:pPr>
            <w:r w:rsidRPr="00B4107D">
              <w:rPr>
                <w:lang w:val="es-ES"/>
              </w:rPr>
              <w:t>% de mujeres</w:t>
            </w:r>
          </w:p>
        </w:tc>
        <w:tc>
          <w:tcPr>
            <w:tcW w:w="1085" w:type="dxa"/>
            <w:tcBorders>
              <w:top w:val="single" w:sz="8" w:space="0" w:color="auto"/>
              <w:left w:val="single" w:sz="8" w:space="0" w:color="auto"/>
              <w:bottom w:val="single" w:sz="4" w:space="0" w:color="auto"/>
              <w:right w:val="single" w:sz="8" w:space="0" w:color="auto"/>
            </w:tcBorders>
            <w:shd w:val="clear" w:color="auto" w:fill="A6C9EC"/>
            <w:vAlign w:val="bottom"/>
          </w:tcPr>
          <w:p w14:paraId="0E5093AC" w14:textId="77777777" w:rsidR="00920EAB" w:rsidRPr="00B4107D" w:rsidRDefault="00920EAB" w:rsidP="00271605">
            <w:pPr>
              <w:pStyle w:val="Tablehead"/>
              <w:rPr>
                <w:lang w:val="es-ES"/>
              </w:rPr>
            </w:pPr>
            <w:r w:rsidRPr="00B4107D">
              <w:rPr>
                <w:lang w:val="es-ES"/>
              </w:rPr>
              <w:t>Total</w:t>
            </w:r>
          </w:p>
        </w:tc>
        <w:tc>
          <w:tcPr>
            <w:tcW w:w="1134" w:type="dxa"/>
            <w:tcBorders>
              <w:top w:val="nil"/>
              <w:left w:val="single" w:sz="8" w:space="0" w:color="auto"/>
              <w:bottom w:val="single" w:sz="4" w:space="0" w:color="auto"/>
              <w:right w:val="single" w:sz="8" w:space="0" w:color="auto"/>
            </w:tcBorders>
            <w:shd w:val="clear" w:color="auto" w:fill="A6C9EC"/>
            <w:vAlign w:val="bottom"/>
          </w:tcPr>
          <w:p w14:paraId="443DE1C9" w14:textId="77777777" w:rsidR="00920EAB" w:rsidRPr="00B4107D" w:rsidRDefault="00920EAB" w:rsidP="00271605">
            <w:pPr>
              <w:pStyle w:val="Tablehead"/>
              <w:rPr>
                <w:lang w:val="es-ES"/>
              </w:rPr>
            </w:pPr>
            <w:r w:rsidRPr="00B4107D">
              <w:rPr>
                <w:lang w:val="es-ES"/>
              </w:rPr>
              <w:t>% de mujeres</w:t>
            </w:r>
          </w:p>
        </w:tc>
      </w:tr>
      <w:tr w:rsidR="00920EAB" w:rsidRPr="00B4107D" w14:paraId="5450FBB0" w14:textId="77777777" w:rsidTr="00271605">
        <w:trPr>
          <w:trHeight w:val="615"/>
        </w:trPr>
        <w:tc>
          <w:tcPr>
            <w:tcW w:w="810" w:type="dxa"/>
            <w:tcBorders>
              <w:top w:val="single" w:sz="4" w:space="0" w:color="auto"/>
              <w:left w:val="single" w:sz="4" w:space="0" w:color="auto"/>
              <w:bottom w:val="single" w:sz="8" w:space="0" w:color="auto"/>
              <w:right w:val="single" w:sz="8" w:space="0" w:color="auto"/>
            </w:tcBorders>
          </w:tcPr>
          <w:p w14:paraId="7C1058D1" w14:textId="0DBC74D0" w:rsidR="00920EAB" w:rsidRPr="00B4107D" w:rsidRDefault="00920EAB" w:rsidP="00033930">
            <w:pPr>
              <w:pStyle w:val="Tabletext"/>
              <w:jc w:val="center"/>
              <w:rPr>
                <w:lang w:val="es-ES"/>
              </w:rPr>
            </w:pPr>
            <w:r w:rsidRPr="00B4107D">
              <w:rPr>
                <w:lang w:val="es-ES"/>
              </w:rPr>
              <w:t>PMA</w:t>
            </w:r>
          </w:p>
        </w:tc>
        <w:tc>
          <w:tcPr>
            <w:tcW w:w="885" w:type="dxa"/>
            <w:tcBorders>
              <w:top w:val="single" w:sz="4" w:space="0" w:color="auto"/>
              <w:left w:val="single" w:sz="8" w:space="0" w:color="auto"/>
              <w:bottom w:val="single" w:sz="8" w:space="0" w:color="auto"/>
              <w:right w:val="single" w:sz="8" w:space="0" w:color="auto"/>
            </w:tcBorders>
          </w:tcPr>
          <w:p w14:paraId="1A2C42A3" w14:textId="671AEB94" w:rsidR="00920EAB" w:rsidRPr="00B4107D" w:rsidRDefault="00920EAB" w:rsidP="00033930">
            <w:pPr>
              <w:pStyle w:val="Tabletext"/>
              <w:jc w:val="right"/>
              <w:rPr>
                <w:lang w:val="es-ES"/>
              </w:rPr>
            </w:pPr>
            <w:r w:rsidRPr="00B4107D">
              <w:rPr>
                <w:lang w:val="es-ES"/>
              </w:rPr>
              <w:t>1</w:t>
            </w:r>
            <w:r w:rsidR="00033930" w:rsidRPr="00B4107D">
              <w:rPr>
                <w:lang w:val="es-ES"/>
              </w:rPr>
              <w:t> </w:t>
            </w:r>
            <w:r w:rsidRPr="00B4107D">
              <w:rPr>
                <w:lang w:val="es-ES"/>
              </w:rPr>
              <w:t>912</w:t>
            </w:r>
          </w:p>
        </w:tc>
        <w:tc>
          <w:tcPr>
            <w:tcW w:w="1185" w:type="dxa"/>
            <w:tcBorders>
              <w:top w:val="single" w:sz="4" w:space="0" w:color="auto"/>
              <w:left w:val="single" w:sz="8" w:space="0" w:color="auto"/>
              <w:bottom w:val="single" w:sz="8" w:space="0" w:color="auto"/>
              <w:right w:val="single" w:sz="8" w:space="0" w:color="auto"/>
            </w:tcBorders>
          </w:tcPr>
          <w:p w14:paraId="2F0532AB" w14:textId="77777777" w:rsidR="00920EAB" w:rsidRPr="00B4107D" w:rsidRDefault="00920EAB" w:rsidP="00033930">
            <w:pPr>
              <w:pStyle w:val="Tabletext"/>
              <w:jc w:val="right"/>
              <w:rPr>
                <w:lang w:val="es-ES"/>
              </w:rPr>
            </w:pPr>
            <w:r w:rsidRPr="00B4107D">
              <w:rPr>
                <w:lang w:val="es-ES"/>
              </w:rPr>
              <w:t>23 %</w:t>
            </w:r>
          </w:p>
        </w:tc>
        <w:tc>
          <w:tcPr>
            <w:tcW w:w="945" w:type="dxa"/>
            <w:tcBorders>
              <w:top w:val="single" w:sz="4" w:space="0" w:color="auto"/>
              <w:left w:val="single" w:sz="8" w:space="0" w:color="auto"/>
              <w:bottom w:val="single" w:sz="8" w:space="0" w:color="auto"/>
              <w:right w:val="single" w:sz="8" w:space="0" w:color="auto"/>
            </w:tcBorders>
          </w:tcPr>
          <w:p w14:paraId="7575A096" w14:textId="42A6A364" w:rsidR="00920EAB" w:rsidRPr="00B4107D" w:rsidRDefault="00920EAB" w:rsidP="00033930">
            <w:pPr>
              <w:pStyle w:val="Tabletext"/>
              <w:jc w:val="right"/>
              <w:rPr>
                <w:lang w:val="es-ES"/>
              </w:rPr>
            </w:pPr>
            <w:r w:rsidRPr="00B4107D">
              <w:rPr>
                <w:lang w:val="es-ES"/>
              </w:rPr>
              <w:t>10</w:t>
            </w:r>
            <w:r w:rsidR="00033930" w:rsidRPr="00B4107D">
              <w:rPr>
                <w:lang w:val="es-ES"/>
              </w:rPr>
              <w:t> </w:t>
            </w:r>
            <w:r w:rsidRPr="00B4107D">
              <w:rPr>
                <w:lang w:val="es-ES"/>
              </w:rPr>
              <w:t>462</w:t>
            </w:r>
          </w:p>
        </w:tc>
        <w:tc>
          <w:tcPr>
            <w:tcW w:w="1110" w:type="dxa"/>
            <w:tcBorders>
              <w:top w:val="single" w:sz="4" w:space="0" w:color="auto"/>
              <w:left w:val="single" w:sz="8" w:space="0" w:color="auto"/>
              <w:bottom w:val="single" w:sz="8" w:space="0" w:color="auto"/>
              <w:right w:val="single" w:sz="8" w:space="0" w:color="auto"/>
            </w:tcBorders>
          </w:tcPr>
          <w:p w14:paraId="3C9E8BDC" w14:textId="77777777" w:rsidR="00920EAB" w:rsidRPr="00B4107D" w:rsidRDefault="00920EAB" w:rsidP="00033930">
            <w:pPr>
              <w:pStyle w:val="Tabletext"/>
              <w:jc w:val="right"/>
              <w:rPr>
                <w:lang w:val="es-ES"/>
              </w:rPr>
            </w:pPr>
            <w:r w:rsidRPr="00B4107D">
              <w:rPr>
                <w:lang w:val="es-ES"/>
              </w:rPr>
              <w:t>28 %</w:t>
            </w:r>
          </w:p>
        </w:tc>
        <w:tc>
          <w:tcPr>
            <w:tcW w:w="885" w:type="dxa"/>
            <w:tcBorders>
              <w:top w:val="single" w:sz="4" w:space="0" w:color="auto"/>
              <w:left w:val="single" w:sz="8" w:space="0" w:color="auto"/>
              <w:bottom w:val="single" w:sz="8" w:space="0" w:color="auto"/>
              <w:right w:val="single" w:sz="8" w:space="0" w:color="auto"/>
            </w:tcBorders>
          </w:tcPr>
          <w:p w14:paraId="29684A05" w14:textId="33C69CDE" w:rsidR="00920EAB" w:rsidRPr="00B4107D" w:rsidRDefault="00920EAB" w:rsidP="00033930">
            <w:pPr>
              <w:pStyle w:val="Tabletext"/>
              <w:jc w:val="right"/>
              <w:rPr>
                <w:lang w:val="es-ES"/>
              </w:rPr>
            </w:pPr>
            <w:r w:rsidRPr="00B4107D">
              <w:rPr>
                <w:lang w:val="es-ES"/>
              </w:rPr>
              <w:t>70</w:t>
            </w:r>
            <w:r w:rsidR="00033930" w:rsidRPr="00B4107D">
              <w:rPr>
                <w:lang w:val="es-ES"/>
              </w:rPr>
              <w:t> </w:t>
            </w:r>
            <w:r w:rsidRPr="00B4107D">
              <w:rPr>
                <w:lang w:val="es-ES"/>
              </w:rPr>
              <w:t>482</w:t>
            </w:r>
          </w:p>
        </w:tc>
        <w:tc>
          <w:tcPr>
            <w:tcW w:w="1170" w:type="dxa"/>
            <w:tcBorders>
              <w:top w:val="single" w:sz="4" w:space="0" w:color="auto"/>
              <w:left w:val="single" w:sz="8" w:space="0" w:color="auto"/>
              <w:bottom w:val="single" w:sz="8" w:space="0" w:color="auto"/>
              <w:right w:val="single" w:sz="8" w:space="0" w:color="auto"/>
            </w:tcBorders>
          </w:tcPr>
          <w:p w14:paraId="20EC6627" w14:textId="77777777" w:rsidR="00920EAB" w:rsidRPr="00B4107D" w:rsidRDefault="00920EAB" w:rsidP="00033930">
            <w:pPr>
              <w:pStyle w:val="Tabletext"/>
              <w:jc w:val="right"/>
              <w:rPr>
                <w:lang w:val="es-ES"/>
              </w:rPr>
            </w:pPr>
            <w:r w:rsidRPr="00B4107D">
              <w:rPr>
                <w:lang w:val="es-ES"/>
              </w:rPr>
              <w:t>53 %</w:t>
            </w:r>
          </w:p>
        </w:tc>
        <w:tc>
          <w:tcPr>
            <w:tcW w:w="1085" w:type="dxa"/>
            <w:tcBorders>
              <w:top w:val="single" w:sz="4" w:space="0" w:color="auto"/>
              <w:left w:val="single" w:sz="8" w:space="0" w:color="auto"/>
              <w:bottom w:val="single" w:sz="8" w:space="0" w:color="auto"/>
              <w:right w:val="single" w:sz="8" w:space="0" w:color="auto"/>
            </w:tcBorders>
          </w:tcPr>
          <w:p w14:paraId="2817B2D2" w14:textId="2626FE53" w:rsidR="00920EAB" w:rsidRPr="00B4107D" w:rsidRDefault="00920EAB" w:rsidP="00033930">
            <w:pPr>
              <w:pStyle w:val="Tabletext"/>
              <w:jc w:val="right"/>
              <w:rPr>
                <w:lang w:val="es-ES"/>
              </w:rPr>
            </w:pPr>
            <w:r w:rsidRPr="00B4107D">
              <w:rPr>
                <w:lang w:val="es-ES"/>
              </w:rPr>
              <w:t>140</w:t>
            </w:r>
            <w:r w:rsidR="00033930" w:rsidRPr="00B4107D">
              <w:rPr>
                <w:lang w:val="es-ES"/>
              </w:rPr>
              <w:t> </w:t>
            </w:r>
            <w:r w:rsidRPr="00B4107D">
              <w:rPr>
                <w:lang w:val="es-ES"/>
              </w:rPr>
              <w:t>251</w:t>
            </w:r>
          </w:p>
        </w:tc>
        <w:tc>
          <w:tcPr>
            <w:tcW w:w="1134" w:type="dxa"/>
            <w:tcBorders>
              <w:top w:val="single" w:sz="4" w:space="0" w:color="auto"/>
              <w:left w:val="single" w:sz="8" w:space="0" w:color="auto"/>
              <w:bottom w:val="single" w:sz="8" w:space="0" w:color="auto"/>
              <w:right w:val="single" w:sz="8" w:space="0" w:color="auto"/>
            </w:tcBorders>
          </w:tcPr>
          <w:p w14:paraId="3033F529" w14:textId="77777777" w:rsidR="00920EAB" w:rsidRPr="00B4107D" w:rsidRDefault="00920EAB" w:rsidP="00033930">
            <w:pPr>
              <w:pStyle w:val="Tabletext"/>
              <w:jc w:val="right"/>
              <w:rPr>
                <w:lang w:val="es-ES"/>
              </w:rPr>
            </w:pPr>
            <w:r w:rsidRPr="00B4107D">
              <w:rPr>
                <w:lang w:val="es-ES"/>
              </w:rPr>
              <w:t>50 %</w:t>
            </w:r>
          </w:p>
        </w:tc>
      </w:tr>
      <w:tr w:rsidR="00920EAB" w:rsidRPr="00B4107D" w14:paraId="27F3B066" w14:textId="77777777" w:rsidTr="00271605">
        <w:trPr>
          <w:trHeight w:val="300"/>
        </w:trPr>
        <w:tc>
          <w:tcPr>
            <w:tcW w:w="810" w:type="dxa"/>
            <w:tcBorders>
              <w:top w:val="single" w:sz="8" w:space="0" w:color="auto"/>
              <w:left w:val="single" w:sz="4" w:space="0" w:color="auto"/>
              <w:bottom w:val="single" w:sz="8" w:space="0" w:color="auto"/>
              <w:right w:val="single" w:sz="8" w:space="0" w:color="auto"/>
            </w:tcBorders>
          </w:tcPr>
          <w:p w14:paraId="41D467F4" w14:textId="11DA0630" w:rsidR="00920EAB" w:rsidRPr="00B4107D" w:rsidRDefault="00920EAB" w:rsidP="00033930">
            <w:pPr>
              <w:pStyle w:val="Tabletext"/>
              <w:jc w:val="center"/>
              <w:rPr>
                <w:lang w:val="es-ES"/>
              </w:rPr>
            </w:pPr>
            <w:r w:rsidRPr="00B4107D">
              <w:rPr>
                <w:lang w:val="es-ES"/>
              </w:rPr>
              <w:t>PDSL</w:t>
            </w:r>
          </w:p>
        </w:tc>
        <w:tc>
          <w:tcPr>
            <w:tcW w:w="885" w:type="dxa"/>
            <w:tcBorders>
              <w:top w:val="single" w:sz="8" w:space="0" w:color="auto"/>
              <w:left w:val="single" w:sz="8" w:space="0" w:color="auto"/>
              <w:bottom w:val="single" w:sz="8" w:space="0" w:color="auto"/>
              <w:right w:val="single" w:sz="8" w:space="0" w:color="auto"/>
            </w:tcBorders>
          </w:tcPr>
          <w:p w14:paraId="0CA4CD64" w14:textId="53639027" w:rsidR="00920EAB" w:rsidRPr="00B4107D" w:rsidRDefault="00920EAB" w:rsidP="00033930">
            <w:pPr>
              <w:pStyle w:val="Tabletext"/>
              <w:jc w:val="right"/>
              <w:rPr>
                <w:lang w:val="es-ES"/>
              </w:rPr>
            </w:pPr>
            <w:r w:rsidRPr="00B4107D">
              <w:rPr>
                <w:lang w:val="es-ES"/>
              </w:rPr>
              <w:t>1</w:t>
            </w:r>
            <w:r w:rsidR="00033930" w:rsidRPr="00B4107D">
              <w:rPr>
                <w:lang w:val="es-ES"/>
              </w:rPr>
              <w:t> </w:t>
            </w:r>
            <w:r w:rsidRPr="00B4107D">
              <w:rPr>
                <w:lang w:val="es-ES"/>
              </w:rPr>
              <w:t>912</w:t>
            </w:r>
          </w:p>
        </w:tc>
        <w:tc>
          <w:tcPr>
            <w:tcW w:w="1185" w:type="dxa"/>
            <w:tcBorders>
              <w:top w:val="single" w:sz="8" w:space="0" w:color="auto"/>
              <w:left w:val="single" w:sz="8" w:space="0" w:color="auto"/>
              <w:bottom w:val="single" w:sz="8" w:space="0" w:color="auto"/>
              <w:right w:val="single" w:sz="8" w:space="0" w:color="auto"/>
            </w:tcBorders>
          </w:tcPr>
          <w:p w14:paraId="29682F53" w14:textId="77777777" w:rsidR="00920EAB" w:rsidRPr="00B4107D" w:rsidRDefault="00920EAB" w:rsidP="00033930">
            <w:pPr>
              <w:pStyle w:val="Tabletext"/>
              <w:jc w:val="right"/>
              <w:rPr>
                <w:lang w:val="es-ES"/>
              </w:rPr>
            </w:pPr>
            <w:r w:rsidRPr="00B4107D">
              <w:rPr>
                <w:lang w:val="es-ES"/>
              </w:rPr>
              <w:t>23 %</w:t>
            </w:r>
          </w:p>
        </w:tc>
        <w:tc>
          <w:tcPr>
            <w:tcW w:w="945" w:type="dxa"/>
            <w:tcBorders>
              <w:top w:val="single" w:sz="8" w:space="0" w:color="auto"/>
              <w:left w:val="single" w:sz="8" w:space="0" w:color="auto"/>
              <w:bottom w:val="single" w:sz="8" w:space="0" w:color="auto"/>
              <w:right w:val="single" w:sz="8" w:space="0" w:color="auto"/>
            </w:tcBorders>
          </w:tcPr>
          <w:p w14:paraId="1CEC4D42" w14:textId="0D85C348" w:rsidR="00920EAB" w:rsidRPr="00B4107D" w:rsidRDefault="00920EAB" w:rsidP="00033930">
            <w:pPr>
              <w:pStyle w:val="Tabletext"/>
              <w:jc w:val="right"/>
              <w:rPr>
                <w:lang w:val="es-ES"/>
              </w:rPr>
            </w:pPr>
            <w:r w:rsidRPr="00B4107D">
              <w:rPr>
                <w:lang w:val="es-ES"/>
              </w:rPr>
              <w:t>10</w:t>
            </w:r>
            <w:r w:rsidR="00033930" w:rsidRPr="00B4107D">
              <w:rPr>
                <w:lang w:val="es-ES"/>
              </w:rPr>
              <w:t> </w:t>
            </w:r>
            <w:r w:rsidRPr="00B4107D">
              <w:rPr>
                <w:lang w:val="es-ES"/>
              </w:rPr>
              <w:t>462</w:t>
            </w:r>
          </w:p>
        </w:tc>
        <w:tc>
          <w:tcPr>
            <w:tcW w:w="1110" w:type="dxa"/>
            <w:tcBorders>
              <w:top w:val="single" w:sz="8" w:space="0" w:color="auto"/>
              <w:left w:val="single" w:sz="8" w:space="0" w:color="auto"/>
              <w:bottom w:val="single" w:sz="8" w:space="0" w:color="auto"/>
              <w:right w:val="single" w:sz="8" w:space="0" w:color="auto"/>
            </w:tcBorders>
          </w:tcPr>
          <w:p w14:paraId="305CA91B" w14:textId="77777777" w:rsidR="00920EAB" w:rsidRPr="00B4107D" w:rsidRDefault="00920EAB" w:rsidP="00033930">
            <w:pPr>
              <w:pStyle w:val="Tabletext"/>
              <w:jc w:val="right"/>
              <w:rPr>
                <w:lang w:val="es-ES"/>
              </w:rPr>
            </w:pPr>
            <w:r w:rsidRPr="00B4107D">
              <w:rPr>
                <w:lang w:val="es-ES"/>
              </w:rPr>
              <w:t>28 %</w:t>
            </w:r>
          </w:p>
        </w:tc>
        <w:tc>
          <w:tcPr>
            <w:tcW w:w="885" w:type="dxa"/>
            <w:tcBorders>
              <w:top w:val="single" w:sz="8" w:space="0" w:color="auto"/>
              <w:left w:val="single" w:sz="8" w:space="0" w:color="auto"/>
              <w:bottom w:val="single" w:sz="8" w:space="0" w:color="auto"/>
              <w:right w:val="single" w:sz="8" w:space="0" w:color="auto"/>
            </w:tcBorders>
          </w:tcPr>
          <w:p w14:paraId="6DD03943" w14:textId="7CD60D15" w:rsidR="00920EAB" w:rsidRPr="00B4107D" w:rsidRDefault="00920EAB" w:rsidP="00033930">
            <w:pPr>
              <w:pStyle w:val="Tabletext"/>
              <w:jc w:val="right"/>
              <w:rPr>
                <w:lang w:val="es-ES"/>
              </w:rPr>
            </w:pPr>
            <w:r w:rsidRPr="00B4107D">
              <w:rPr>
                <w:lang w:val="es-ES"/>
              </w:rPr>
              <w:t>12</w:t>
            </w:r>
            <w:r w:rsidR="00033930" w:rsidRPr="00B4107D">
              <w:rPr>
                <w:lang w:val="es-ES"/>
              </w:rPr>
              <w:t> </w:t>
            </w:r>
            <w:r w:rsidRPr="00B4107D">
              <w:rPr>
                <w:lang w:val="es-ES"/>
              </w:rPr>
              <w:t>825</w:t>
            </w:r>
          </w:p>
        </w:tc>
        <w:tc>
          <w:tcPr>
            <w:tcW w:w="1170" w:type="dxa"/>
            <w:tcBorders>
              <w:top w:val="single" w:sz="8" w:space="0" w:color="auto"/>
              <w:left w:val="single" w:sz="8" w:space="0" w:color="auto"/>
              <w:bottom w:val="single" w:sz="8" w:space="0" w:color="auto"/>
              <w:right w:val="single" w:sz="8" w:space="0" w:color="auto"/>
            </w:tcBorders>
          </w:tcPr>
          <w:p w14:paraId="6831B1FA" w14:textId="77777777" w:rsidR="00920EAB" w:rsidRPr="00B4107D" w:rsidRDefault="00920EAB" w:rsidP="00033930">
            <w:pPr>
              <w:pStyle w:val="Tabletext"/>
              <w:jc w:val="right"/>
              <w:rPr>
                <w:lang w:val="es-ES"/>
              </w:rPr>
            </w:pPr>
            <w:r w:rsidRPr="00B4107D">
              <w:rPr>
                <w:lang w:val="es-ES"/>
              </w:rPr>
              <w:t>31 %</w:t>
            </w:r>
          </w:p>
        </w:tc>
        <w:tc>
          <w:tcPr>
            <w:tcW w:w="1085" w:type="dxa"/>
            <w:tcBorders>
              <w:top w:val="single" w:sz="8" w:space="0" w:color="auto"/>
              <w:left w:val="single" w:sz="8" w:space="0" w:color="auto"/>
              <w:bottom w:val="single" w:sz="8" w:space="0" w:color="auto"/>
              <w:right w:val="single" w:sz="8" w:space="0" w:color="auto"/>
            </w:tcBorders>
          </w:tcPr>
          <w:p w14:paraId="5585C0BA" w14:textId="73985DBD" w:rsidR="00920EAB" w:rsidRPr="00B4107D" w:rsidRDefault="00920EAB" w:rsidP="00033930">
            <w:pPr>
              <w:pStyle w:val="Tabletext"/>
              <w:jc w:val="right"/>
              <w:rPr>
                <w:lang w:val="es-ES"/>
              </w:rPr>
            </w:pPr>
            <w:r w:rsidRPr="00B4107D">
              <w:rPr>
                <w:lang w:val="es-ES"/>
              </w:rPr>
              <w:t>42</w:t>
            </w:r>
            <w:r w:rsidR="00033930" w:rsidRPr="00B4107D">
              <w:rPr>
                <w:lang w:val="es-ES"/>
              </w:rPr>
              <w:t> </w:t>
            </w:r>
            <w:r w:rsidRPr="00B4107D">
              <w:rPr>
                <w:lang w:val="es-ES"/>
              </w:rPr>
              <w:t>846</w:t>
            </w:r>
          </w:p>
        </w:tc>
        <w:tc>
          <w:tcPr>
            <w:tcW w:w="1134" w:type="dxa"/>
            <w:tcBorders>
              <w:top w:val="single" w:sz="8" w:space="0" w:color="auto"/>
              <w:left w:val="single" w:sz="8" w:space="0" w:color="auto"/>
              <w:bottom w:val="single" w:sz="8" w:space="0" w:color="auto"/>
              <w:right w:val="single" w:sz="8" w:space="0" w:color="auto"/>
            </w:tcBorders>
          </w:tcPr>
          <w:p w14:paraId="073F718C" w14:textId="77777777" w:rsidR="00920EAB" w:rsidRPr="00B4107D" w:rsidRDefault="00920EAB" w:rsidP="00033930">
            <w:pPr>
              <w:pStyle w:val="Tabletext"/>
              <w:jc w:val="right"/>
              <w:rPr>
                <w:lang w:val="es-ES"/>
              </w:rPr>
            </w:pPr>
            <w:r w:rsidRPr="00B4107D">
              <w:rPr>
                <w:lang w:val="es-ES"/>
              </w:rPr>
              <w:t>28 %</w:t>
            </w:r>
          </w:p>
        </w:tc>
      </w:tr>
      <w:tr w:rsidR="00920EAB" w:rsidRPr="00B4107D" w14:paraId="7437E015" w14:textId="77777777" w:rsidTr="00271605">
        <w:trPr>
          <w:trHeight w:val="300"/>
        </w:trPr>
        <w:tc>
          <w:tcPr>
            <w:tcW w:w="810" w:type="dxa"/>
            <w:tcBorders>
              <w:top w:val="single" w:sz="8" w:space="0" w:color="auto"/>
              <w:left w:val="single" w:sz="4" w:space="0" w:color="auto"/>
              <w:bottom w:val="single" w:sz="8" w:space="0" w:color="auto"/>
              <w:right w:val="single" w:sz="8" w:space="0" w:color="auto"/>
            </w:tcBorders>
          </w:tcPr>
          <w:p w14:paraId="4AC2F6CC" w14:textId="742C22DF" w:rsidR="00920EAB" w:rsidRPr="00B4107D" w:rsidRDefault="00920EAB" w:rsidP="00033930">
            <w:pPr>
              <w:pStyle w:val="Tabletext"/>
              <w:jc w:val="center"/>
              <w:rPr>
                <w:lang w:val="es-ES"/>
              </w:rPr>
            </w:pPr>
            <w:r w:rsidRPr="00B4107D">
              <w:rPr>
                <w:lang w:val="es-ES"/>
              </w:rPr>
              <w:t>PEID</w:t>
            </w:r>
          </w:p>
        </w:tc>
        <w:tc>
          <w:tcPr>
            <w:tcW w:w="885" w:type="dxa"/>
            <w:tcBorders>
              <w:top w:val="single" w:sz="8" w:space="0" w:color="auto"/>
              <w:left w:val="single" w:sz="8" w:space="0" w:color="auto"/>
              <w:bottom w:val="single" w:sz="8" w:space="0" w:color="auto"/>
              <w:right w:val="single" w:sz="8" w:space="0" w:color="auto"/>
            </w:tcBorders>
          </w:tcPr>
          <w:p w14:paraId="3482BD5D" w14:textId="20BD240A" w:rsidR="00920EAB" w:rsidRPr="00B4107D" w:rsidRDefault="00920EAB" w:rsidP="00033930">
            <w:pPr>
              <w:pStyle w:val="Tabletext"/>
              <w:jc w:val="right"/>
              <w:rPr>
                <w:lang w:val="es-ES"/>
              </w:rPr>
            </w:pPr>
            <w:r w:rsidRPr="00B4107D">
              <w:rPr>
                <w:lang w:val="es-ES"/>
              </w:rPr>
              <w:t>16</w:t>
            </w:r>
            <w:r w:rsidR="00033930" w:rsidRPr="00B4107D">
              <w:rPr>
                <w:lang w:val="es-ES"/>
              </w:rPr>
              <w:t> </w:t>
            </w:r>
            <w:r w:rsidRPr="00B4107D">
              <w:rPr>
                <w:lang w:val="es-ES"/>
              </w:rPr>
              <w:t>742</w:t>
            </w:r>
          </w:p>
        </w:tc>
        <w:tc>
          <w:tcPr>
            <w:tcW w:w="1185" w:type="dxa"/>
            <w:tcBorders>
              <w:top w:val="single" w:sz="8" w:space="0" w:color="auto"/>
              <w:left w:val="single" w:sz="8" w:space="0" w:color="auto"/>
              <w:bottom w:val="single" w:sz="8" w:space="0" w:color="auto"/>
              <w:right w:val="single" w:sz="8" w:space="0" w:color="auto"/>
            </w:tcBorders>
          </w:tcPr>
          <w:p w14:paraId="16A756AE" w14:textId="77777777" w:rsidR="00920EAB" w:rsidRPr="00B4107D" w:rsidRDefault="00920EAB" w:rsidP="00033930">
            <w:pPr>
              <w:pStyle w:val="Tabletext"/>
              <w:jc w:val="right"/>
              <w:rPr>
                <w:lang w:val="es-ES"/>
              </w:rPr>
            </w:pPr>
            <w:r w:rsidRPr="00B4107D">
              <w:rPr>
                <w:lang w:val="es-ES"/>
              </w:rPr>
              <w:t>53 %</w:t>
            </w:r>
          </w:p>
        </w:tc>
        <w:tc>
          <w:tcPr>
            <w:tcW w:w="945" w:type="dxa"/>
            <w:tcBorders>
              <w:top w:val="single" w:sz="8" w:space="0" w:color="auto"/>
              <w:left w:val="single" w:sz="8" w:space="0" w:color="auto"/>
              <w:bottom w:val="single" w:sz="8" w:space="0" w:color="auto"/>
              <w:right w:val="single" w:sz="8" w:space="0" w:color="auto"/>
            </w:tcBorders>
          </w:tcPr>
          <w:p w14:paraId="2CB50609" w14:textId="4A022A7E" w:rsidR="00920EAB" w:rsidRPr="00B4107D" w:rsidRDefault="00920EAB" w:rsidP="00033930">
            <w:pPr>
              <w:pStyle w:val="Tabletext"/>
              <w:jc w:val="right"/>
              <w:rPr>
                <w:lang w:val="es-ES"/>
              </w:rPr>
            </w:pPr>
            <w:r w:rsidRPr="00B4107D">
              <w:rPr>
                <w:lang w:val="es-ES"/>
              </w:rPr>
              <w:t>50</w:t>
            </w:r>
            <w:r w:rsidR="00033930" w:rsidRPr="00B4107D">
              <w:rPr>
                <w:lang w:val="es-ES"/>
              </w:rPr>
              <w:t> </w:t>
            </w:r>
            <w:r w:rsidRPr="00B4107D">
              <w:rPr>
                <w:lang w:val="es-ES"/>
              </w:rPr>
              <w:t>995</w:t>
            </w:r>
          </w:p>
        </w:tc>
        <w:tc>
          <w:tcPr>
            <w:tcW w:w="1110" w:type="dxa"/>
            <w:tcBorders>
              <w:top w:val="single" w:sz="8" w:space="0" w:color="auto"/>
              <w:left w:val="single" w:sz="8" w:space="0" w:color="auto"/>
              <w:bottom w:val="single" w:sz="8" w:space="0" w:color="auto"/>
              <w:right w:val="single" w:sz="8" w:space="0" w:color="auto"/>
            </w:tcBorders>
          </w:tcPr>
          <w:p w14:paraId="37B56348" w14:textId="77777777" w:rsidR="00920EAB" w:rsidRPr="00B4107D" w:rsidRDefault="00920EAB" w:rsidP="00033930">
            <w:pPr>
              <w:pStyle w:val="Tabletext"/>
              <w:jc w:val="right"/>
              <w:rPr>
                <w:lang w:val="es-ES"/>
              </w:rPr>
            </w:pPr>
            <w:r w:rsidRPr="00B4107D">
              <w:rPr>
                <w:lang w:val="es-ES"/>
              </w:rPr>
              <w:t>57 %</w:t>
            </w:r>
          </w:p>
        </w:tc>
        <w:tc>
          <w:tcPr>
            <w:tcW w:w="885" w:type="dxa"/>
            <w:tcBorders>
              <w:top w:val="single" w:sz="8" w:space="0" w:color="auto"/>
              <w:left w:val="single" w:sz="8" w:space="0" w:color="auto"/>
              <w:bottom w:val="single" w:sz="8" w:space="0" w:color="auto"/>
              <w:right w:val="single" w:sz="8" w:space="0" w:color="auto"/>
            </w:tcBorders>
          </w:tcPr>
          <w:p w14:paraId="44AE9D18" w14:textId="13AD2914" w:rsidR="00920EAB" w:rsidRPr="00B4107D" w:rsidRDefault="00920EAB" w:rsidP="00033930">
            <w:pPr>
              <w:pStyle w:val="Tabletext"/>
              <w:jc w:val="right"/>
              <w:rPr>
                <w:lang w:val="es-ES"/>
              </w:rPr>
            </w:pPr>
            <w:r w:rsidRPr="00B4107D">
              <w:rPr>
                <w:lang w:val="es-ES"/>
              </w:rPr>
              <w:t>44</w:t>
            </w:r>
            <w:r w:rsidR="00033930" w:rsidRPr="00B4107D">
              <w:rPr>
                <w:lang w:val="es-ES"/>
              </w:rPr>
              <w:t> </w:t>
            </w:r>
            <w:r w:rsidRPr="00B4107D">
              <w:rPr>
                <w:lang w:val="es-ES"/>
              </w:rPr>
              <w:t>494</w:t>
            </w:r>
          </w:p>
        </w:tc>
        <w:tc>
          <w:tcPr>
            <w:tcW w:w="1170" w:type="dxa"/>
            <w:tcBorders>
              <w:top w:val="single" w:sz="8" w:space="0" w:color="auto"/>
              <w:left w:val="single" w:sz="8" w:space="0" w:color="auto"/>
              <w:bottom w:val="single" w:sz="8" w:space="0" w:color="auto"/>
              <w:right w:val="single" w:sz="8" w:space="0" w:color="auto"/>
            </w:tcBorders>
          </w:tcPr>
          <w:p w14:paraId="79CD76AF" w14:textId="77777777" w:rsidR="00920EAB" w:rsidRPr="00B4107D" w:rsidRDefault="00920EAB" w:rsidP="00033930">
            <w:pPr>
              <w:pStyle w:val="Tabletext"/>
              <w:jc w:val="right"/>
              <w:rPr>
                <w:lang w:val="es-ES"/>
              </w:rPr>
            </w:pPr>
            <w:r w:rsidRPr="00B4107D">
              <w:rPr>
                <w:lang w:val="es-ES"/>
              </w:rPr>
              <w:t>61 %</w:t>
            </w:r>
          </w:p>
        </w:tc>
        <w:tc>
          <w:tcPr>
            <w:tcW w:w="1085" w:type="dxa"/>
            <w:tcBorders>
              <w:top w:val="single" w:sz="8" w:space="0" w:color="auto"/>
              <w:left w:val="single" w:sz="8" w:space="0" w:color="auto"/>
              <w:bottom w:val="single" w:sz="8" w:space="0" w:color="auto"/>
              <w:right w:val="single" w:sz="8" w:space="0" w:color="auto"/>
            </w:tcBorders>
          </w:tcPr>
          <w:p w14:paraId="5A4F1707" w14:textId="39962DD9" w:rsidR="00920EAB" w:rsidRPr="00B4107D" w:rsidRDefault="00920EAB" w:rsidP="00033930">
            <w:pPr>
              <w:pStyle w:val="Tabletext"/>
              <w:jc w:val="right"/>
              <w:rPr>
                <w:lang w:val="es-ES"/>
              </w:rPr>
            </w:pPr>
            <w:r w:rsidRPr="00B4107D">
              <w:rPr>
                <w:lang w:val="es-ES"/>
              </w:rPr>
              <w:t>86</w:t>
            </w:r>
            <w:r w:rsidR="00033930" w:rsidRPr="00B4107D">
              <w:rPr>
                <w:lang w:val="es-ES"/>
              </w:rPr>
              <w:t> </w:t>
            </w:r>
            <w:r w:rsidRPr="00B4107D">
              <w:rPr>
                <w:lang w:val="es-ES"/>
              </w:rPr>
              <w:t>691</w:t>
            </w:r>
          </w:p>
        </w:tc>
        <w:tc>
          <w:tcPr>
            <w:tcW w:w="1134" w:type="dxa"/>
            <w:tcBorders>
              <w:top w:val="single" w:sz="8" w:space="0" w:color="auto"/>
              <w:left w:val="single" w:sz="8" w:space="0" w:color="auto"/>
              <w:bottom w:val="single" w:sz="8" w:space="0" w:color="auto"/>
              <w:right w:val="single" w:sz="8" w:space="0" w:color="auto"/>
            </w:tcBorders>
          </w:tcPr>
          <w:p w14:paraId="27334056" w14:textId="77777777" w:rsidR="00920EAB" w:rsidRPr="00B4107D" w:rsidRDefault="00920EAB" w:rsidP="00033930">
            <w:pPr>
              <w:pStyle w:val="Tabletext"/>
              <w:jc w:val="right"/>
              <w:rPr>
                <w:lang w:val="es-ES"/>
              </w:rPr>
            </w:pPr>
            <w:r w:rsidRPr="00B4107D">
              <w:rPr>
                <w:lang w:val="es-ES"/>
              </w:rPr>
              <w:t>59 %</w:t>
            </w:r>
          </w:p>
        </w:tc>
      </w:tr>
    </w:tbl>
    <w:p w14:paraId="1E9C725A" w14:textId="77777777" w:rsidR="00920EAB" w:rsidRPr="00B4107D" w:rsidRDefault="00920EAB" w:rsidP="00920EAB">
      <w:pPr>
        <w:pStyle w:val="Tablefin"/>
        <w:rPr>
          <w:lang w:val="es-ES"/>
        </w:rPr>
      </w:pPr>
    </w:p>
    <w:p w14:paraId="72DBAFBF" w14:textId="3C8897F8" w:rsidR="00920EAB" w:rsidRPr="00B4107D" w:rsidRDefault="00920EAB" w:rsidP="00600DF6">
      <w:pPr>
        <w:jc w:val="both"/>
        <w:rPr>
          <w:rFonts w:cs="Calibri"/>
          <w:lang w:val="es-ES"/>
        </w:rPr>
      </w:pPr>
      <w:r w:rsidRPr="00B4107D">
        <w:rPr>
          <w:lang w:val="es-ES"/>
        </w:rPr>
        <w:t xml:space="preserve">El </w:t>
      </w:r>
      <w:hyperlink r:id="rId31" w:anchor="/es" w:history="1">
        <w:r w:rsidRPr="00B4107D">
          <w:rPr>
            <w:rStyle w:val="Hyperlink"/>
            <w:lang w:val="es-ES"/>
          </w:rPr>
          <w:t>Programa de Centros de Formación de la Academia de la UIT (CFA</w:t>
        </w:r>
      </w:hyperlink>
      <w:r w:rsidRPr="00B4107D">
        <w:rPr>
          <w:u w:val="single"/>
          <w:lang w:val="es-ES"/>
        </w:rPr>
        <w:t>)</w:t>
      </w:r>
      <w:r w:rsidRPr="00B4107D">
        <w:rPr>
          <w:lang w:val="es-ES"/>
        </w:rPr>
        <w:t>, puesto en marcha en 2023, contribuye a crear conocimientos y competencias entre los profesionales del sector de las TIC, los operadores de telecomunicaciones, los organismos reglamentarios, los funcionarios públicos y las instituciones académicas, lo que les permite contribuir a la transformación digital y participar plenamente en ella. El Programa reúne a una red mundial de asociados para el desarrollo que abarca instituciones de formación públicas, instituciones académicas y el sector privado. De las 14 instituciones participantes, 2 se encuentran en PMA, PDSL, PEID y países con economías en transición, a saber: el Equipo de Respuesta a Emergencias Informáticas de Mauricio; y la Universidad de las Indias Occidentales, un centro de varios campus en Jamaica, Trinidad y Tabago, y Barbados. A finales de 2025, esos dos CFA habían registrado 2</w:t>
      </w:r>
      <w:r w:rsidR="00033930" w:rsidRPr="00B4107D">
        <w:rPr>
          <w:lang w:val="es-ES"/>
        </w:rPr>
        <w:t> </w:t>
      </w:r>
      <w:r w:rsidRPr="00B4107D">
        <w:rPr>
          <w:lang w:val="es-ES"/>
        </w:rPr>
        <w:t>288 participantes (de los cuales el 23 % eran mujeres), y habían expedido 659 certificaciones en total. La formación se centró en temas como las ciudades inteligentes, la inclusión digital y la ciberseguridad.</w:t>
      </w:r>
      <w:hyperlink r:id="rId32" w:history="1"/>
    </w:p>
    <w:p w14:paraId="70F23668" w14:textId="77777777" w:rsidR="00920EAB" w:rsidRPr="00B4107D" w:rsidRDefault="00920EAB" w:rsidP="00920EAB">
      <w:pPr>
        <w:pStyle w:val="Headingb"/>
        <w:rPr>
          <w:lang w:val="es-ES"/>
        </w:rPr>
      </w:pPr>
      <w:r w:rsidRPr="00B4107D">
        <w:rPr>
          <w:lang w:val="es-ES"/>
        </w:rPr>
        <w:lastRenderedPageBreak/>
        <w:t>Proyectos y actividades</w:t>
      </w:r>
    </w:p>
    <w:p w14:paraId="171E3616" w14:textId="52402416" w:rsidR="00920EAB" w:rsidRPr="00B4107D" w:rsidRDefault="00920EAB" w:rsidP="00600DF6">
      <w:pPr>
        <w:jc w:val="both"/>
        <w:rPr>
          <w:rFonts w:cs="Calibri"/>
          <w:lang w:val="es-ES"/>
        </w:rPr>
      </w:pPr>
      <w:r w:rsidRPr="00B4107D">
        <w:rPr>
          <w:lang w:val="es-ES"/>
        </w:rPr>
        <w:t xml:space="preserve">En consonancia con los requisitos operacionales de la ejecución de proyectos y la movilización de recursos expuestos en la Resolución 30, la capacidad de ejecución de la Oficina sigue siendo fundamental para su estrategia. La UIT tiene un doble cometido como organismo especializado de las Naciones Unidas y como organismo ejecutor de proyectos. La BDT de la UIT posee una amplia experiencia en la ejecución y aplicación de proyectos de TIC para el desarrollo, con conocimientos especializados en la movilización de recursos, y la elaboración, gestión y ejecución de proyectos, así como en actividades de supervisión y evaluación. Para más información sobre la labor llevada a cabo en los proyectos del UIT-D, véanse los siguientes documentos: Documento </w:t>
      </w:r>
      <w:hyperlink r:id="rId33">
        <w:proofErr w:type="spellStart"/>
        <w:r w:rsidRPr="00B4107D">
          <w:rPr>
            <w:rStyle w:val="Hyperlink"/>
            <w:rFonts w:cs="Calibri"/>
            <w:lang w:val="es-ES"/>
          </w:rPr>
          <w:t>TDAG</w:t>
        </w:r>
        <w:proofErr w:type="spellEnd"/>
        <w:r w:rsidRPr="00B4107D">
          <w:rPr>
            <w:rStyle w:val="Hyperlink"/>
            <w:rFonts w:cs="Calibri"/>
            <w:lang w:val="es-ES"/>
          </w:rPr>
          <w:t>-26/2</w:t>
        </w:r>
      </w:hyperlink>
      <w:r w:rsidRPr="00B4107D">
        <w:rPr>
          <w:lang w:val="es-ES"/>
        </w:rPr>
        <w:t xml:space="preserve"> y Documento </w:t>
      </w:r>
      <w:hyperlink r:id="rId34">
        <w:r w:rsidRPr="00B4107D">
          <w:rPr>
            <w:rStyle w:val="Hyperlink"/>
            <w:rFonts w:cs="Calibri"/>
            <w:lang w:val="es-ES"/>
          </w:rPr>
          <w:t>WTDC-25/2</w:t>
        </w:r>
      </w:hyperlink>
      <w:r w:rsidRPr="00B4107D">
        <w:rPr>
          <w:rFonts w:cs="Calibri"/>
          <w:lang w:val="es-ES"/>
        </w:rPr>
        <w:t>.</w:t>
      </w:r>
      <w:hyperlink r:id="rId35"/>
      <w:hyperlink r:id="rId36"/>
    </w:p>
    <w:p w14:paraId="7D0D98AB" w14:textId="77777777" w:rsidR="00920EAB" w:rsidRPr="00B4107D" w:rsidRDefault="00920EAB" w:rsidP="00600DF6">
      <w:pPr>
        <w:jc w:val="both"/>
        <w:rPr>
          <w:rFonts w:cs="Calibri"/>
          <w:lang w:val="es-ES"/>
        </w:rPr>
      </w:pPr>
      <w:r w:rsidRPr="00B4107D">
        <w:rPr>
          <w:lang w:val="es-ES"/>
        </w:rPr>
        <w:t>El conjunto de proyectos de la UIT abarca proyectos ejecutados en todas las regiones de la UIT y que comprenden una amplia gama de esferas de especialización de la UIT. Los proyectos del UIT-D se financian principalmente mediante las contribuciones de los asociados financieros y, en algunos casos, siempre que se cumplan los criterios pertinentes, a través del Fondo de Desarrollo de las TIC (FD-TIC). Constituido en 1997, el FD-TIC facilita la ejecución de proyectos basados en asociaciones entre varias partes interesadas, en particular Estados Miembros de la UIT, Miembros de Sector, los sectores público y privado, organizaciones multilaterales, fundaciones, instituciones financieras y organismos para el desarrollo. Dicho Fondo de destina específicamente a apoyar a los PMA, PDSL y PEID, así como a países con economías en transición y países con necesidades especiales. Desde 2023, el FD-TIC también fomenta proyectos que contribuyen a la ejecución de las iniciativas regionales de la CMDT.</w:t>
      </w:r>
    </w:p>
    <w:p w14:paraId="0DA6DE8C" w14:textId="77777777" w:rsidR="00920EAB" w:rsidRPr="00B4107D" w:rsidRDefault="00920EAB" w:rsidP="00600DF6">
      <w:pPr>
        <w:jc w:val="both"/>
        <w:rPr>
          <w:rFonts w:cs="Calibri"/>
          <w:lang w:val="es-ES"/>
        </w:rPr>
      </w:pPr>
      <w:r w:rsidRPr="00B4107D">
        <w:rPr>
          <w:lang w:val="es-ES"/>
        </w:rPr>
        <w:t>Los PMA, los PDSL y los PEID se benefician periódicamente de los proyectos del UIT-D. Durante el ciclo 2022-2025, la BDT suscribió 41 nuevos proyectos que incluían actividades en al menos uno de los países destinatarios. Dichos proyectos fueron de carácter nacional, regional o multirregional y se establecieron en colaboración con una amplia gama de partes interesadas de los sectores público y privado, así como con otros organismos de las Naciones Unidas e instituciones sin ánimo de lucro.</w:t>
      </w:r>
    </w:p>
    <w:p w14:paraId="55B44F3D" w14:textId="77777777" w:rsidR="00920EAB" w:rsidRPr="00B4107D" w:rsidRDefault="00920EAB" w:rsidP="00600DF6">
      <w:pPr>
        <w:jc w:val="both"/>
        <w:rPr>
          <w:lang w:val="es-ES"/>
        </w:rPr>
      </w:pPr>
      <w:r w:rsidRPr="00B4107D">
        <w:rPr>
          <w:lang w:val="es-ES"/>
        </w:rPr>
        <w:t>Estos proyectos se ocupaban directamente de los mandatos específicos establecidos en la Resolución 30 para analizar la situación de los servicios de TIC e identificar las deficiencias fundamentales, así como para mejorar la colaboración de las instituciones académicas y la industria por conducto de plataformas de creación de capacidad como la Academia de la UIT y los Centros de Transformación Digital.</w:t>
      </w:r>
    </w:p>
    <w:p w14:paraId="0150C1B6" w14:textId="77777777" w:rsidR="00920EAB" w:rsidRPr="00B4107D" w:rsidRDefault="00920EAB" w:rsidP="00600DF6">
      <w:pPr>
        <w:jc w:val="both"/>
        <w:rPr>
          <w:rFonts w:cs="Calibri"/>
          <w:lang w:val="es-ES"/>
        </w:rPr>
      </w:pPr>
      <w:r w:rsidRPr="00B4107D">
        <w:rPr>
          <w:lang w:val="es-ES"/>
        </w:rPr>
        <w:t>Además, por conducto de la Coalición Digital Partner2Connect (P2C), la UIT ha propuesto medidas innovadoras y alianzas con el fin de generar los fondos adicionales que se necesitan para reducir la brecha digital en las regiones más vulnerables del mundo. Se prestó apoyo a 39 PMA, 27 PDSL y 31 PEID mediante asistencia técnica, elaboración de políticas, productos del conocimiento, sesiones informativas y comunicación de datos. Algunos países recibieron múltiples intervenciones, llegando a registrar hasta cinco en casos como Malí, Senegal, Zimbabwe y Jamaica.</w:t>
      </w:r>
    </w:p>
    <w:p w14:paraId="122421D6" w14:textId="77777777" w:rsidR="00920EAB" w:rsidRPr="00B4107D" w:rsidRDefault="00920EAB" w:rsidP="00600DF6">
      <w:pPr>
        <w:jc w:val="both"/>
        <w:rPr>
          <w:rFonts w:cs="Calibri"/>
          <w:lang w:val="es-ES"/>
        </w:rPr>
      </w:pPr>
      <w:r w:rsidRPr="00B4107D">
        <w:rPr>
          <w:lang w:val="es-ES"/>
        </w:rPr>
        <w:t xml:space="preserve">En los PDSL, en 2025, se implementaron 21 proyectos interregionales que aceleraron la transformación digital. Algunos de ellos fueron la impartición de formación en competencias digitales mediante los centros de transformación y las academias en línea; la prestación de apoyo a los servicios públicos digitales con buena relación costo-eficacia en Rwanda y Kazajstán; la determinación de las infraestructuras de banda ancha en Botswana, Burundi, Etiopía, Malawi, Uganda, Zambia y Zimbabwe; y la puesta en marcha de iniciativas en materia </w:t>
      </w:r>
      <w:r w:rsidRPr="00B4107D">
        <w:rPr>
          <w:lang w:val="es-ES"/>
        </w:rPr>
        <w:lastRenderedPageBreak/>
        <w:t>de políticas sobre residuos electrónicos y desarrollo de redes rurales para promover una economía circular.</w:t>
      </w:r>
    </w:p>
    <w:p w14:paraId="0F32C37F" w14:textId="77777777" w:rsidR="00920EAB" w:rsidRPr="00B4107D" w:rsidRDefault="00920EAB" w:rsidP="00600DF6">
      <w:pPr>
        <w:jc w:val="both"/>
        <w:rPr>
          <w:rFonts w:cs="Calibri"/>
          <w:lang w:val="es-ES"/>
        </w:rPr>
      </w:pPr>
      <w:r w:rsidRPr="00B4107D">
        <w:rPr>
          <w:lang w:val="es-ES"/>
        </w:rPr>
        <w:t>En los PMA, en 2025, se implementaron 19 proyectos para impulsar los sistemas de alerta temprana, la ciberseguridad, la cartografía de la banda ancha, la integración digital, la conectividad, la infraestructura digital y el acceso a las tecnologías de la información y la comunicación.</w:t>
      </w:r>
    </w:p>
    <w:p w14:paraId="29829952" w14:textId="77777777" w:rsidR="00920EAB" w:rsidRPr="00B4107D" w:rsidRDefault="00920EAB" w:rsidP="00600DF6">
      <w:pPr>
        <w:jc w:val="both"/>
        <w:rPr>
          <w:b/>
          <w:bCs/>
          <w:color w:val="000000" w:themeColor="text1"/>
          <w:lang w:val="es-ES"/>
        </w:rPr>
      </w:pPr>
      <w:r w:rsidRPr="00B4107D">
        <w:rPr>
          <w:lang w:val="es-ES"/>
        </w:rPr>
        <w:t>En los PEID, en 2025, se implementaron 16 proyectos que destacaron en materia de transformación digital, competencias digitales y ciberseguridad.</w:t>
      </w:r>
    </w:p>
    <w:p w14:paraId="1240A723" w14:textId="77777777" w:rsidR="00920EAB" w:rsidRPr="00B4107D" w:rsidRDefault="00920EAB" w:rsidP="00600DF6">
      <w:pPr>
        <w:pStyle w:val="Headingb"/>
        <w:jc w:val="both"/>
        <w:rPr>
          <w:lang w:val="es-ES"/>
        </w:rPr>
      </w:pPr>
      <w:r w:rsidRPr="00B4107D">
        <w:rPr>
          <w:lang w:val="es-ES"/>
        </w:rPr>
        <w:t>Marco administrativo y operacional</w:t>
      </w:r>
    </w:p>
    <w:p w14:paraId="5558985B" w14:textId="77777777" w:rsidR="00920EAB" w:rsidRPr="00B4107D" w:rsidRDefault="00920EAB" w:rsidP="00600DF6">
      <w:pPr>
        <w:jc w:val="both"/>
        <w:rPr>
          <w:rFonts w:cs="Calibri"/>
          <w:lang w:val="es-ES"/>
        </w:rPr>
      </w:pPr>
      <w:r w:rsidRPr="00B4107D">
        <w:rPr>
          <w:lang w:val="es-ES"/>
        </w:rPr>
        <w:t>A fin de cumplir estos mandatos, la BDT ha adoptado un enfoque exhaustivo sobre el ecosistema digital, pasando de la conectividad básica a una mayor sofisticación tecnológica y una elaboración de políticas con base empírica. Este enfoque refleja el reconocimiento de que la conectividad universal y efectiva y la transformación digital en general son impulsores fundamentales del desarrollo socioeconómico, en particular para los PMA, los PDSL y los PEID.</w:t>
      </w:r>
    </w:p>
    <w:p w14:paraId="42D9CAD0" w14:textId="77777777" w:rsidR="00920EAB" w:rsidRPr="00B4107D" w:rsidRDefault="00920EAB" w:rsidP="00600DF6">
      <w:pPr>
        <w:jc w:val="both"/>
        <w:rPr>
          <w:rFonts w:cs="Calibri"/>
          <w:lang w:val="es-ES"/>
        </w:rPr>
      </w:pPr>
      <w:r w:rsidRPr="00B4107D">
        <w:rPr>
          <w:lang w:val="es-ES"/>
        </w:rPr>
        <w:t>Un importante hito institucional de la aplicación de la Resolución 30, en la que se pide la adopción de una estructura administrativa y operacional apropiada, fue la reorganización en 2024 de la BDT. En el marco de esta reforma se creó una división específica de la BDT para prestar asistencia coordinada y adaptada a los países con necesidades especiales de todo el espectro del desarrollo digital. Como parte de este marco reforzado, la BDT ha perfeccionado su capacidad operacional mediante el reciente nombramiento de un Jefe de la Unidad de los PMA, los PDSL y los PEID, reforzando la supervisión estratégica y mejorando la eficacia de la ejecución de los programas.</w:t>
      </w:r>
    </w:p>
    <w:p w14:paraId="3846775D" w14:textId="77777777" w:rsidR="00920EAB" w:rsidRPr="00B4107D" w:rsidRDefault="00920EAB" w:rsidP="00600DF6">
      <w:pPr>
        <w:pStyle w:val="Headingb"/>
        <w:jc w:val="both"/>
        <w:rPr>
          <w:lang w:val="es-ES"/>
        </w:rPr>
      </w:pPr>
      <w:r w:rsidRPr="00B4107D">
        <w:rPr>
          <w:lang w:val="es-ES"/>
        </w:rPr>
        <w:t>Plataformas digitales y ecosistemas de la información para el desarrollo inclusivo de las TIC</w:t>
      </w:r>
    </w:p>
    <w:p w14:paraId="025DF08C" w14:textId="77777777" w:rsidR="00920EAB" w:rsidRPr="00B4107D" w:rsidRDefault="00920EAB" w:rsidP="00600DF6">
      <w:pPr>
        <w:jc w:val="both"/>
        <w:rPr>
          <w:rFonts w:eastAsia="Aptos" w:cs="Calibri"/>
          <w:lang w:val="es-ES"/>
        </w:rPr>
      </w:pPr>
      <w:r w:rsidRPr="00B4107D">
        <w:rPr>
          <w:lang w:val="es-ES"/>
        </w:rPr>
        <w:t>Las plataformas digitales de la UIT desempeñan un papel fundamental en la mejora del acceso a la información, el fortalecimiento de la coordinación y el apoyo a la toma de decisiones con base empírica con el objetivo de conseguir la transformación digital inclusiva de los PMA, PDSL y PEID. La página web</w:t>
      </w:r>
      <w:r w:rsidRPr="00B4107D">
        <w:rPr>
          <w:rStyle w:val="FootnoteReference"/>
          <w:rFonts w:cs="Calibri"/>
          <w:lang w:val="es-ES"/>
        </w:rPr>
        <w:footnoteReference w:id="1"/>
      </w:r>
      <w:r w:rsidRPr="00B4107D">
        <w:rPr>
          <w:lang w:val="es-ES"/>
        </w:rPr>
        <w:t xml:space="preserve"> gestionada por la BDT actúa de repositorio centralizado de datos, recursos e iniciativas en curso, y se actualiza periódicamente para garantizar la difusión oportuna de las publicaciones pertinentes, los resultados de los programas y los materiales específicos de los países. En ella se exponen las principales esferas prioritarias, como la inclusión digital, el desarrollo de las infraestructuras, la creación de capacidad y el apoyo político, facilitando con ello la compartición de conocimientos y la colaboración de las partes interesadas.</w:t>
      </w:r>
    </w:p>
    <w:p w14:paraId="68E1E274" w14:textId="0972DA3F" w:rsidR="00920EAB" w:rsidRPr="00B4107D" w:rsidRDefault="00920EAB" w:rsidP="00600DF6">
      <w:pPr>
        <w:jc w:val="both"/>
        <w:rPr>
          <w:lang w:val="es-ES"/>
        </w:rPr>
      </w:pPr>
      <w:r w:rsidRPr="00B4107D">
        <w:rPr>
          <w:lang w:val="es-ES"/>
        </w:rPr>
        <w:t xml:space="preserve">Como complemento de lo anterior, el conjunto más amplio de plataformas digitales de la UIT fortalece además la transparencia, la coordinación y la colaboración de las partes interesadas. En particular, la plataforma de la Coalición Digital P2C ofrece información exhaustiva y actualizada periódicamente sobre los compromisos voluntarios, las asociaciones y los esfuerzos destinados a la movilización de recursos que contribuyen a lograr la conectividad universal y efectiva y la transformación digital sostenible. La plataforma permite realizar de manera transparente el seguimiento de los compromisos en las cuatro áreas de interés de P2C, apoya la implementación de iniciativas de desarrollo digital y hace especial hincapié en </w:t>
      </w:r>
      <w:r w:rsidRPr="00B4107D">
        <w:rPr>
          <w:lang w:val="es-ES"/>
        </w:rPr>
        <w:lastRenderedPageBreak/>
        <w:t>las comunidades insuficientemente atendidas o difíciles de conectar, en particular en los PMA, los PDSL y los PEID. Mediante su panel interactivo</w:t>
      </w:r>
      <w:r w:rsidRPr="00B4107D">
        <w:rPr>
          <w:rStyle w:val="FootnoteReference"/>
          <w:rFonts w:cs="Calibri"/>
          <w:lang w:val="es-ES"/>
        </w:rPr>
        <w:footnoteReference w:id="2"/>
      </w:r>
      <w:r w:rsidRPr="00B4107D">
        <w:rPr>
          <w:lang w:val="es-ES"/>
        </w:rPr>
        <w:t>, las partes interesadas pueden identificar, supervisar y analizar las promesas destinadas a estos grupos de países, lo que fortalece la rendición de cuentas, la visibilidad y la adecuación estratégica, facilitando a su vez la creación de alianzas que ayudan a acelerar la implementación y los efectos.</w:t>
      </w:r>
    </w:p>
    <w:p w14:paraId="3CB973CE" w14:textId="77777777" w:rsidR="00920EAB" w:rsidRPr="00B4107D" w:rsidRDefault="00920EAB" w:rsidP="00600DF6">
      <w:pPr>
        <w:pStyle w:val="Headingb"/>
        <w:jc w:val="both"/>
        <w:rPr>
          <w:lang w:val="es-ES"/>
        </w:rPr>
      </w:pPr>
      <w:r w:rsidRPr="00B4107D">
        <w:rPr>
          <w:lang w:val="es-ES"/>
        </w:rPr>
        <w:t>Conclusión</w:t>
      </w:r>
    </w:p>
    <w:p w14:paraId="319C7363" w14:textId="4B7B1541" w:rsidR="00920EAB" w:rsidRPr="00B4107D" w:rsidRDefault="00920EAB" w:rsidP="00600DF6">
      <w:pPr>
        <w:jc w:val="both"/>
        <w:rPr>
          <w:rFonts w:cs="Calibri"/>
          <w:lang w:val="es-ES"/>
        </w:rPr>
      </w:pPr>
      <w:r w:rsidRPr="00B4107D">
        <w:rPr>
          <w:lang w:val="es-ES"/>
        </w:rPr>
        <w:t>Las instrucciones dadas por los Estados Miembros a la BDT que figuran en la Resolución 30 de la PP (Rev. Bucarest, 2022)</w:t>
      </w:r>
      <w:r w:rsidRPr="00B4107D">
        <w:rPr>
          <w:rStyle w:val="FootnoteReference"/>
          <w:rFonts w:cs="Calibri"/>
          <w:lang w:val="es-ES"/>
        </w:rPr>
        <w:footnoteReference w:id="3"/>
      </w:r>
      <w:r w:rsidRPr="00B4107D">
        <w:rPr>
          <w:lang w:val="es-ES"/>
        </w:rPr>
        <w:t xml:space="preserve"> y la Resolución 16 de la CMDT (Rev. Bakú, 2025),</w:t>
      </w:r>
      <w:r w:rsidRPr="00B4107D">
        <w:rPr>
          <w:rStyle w:val="FootnoteReference"/>
          <w:rFonts w:cs="Calibri"/>
          <w:lang w:val="es-ES"/>
        </w:rPr>
        <w:footnoteReference w:id="4"/>
      </w:r>
      <w:r w:rsidRPr="00B4107D">
        <w:rPr>
          <w:lang w:val="es-ES"/>
        </w:rPr>
        <w:t xml:space="preserve"> junto con los resultados de la CMDT-25, proporcionan un mandato reforzado y coherente para que la BDT preste un apoyo específico, mensurable y basado en la colaboración a los PMA, los PDSL, los PEID y los países con economías en transición. Mediante la aplicación de la Declaración de Bakú, el Plan de Acción de Bakú y las iniciativas regionales acordadas en la CMDT-25, la BDT seguirá transformando este mandato en medidas específicas basadas en infraestructuras resilientes, una conectividad asequible y significativa, tecnologías incipientes, políticas basadas en datos empíricos y la inclusión digital. Para obtener más información al respecto, véase el Documento </w:t>
      </w:r>
      <w:hyperlink r:id="rId37" w:history="1">
        <w:proofErr w:type="spellStart"/>
        <w:r w:rsidRPr="00B4107D">
          <w:rPr>
            <w:rStyle w:val="Hyperlink"/>
            <w:rFonts w:cs="Calibri"/>
            <w:lang w:val="es-ES"/>
          </w:rPr>
          <w:t>TDAG</w:t>
        </w:r>
        <w:proofErr w:type="spellEnd"/>
        <w:r w:rsidRPr="00B4107D">
          <w:rPr>
            <w:rStyle w:val="Hyperlink"/>
            <w:rFonts w:cs="Calibri"/>
            <w:lang w:val="es-ES"/>
          </w:rPr>
          <w:t>-26/22</w:t>
        </w:r>
      </w:hyperlink>
      <w:r w:rsidRPr="00B4107D">
        <w:rPr>
          <w:lang w:val="es-ES"/>
        </w:rPr>
        <w:t xml:space="preserve">. Se hará hincapié en las telecomunicaciones de emergencia, la reducción de los costes de conectividad, el logro de la interconexión regional y la superación de los desafíos relacionados con el tránsito, en especial en los PEID del Pacífico y los </w:t>
      </w:r>
      <w:proofErr w:type="spellStart"/>
      <w:r w:rsidRPr="00B4107D">
        <w:rPr>
          <w:lang w:val="es-ES"/>
        </w:rPr>
        <w:t>PDSL</w:t>
      </w:r>
      <w:proofErr w:type="spellEnd"/>
      <w:r w:rsidRPr="00B4107D">
        <w:rPr>
          <w:lang w:val="es-ES"/>
        </w:rPr>
        <w:t>.</w:t>
      </w:r>
      <w:hyperlink r:id="rId38" w:history="1"/>
    </w:p>
    <w:p w14:paraId="5A0376BA" w14:textId="77777777" w:rsidR="00920EAB" w:rsidRPr="00B4107D" w:rsidRDefault="00920EAB" w:rsidP="00600DF6">
      <w:pPr>
        <w:jc w:val="both"/>
        <w:rPr>
          <w:rFonts w:cs="Calibri"/>
          <w:lang w:val="es-ES"/>
        </w:rPr>
      </w:pPr>
      <w:r w:rsidRPr="00B4107D">
        <w:rPr>
          <w:lang w:val="es-ES"/>
        </w:rPr>
        <w:t>Estos esfuerzos están en consonancia con marcos de desarrollo internacional más amplios, como el Programa de Acción de Awaza para los PDSL, la Agenda de Antigua y Barbuda para los PEID y el próximo examen a mitad de periodo del Programa de Acción de Doha para los PMA en 2027. En este contexto, la identificación sistemática de las vulnerabilidades solapadas, como los países que son a la vez PMA y PDSL, así como los que son PMA y también PEID, será esencial para garantizar un apoyo coherente y efectivo.</w:t>
      </w:r>
    </w:p>
    <w:p w14:paraId="31072226" w14:textId="5A3AC325" w:rsidR="00F92BED" w:rsidRPr="00B4107D" w:rsidRDefault="00920EAB" w:rsidP="00600DF6">
      <w:pPr>
        <w:jc w:val="both"/>
        <w:rPr>
          <w:rFonts w:cs="Calibri"/>
          <w:lang w:val="es-ES"/>
        </w:rPr>
      </w:pPr>
      <w:r w:rsidRPr="00B4107D">
        <w:rPr>
          <w:lang w:val="es-ES"/>
        </w:rPr>
        <w:t>En los próximos años, la BDT seguirá impulsando la elaboración de políticas con base empírica por conducto de resultados analíticos y temáticos, mejorando a la vez los enfoques innovadores y las alianzas entre múltiples partes interesadas para acelerar la transformación digital. Para ello, será necesario prestar continuamente atención a la conectividad, los marcos políticos y reglamentarios propicios, el desarrollo de las competencias digitales, la resiliencia ante el clima y la financiación sostenible. El objetivo general es garantizar que los PMA, los PDSL y los PEID no solo estén conectados, sino que también estén empoderados para participar de manera significativa en la economía digital, mejorar la resiliencia y lograr resultados de desarrollo sostenible. Se invita al Consejo a que tome nota de este informe y facilite orientaciones sobre la dirección estratégica propuesta.</w:t>
      </w:r>
    </w:p>
    <w:p w14:paraId="44A4386F" w14:textId="77777777" w:rsidR="00C74C47" w:rsidRPr="00B4107D" w:rsidRDefault="00C74C47" w:rsidP="00600DF6">
      <w:pPr>
        <w:pStyle w:val="Reasons"/>
        <w:jc w:val="both"/>
        <w:rPr>
          <w:lang w:val="es-ES"/>
        </w:rPr>
      </w:pPr>
    </w:p>
    <w:p w14:paraId="6B15E3AC" w14:textId="77777777" w:rsidR="00C74C47" w:rsidRPr="00B4107D" w:rsidRDefault="00C74C47">
      <w:pPr>
        <w:jc w:val="center"/>
        <w:rPr>
          <w:lang w:val="es-ES"/>
        </w:rPr>
      </w:pPr>
      <w:r w:rsidRPr="00B4107D">
        <w:rPr>
          <w:lang w:val="es-ES"/>
        </w:rPr>
        <w:t>______________</w:t>
      </w:r>
    </w:p>
    <w:sectPr w:rsidR="00C74C47" w:rsidRPr="00B4107D" w:rsidSect="00C538FC">
      <w:footerReference w:type="default" r:id="rId39"/>
      <w:headerReference w:type="first" r:id="rId40"/>
      <w:footerReference w:type="first" r:id="rId4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5988" w14:textId="77777777" w:rsidR="003914EC" w:rsidRDefault="003914EC">
      <w:r>
        <w:separator/>
      </w:r>
    </w:p>
  </w:endnote>
  <w:endnote w:type="continuationSeparator" w:id="0">
    <w:p w14:paraId="7212CEAD" w14:textId="77777777" w:rsidR="003914EC" w:rsidRDefault="0039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996046A" w14:textId="77777777" w:rsidTr="00E31DCE">
      <w:trPr>
        <w:jc w:val="center"/>
      </w:trPr>
      <w:tc>
        <w:tcPr>
          <w:tcW w:w="1803" w:type="dxa"/>
          <w:vAlign w:val="center"/>
        </w:tcPr>
        <w:p w14:paraId="62E1AAFD" w14:textId="271190E2" w:rsidR="003273A4" w:rsidRDefault="00EE634E" w:rsidP="003273A4">
          <w:pPr>
            <w:pStyle w:val="Header"/>
            <w:jc w:val="left"/>
            <w:rPr>
              <w:noProof/>
            </w:rPr>
          </w:pPr>
          <w:r>
            <w:rPr>
              <w:noProof/>
            </w:rPr>
            <w:t>2600730</w:t>
          </w:r>
        </w:p>
      </w:tc>
      <w:tc>
        <w:tcPr>
          <w:tcW w:w="8261" w:type="dxa"/>
        </w:tcPr>
        <w:p w14:paraId="06698813" w14:textId="39042C4F"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E634E">
            <w:rPr>
              <w:bCs/>
            </w:rPr>
            <w:t>74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B34233C"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241B5FC" w14:textId="77777777" w:rsidTr="00E31DCE">
      <w:trPr>
        <w:jc w:val="center"/>
      </w:trPr>
      <w:tc>
        <w:tcPr>
          <w:tcW w:w="1803" w:type="dxa"/>
          <w:vAlign w:val="center"/>
        </w:tcPr>
        <w:p w14:paraId="6D105CC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7C456C6" w14:textId="5F62396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E634E">
            <w:rPr>
              <w:bCs/>
            </w:rPr>
            <w:t>74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DEF460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DAB3" w14:textId="77777777" w:rsidR="003914EC" w:rsidRDefault="003914EC">
      <w:r>
        <w:t>____________________</w:t>
      </w:r>
    </w:p>
  </w:footnote>
  <w:footnote w:type="continuationSeparator" w:id="0">
    <w:p w14:paraId="5B234863" w14:textId="77777777" w:rsidR="003914EC" w:rsidRDefault="003914EC">
      <w:r>
        <w:continuationSeparator/>
      </w:r>
    </w:p>
  </w:footnote>
  <w:footnote w:id="1">
    <w:p w14:paraId="036DF6D0" w14:textId="5505AE8D" w:rsidR="00920EAB" w:rsidRPr="00340148" w:rsidRDefault="00920EAB" w:rsidP="00920EAB">
      <w:pPr>
        <w:pStyle w:val="FootnoteText"/>
        <w:spacing w:line="276" w:lineRule="auto"/>
        <w:rPr>
          <w:rFonts w:cs="Calibri"/>
          <w:lang w:val="es-ES"/>
        </w:rPr>
      </w:pPr>
      <w:r w:rsidRPr="00131B58">
        <w:rPr>
          <w:rStyle w:val="FootnoteReference"/>
          <w:rFonts w:cs="Calibri"/>
          <w:lang w:val="es-ES"/>
        </w:rPr>
        <w:footnoteRef/>
      </w:r>
      <w:r>
        <w:rPr>
          <w:lang w:val="es-ES"/>
        </w:rPr>
        <w:tab/>
        <w:t xml:space="preserve">PMA, </w:t>
      </w:r>
      <w:proofErr w:type="spellStart"/>
      <w:r>
        <w:rPr>
          <w:lang w:val="es-ES"/>
        </w:rPr>
        <w:t>PDSL</w:t>
      </w:r>
      <w:proofErr w:type="spellEnd"/>
      <w:r>
        <w:rPr>
          <w:lang w:val="es-ES"/>
        </w:rPr>
        <w:t xml:space="preserve"> y PEID: </w:t>
      </w:r>
      <w:hyperlink r:id="rId1" w:anchor="/es" w:history="1">
        <w:r w:rsidRPr="00D26D3D">
          <w:rPr>
            <w:rStyle w:val="Hyperlink"/>
            <w:rFonts w:eastAsia="Times New Roman" w:cs="Times New Roman"/>
            <w:szCs w:val="20"/>
            <w:lang w:val="es-ES"/>
          </w:rPr>
          <w:t>https://</w:t>
        </w:r>
        <w:proofErr w:type="spellStart"/>
        <w:r w:rsidRPr="00D26D3D">
          <w:rPr>
            <w:rStyle w:val="Hyperlink"/>
            <w:rFonts w:eastAsia="Times New Roman" w:cs="Times New Roman"/>
            <w:szCs w:val="20"/>
            <w:lang w:val="es-ES"/>
          </w:rPr>
          <w:t>www.itu.int</w:t>
        </w:r>
        <w:proofErr w:type="spellEnd"/>
        <w:r w:rsidRPr="00D26D3D">
          <w:rPr>
            <w:rStyle w:val="Hyperlink"/>
            <w:rFonts w:eastAsia="Times New Roman" w:cs="Times New Roman"/>
            <w:szCs w:val="20"/>
            <w:lang w:val="es-ES"/>
          </w:rPr>
          <w:t>/</w:t>
        </w:r>
        <w:proofErr w:type="spellStart"/>
        <w:r w:rsidRPr="00D26D3D">
          <w:rPr>
            <w:rStyle w:val="Hyperlink"/>
            <w:rFonts w:eastAsia="Times New Roman" w:cs="Times New Roman"/>
            <w:szCs w:val="20"/>
            <w:lang w:val="es-ES"/>
          </w:rPr>
          <w:t>itu</w:t>
        </w:r>
        <w:proofErr w:type="spellEnd"/>
        <w:r w:rsidRPr="00D26D3D">
          <w:rPr>
            <w:rStyle w:val="Hyperlink"/>
            <w:rFonts w:eastAsia="Times New Roman" w:cs="Times New Roman"/>
            <w:szCs w:val="20"/>
            <w:lang w:val="es-ES"/>
          </w:rPr>
          <w:t>-d/sites/</w:t>
        </w:r>
        <w:proofErr w:type="spellStart"/>
        <w:r w:rsidRPr="00D26D3D">
          <w:rPr>
            <w:rStyle w:val="Hyperlink"/>
            <w:rFonts w:eastAsia="Times New Roman" w:cs="Times New Roman"/>
            <w:szCs w:val="20"/>
            <w:lang w:val="es-ES"/>
          </w:rPr>
          <w:t>ldcs</w:t>
        </w:r>
        <w:proofErr w:type="spellEnd"/>
        <w:r w:rsidRPr="00D26D3D">
          <w:rPr>
            <w:rStyle w:val="Hyperlink"/>
            <w:rFonts w:eastAsia="Times New Roman" w:cs="Times New Roman"/>
            <w:szCs w:val="20"/>
            <w:lang w:val="es-ES"/>
          </w:rPr>
          <w:t>/?</w:t>
        </w:r>
        <w:proofErr w:type="spellStart"/>
        <w:r w:rsidRPr="00D26D3D">
          <w:rPr>
            <w:rStyle w:val="Hyperlink"/>
            <w:rFonts w:eastAsia="Times New Roman" w:cs="Times New Roman"/>
            <w:szCs w:val="20"/>
            <w:lang w:val="es-ES"/>
          </w:rPr>
          <w:t>lang</w:t>
        </w:r>
        <w:proofErr w:type="spellEnd"/>
        <w:r w:rsidRPr="00D26D3D">
          <w:rPr>
            <w:rStyle w:val="Hyperlink"/>
            <w:rFonts w:eastAsia="Times New Roman" w:cs="Times New Roman"/>
            <w:szCs w:val="20"/>
            <w:lang w:val="es-ES"/>
          </w:rPr>
          <w:t>=en.#/es</w:t>
        </w:r>
      </w:hyperlink>
      <w:r>
        <w:rPr>
          <w:lang w:val="es-ES"/>
        </w:rPr>
        <w:t>.</w:t>
      </w:r>
      <w:hyperlink r:id="rId2" w:history="1"/>
    </w:p>
  </w:footnote>
  <w:footnote w:id="2">
    <w:p w14:paraId="2CA24236" w14:textId="246D2279" w:rsidR="00920EAB" w:rsidRPr="00340148" w:rsidRDefault="00920EAB" w:rsidP="00600DF6">
      <w:pPr>
        <w:pStyle w:val="FootnoteText"/>
        <w:jc w:val="both"/>
        <w:rPr>
          <w:rFonts w:cs="Calibri"/>
          <w:lang w:val="es-ES"/>
        </w:rPr>
      </w:pPr>
      <w:r w:rsidRPr="00131B58">
        <w:rPr>
          <w:rStyle w:val="FootnoteReference"/>
          <w:rFonts w:cs="Calibri"/>
          <w:lang w:val="es-ES"/>
        </w:rPr>
        <w:footnoteRef/>
      </w:r>
      <w:r>
        <w:rPr>
          <w:lang w:val="es-ES"/>
        </w:rPr>
        <w:tab/>
      </w:r>
      <w:hyperlink r:id="rId3" w:anchor="/es" w:history="1">
        <w:r w:rsidRPr="00971D79">
          <w:rPr>
            <w:rStyle w:val="Hyperlink"/>
            <w:lang w:val="es-ES"/>
          </w:rPr>
          <w:t xml:space="preserve">Portal de compromisos de </w:t>
        </w:r>
        <w:proofErr w:type="spellStart"/>
        <w:r w:rsidRPr="00971D79">
          <w:rPr>
            <w:rStyle w:val="Hyperlink"/>
            <w:lang w:val="es-ES"/>
          </w:rPr>
          <w:t>Partner2Connect</w:t>
        </w:r>
        <w:proofErr w:type="spellEnd"/>
      </w:hyperlink>
      <w:r>
        <w:rPr>
          <w:u w:val="single"/>
          <w:lang w:val="es-ES"/>
        </w:rPr>
        <w:t>.</w:t>
      </w:r>
      <w:hyperlink r:id="rId4"/>
    </w:p>
  </w:footnote>
  <w:footnote w:id="3">
    <w:p w14:paraId="67D2D161" w14:textId="5545CA0B" w:rsidR="00920EAB" w:rsidRPr="00340148" w:rsidRDefault="00920EAB" w:rsidP="00600DF6">
      <w:pPr>
        <w:pStyle w:val="FootnoteText"/>
        <w:spacing w:before="40"/>
        <w:jc w:val="both"/>
        <w:rPr>
          <w:rFonts w:cs="Calibri"/>
          <w:lang w:val="es-ES"/>
        </w:rPr>
      </w:pPr>
      <w:r w:rsidRPr="00131B58">
        <w:rPr>
          <w:rStyle w:val="FootnoteReference"/>
          <w:rFonts w:cs="Calibri"/>
          <w:lang w:val="es-ES"/>
        </w:rPr>
        <w:footnoteRef/>
      </w:r>
      <w:r>
        <w:rPr>
          <w:lang w:val="es-ES"/>
        </w:rPr>
        <w:tab/>
      </w:r>
      <w:hyperlink r:id="rId5" w:history="1">
        <w:r w:rsidRPr="00971D79">
          <w:rPr>
            <w:rStyle w:val="Hyperlink"/>
            <w:lang w:val="es-ES"/>
          </w:rPr>
          <w:t>Conjunto de textos fundamentales de la Unión Internacional de Telecomunicaciones adoptados por la Conferencia de Plenipotenciarios - Edición de 2023</w:t>
        </w:r>
      </w:hyperlink>
      <w:r>
        <w:rPr>
          <w:u w:val="single"/>
          <w:lang w:val="es-ES"/>
        </w:rPr>
        <w:t>.</w:t>
      </w:r>
      <w:hyperlink r:id="rId6"/>
    </w:p>
  </w:footnote>
  <w:footnote w:id="4">
    <w:p w14:paraId="1DB7662F" w14:textId="77777777" w:rsidR="00920EAB" w:rsidRPr="00340148" w:rsidRDefault="00920EAB" w:rsidP="00600DF6">
      <w:pPr>
        <w:pStyle w:val="FootnoteText"/>
        <w:spacing w:before="40"/>
        <w:jc w:val="both"/>
        <w:rPr>
          <w:rFonts w:cs="Calibri"/>
          <w:lang w:val="es-ES"/>
        </w:rPr>
      </w:pPr>
      <w:r w:rsidRPr="00F40208">
        <w:rPr>
          <w:rStyle w:val="FootnoteReference"/>
          <w:rFonts w:cs="Calibri"/>
          <w:lang w:val="es-ES"/>
        </w:rPr>
        <w:footnoteRef/>
      </w:r>
      <w:r>
        <w:rPr>
          <w:lang w:val="es-ES"/>
        </w:rPr>
        <w:tab/>
      </w:r>
      <w:hyperlink r:id="rId7" w:history="1">
        <w:r w:rsidRPr="00971D79">
          <w:rPr>
            <w:rStyle w:val="Hyperlink"/>
            <w:lang w:val="es-ES"/>
          </w:rPr>
          <w:t>Informe final provisional de la CMDT-25</w:t>
        </w:r>
      </w:hyperlink>
      <w:r>
        <w:rPr>
          <w:lang w:val="es-ES"/>
        </w:rPr>
        <w:t xml:space="preserve"> (página 179).</w:t>
      </w:r>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D4E3" w14:textId="77777777" w:rsidR="001559F5" w:rsidRPr="00B1560D" w:rsidRDefault="00B1560D" w:rsidP="00B1560D">
    <w:pPr>
      <w:pStyle w:val="Header"/>
    </w:pPr>
    <w:r>
      <w:rPr>
        <w:noProof/>
      </w:rPr>
      <w:drawing>
        <wp:inline distT="0" distB="0" distL="0" distR="0" wp14:anchorId="2D4E99A3" wp14:editId="3B68C7AD">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EC"/>
    <w:rsid w:val="000007D1"/>
    <w:rsid w:val="00033930"/>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A0FAE"/>
    <w:rsid w:val="002B1635"/>
    <w:rsid w:val="002C3F32"/>
    <w:rsid w:val="002C4676"/>
    <w:rsid w:val="002C70B0"/>
    <w:rsid w:val="002F3CC4"/>
    <w:rsid w:val="003032E2"/>
    <w:rsid w:val="0031300A"/>
    <w:rsid w:val="003273A4"/>
    <w:rsid w:val="0034796E"/>
    <w:rsid w:val="003914EC"/>
    <w:rsid w:val="004571B0"/>
    <w:rsid w:val="00465C35"/>
    <w:rsid w:val="00473962"/>
    <w:rsid w:val="004B5D49"/>
    <w:rsid w:val="004D3A3C"/>
    <w:rsid w:val="00513630"/>
    <w:rsid w:val="00534AF9"/>
    <w:rsid w:val="00560125"/>
    <w:rsid w:val="00585553"/>
    <w:rsid w:val="005B34D9"/>
    <w:rsid w:val="005D0CCF"/>
    <w:rsid w:val="005D1138"/>
    <w:rsid w:val="005F0915"/>
    <w:rsid w:val="005F3BCB"/>
    <w:rsid w:val="005F410F"/>
    <w:rsid w:val="00600DF6"/>
    <w:rsid w:val="0060149A"/>
    <w:rsid w:val="00601924"/>
    <w:rsid w:val="006447EA"/>
    <w:rsid w:val="0064481D"/>
    <w:rsid w:val="0064731F"/>
    <w:rsid w:val="00661B72"/>
    <w:rsid w:val="00664572"/>
    <w:rsid w:val="00666D09"/>
    <w:rsid w:val="00670579"/>
    <w:rsid w:val="006710F6"/>
    <w:rsid w:val="00677A97"/>
    <w:rsid w:val="00682864"/>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0EAB"/>
    <w:rsid w:val="00927F93"/>
    <w:rsid w:val="00956E77"/>
    <w:rsid w:val="009A338E"/>
    <w:rsid w:val="009A76A8"/>
    <w:rsid w:val="009F4811"/>
    <w:rsid w:val="00A01F4F"/>
    <w:rsid w:val="00A109AF"/>
    <w:rsid w:val="00A30915"/>
    <w:rsid w:val="00A94438"/>
    <w:rsid w:val="00AA390C"/>
    <w:rsid w:val="00AA5702"/>
    <w:rsid w:val="00AD467B"/>
    <w:rsid w:val="00AD5A4D"/>
    <w:rsid w:val="00AF0EAC"/>
    <w:rsid w:val="00B0200A"/>
    <w:rsid w:val="00B060DF"/>
    <w:rsid w:val="00B1560D"/>
    <w:rsid w:val="00B4107D"/>
    <w:rsid w:val="00B574DB"/>
    <w:rsid w:val="00B826C2"/>
    <w:rsid w:val="00B8298E"/>
    <w:rsid w:val="00BB6FD8"/>
    <w:rsid w:val="00BD0723"/>
    <w:rsid w:val="00BD2518"/>
    <w:rsid w:val="00BF1D1C"/>
    <w:rsid w:val="00C20C59"/>
    <w:rsid w:val="00C2727F"/>
    <w:rsid w:val="00C4421B"/>
    <w:rsid w:val="00C538FC"/>
    <w:rsid w:val="00C55B1F"/>
    <w:rsid w:val="00C74C47"/>
    <w:rsid w:val="00CC1FAF"/>
    <w:rsid w:val="00CF1A67"/>
    <w:rsid w:val="00D26D3D"/>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EE45AA"/>
    <w:rsid w:val="00EE634E"/>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41279B"/>
  <w15:docId w15:val="{DCDF5D59-C134-43DF-84BF-2EE7DF82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F5A95"/>
    <w:rPr>
      <w:rFonts w:ascii="Calibri" w:hAnsi="Calibri"/>
      <w:position w:val="6"/>
      <w:sz w:val="16"/>
    </w:rPr>
  </w:style>
  <w:style w:type="paragraph" w:styleId="FootnoteText">
    <w:name w:val="footnote text"/>
    <w:basedOn w:val="Normal"/>
    <w:link w:val="FootnoteTextChar"/>
    <w:uiPriority w:val="99"/>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qFormat/>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661B72"/>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uiPriority w:val="99"/>
    <w:rsid w:val="00920EAB"/>
    <w:rPr>
      <w:rFonts w:ascii="Calibri" w:hAnsi="Calibri"/>
      <w:sz w:val="22"/>
      <w:lang w:val="fr-FR" w:eastAsia="en-US"/>
    </w:rPr>
  </w:style>
  <w:style w:type="paragraph" w:customStyle="1" w:styleId="Figurewithlegend">
    <w:name w:val="Figure_with_legend"/>
    <w:basedOn w:val="Figure"/>
    <w:rsid w:val="00920EAB"/>
    <w:pPr>
      <w:keepNext/>
      <w:keepLines/>
      <w:spacing w:after="0"/>
    </w:pPr>
    <w:rPr>
      <w:noProof/>
      <w:lang w:val="en-GB"/>
    </w:rPr>
  </w:style>
  <w:style w:type="paragraph" w:customStyle="1" w:styleId="Tablefin">
    <w:name w:val="Table_fin"/>
    <w:basedOn w:val="Tabletext"/>
    <w:rsid w:val="00920EAB"/>
    <w:pPr>
      <w:tabs>
        <w:tab w:val="clear" w:pos="284"/>
        <w:tab w:val="clear" w:pos="567"/>
        <w:tab w:val="clear" w:pos="851"/>
      </w:tabs>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itu.int%2Fdms_pub%2Fitu-d%2Fmd%2F26%2Ftdag33%2Fc%2FD26-TDAG33-C-0002!!MSW-S.docx&amp;wdOrigin=BROWSELINK" TargetMode="External"/><Relationship Id="rId18" Type="http://schemas.openxmlformats.org/officeDocument/2006/relationships/image" Target="media/image1.png"/><Relationship Id="rId26" Type="http://schemas.openxmlformats.org/officeDocument/2006/relationships/hyperlink" Target="https://www.itu.int/itu-d/reports/statistics/facts-figures-for-sids/" TargetMode="External"/><Relationship Id="rId39" Type="http://schemas.openxmlformats.org/officeDocument/2006/relationships/footer" Target="footer1.xml"/><Relationship Id="rId21" Type="http://schemas.openxmlformats.org/officeDocument/2006/relationships/hyperlink" Target="https://www.itu.int/itu-d/reports/statistics/facts-figures-for-lldc/" TargetMode="External"/><Relationship Id="rId34" Type="http://schemas.openxmlformats.org/officeDocument/2006/relationships/hyperlink" Target="https://view.officeapps.live.com/op/view.aspx?src=https%3A%2F%2Fwww.itu.int%2Fdms_pub%2Fitu-d%2Fmd%2F22%2Fwtdc25%2Fc%2FD22-WTDC25-C-0002!R2!MSW-s.docx&amp;wdOrigin=BROWSELINK" TargetMode="External"/><Relationship Id="rId42" Type="http://schemas.openxmlformats.org/officeDocument/2006/relationships/fontTable" Target="fontTable.xml"/><Relationship Id="rId7" Type="http://schemas.openxmlformats.org/officeDocument/2006/relationships/hyperlink" Target="https://ituint.sharepoint.com/:w:/r/sites/TDAG/_layouts/15/Doc.aspx?sourcedoc=%7BFB84FBC1-E446-4DE9-8F54-55C6908A27AC%7D&amp;file=002E_Add1_V_clean_TDAG26_Update%20on%20the%20Report%20on%20implementation%20of%20KAP_Feb%2025_FT.docx&amp;action=default&amp;mobileredirect=true" TargetMode="External"/><Relationship Id="rId2" Type="http://schemas.openxmlformats.org/officeDocument/2006/relationships/settings" Target="settings.xml"/><Relationship Id="rId16" Type="http://schemas.openxmlformats.org/officeDocument/2006/relationships/hyperlink" Target="https://view.officeapps.live.com/op/view.aspx?src=https%3A%2F%2Fwww.itu.int%2Fdms_pub%2Fitu-d%2Fmd%2F26%2Ftdag33%2Fc%2FD26-TDAG33-C-0002!!MSW-E.docx&amp;wdOrigin=BROWSELINK" TargetMode="External"/><Relationship Id="rId20" Type="http://schemas.openxmlformats.org/officeDocument/2006/relationships/hyperlink" Target="https://www.itu.int/itu-d/reports/statistics/facts-figures-for-ldc/" TargetMode="External"/><Relationship Id="rId29" Type="http://schemas.openxmlformats.org/officeDocument/2006/relationships/hyperlink" Target="https://academy.itu.int/digital-skills-communities/digital-transformation-centres-initiative"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11" Type="http://schemas.openxmlformats.org/officeDocument/2006/relationships/hyperlink" Target="https://view.officeapps.live.com/op/view.aspx?src=https%3A%2F%2Fwww.itu.int%2Fdms_pub%2Fitu-d%2Fmd%2F22%2Fwtdc25%2Fc%2FD22-WTDC25-C-0016!R1!MSW-S.docx&amp;wdOrigin=BROWSELINK" TargetMode="External"/><Relationship Id="rId24" Type="http://schemas.openxmlformats.org/officeDocument/2006/relationships/hyperlink" Target="https://www.itu.int/itu-d/reports/statistics/facts-figures-for-ldc/" TargetMode="External"/><Relationship Id="rId32" Type="http://schemas.openxmlformats.org/officeDocument/2006/relationships/hyperlink" Target="https://academy.itu.int/digital-capacity-governments/itu-academy-training-centres" TargetMode="External"/><Relationship Id="rId37"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itu.int/itu-d/meetings/wtdc25/wp-content/uploads/sites/29/2025/11/090-E.pdf" TargetMode="External"/><Relationship Id="rId23" Type="http://schemas.openxmlformats.org/officeDocument/2006/relationships/hyperlink" Target="https://www.itu.int/itu-d/reports/statistics/facts-figures-2025/" TargetMode="External"/><Relationship Id="rId28" Type="http://schemas.openxmlformats.org/officeDocument/2006/relationships/hyperlink" Target="https://www.itu.int/en/ITU-D/Statistics/Pages/capacitydev/default.aspx" TargetMode="External"/><Relationship Id="rId36" Type="http://schemas.openxmlformats.org/officeDocument/2006/relationships/hyperlink" Target="https://view.officeapps.live.com/op/view.aspx?src=https%3A%2F%2Fwww.itu.int%2Fdms_pub%2Fitu-d%2Fmd%2F22%2Fwtdc25%2Fc%2FD22-WTDC25-C-0002!R2!MSW-E.docx&amp;wdOrigin=BROWSELINK" TargetMode="External"/><Relationship Id="rId10" Type="http://schemas.openxmlformats.org/officeDocument/2006/relationships/hyperlink" Target="https://view.officeapps.live.com/op/view.aspx?src=https%3A%2F%2Fwww.itu.int%2Fdms_pub%2Fitu-d%2Fmd%2F22%2Fwtdc25%2Fc%2FD22-WTDC25-C-0002!N2!MSW-S.docx&amp;wdOrigin=BROWSELINK" TargetMode="External"/><Relationship Id="rId19" Type="http://schemas.openxmlformats.org/officeDocument/2006/relationships/hyperlink" Target="https://www.itu.int/itu-d/reports/statistics/facts-figures-2025/" TargetMode="External"/><Relationship Id="rId31" Type="http://schemas.openxmlformats.org/officeDocument/2006/relationships/hyperlink" Target="https://academy.itu.int/digital-capacity-governments/itu-academy-training-centres" TargetMode="External"/><Relationship Id="rId4" Type="http://schemas.openxmlformats.org/officeDocument/2006/relationships/footnotes" Target="footnotes.xml"/><Relationship Id="rId9" Type="http://schemas.openxmlformats.org/officeDocument/2006/relationships/hyperlink" Target="https://ituint.sharepoint.com/:w:/r/sites/TDAG/_layouts/15/Doc.aspx?sourcedoc=%7B3D2F727B-39E6-47AB-BE23-8883DCE3C9AC%7D&amp;file=022E_V_revmarks_2_TDAG26_Repot%20LDCs.docx&amp;action=default&amp;mobileredirect=true" TargetMode="External"/><Relationship Id="rId14" Type="http://schemas.openxmlformats.org/officeDocument/2006/relationships/hyperlink" Target="https://view.officeapps.live.com/op/view.aspx?src=https%3A%2F%2Fwww.itu.int%2Fdms_pub%2Fitu-d%2Fmd%2F22%2Fwtdc25%2Fc%2FD22-WTDC25-C-0002!R2!MSW-S.docx&amp;wdOrigin=BROWSELINK" TargetMode="External"/><Relationship Id="rId22" Type="http://schemas.openxmlformats.org/officeDocument/2006/relationships/hyperlink" Target="https://www.itu.int/itu-d/reports/statistics/facts-figures-for-sids/" TargetMode="External"/><Relationship Id="rId27" Type="http://schemas.openxmlformats.org/officeDocument/2006/relationships/hyperlink" Target="https://www.itu.int/en/ITU-D/Statistics/Pages/capacitydev/default.aspx" TargetMode="External"/><Relationship Id="rId30" Type="http://schemas.openxmlformats.org/officeDocument/2006/relationships/hyperlink" Target="https://academy.itu.int/index.php/main-activities/digital-transformation-centres-initiative" TargetMode="External"/><Relationship Id="rId35" Type="http://schemas.openxmlformats.org/officeDocument/2006/relationships/hyperlink" Target="https://view.officeapps.live.com/op/view.aspx?src=https%3A%2F%2Fwww.itu.int%2Fdms_pub%2Fitu-d%2Fmd%2F26%2Ftdag33%2Fc%2FD26-TDAG33-C-0002!!MSW-E.docx&amp;wdOrigin=BROWSELINK" TargetMode="External"/><Relationship Id="rId43" Type="http://schemas.openxmlformats.org/officeDocument/2006/relationships/theme" Target="theme/theme1.xml"/><Relationship Id="rId8" Type="http://schemas.openxmlformats.org/officeDocument/2006/relationships/hyperlink" Target="https://view.officeapps.live.com/op/view.aspx?src=https%3A%2F%2Fwww.itu.int%2Fdms_pub%2Fitu-d%2Fmd%2F26%2Ftdag33%2Fc%2FD26-TDAG33-C-0004!!MSW-S.docx&amp;wdOrigin=BROWSELINK" TargetMode="External"/><Relationship Id="rId3" Type="http://schemas.openxmlformats.org/officeDocument/2006/relationships/webSettings" Target="webSettings.xml"/><Relationship Id="rId12" Type="http://schemas.openxmlformats.org/officeDocument/2006/relationships/hyperlink" Target="https://www.itu.int/itu-d/meetings/wtdc25/wp-content/uploads/sites/29/2025/11/090-E.pdf" TargetMode="External"/><Relationship Id="rId17" Type="http://schemas.openxmlformats.org/officeDocument/2006/relationships/hyperlink" Target="https://view.officeapps.live.com/op/view.aspx?src=https%3A%2F%2Fwww.itu.int%2Fdms_pub%2Fitu-d%2Fmd%2F22%2Fwtdc25%2Fc%2FD22-WTDC25-C-0002!R2!MSW-E.docx&amp;wdOrigin=BROWSELINK" TargetMode="External"/><Relationship Id="rId25" Type="http://schemas.openxmlformats.org/officeDocument/2006/relationships/hyperlink" Target="https://www.itu.int/itu-d/reports/statistics/facts-figures-for-lldc/" TargetMode="External"/><Relationship Id="rId33" Type="http://schemas.openxmlformats.org/officeDocument/2006/relationships/hyperlink" Target="https://view.officeapps.live.com/op/view.aspx?src=https%3A%2F%2Fwww.itu.int%2Fdms_pub%2Fitu-d%2Fmd%2F26%2Ftdag33%2Fc%2FD26-TDAG33-C-0002!!MSW-s.docx&amp;wdOrigin=BROWSELINK" TargetMode="External"/><Relationship Id="rId38"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meetings/wtdc25/wp-content/uploads/sites/29/2025/11/090-E.pdf" TargetMode="External"/><Relationship Id="rId3" Type="http://schemas.openxmlformats.org/officeDocument/2006/relationships/hyperlink" Target="https://www.itu.int/partner2connect/pledges/explore-pledges/" TargetMode="External"/><Relationship Id="rId7" Type="http://schemas.openxmlformats.org/officeDocument/2006/relationships/hyperlink" Target="https://www.itu.int/itu-d/meetings/wtdc25/wp-content/uploads/sites/29/2025/11/090-E.pdf" TargetMode="External"/><Relationship Id="rId2" Type="http://schemas.openxmlformats.org/officeDocument/2006/relationships/hyperlink" Target="http://www.itu.int/itu-d/sites/ldcs/?lang=en" TargetMode="External"/><Relationship Id="rId1" Type="http://schemas.openxmlformats.org/officeDocument/2006/relationships/hyperlink" Target="https://www.itu.int/itu-d/sites/ldcs/?lang=en.%23%2Fes" TargetMode="External"/><Relationship Id="rId6" Type="http://schemas.openxmlformats.org/officeDocument/2006/relationships/hyperlink" Target="https://www.itu.int/en/council/Documents/basic-texts-2023/RES-030-E.pdf" TargetMode="External"/><Relationship Id="rId5" Type="http://schemas.openxmlformats.org/officeDocument/2006/relationships/hyperlink" Target="chrome-extension://efaidnbmnnnibpcajpcglclefindmkaj/https:/www.itu.int/en/council/Documents/basic-texts-2023/RES-030-S.pdf" TargetMode="External"/><Relationship Id="rId4" Type="http://schemas.openxmlformats.org/officeDocument/2006/relationships/hyperlink" Target="https://www.itu.int/partner2connect/pledges/explore-pled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5</TotalTime>
  <Pages>8</Pages>
  <Words>3371</Words>
  <Characters>23140</Characters>
  <Application>Microsoft Office Word</Application>
  <DocSecurity>0</DocSecurity>
  <Lines>367</Lines>
  <Paragraphs>72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sobre la aplicación de la Resolución 30 (Rev. Bucarest, 2022) – Medidas especiales en favor de los países menos adelantados, los pequeños Estados insulares en desarrollo, los países en desarrollo sin litoral y los países con economías en transició</vt:lpstr>
    </vt:vector>
  </TitlesOfParts>
  <Manager>Secretaría General - Pool</Manager>
  <Company>International Telecommunication Union</Company>
  <LinksUpToDate>false</LinksUpToDate>
  <CharactersWithSpaces>26439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aplicación de la Resolución 30 (Rev. Bucarest, 2022) – Medidas especiales en favor de los países menos adelantados, los pequeños Estados insulares en desarrollo, los países en desarrollo sin litoral y los países con economías en transición, 2025</dc:title>
  <dc:subject>Consejo 2026 de la UIT</dc:subject>
  <cp:keywords>C26; C2026; Council 2026; PP26</cp:keywords>
  <dc:description/>
  <cp:lastPrinted>2006-03-24T09:51:00Z</cp:lastPrinted>
  <dcterms:created xsi:type="dcterms:W3CDTF">2026-04-15T16:07:00Z</dcterms:created>
  <dcterms:modified xsi:type="dcterms:W3CDTF">2026-04-15T16:12:00Z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