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E7EEC" w14:paraId="18714977" w14:textId="77777777" w:rsidTr="00796BDB">
        <w:trPr>
          <w:cantSplit/>
          <w:trHeight w:val="23"/>
        </w:trPr>
        <w:tc>
          <w:tcPr>
            <w:tcW w:w="3969" w:type="dxa"/>
            <w:vMerge w:val="restart"/>
            <w:tcMar>
              <w:left w:w="0" w:type="dxa"/>
            </w:tcMar>
          </w:tcPr>
          <w:p w14:paraId="2372483C" w14:textId="22DD1BA6" w:rsidR="00D72F49" w:rsidRPr="001E7EEC" w:rsidRDefault="00D72F49" w:rsidP="00796BDB">
            <w:pPr>
              <w:tabs>
                <w:tab w:val="left" w:pos="851"/>
              </w:tabs>
              <w:spacing w:before="0" w:line="240" w:lineRule="atLeast"/>
              <w:rPr>
                <w:b/>
              </w:rPr>
            </w:pPr>
            <w:r w:rsidRPr="001E7EEC">
              <w:rPr>
                <w:b/>
              </w:rPr>
              <w:t>Point de l</w:t>
            </w:r>
            <w:r w:rsidR="006C43DF">
              <w:rPr>
                <w:b/>
              </w:rPr>
              <w:t>'</w:t>
            </w:r>
            <w:r w:rsidRPr="001E7EEC">
              <w:rPr>
                <w:b/>
              </w:rPr>
              <w:t>ordre du jour:</w:t>
            </w:r>
            <w:r w:rsidR="00442539" w:rsidRPr="001E7EEC">
              <w:rPr>
                <w:b/>
              </w:rPr>
              <w:t xml:space="preserve"> PL</w:t>
            </w:r>
            <w:r w:rsidR="00F613EA">
              <w:rPr>
                <w:b/>
              </w:rPr>
              <w:t xml:space="preserve"> </w:t>
            </w:r>
            <w:r w:rsidR="00442539" w:rsidRPr="001E7EEC">
              <w:rPr>
                <w:b/>
              </w:rPr>
              <w:t>2</w:t>
            </w:r>
          </w:p>
        </w:tc>
        <w:tc>
          <w:tcPr>
            <w:tcW w:w="5245" w:type="dxa"/>
          </w:tcPr>
          <w:p w14:paraId="7249E8B5" w14:textId="1329D4C2" w:rsidR="00D72F49" w:rsidRPr="001E7EEC" w:rsidRDefault="00D72F49" w:rsidP="00796BDB">
            <w:pPr>
              <w:tabs>
                <w:tab w:val="left" w:pos="851"/>
              </w:tabs>
              <w:spacing w:before="0" w:line="240" w:lineRule="atLeast"/>
              <w:jc w:val="right"/>
              <w:rPr>
                <w:b/>
              </w:rPr>
            </w:pPr>
            <w:r w:rsidRPr="001E7EEC">
              <w:rPr>
                <w:b/>
              </w:rPr>
              <w:t>Document C2</w:t>
            </w:r>
            <w:r w:rsidR="00E4448E" w:rsidRPr="001E7EEC">
              <w:rPr>
                <w:b/>
              </w:rPr>
              <w:t>6</w:t>
            </w:r>
            <w:r w:rsidRPr="001E7EEC">
              <w:rPr>
                <w:b/>
              </w:rPr>
              <w:t>/</w:t>
            </w:r>
            <w:r w:rsidR="00F613EA">
              <w:rPr>
                <w:b/>
              </w:rPr>
              <w:t>74</w:t>
            </w:r>
            <w:r w:rsidRPr="001E7EEC">
              <w:rPr>
                <w:b/>
              </w:rPr>
              <w:t>-F</w:t>
            </w:r>
          </w:p>
        </w:tc>
      </w:tr>
      <w:tr w:rsidR="00D72F49" w:rsidRPr="001E7EEC" w14:paraId="563728DC" w14:textId="77777777" w:rsidTr="00796BDB">
        <w:trPr>
          <w:cantSplit/>
        </w:trPr>
        <w:tc>
          <w:tcPr>
            <w:tcW w:w="3969" w:type="dxa"/>
            <w:vMerge/>
          </w:tcPr>
          <w:p w14:paraId="4D1C0850" w14:textId="77777777" w:rsidR="00D72F49" w:rsidRPr="001E7EEC" w:rsidRDefault="00D72F49" w:rsidP="00796BDB">
            <w:pPr>
              <w:tabs>
                <w:tab w:val="left" w:pos="851"/>
              </w:tabs>
              <w:spacing w:line="240" w:lineRule="atLeast"/>
              <w:rPr>
                <w:b/>
              </w:rPr>
            </w:pPr>
          </w:p>
        </w:tc>
        <w:tc>
          <w:tcPr>
            <w:tcW w:w="5245" w:type="dxa"/>
          </w:tcPr>
          <w:p w14:paraId="4777B3BD" w14:textId="53298648" w:rsidR="00D72F49" w:rsidRPr="001E7EEC" w:rsidRDefault="00F613EA" w:rsidP="00796BDB">
            <w:pPr>
              <w:tabs>
                <w:tab w:val="left" w:pos="851"/>
              </w:tabs>
              <w:spacing w:before="0"/>
              <w:jc w:val="right"/>
              <w:rPr>
                <w:b/>
              </w:rPr>
            </w:pPr>
            <w:r>
              <w:rPr>
                <w:b/>
              </w:rPr>
              <w:t>30</w:t>
            </w:r>
            <w:r w:rsidR="00442539" w:rsidRPr="001E7EEC">
              <w:rPr>
                <w:b/>
              </w:rPr>
              <w:t xml:space="preserve"> </w:t>
            </w:r>
            <w:r>
              <w:rPr>
                <w:b/>
              </w:rPr>
              <w:t>mars</w:t>
            </w:r>
            <w:r w:rsidR="00442539" w:rsidRPr="001E7EEC">
              <w:rPr>
                <w:b/>
              </w:rPr>
              <w:t xml:space="preserve"> 2026</w:t>
            </w:r>
          </w:p>
        </w:tc>
      </w:tr>
      <w:tr w:rsidR="00D72F49" w:rsidRPr="001E7EEC" w14:paraId="43A8C04F" w14:textId="77777777" w:rsidTr="00796BDB">
        <w:trPr>
          <w:cantSplit/>
          <w:trHeight w:val="23"/>
        </w:trPr>
        <w:tc>
          <w:tcPr>
            <w:tcW w:w="3969" w:type="dxa"/>
            <w:vMerge/>
          </w:tcPr>
          <w:p w14:paraId="1D27598A" w14:textId="77777777" w:rsidR="00D72F49" w:rsidRPr="001E7EEC" w:rsidRDefault="00D72F49" w:rsidP="00796BDB">
            <w:pPr>
              <w:tabs>
                <w:tab w:val="left" w:pos="851"/>
              </w:tabs>
              <w:spacing w:line="240" w:lineRule="atLeast"/>
              <w:rPr>
                <w:b/>
              </w:rPr>
            </w:pPr>
          </w:p>
        </w:tc>
        <w:tc>
          <w:tcPr>
            <w:tcW w:w="5245" w:type="dxa"/>
          </w:tcPr>
          <w:p w14:paraId="09A2BFE7" w14:textId="77777777" w:rsidR="00D72F49" w:rsidRPr="001E7EEC" w:rsidRDefault="00D72F49" w:rsidP="00796BDB">
            <w:pPr>
              <w:tabs>
                <w:tab w:val="left" w:pos="851"/>
              </w:tabs>
              <w:spacing w:before="0" w:line="240" w:lineRule="atLeast"/>
              <w:jc w:val="right"/>
              <w:rPr>
                <w:b/>
              </w:rPr>
            </w:pPr>
            <w:r w:rsidRPr="001E7EEC">
              <w:rPr>
                <w:b/>
              </w:rPr>
              <w:t>Original: anglais</w:t>
            </w:r>
          </w:p>
        </w:tc>
      </w:tr>
      <w:tr w:rsidR="00D72F49" w:rsidRPr="001E7EEC" w14:paraId="6D0C79CF" w14:textId="77777777" w:rsidTr="00796BDB">
        <w:trPr>
          <w:cantSplit/>
          <w:trHeight w:val="23"/>
        </w:trPr>
        <w:tc>
          <w:tcPr>
            <w:tcW w:w="3969" w:type="dxa"/>
          </w:tcPr>
          <w:p w14:paraId="3BE663CD" w14:textId="77777777" w:rsidR="00D72F49" w:rsidRPr="001E7EEC" w:rsidRDefault="00D72F49" w:rsidP="00796BDB">
            <w:pPr>
              <w:tabs>
                <w:tab w:val="left" w:pos="851"/>
              </w:tabs>
              <w:spacing w:line="240" w:lineRule="atLeast"/>
              <w:rPr>
                <w:b/>
              </w:rPr>
            </w:pPr>
          </w:p>
        </w:tc>
        <w:tc>
          <w:tcPr>
            <w:tcW w:w="5245" w:type="dxa"/>
          </w:tcPr>
          <w:p w14:paraId="108F85CB" w14:textId="77777777" w:rsidR="00D72F49" w:rsidRPr="001E7EEC" w:rsidRDefault="00D72F49" w:rsidP="00796BDB">
            <w:pPr>
              <w:tabs>
                <w:tab w:val="left" w:pos="851"/>
              </w:tabs>
              <w:spacing w:before="0" w:line="240" w:lineRule="atLeast"/>
              <w:jc w:val="right"/>
              <w:rPr>
                <w:b/>
              </w:rPr>
            </w:pPr>
          </w:p>
        </w:tc>
      </w:tr>
      <w:tr w:rsidR="00D72F49" w:rsidRPr="001E7EEC" w14:paraId="1E2EB0C9" w14:textId="77777777" w:rsidTr="00CE37B6">
        <w:trPr>
          <w:cantSplit/>
          <w:trHeight w:val="1120"/>
        </w:trPr>
        <w:tc>
          <w:tcPr>
            <w:tcW w:w="9214" w:type="dxa"/>
            <w:gridSpan w:val="2"/>
            <w:tcMar>
              <w:left w:w="0" w:type="dxa"/>
            </w:tcMar>
          </w:tcPr>
          <w:p w14:paraId="12A9FBD4" w14:textId="0A75A93D" w:rsidR="00D72F49" w:rsidRPr="001E7EEC" w:rsidRDefault="006C43DF" w:rsidP="00CE37B6">
            <w:pPr>
              <w:pStyle w:val="Source"/>
              <w:spacing w:before="720"/>
              <w:jc w:val="left"/>
              <w:rPr>
                <w:sz w:val="34"/>
                <w:szCs w:val="34"/>
              </w:rPr>
            </w:pPr>
            <w:r>
              <w:rPr>
                <w:rFonts w:cstheme="minorHAnsi"/>
                <w:color w:val="000000"/>
                <w:sz w:val="34"/>
                <w:szCs w:val="34"/>
              </w:rPr>
              <w:t>Rapport de</w:t>
            </w:r>
            <w:r w:rsidR="00442539" w:rsidRPr="001E7EEC">
              <w:rPr>
                <w:rFonts w:cstheme="minorHAnsi"/>
                <w:color w:val="000000"/>
                <w:sz w:val="34"/>
                <w:szCs w:val="34"/>
              </w:rPr>
              <w:t xml:space="preserve"> </w:t>
            </w:r>
            <w:r w:rsidR="00F613EA" w:rsidRPr="00F613EA">
              <w:rPr>
                <w:rFonts w:cstheme="minorHAnsi"/>
                <w:color w:val="000000"/>
                <w:sz w:val="34"/>
                <w:szCs w:val="34"/>
              </w:rPr>
              <w:t>la Secrétaire générale</w:t>
            </w:r>
          </w:p>
        </w:tc>
      </w:tr>
      <w:tr w:rsidR="00D72F49" w:rsidRPr="001E7EEC" w14:paraId="513B5F3F" w14:textId="77777777" w:rsidTr="00796BDB">
        <w:trPr>
          <w:cantSplit/>
        </w:trPr>
        <w:tc>
          <w:tcPr>
            <w:tcW w:w="9214" w:type="dxa"/>
            <w:gridSpan w:val="2"/>
            <w:tcMar>
              <w:left w:w="0" w:type="dxa"/>
            </w:tcMar>
          </w:tcPr>
          <w:p w14:paraId="0040CE6A" w14:textId="3B3641DE" w:rsidR="00D72F49" w:rsidRPr="001E7EEC" w:rsidRDefault="00B10CEF" w:rsidP="00796BDB">
            <w:pPr>
              <w:pStyle w:val="Subtitle"/>
              <w:framePr w:hSpace="0" w:wrap="auto" w:hAnchor="text" w:xAlign="left" w:yAlign="inline"/>
              <w:rPr>
                <w:sz w:val="32"/>
                <w:szCs w:val="32"/>
                <w:lang w:val="fr-FR"/>
              </w:rPr>
            </w:pPr>
            <w:r w:rsidRPr="00F613EA">
              <w:rPr>
                <w:rFonts w:cstheme="minorHAnsi"/>
                <w:sz w:val="32"/>
                <w:szCs w:val="32"/>
                <w:lang w:val="fr-FR"/>
              </w:rPr>
              <w:t>RAPPORT SUR LA MISE EN ŒUVRE DE LA RÉSOLUTION 30 (RÉV.</w:t>
            </w:r>
            <w:r>
              <w:rPr>
                <w:rFonts w:cstheme="minorHAnsi"/>
                <w:sz w:val="32"/>
                <w:szCs w:val="32"/>
                <w:lang w:val="fr-FR"/>
              </w:rPr>
              <w:t> </w:t>
            </w:r>
            <w:r w:rsidRPr="00F613EA">
              <w:rPr>
                <w:rFonts w:cstheme="minorHAnsi"/>
                <w:sz w:val="32"/>
                <w:szCs w:val="32"/>
                <w:lang w:val="fr-FR"/>
              </w:rPr>
              <w:t>BUCAREST, 2022) DE LA CONFÉRENCE DE PLÉNIPOTENTIAIRES SUR LES MESURES SPÉCIALES EN FAVEUR DES PAYS LES MOINS AVANCÉS, DES PAYS EN DÉVELOPPEMENT SANS LITTORAL, DES PETITS ÉTATS INSULAIRES EN DÉVELOPPEMENT ET DES PAYS DONT L</w:t>
            </w:r>
            <w:r>
              <w:rPr>
                <w:rFonts w:cstheme="minorHAnsi"/>
                <w:sz w:val="32"/>
                <w:szCs w:val="32"/>
                <w:lang w:val="fr-FR"/>
              </w:rPr>
              <w:t>'</w:t>
            </w:r>
            <w:r w:rsidRPr="00F613EA">
              <w:rPr>
                <w:rFonts w:cstheme="minorHAnsi"/>
                <w:sz w:val="32"/>
                <w:szCs w:val="32"/>
                <w:lang w:val="fr-FR"/>
              </w:rPr>
              <w:t>ÉCONOMIE EST EN TRANSITION POUR 2025</w:t>
            </w:r>
          </w:p>
        </w:tc>
      </w:tr>
      <w:tr w:rsidR="00D72F49" w:rsidRPr="001E7EEC" w14:paraId="5D0AF6E5" w14:textId="77777777" w:rsidTr="00796BDB">
        <w:trPr>
          <w:cantSplit/>
        </w:trPr>
        <w:tc>
          <w:tcPr>
            <w:tcW w:w="9214" w:type="dxa"/>
            <w:gridSpan w:val="2"/>
            <w:tcBorders>
              <w:top w:val="single" w:sz="4" w:space="0" w:color="auto"/>
              <w:bottom w:val="single" w:sz="4" w:space="0" w:color="auto"/>
            </w:tcBorders>
            <w:tcMar>
              <w:left w:w="0" w:type="dxa"/>
            </w:tcMar>
          </w:tcPr>
          <w:p w14:paraId="6DC1CA34" w14:textId="77777777" w:rsidR="00D72F49" w:rsidRPr="001E7EEC" w:rsidRDefault="00F37FE5" w:rsidP="00796BDB">
            <w:pPr>
              <w:spacing w:before="160"/>
              <w:rPr>
                <w:b/>
                <w:bCs/>
                <w:sz w:val="26"/>
                <w:szCs w:val="26"/>
              </w:rPr>
            </w:pPr>
            <w:r w:rsidRPr="001E7EEC">
              <w:rPr>
                <w:b/>
                <w:bCs/>
                <w:sz w:val="26"/>
                <w:szCs w:val="26"/>
              </w:rPr>
              <w:t>Objet</w:t>
            </w:r>
          </w:p>
          <w:p w14:paraId="3E771EB5" w14:textId="34C64410" w:rsidR="00D72F49" w:rsidRPr="00A17730" w:rsidRDefault="00F613EA" w:rsidP="00A17730">
            <w:pPr>
              <w:jc w:val="both"/>
              <w:rPr>
                <w:spacing w:val="-2"/>
              </w:rPr>
            </w:pPr>
            <w:r w:rsidRPr="00A17730">
              <w:rPr>
                <w:spacing w:val="-2"/>
              </w:rPr>
              <w:t>Le présent document rend compte de la mise en œuvre de la Résolution</w:t>
            </w:r>
            <w:r w:rsidR="00C47867" w:rsidRPr="00A17730">
              <w:rPr>
                <w:spacing w:val="-2"/>
              </w:rPr>
              <w:t> </w:t>
            </w:r>
            <w:r w:rsidRPr="00A17730">
              <w:rPr>
                <w:spacing w:val="-2"/>
              </w:rPr>
              <w:t>30</w:t>
            </w:r>
            <w:r w:rsidR="00C47867" w:rsidRPr="00A17730">
              <w:rPr>
                <w:spacing w:val="-2"/>
              </w:rPr>
              <w:t> </w:t>
            </w:r>
            <w:r w:rsidRPr="00A17730">
              <w:rPr>
                <w:spacing w:val="-2"/>
              </w:rPr>
              <w:t>(Rév.</w:t>
            </w:r>
            <w:r w:rsidR="00CE37B6" w:rsidRPr="00A17730">
              <w:rPr>
                <w:spacing w:val="-2"/>
              </w:rPr>
              <w:t> </w:t>
            </w:r>
            <w:r w:rsidRPr="00A17730">
              <w:rPr>
                <w:spacing w:val="-2"/>
              </w:rPr>
              <w:t>Bucarest,</w:t>
            </w:r>
            <w:r w:rsidR="00CE37B6" w:rsidRPr="00A17730">
              <w:rPr>
                <w:spacing w:val="-2"/>
              </w:rPr>
              <w:t> </w:t>
            </w:r>
            <w:r w:rsidRPr="00A17730">
              <w:rPr>
                <w:spacing w:val="-2"/>
              </w:rPr>
              <w:t>2022) de la Conférence de plénipotentiaires au Conseil de l</w:t>
            </w:r>
            <w:r w:rsidR="006C43DF" w:rsidRPr="00A17730">
              <w:rPr>
                <w:spacing w:val="-2"/>
              </w:rPr>
              <w:t>'</w:t>
            </w:r>
            <w:r w:rsidRPr="00A17730">
              <w:rPr>
                <w:spacing w:val="-2"/>
              </w:rPr>
              <w:t>UIT</w:t>
            </w:r>
            <w:r w:rsidR="00442539" w:rsidRPr="00A17730">
              <w:rPr>
                <w:spacing w:val="-2"/>
              </w:rPr>
              <w:t>.</w:t>
            </w:r>
          </w:p>
          <w:p w14:paraId="7AE1DC4B" w14:textId="77777777" w:rsidR="00D72F49" w:rsidRPr="001E7EEC" w:rsidRDefault="00D72F49" w:rsidP="00796BDB">
            <w:pPr>
              <w:spacing w:before="160"/>
              <w:rPr>
                <w:b/>
                <w:bCs/>
                <w:sz w:val="26"/>
                <w:szCs w:val="26"/>
              </w:rPr>
            </w:pPr>
            <w:r w:rsidRPr="001E7EEC">
              <w:rPr>
                <w:b/>
                <w:bCs/>
                <w:sz w:val="26"/>
                <w:szCs w:val="26"/>
              </w:rPr>
              <w:t>Suite à donner par le Conseil</w:t>
            </w:r>
          </w:p>
          <w:p w14:paraId="45CD2195" w14:textId="464202E1" w:rsidR="00D72F49" w:rsidRPr="001E7EEC" w:rsidRDefault="00F613EA" w:rsidP="00A17730">
            <w:pPr>
              <w:jc w:val="both"/>
            </w:pPr>
            <w:r>
              <w:rPr>
                <w:color w:val="000000"/>
              </w:rPr>
              <w:t xml:space="preserve">Le Conseil est invité à </w:t>
            </w:r>
            <w:r>
              <w:rPr>
                <w:b/>
                <w:bCs/>
                <w:color w:val="000000"/>
              </w:rPr>
              <w:t xml:space="preserve">prendre note </w:t>
            </w:r>
            <w:r>
              <w:rPr>
                <w:color w:val="000000"/>
              </w:rPr>
              <w:t xml:space="preserve">du présent rapport et à </w:t>
            </w:r>
            <w:r w:rsidRPr="00EA528A">
              <w:rPr>
                <w:b/>
                <w:bCs/>
                <w:color w:val="000000"/>
              </w:rPr>
              <w:t>donner</w:t>
            </w:r>
            <w:r>
              <w:rPr>
                <w:color w:val="000000"/>
              </w:rPr>
              <w:t xml:space="preserve"> des orientations complémentaires</w:t>
            </w:r>
            <w:r w:rsidR="00442539" w:rsidRPr="001E7EEC">
              <w:t>.</w:t>
            </w:r>
          </w:p>
          <w:p w14:paraId="698E202D" w14:textId="3EC12EAA" w:rsidR="00D72F49" w:rsidRPr="001E7EEC" w:rsidRDefault="00D72F49" w:rsidP="00796BDB">
            <w:pPr>
              <w:spacing w:before="160"/>
              <w:rPr>
                <w:b/>
                <w:bCs/>
                <w:sz w:val="26"/>
                <w:szCs w:val="26"/>
              </w:rPr>
            </w:pPr>
            <w:r w:rsidRPr="001E7EEC">
              <w:rPr>
                <w:b/>
                <w:bCs/>
                <w:sz w:val="26"/>
                <w:szCs w:val="26"/>
              </w:rPr>
              <w:t xml:space="preserve">Liens pertinents avec le </w:t>
            </w:r>
            <w:r w:rsidR="00F37FE5" w:rsidRPr="001E7EEC">
              <w:rPr>
                <w:b/>
                <w:bCs/>
                <w:sz w:val="26"/>
                <w:szCs w:val="26"/>
              </w:rPr>
              <w:t>p</w:t>
            </w:r>
            <w:r w:rsidRPr="001E7EEC">
              <w:rPr>
                <w:b/>
                <w:bCs/>
                <w:sz w:val="26"/>
                <w:szCs w:val="26"/>
              </w:rPr>
              <w:t>lan stratégique</w:t>
            </w:r>
          </w:p>
          <w:p w14:paraId="0C755064" w14:textId="43098287" w:rsidR="00D72F49" w:rsidRPr="001E7EEC" w:rsidRDefault="00F613EA" w:rsidP="00A17730">
            <w:pPr>
              <w:jc w:val="both"/>
            </w:pPr>
            <w:r>
              <w:rPr>
                <w:color w:val="000000"/>
              </w:rPr>
              <w:t>Plate-forme fédératrice; travaux reposant sur les contributions des membres; présence régionale; toutes les priorités thématiques</w:t>
            </w:r>
            <w:r w:rsidR="00442539" w:rsidRPr="001E7EEC">
              <w:t>.</w:t>
            </w:r>
          </w:p>
          <w:p w14:paraId="0B99D157" w14:textId="77777777" w:rsidR="00E95647" w:rsidRPr="001E7EEC" w:rsidRDefault="00D72F49" w:rsidP="00796BDB">
            <w:pPr>
              <w:spacing w:before="160"/>
              <w:rPr>
                <w:b/>
                <w:bCs/>
                <w:sz w:val="26"/>
                <w:szCs w:val="26"/>
              </w:rPr>
            </w:pPr>
            <w:r w:rsidRPr="001E7EEC">
              <w:rPr>
                <w:b/>
                <w:bCs/>
                <w:sz w:val="26"/>
                <w:szCs w:val="26"/>
              </w:rPr>
              <w:t>Incidences financières</w:t>
            </w:r>
          </w:p>
          <w:p w14:paraId="2700B53F" w14:textId="4012F377" w:rsidR="00D72F49" w:rsidRPr="001E7EEC" w:rsidRDefault="00F613EA" w:rsidP="00A17730">
            <w:pPr>
              <w:jc w:val="both"/>
              <w:rPr>
                <w:szCs w:val="24"/>
              </w:rPr>
            </w:pPr>
            <w:r>
              <w:rPr>
                <w:color w:val="000000"/>
              </w:rPr>
              <w:t>La Résolution 30 (Rév. Bucarest, 2022) est mise en œuvre par le Bureau de développement des télécommunications (BDT) au moyen du budget ordinaire, ainsi que de fonds extrabudgétaires reçus par l</w:t>
            </w:r>
            <w:r w:rsidR="006C43DF">
              <w:rPr>
                <w:color w:val="000000"/>
              </w:rPr>
              <w:t>'</w:t>
            </w:r>
            <w:r>
              <w:rPr>
                <w:color w:val="000000"/>
              </w:rPr>
              <w:t>intermédiaire de projets et de contributions volontaires. Un</w:t>
            </w:r>
            <w:r w:rsidR="00CE37B6">
              <w:rPr>
                <w:color w:val="000000"/>
              </w:rPr>
              <w:t> </w:t>
            </w:r>
            <w:r>
              <w:rPr>
                <w:color w:val="000000"/>
              </w:rPr>
              <w:t>rapport distinct sur les incidences financières des Résolutions adoptées par la CMDT-25 a</w:t>
            </w:r>
            <w:r w:rsidR="00CE37B6">
              <w:rPr>
                <w:color w:val="000000"/>
              </w:rPr>
              <w:t> </w:t>
            </w:r>
            <w:r>
              <w:rPr>
                <w:color w:val="000000"/>
              </w:rPr>
              <w:t>été présenté à la réunion de 2026 du Groupe consultatif pour le développement des télécommunications (GCDT-26).</w:t>
            </w:r>
          </w:p>
          <w:p w14:paraId="61360608" w14:textId="77777777" w:rsidR="00D72F49" w:rsidRPr="001E7EEC" w:rsidRDefault="00D72F49" w:rsidP="00796BDB">
            <w:pPr>
              <w:spacing w:before="160"/>
              <w:rPr>
                <w:caps/>
                <w:sz w:val="22"/>
              </w:rPr>
            </w:pPr>
            <w:r w:rsidRPr="001E7EEC">
              <w:rPr>
                <w:sz w:val="22"/>
              </w:rPr>
              <w:t>__________________</w:t>
            </w:r>
          </w:p>
          <w:p w14:paraId="70923A11" w14:textId="77777777" w:rsidR="00D72F49" w:rsidRPr="001E7EEC" w:rsidRDefault="00D72F49" w:rsidP="00CE37B6">
            <w:pPr>
              <w:keepNext/>
              <w:keepLines/>
              <w:spacing w:before="160"/>
              <w:rPr>
                <w:b/>
                <w:bCs/>
                <w:sz w:val="26"/>
                <w:szCs w:val="26"/>
              </w:rPr>
            </w:pPr>
            <w:r w:rsidRPr="001E7EEC">
              <w:rPr>
                <w:b/>
                <w:bCs/>
                <w:sz w:val="26"/>
                <w:szCs w:val="26"/>
              </w:rPr>
              <w:t>Références</w:t>
            </w:r>
          </w:p>
          <w:p w14:paraId="34CAA439" w14:textId="0E7139BB" w:rsidR="00D72F49" w:rsidRPr="00B10CEF" w:rsidRDefault="00F613EA" w:rsidP="00CE37B6">
            <w:pPr>
              <w:pStyle w:val="Referencetext"/>
              <w:framePr w:hSpace="0" w:wrap="auto" w:vAnchor="margin" w:hAnchor="text" w:xAlign="left" w:yAlign="inline"/>
              <w:widowControl w:val="0"/>
            </w:pPr>
            <w:hyperlink r:id="rId8" w:history="1">
              <w:r w:rsidRPr="00B10CEF">
                <w:rPr>
                  <w:rStyle w:val="Hyperlink"/>
                  <w:rFonts w:eastAsia="Times New Roman" w:cs="Times New Roman"/>
                </w:rPr>
                <w:t>Documents TDAG-26/2</w:t>
              </w:r>
            </w:hyperlink>
            <w:r w:rsidRPr="00B10CEF">
              <w:rPr>
                <w:color w:val="000000"/>
              </w:rPr>
              <w:t xml:space="preserve">, </w:t>
            </w:r>
            <w:hyperlink r:id="rId9" w:history="1">
              <w:r w:rsidRPr="00B10CEF">
                <w:rPr>
                  <w:rStyle w:val="Hyperlink"/>
                  <w:rFonts w:eastAsia="Times New Roman" w:cs="Times New Roman"/>
                </w:rPr>
                <w:t>TDAG-26/2(Add.1)</w:t>
              </w:r>
            </w:hyperlink>
            <w:r w:rsidRPr="00B10CEF">
              <w:rPr>
                <w:color w:val="000000"/>
              </w:rPr>
              <w:t xml:space="preserve">, </w:t>
            </w:r>
            <w:hyperlink r:id="rId10" w:history="1">
              <w:r w:rsidRPr="00B10CEF">
                <w:rPr>
                  <w:rStyle w:val="Hyperlink"/>
                  <w:rFonts w:eastAsia="Times New Roman" w:cs="Times New Roman"/>
                </w:rPr>
                <w:t>TDAG-26/4</w:t>
              </w:r>
            </w:hyperlink>
            <w:r w:rsidRPr="00B10CEF">
              <w:rPr>
                <w:color w:val="000000"/>
              </w:rPr>
              <w:t xml:space="preserve"> et </w:t>
            </w:r>
            <w:hyperlink r:id="rId11" w:history="1">
              <w:r w:rsidRPr="00B10CEF">
                <w:rPr>
                  <w:rStyle w:val="Hyperlink"/>
                  <w:rFonts w:eastAsia="Times New Roman" w:cs="Times New Roman"/>
                </w:rPr>
                <w:t>TDAG-26/22</w:t>
              </w:r>
            </w:hyperlink>
            <w:r w:rsidRPr="00B10CEF">
              <w:rPr>
                <w:color w:val="000000"/>
              </w:rPr>
              <w:t xml:space="preserve"> du Groupe consultatif pour le développement des télécommunications; </w:t>
            </w:r>
            <w:hyperlink r:id="rId12" w:history="1">
              <w:r w:rsidRPr="00B10CEF">
                <w:rPr>
                  <w:rStyle w:val="Hyperlink"/>
                  <w:rFonts w:eastAsia="Times New Roman" w:cs="Times New Roman"/>
                </w:rPr>
                <w:t>Documents WTDC-25/2(Ann.2)</w:t>
              </w:r>
            </w:hyperlink>
            <w:r w:rsidRPr="00B10CEF">
              <w:rPr>
                <w:color w:val="000000"/>
              </w:rPr>
              <w:t xml:space="preserve"> et </w:t>
            </w:r>
            <w:hyperlink r:id="rId13" w:history="1">
              <w:r w:rsidRPr="00B10CEF">
                <w:rPr>
                  <w:rStyle w:val="Hyperlink"/>
                  <w:rFonts w:eastAsia="Times New Roman" w:cs="Times New Roman"/>
                </w:rPr>
                <w:t>WTDC</w:t>
              </w:r>
              <w:r w:rsidR="001876CD" w:rsidRPr="00B10CEF">
                <w:rPr>
                  <w:rStyle w:val="Hyperlink"/>
                  <w:rFonts w:eastAsia="Times New Roman" w:cs="Times New Roman"/>
                </w:rPr>
                <w:noBreakHyphen/>
              </w:r>
              <w:r w:rsidRPr="00B10CEF">
                <w:rPr>
                  <w:rStyle w:val="Hyperlink"/>
                  <w:rFonts w:eastAsia="Times New Roman" w:cs="Times New Roman"/>
                </w:rPr>
                <w:t>25/16</w:t>
              </w:r>
            </w:hyperlink>
            <w:r w:rsidRPr="00B10CEF">
              <w:rPr>
                <w:color w:val="000000"/>
              </w:rPr>
              <w:t xml:space="preserve"> de la Conférence mondiale de développement des télécommunications</w:t>
            </w:r>
          </w:p>
        </w:tc>
      </w:tr>
    </w:tbl>
    <w:p w14:paraId="5F0995CE" w14:textId="77777777" w:rsidR="00F613EA" w:rsidRPr="00EA528A" w:rsidRDefault="00F613EA" w:rsidP="001876CD">
      <w:pPr>
        <w:pStyle w:val="Headingb"/>
      </w:pPr>
      <w:r w:rsidRPr="001876CD">
        <w:lastRenderedPageBreak/>
        <w:t>Présentation</w:t>
      </w:r>
      <w:r>
        <w:t xml:space="preserve"> et cadre institutionnel</w:t>
      </w:r>
    </w:p>
    <w:p w14:paraId="0DC4F58D" w14:textId="3A4DE52E" w:rsidR="00F613EA" w:rsidRPr="00A17730" w:rsidRDefault="00F613EA" w:rsidP="00B10CEF">
      <w:pPr>
        <w:jc w:val="both"/>
        <w:rPr>
          <w:rFonts w:cs="Calibri"/>
          <w:spacing w:val="-3"/>
        </w:rPr>
      </w:pPr>
      <w:r w:rsidRPr="00A17730">
        <w:rPr>
          <w:spacing w:val="-3"/>
        </w:rPr>
        <w:t xml:space="preserve">Malgré des progrès constants, comme en témoignent les tendances à la hausse dans les pays les moins avancés (PMA), les pays en développement sans littoral (PDSL) et les petits États insulaires en développement (PEID) observées dans la </w:t>
      </w:r>
      <w:r w:rsidR="002E119F" w:rsidRPr="00A17730">
        <w:rPr>
          <w:rStyle w:val="IntenseEmphasis"/>
          <w:i w:val="0"/>
          <w:iCs w:val="0"/>
          <w:spacing w:val="-3"/>
        </w:rPr>
        <w:fldChar w:fldCharType="begin"/>
      </w:r>
      <w:r w:rsidR="002E119F" w:rsidRPr="00A17730">
        <w:rPr>
          <w:rStyle w:val="IntenseEmphasis"/>
          <w:i w:val="0"/>
          <w:iCs w:val="0"/>
          <w:spacing w:val="-3"/>
        </w:rPr>
        <w:instrText xml:space="preserve"> REF Figure1 \h </w:instrText>
      </w:r>
      <w:r w:rsidR="002E119F" w:rsidRPr="00A17730">
        <w:rPr>
          <w:rStyle w:val="IntenseEmphasis"/>
          <w:rFonts w:eastAsiaTheme="minorHAnsi"/>
          <w:i w:val="0"/>
          <w:iCs w:val="0"/>
          <w:spacing w:val="-3"/>
        </w:rPr>
        <w:instrText xml:space="preserve"> \* MERGEFORMAT </w:instrText>
      </w:r>
      <w:r w:rsidR="002E119F" w:rsidRPr="00A17730">
        <w:rPr>
          <w:rStyle w:val="IntenseEmphasis"/>
          <w:i w:val="0"/>
          <w:iCs w:val="0"/>
          <w:spacing w:val="-3"/>
        </w:rPr>
      </w:r>
      <w:r w:rsidR="002E119F" w:rsidRPr="00A17730">
        <w:rPr>
          <w:rStyle w:val="IntenseEmphasis"/>
          <w:i w:val="0"/>
          <w:iCs w:val="0"/>
          <w:spacing w:val="-3"/>
        </w:rPr>
        <w:fldChar w:fldCharType="separate"/>
      </w:r>
      <w:r w:rsidR="002E119F" w:rsidRPr="00A17730">
        <w:rPr>
          <w:rStyle w:val="IntenseEmphasis"/>
          <w:i w:val="0"/>
          <w:iCs w:val="0"/>
          <w:spacing w:val="-3"/>
        </w:rPr>
        <w:t>Figure 1</w:t>
      </w:r>
      <w:r w:rsidR="002E119F" w:rsidRPr="00A17730">
        <w:rPr>
          <w:rStyle w:val="IntenseEmphasis"/>
          <w:i w:val="0"/>
          <w:iCs w:val="0"/>
          <w:spacing w:val="-3"/>
        </w:rPr>
        <w:fldChar w:fldCharType="end"/>
      </w:r>
      <w:r w:rsidRPr="00A17730">
        <w:rPr>
          <w:spacing w:val="-3"/>
        </w:rPr>
        <w:t>, l</w:t>
      </w:r>
      <w:r w:rsidR="006C43DF" w:rsidRPr="00A17730">
        <w:rPr>
          <w:spacing w:val="-3"/>
        </w:rPr>
        <w:t>'</w:t>
      </w:r>
      <w:r w:rsidRPr="00A17730">
        <w:rPr>
          <w:spacing w:val="-3"/>
        </w:rPr>
        <w:t>utilisation de l</w:t>
      </w:r>
      <w:r w:rsidR="006C43DF" w:rsidRPr="00A17730">
        <w:rPr>
          <w:spacing w:val="-3"/>
        </w:rPr>
        <w:t>'</w:t>
      </w:r>
      <w:r w:rsidRPr="00A17730">
        <w:rPr>
          <w:spacing w:val="-3"/>
        </w:rPr>
        <w:t>Internet dans ces pays reste nettement inférieure aux moyennes mondiales. En 2025, la part de la population mondiale utilisant l</w:t>
      </w:r>
      <w:r w:rsidR="006C43DF" w:rsidRPr="00A17730">
        <w:rPr>
          <w:spacing w:val="-3"/>
        </w:rPr>
        <w:t>'</w:t>
      </w:r>
      <w:r w:rsidRPr="00A17730">
        <w:rPr>
          <w:spacing w:val="-3"/>
        </w:rPr>
        <w:t>Internet atteignait 73,6%. En revanche, les PMA enregistraient le plus faible niveau d</w:t>
      </w:r>
      <w:r w:rsidR="006C43DF" w:rsidRPr="00A17730">
        <w:rPr>
          <w:spacing w:val="-3"/>
        </w:rPr>
        <w:t>'</w:t>
      </w:r>
      <w:r w:rsidRPr="00A17730">
        <w:rPr>
          <w:spacing w:val="-3"/>
        </w:rPr>
        <w:t>utilisation de l</w:t>
      </w:r>
      <w:r w:rsidR="006C43DF" w:rsidRPr="00A17730">
        <w:rPr>
          <w:spacing w:val="-3"/>
        </w:rPr>
        <w:t>'</w:t>
      </w:r>
      <w:r w:rsidRPr="00A17730">
        <w:rPr>
          <w:spacing w:val="-3"/>
        </w:rPr>
        <w:t>Internet (33,7%). Les PDSL affichaient quant à eux un taux de pénétration légèrement supérieur (37,6%), tandis qu</w:t>
      </w:r>
      <w:r w:rsidR="006C43DF" w:rsidRPr="00A17730">
        <w:rPr>
          <w:spacing w:val="-3"/>
        </w:rPr>
        <w:t>'</w:t>
      </w:r>
      <w:r w:rsidRPr="00A17730">
        <w:rPr>
          <w:spacing w:val="-3"/>
        </w:rPr>
        <w:t>en comparaison, ce même taux était supérieur dans les PEID (64,1%). De multiples obstacles expliquent ces résultats, notamment les coûts élevés de la connectivité internationale, le coût du déploiement des infrastructures, le manque de contenus locaux et l</w:t>
      </w:r>
      <w:r w:rsidR="006C43DF" w:rsidRPr="00A17730">
        <w:rPr>
          <w:spacing w:val="-3"/>
        </w:rPr>
        <w:t>'</w:t>
      </w:r>
      <w:r w:rsidRPr="00A17730">
        <w:rPr>
          <w:spacing w:val="-3"/>
        </w:rPr>
        <w:t>insuffisance des compétences numériques, autant de facteurs qui se répercutent directement sur l</w:t>
      </w:r>
      <w:r w:rsidR="006C43DF" w:rsidRPr="00A17730">
        <w:rPr>
          <w:spacing w:val="-3"/>
        </w:rPr>
        <w:t>'</w:t>
      </w:r>
      <w:r w:rsidRPr="00A17730">
        <w:rPr>
          <w:spacing w:val="-3"/>
        </w:rPr>
        <w:t>accès à l</w:t>
      </w:r>
      <w:r w:rsidR="006C43DF" w:rsidRPr="00A17730">
        <w:rPr>
          <w:spacing w:val="-3"/>
        </w:rPr>
        <w:t>'</w:t>
      </w:r>
      <w:r w:rsidRPr="00A17730">
        <w:rPr>
          <w:spacing w:val="-3"/>
        </w:rPr>
        <w:t>Internet, son accessibilité financière et son utilisation.</w:t>
      </w:r>
      <w:hyperlink w:anchor="Fig_1" w:history="1"/>
    </w:p>
    <w:p w14:paraId="580CE369" w14:textId="793623AE" w:rsidR="00F613EA" w:rsidRPr="007E2F53" w:rsidRDefault="00F613EA" w:rsidP="00B10CEF">
      <w:pPr>
        <w:jc w:val="both"/>
        <w:rPr>
          <w:rFonts w:cs="Calibri"/>
          <w:spacing w:val="2"/>
        </w:rPr>
      </w:pPr>
      <w:r w:rsidRPr="007E2F53">
        <w:rPr>
          <w:spacing w:val="2"/>
        </w:rPr>
        <w:t>L</w:t>
      </w:r>
      <w:r w:rsidR="006C43DF" w:rsidRPr="007E2F53">
        <w:rPr>
          <w:spacing w:val="2"/>
        </w:rPr>
        <w:t>'</w:t>
      </w:r>
      <w:r w:rsidRPr="007E2F53">
        <w:rPr>
          <w:spacing w:val="2"/>
        </w:rPr>
        <w:t>élimination de ces obstacles est au cœur du programme de travail de l</w:t>
      </w:r>
      <w:r w:rsidR="006C43DF" w:rsidRPr="007E2F53">
        <w:rPr>
          <w:spacing w:val="2"/>
        </w:rPr>
        <w:t>'</w:t>
      </w:r>
      <w:r w:rsidRPr="007E2F53">
        <w:rPr>
          <w:spacing w:val="2"/>
        </w:rPr>
        <w:t>UIT et du Bureau de développement des télécommunications (BDT), qui s</w:t>
      </w:r>
      <w:r w:rsidR="006C43DF" w:rsidRPr="007E2F53">
        <w:rPr>
          <w:spacing w:val="2"/>
        </w:rPr>
        <w:t>'</w:t>
      </w:r>
      <w:r w:rsidRPr="007E2F53">
        <w:rPr>
          <w:spacing w:val="2"/>
        </w:rPr>
        <w:t xml:space="preserve">appuient sur les cadres établis, notamment la Résolution 30 (Rév. Bucarest, 2022) de la Conférence de plénipotentiaires (PP), la Résolution 16 (Rév. Bakou, 2025) de la Conférence mondiale de développement des télécommunications (CMDT), le </w:t>
      </w:r>
      <w:hyperlink r:id="rId14" w:history="1">
        <w:r w:rsidRPr="007E2F53">
          <w:rPr>
            <w:rStyle w:val="Hyperlink"/>
            <w:rFonts w:eastAsia="Times New Roman" w:cs="Times New Roman"/>
            <w:spacing w:val="2"/>
            <w:szCs w:val="20"/>
          </w:rPr>
          <w:t>Plan d</w:t>
        </w:r>
        <w:r w:rsidR="006C43DF" w:rsidRPr="007E2F53">
          <w:rPr>
            <w:rStyle w:val="Hyperlink"/>
            <w:rFonts w:eastAsia="Times New Roman" w:cs="Times New Roman"/>
            <w:spacing w:val="2"/>
            <w:szCs w:val="20"/>
          </w:rPr>
          <w:t>'</w:t>
        </w:r>
        <w:r w:rsidRPr="007E2F53">
          <w:rPr>
            <w:rStyle w:val="Hyperlink"/>
            <w:rFonts w:eastAsia="Times New Roman" w:cs="Times New Roman"/>
            <w:spacing w:val="2"/>
            <w:szCs w:val="20"/>
          </w:rPr>
          <w:t>action de Bakou</w:t>
        </w:r>
      </w:hyperlink>
      <w:r w:rsidRPr="007E2F53">
        <w:rPr>
          <w:spacing w:val="2"/>
        </w:rPr>
        <w:t xml:space="preserve"> et les programmes d</w:t>
      </w:r>
      <w:r w:rsidR="006C43DF" w:rsidRPr="007E2F53">
        <w:rPr>
          <w:spacing w:val="2"/>
        </w:rPr>
        <w:t>'</w:t>
      </w:r>
      <w:r w:rsidRPr="007E2F53">
        <w:rPr>
          <w:spacing w:val="2"/>
        </w:rPr>
        <w:t>action internationaux complémentaires tels que le Programme d</w:t>
      </w:r>
      <w:r w:rsidR="006C43DF" w:rsidRPr="007E2F53">
        <w:rPr>
          <w:spacing w:val="2"/>
        </w:rPr>
        <w:t>'</w:t>
      </w:r>
      <w:r w:rsidRPr="007E2F53">
        <w:rPr>
          <w:spacing w:val="2"/>
        </w:rPr>
        <w:t>action de Doha en faveur des</w:t>
      </w:r>
      <w:r w:rsidR="00C47867" w:rsidRPr="007E2F53">
        <w:rPr>
          <w:spacing w:val="2"/>
        </w:rPr>
        <w:t> </w:t>
      </w:r>
      <w:r w:rsidRPr="007E2F53">
        <w:rPr>
          <w:spacing w:val="2"/>
        </w:rPr>
        <w:t>PMA, le Programme d</w:t>
      </w:r>
      <w:r w:rsidR="006C43DF" w:rsidRPr="007E2F53">
        <w:rPr>
          <w:spacing w:val="2"/>
        </w:rPr>
        <w:t>'</w:t>
      </w:r>
      <w:r w:rsidRPr="007E2F53">
        <w:rPr>
          <w:spacing w:val="2"/>
        </w:rPr>
        <w:t>action d</w:t>
      </w:r>
      <w:r w:rsidR="006C43DF" w:rsidRPr="007E2F53">
        <w:rPr>
          <w:spacing w:val="2"/>
        </w:rPr>
        <w:t>'</w:t>
      </w:r>
      <w:r w:rsidRPr="007E2F53">
        <w:rPr>
          <w:spacing w:val="2"/>
        </w:rPr>
        <w:t>Awaza en faveur des PDSL et le Programme d</w:t>
      </w:r>
      <w:r w:rsidR="006C43DF" w:rsidRPr="007E2F53">
        <w:rPr>
          <w:spacing w:val="2"/>
        </w:rPr>
        <w:t>'</w:t>
      </w:r>
      <w:r w:rsidRPr="007E2F53">
        <w:rPr>
          <w:spacing w:val="2"/>
        </w:rPr>
        <w:t>Antigua</w:t>
      </w:r>
      <w:r w:rsidR="00E555B1" w:rsidRPr="007E2F53">
        <w:rPr>
          <w:spacing w:val="2"/>
        </w:rPr>
        <w:noBreakHyphen/>
      </w:r>
      <w:r w:rsidRPr="007E2F53">
        <w:rPr>
          <w:spacing w:val="2"/>
        </w:rPr>
        <w:t>et</w:t>
      </w:r>
      <w:r w:rsidR="00E555B1" w:rsidRPr="007E2F53">
        <w:rPr>
          <w:spacing w:val="2"/>
        </w:rPr>
        <w:noBreakHyphen/>
      </w:r>
      <w:r w:rsidRPr="007E2F53">
        <w:rPr>
          <w:spacing w:val="2"/>
        </w:rPr>
        <w:t>Barbuda pour les PEID. Le BDT rend régulièrement compte de ses travaux à ce sujet. On se reportera à ce titre aux rapports soumis à la CMDT-25 et au GCDT-26, tels qu</w:t>
      </w:r>
      <w:r w:rsidR="006C43DF" w:rsidRPr="007E2F53">
        <w:rPr>
          <w:spacing w:val="2"/>
        </w:rPr>
        <w:t>'</w:t>
      </w:r>
      <w:r w:rsidRPr="007E2F53">
        <w:rPr>
          <w:spacing w:val="2"/>
        </w:rPr>
        <w:t xml:space="preserve">ils figurent dans le </w:t>
      </w:r>
      <w:hyperlink r:id="rId15" w:history="1">
        <w:r w:rsidRPr="007E2F53">
          <w:rPr>
            <w:rStyle w:val="Hyperlink"/>
            <w:rFonts w:eastAsia="Times New Roman" w:cs="Times New Roman"/>
            <w:spacing w:val="2"/>
            <w:szCs w:val="20"/>
          </w:rPr>
          <w:t>Document TDAG-26/2</w:t>
        </w:r>
      </w:hyperlink>
      <w:r w:rsidRPr="007E2F53">
        <w:rPr>
          <w:spacing w:val="2"/>
        </w:rPr>
        <w:t xml:space="preserve"> et le </w:t>
      </w:r>
      <w:hyperlink r:id="rId16" w:history="1">
        <w:r w:rsidRPr="007E2F53">
          <w:rPr>
            <w:rStyle w:val="Hyperlink"/>
            <w:rFonts w:eastAsia="Times New Roman" w:cs="Times New Roman"/>
            <w:spacing w:val="2"/>
            <w:szCs w:val="20"/>
          </w:rPr>
          <w:t xml:space="preserve">Document </w:t>
        </w:r>
        <w:proofErr w:type="spellStart"/>
        <w:r w:rsidRPr="007E2F53">
          <w:rPr>
            <w:rStyle w:val="Hyperlink"/>
            <w:rFonts w:eastAsia="Times New Roman" w:cs="Times New Roman"/>
            <w:spacing w:val="2"/>
            <w:szCs w:val="20"/>
          </w:rPr>
          <w:t>WTDC-25</w:t>
        </w:r>
        <w:proofErr w:type="spellEnd"/>
        <w:r w:rsidRPr="007E2F53">
          <w:rPr>
            <w:rStyle w:val="Hyperlink"/>
            <w:rFonts w:eastAsia="Times New Roman" w:cs="Times New Roman"/>
            <w:spacing w:val="2"/>
            <w:szCs w:val="20"/>
          </w:rPr>
          <w:t>/2</w:t>
        </w:r>
      </w:hyperlink>
      <w:r w:rsidRPr="007E2F53">
        <w:rPr>
          <w:spacing w:val="2"/>
        </w:rPr>
        <w:t>.</w:t>
      </w:r>
      <w:hyperlink r:id="rId17"/>
      <w:hyperlink r:id="rId18"/>
      <w:hyperlink r:id="rId19"/>
    </w:p>
    <w:p w14:paraId="017D0E09" w14:textId="2A859E61" w:rsidR="00F613EA" w:rsidRPr="005C0507" w:rsidRDefault="00F613EA" w:rsidP="00B10CEF">
      <w:pPr>
        <w:jc w:val="both"/>
        <w:rPr>
          <w:rFonts w:cs="Calibri"/>
        </w:rPr>
      </w:pPr>
      <w:r>
        <w:t>Ensemble, ces instruments préconisent des mesures spéciales pour aider les PMA, les PDSL, les PEID et les pays dans des situations particulières, en mettant l</w:t>
      </w:r>
      <w:r w:rsidR="006C43DF">
        <w:t>'</w:t>
      </w:r>
      <w:r>
        <w:t>accent sur le renforcement des capacités, le développement des infrastructures et le renforcement de la coopération internationale. Conformément à ces missions, la réorganisation du BDT, effectuée en 2024, a permis de renforcer la réactivité institutionnelle, notamment grâce à la création d</w:t>
      </w:r>
      <w:r w:rsidR="006C43DF">
        <w:t>'</w:t>
      </w:r>
      <w:r>
        <w:t>une division consacrée aux pays ayant des besoins particuliers, et d</w:t>
      </w:r>
      <w:r w:rsidR="006C43DF">
        <w:t>'</w:t>
      </w:r>
      <w:r>
        <w:t>améliorer la coordination et la fourniture d</w:t>
      </w:r>
      <w:r w:rsidR="006C43DF">
        <w:t>'</w:t>
      </w:r>
      <w:r>
        <w:t>une assistance technique et d</w:t>
      </w:r>
      <w:r w:rsidR="006C43DF">
        <w:t>'</w:t>
      </w:r>
      <w:r>
        <w:t>un appui politique ciblés.</w:t>
      </w:r>
    </w:p>
    <w:bookmarkStart w:id="0" w:name="Figure1"/>
    <w:p w14:paraId="35902F69" w14:textId="52CECDFC" w:rsidR="00F613EA" w:rsidRPr="001876CD" w:rsidRDefault="002E119F" w:rsidP="001876CD">
      <w:pPr>
        <w:pStyle w:val="FigureNo"/>
      </w:pPr>
      <w:r>
        <w:lastRenderedPageBreak/>
        <w:fldChar w:fldCharType="begin"/>
      </w:r>
      <w:r>
        <w:instrText xml:space="preserve"> REF Figure1 \h </w:instrText>
      </w:r>
      <w:r>
        <w:fldChar w:fldCharType="separate"/>
      </w:r>
      <w:r>
        <w:t>Figure 1</w:t>
      </w:r>
      <w:r>
        <w:fldChar w:fldCharType="end"/>
      </w:r>
    </w:p>
    <w:bookmarkEnd w:id="0"/>
    <w:p w14:paraId="77779533" w14:textId="6E2462DE" w:rsidR="00F613EA" w:rsidRPr="001876CD" w:rsidRDefault="00F613EA" w:rsidP="001876CD">
      <w:pPr>
        <w:pStyle w:val="Figuretitle"/>
      </w:pPr>
      <w:r w:rsidRPr="001876CD">
        <w:t>Personnes utilisant l</w:t>
      </w:r>
      <w:r w:rsidR="006C43DF">
        <w:t>'</w:t>
      </w:r>
      <w:r w:rsidRPr="001876CD">
        <w:t>Internet dans les PMA, les PDSL et les PEID (en pourcentage)</w:t>
      </w:r>
    </w:p>
    <w:p w14:paraId="41A3CAD3" w14:textId="550CD93C" w:rsidR="00F613EA" w:rsidRPr="005C0507" w:rsidRDefault="00C47867" w:rsidP="00EF0690">
      <w:pPr>
        <w:pStyle w:val="Figurewithlegend"/>
        <w:rPr>
          <w:rFonts w:eastAsia="Aptos"/>
        </w:rPr>
      </w:pPr>
      <w:r>
        <w:rPr>
          <w:rFonts w:eastAsia="Aptos"/>
        </w:rPr>
        <w:drawing>
          <wp:inline distT="0" distB="0" distL="0" distR="0" wp14:anchorId="698043BC" wp14:editId="7C6B6093">
            <wp:extent cx="5663692" cy="3317827"/>
            <wp:effectExtent l="0" t="0" r="0" b="0"/>
            <wp:docPr id="954797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4675" cy="3330119"/>
                    </a:xfrm>
                    <a:prstGeom prst="rect">
                      <a:avLst/>
                    </a:prstGeom>
                    <a:noFill/>
                  </pic:spPr>
                </pic:pic>
              </a:graphicData>
            </a:graphic>
          </wp:inline>
        </w:drawing>
      </w:r>
    </w:p>
    <w:p w14:paraId="43A8DFE3" w14:textId="28F24297" w:rsidR="00F613EA" w:rsidRDefault="00F613EA" w:rsidP="00C47867">
      <w:pPr>
        <w:pStyle w:val="Figurelegend"/>
        <w:tabs>
          <w:tab w:val="clear" w:pos="1134"/>
          <w:tab w:val="left" w:pos="851"/>
        </w:tabs>
        <w:spacing w:before="0"/>
      </w:pPr>
      <w:proofErr w:type="gramStart"/>
      <w:r>
        <w:t>Source:</w:t>
      </w:r>
      <w:proofErr w:type="gramEnd"/>
      <w:r w:rsidR="00C47867">
        <w:t xml:space="preserve"> </w:t>
      </w:r>
      <w:r>
        <w:t>Estimations de l</w:t>
      </w:r>
      <w:r w:rsidR="006C43DF">
        <w:t>'</w:t>
      </w:r>
      <w:r>
        <w:t>UIT.</w:t>
      </w:r>
    </w:p>
    <w:p w14:paraId="1C86E7EF" w14:textId="629C2341" w:rsidR="00F613EA" w:rsidRPr="005C0507" w:rsidRDefault="00F613EA" w:rsidP="001876CD">
      <w:pPr>
        <w:pStyle w:val="Headingb"/>
      </w:pPr>
      <w:r w:rsidRPr="001876CD">
        <w:t>Mise en œuvre de mesures spéciales en faveur des PMA, des PDSL, des PEID et des pays dont l</w:t>
      </w:r>
      <w:r w:rsidR="006C43DF">
        <w:t>'</w:t>
      </w:r>
      <w:r w:rsidRPr="001876CD">
        <w:t>économie est en transition</w:t>
      </w:r>
    </w:p>
    <w:p w14:paraId="7E7C7EA8" w14:textId="5D29BB04" w:rsidR="00F613EA" w:rsidRPr="005C0507" w:rsidRDefault="00F613EA" w:rsidP="00B10CEF">
      <w:pPr>
        <w:jc w:val="both"/>
        <w:rPr>
          <w:rFonts w:cs="Calibri"/>
        </w:rPr>
      </w:pPr>
      <w:r>
        <w:t>La Conférence de plénipotentiaires (Bucarest, 2022) a réaffirmé la mission fixée dans le cadre de la Résolution 30 (Rév. Bucarest, 2022), par laquelle la Secrétaire générale et le Directeur du BDT ont été chargés de mettre en œuvre des mesures spéciales en faveur des</w:t>
      </w:r>
      <w:r w:rsidR="00C47867">
        <w:t> </w:t>
      </w:r>
      <w:r>
        <w:t>PMA, des PDSL, des PEID et des pays dont l</w:t>
      </w:r>
      <w:r w:rsidR="006C43DF">
        <w:t>'</w:t>
      </w:r>
      <w:r>
        <w:t>économie est en transition.</w:t>
      </w:r>
    </w:p>
    <w:p w14:paraId="0913F423" w14:textId="77777777" w:rsidR="00F613EA" w:rsidRPr="005C0507" w:rsidRDefault="00F613EA" w:rsidP="00F613EA">
      <w:pPr>
        <w:pStyle w:val="Headingb"/>
      </w:pPr>
      <w:r w:rsidRPr="001876CD">
        <w:t>Examen</w:t>
      </w:r>
      <w:r>
        <w:rPr>
          <w:bCs/>
        </w:rPr>
        <w:t xml:space="preserve"> de la </w:t>
      </w:r>
      <w:r w:rsidRPr="001876CD">
        <w:t>situation des TIC</w:t>
      </w:r>
    </w:p>
    <w:p w14:paraId="5D8994FE" w14:textId="5060E26A" w:rsidR="00F613EA" w:rsidRPr="005C0507" w:rsidRDefault="00F613EA" w:rsidP="00B10CEF">
      <w:pPr>
        <w:jc w:val="both"/>
        <w:rPr>
          <w:rFonts w:eastAsia="Calibri" w:cs="Calibri"/>
        </w:rPr>
      </w:pPr>
      <w:r>
        <w:t>L</w:t>
      </w:r>
      <w:r w:rsidR="006C43DF">
        <w:t>'</w:t>
      </w:r>
      <w:r>
        <w:t xml:space="preserve">UIT évalue régulièrement le niveau développement des TIC et met en évidence les lacunes critiques en la matière dans le cadre de sa série de publications phares </w:t>
      </w:r>
      <w:hyperlink r:id="rId21" w:history="1">
        <w:r w:rsidRPr="00E555B1">
          <w:rPr>
            <w:rStyle w:val="Hyperlink"/>
            <w:rFonts w:eastAsia="Times New Roman" w:cs="Times New Roman"/>
            <w:i/>
            <w:iCs/>
            <w:szCs w:val="20"/>
          </w:rPr>
          <w:t>Faits et chiffres</w:t>
        </w:r>
      </w:hyperlink>
      <w:r>
        <w:t xml:space="preserve">, complétée ces dernières années par des éditions spéciales consacrées aux </w:t>
      </w:r>
      <w:hyperlink r:id="rId22" w:history="1">
        <w:r w:rsidRPr="00E555B1">
          <w:rPr>
            <w:rStyle w:val="Hyperlink"/>
            <w:rFonts w:eastAsia="Times New Roman" w:cs="Times New Roman"/>
            <w:szCs w:val="20"/>
          </w:rPr>
          <w:t>PMA</w:t>
        </w:r>
      </w:hyperlink>
      <w:r>
        <w:t xml:space="preserve">, aux </w:t>
      </w:r>
      <w:hyperlink r:id="rId23" w:history="1">
        <w:r w:rsidRPr="00E555B1">
          <w:rPr>
            <w:rStyle w:val="Hyperlink"/>
            <w:rFonts w:eastAsia="Times New Roman" w:cs="Times New Roman"/>
            <w:szCs w:val="20"/>
          </w:rPr>
          <w:t>PDSL</w:t>
        </w:r>
      </w:hyperlink>
      <w:r>
        <w:t xml:space="preserve"> et aux </w:t>
      </w:r>
      <w:hyperlink r:id="rId24" w:history="1">
        <w:r w:rsidRPr="00E555B1">
          <w:rPr>
            <w:rStyle w:val="Hyperlink"/>
            <w:rFonts w:eastAsia="Times New Roman" w:cs="Times New Roman"/>
            <w:szCs w:val="20"/>
          </w:rPr>
          <w:t>PEID</w:t>
        </w:r>
      </w:hyperlink>
      <w:r>
        <w:t>. Ces éditions ont fait l</w:t>
      </w:r>
      <w:r w:rsidR="006C43DF">
        <w:t>'</w:t>
      </w:r>
      <w:r>
        <w:t>objet d</w:t>
      </w:r>
      <w:r w:rsidR="006C43DF">
        <w:t>'</w:t>
      </w:r>
      <w:r>
        <w:t>un alignement stratégique avec les principaux cadres internationaux de développement des Nations Unies, notamment le Programme d</w:t>
      </w:r>
      <w:r w:rsidR="006C43DF">
        <w:t>'</w:t>
      </w:r>
      <w:r>
        <w:t>action de Doha, le Programme d</w:t>
      </w:r>
      <w:r w:rsidR="006C43DF">
        <w:t>'</w:t>
      </w:r>
      <w:r>
        <w:t>action d</w:t>
      </w:r>
      <w:r w:rsidR="006C43DF">
        <w:t>'</w:t>
      </w:r>
      <w:r>
        <w:t>Awaza et le Programme d</w:t>
      </w:r>
      <w:r w:rsidR="006C43DF">
        <w:t>'</w:t>
      </w:r>
      <w:r>
        <w:t>Antigua-et-Barbuda. Ensemble, ces documents donnent un aperçu complet de l</w:t>
      </w:r>
      <w:r w:rsidR="006C43DF">
        <w:t>'</w:t>
      </w:r>
      <w:r>
        <w:t>état de développement du numérique à l</w:t>
      </w:r>
      <w:r w:rsidR="006C43DF">
        <w:t>'</w:t>
      </w:r>
      <w:r>
        <w:t xml:space="preserve">échelle mondiale et au sein de ces groupes spéciaux de pays. Comme le montre la </w:t>
      </w:r>
      <w:r w:rsidR="00E555B1" w:rsidRPr="009755BC">
        <w:rPr>
          <w:rStyle w:val="IntenseEmphasis"/>
          <w:i w:val="0"/>
          <w:iCs w:val="0"/>
        </w:rPr>
        <w:fldChar w:fldCharType="begin"/>
      </w:r>
      <w:r w:rsidR="00E555B1" w:rsidRPr="009755BC">
        <w:rPr>
          <w:rStyle w:val="IntenseEmphasis"/>
          <w:i w:val="0"/>
          <w:iCs w:val="0"/>
        </w:rPr>
        <w:instrText xml:space="preserve"> REF Figure1 \h </w:instrText>
      </w:r>
      <w:r w:rsidR="00F14269" w:rsidRPr="009755BC">
        <w:rPr>
          <w:rStyle w:val="IntenseEmphasis"/>
          <w:i w:val="0"/>
          <w:iCs w:val="0"/>
        </w:rPr>
        <w:instrText xml:space="preserve"> \* MERGEFORMAT </w:instrText>
      </w:r>
      <w:r w:rsidR="00E555B1" w:rsidRPr="009755BC">
        <w:rPr>
          <w:rStyle w:val="IntenseEmphasis"/>
          <w:i w:val="0"/>
          <w:iCs w:val="0"/>
        </w:rPr>
      </w:r>
      <w:r w:rsidR="00E555B1" w:rsidRPr="009755BC">
        <w:rPr>
          <w:rStyle w:val="IntenseEmphasis"/>
          <w:i w:val="0"/>
          <w:iCs w:val="0"/>
        </w:rPr>
        <w:fldChar w:fldCharType="separate"/>
      </w:r>
      <w:r w:rsidR="00E555B1" w:rsidRPr="009755BC">
        <w:rPr>
          <w:rStyle w:val="IntenseEmphasis"/>
          <w:i w:val="0"/>
          <w:iCs w:val="0"/>
        </w:rPr>
        <w:t>Figure 1</w:t>
      </w:r>
      <w:r w:rsidR="00E555B1" w:rsidRPr="009755BC">
        <w:rPr>
          <w:rStyle w:val="IntenseEmphasis"/>
          <w:i w:val="0"/>
          <w:iCs w:val="0"/>
        </w:rPr>
        <w:fldChar w:fldCharType="end"/>
      </w:r>
      <w:r>
        <w:t>, des progrès constants ont été réalisés. Cependant, des disparités persistent à la fois d</w:t>
      </w:r>
      <w:r w:rsidR="006C43DF">
        <w:t>'</w:t>
      </w:r>
      <w:r>
        <w:t>un groupe spécial de pays à l</w:t>
      </w:r>
      <w:r w:rsidR="006C43DF">
        <w:t>'</w:t>
      </w:r>
      <w:r>
        <w:t>autre et entre ces groupes et le reste du monde.</w:t>
      </w:r>
      <w:hyperlink r:id="rId25" w:history="1"/>
      <w:hyperlink r:id="rId26" w:history="1"/>
      <w:hyperlink r:id="rId27" w:history="1"/>
      <w:hyperlink r:id="rId28" w:history="1"/>
      <w:hyperlink w:anchor="Fig_1" w:history="1"/>
    </w:p>
    <w:p w14:paraId="0225A98C" w14:textId="77777777" w:rsidR="00F613EA" w:rsidRPr="001876CD" w:rsidRDefault="00F613EA" w:rsidP="001876CD">
      <w:pPr>
        <w:pStyle w:val="TableNo"/>
      </w:pPr>
      <w:bookmarkStart w:id="1" w:name="Tab_1"/>
      <w:bookmarkStart w:id="2" w:name="Tableau1"/>
      <w:r w:rsidRPr="001876CD">
        <w:lastRenderedPageBreak/>
        <w:t>Tableau 1</w:t>
      </w:r>
      <w:bookmarkEnd w:id="1"/>
      <w:bookmarkEnd w:id="2"/>
    </w:p>
    <w:p w14:paraId="79E60818" w14:textId="78F38AC9" w:rsidR="00F613EA" w:rsidRPr="001876CD" w:rsidRDefault="00F613EA" w:rsidP="001876CD">
      <w:pPr>
        <w:pStyle w:val="Tabletitle"/>
      </w:pPr>
      <w:r w:rsidRPr="001876CD">
        <w:t>Exemples d</w:t>
      </w:r>
      <w:r w:rsidR="006C43DF">
        <w:t>'</w:t>
      </w:r>
      <w:r w:rsidRPr="001876CD">
        <w:t>indicateurs de connectivité pour 2025</w:t>
      </w:r>
    </w:p>
    <w:tbl>
      <w:tblPr>
        <w:tblStyle w:val="TableGrid"/>
        <w:tblW w:w="5000" w:type="pct"/>
        <w:tblLayout w:type="fixed"/>
        <w:tblLook w:val="04A0" w:firstRow="1" w:lastRow="0" w:firstColumn="1" w:lastColumn="0" w:noHBand="0" w:noVBand="1"/>
      </w:tblPr>
      <w:tblGrid>
        <w:gridCol w:w="4556"/>
        <w:gridCol w:w="1136"/>
        <w:gridCol w:w="1624"/>
        <w:gridCol w:w="1745"/>
      </w:tblGrid>
      <w:tr w:rsidR="00F613EA" w:rsidRPr="00A73D4A" w14:paraId="33E84E1C" w14:textId="77777777" w:rsidTr="00982609">
        <w:trPr>
          <w:tblHeader/>
        </w:trPr>
        <w:tc>
          <w:tcPr>
            <w:tcW w:w="2514" w:type="pct"/>
            <w:shd w:val="clear" w:color="auto" w:fill="F2F2F2" w:themeFill="background1" w:themeFillShade="F2"/>
            <w:vAlign w:val="center"/>
          </w:tcPr>
          <w:p w14:paraId="08D16F52" w14:textId="77777777" w:rsidR="00F613EA" w:rsidRPr="000C01C2" w:rsidRDefault="00F613EA" w:rsidP="00982609">
            <w:pPr>
              <w:pStyle w:val="Tablehead"/>
            </w:pPr>
            <w:r w:rsidRPr="000C01C2">
              <w:t>Population desservie par au moins un réseau mobile LTE/WiMAX (4G) (en pourcentage)</w:t>
            </w:r>
          </w:p>
        </w:tc>
        <w:tc>
          <w:tcPr>
            <w:tcW w:w="627" w:type="pct"/>
            <w:shd w:val="clear" w:color="auto" w:fill="F2F2F2" w:themeFill="background1" w:themeFillShade="F2"/>
            <w:vAlign w:val="center"/>
          </w:tcPr>
          <w:p w14:paraId="65A844E0" w14:textId="77777777" w:rsidR="00F613EA" w:rsidRPr="000C01C2" w:rsidRDefault="00F613EA" w:rsidP="00982609">
            <w:pPr>
              <w:pStyle w:val="Tablehead"/>
            </w:pPr>
            <w:r w:rsidRPr="000C01C2">
              <w:t>Total</w:t>
            </w:r>
          </w:p>
        </w:tc>
        <w:tc>
          <w:tcPr>
            <w:tcW w:w="896" w:type="pct"/>
            <w:shd w:val="clear" w:color="auto" w:fill="F2F2F2" w:themeFill="background1" w:themeFillShade="F2"/>
            <w:vAlign w:val="center"/>
          </w:tcPr>
          <w:p w14:paraId="03672609" w14:textId="77777777" w:rsidR="00F613EA" w:rsidRPr="000C01C2" w:rsidRDefault="00F613EA" w:rsidP="00982609">
            <w:pPr>
              <w:pStyle w:val="Tablehead"/>
            </w:pPr>
            <w:r w:rsidRPr="000C01C2">
              <w:t>Zones urbaines</w:t>
            </w:r>
          </w:p>
        </w:tc>
        <w:tc>
          <w:tcPr>
            <w:tcW w:w="1745" w:type="dxa"/>
            <w:shd w:val="clear" w:color="auto" w:fill="F2F2F2" w:themeFill="background1" w:themeFillShade="F2"/>
            <w:vAlign w:val="center"/>
          </w:tcPr>
          <w:p w14:paraId="272AE6E3" w14:textId="77777777" w:rsidR="00F613EA" w:rsidRPr="000C01C2" w:rsidRDefault="00F613EA" w:rsidP="00982609">
            <w:pPr>
              <w:pStyle w:val="Tablehead"/>
            </w:pPr>
            <w:r w:rsidRPr="000C01C2">
              <w:t>Zones rurales</w:t>
            </w:r>
          </w:p>
        </w:tc>
      </w:tr>
      <w:tr w:rsidR="00F613EA" w:rsidRPr="00A73D4A" w14:paraId="69A701B3" w14:textId="77777777" w:rsidTr="00982609">
        <w:trPr>
          <w:trHeight w:val="91"/>
        </w:trPr>
        <w:tc>
          <w:tcPr>
            <w:tcW w:w="2514" w:type="pct"/>
          </w:tcPr>
          <w:p w14:paraId="72095220" w14:textId="77777777" w:rsidR="00F613EA" w:rsidRPr="000C01C2" w:rsidRDefault="00F613EA" w:rsidP="000C01C2">
            <w:pPr>
              <w:pStyle w:val="Tabletext"/>
            </w:pPr>
            <w:r w:rsidRPr="000C01C2">
              <w:t>PMA</w:t>
            </w:r>
          </w:p>
        </w:tc>
        <w:tc>
          <w:tcPr>
            <w:tcW w:w="627" w:type="pct"/>
            <w:vAlign w:val="center"/>
          </w:tcPr>
          <w:p w14:paraId="6AA07A2D" w14:textId="77777777" w:rsidR="00F613EA" w:rsidRPr="000C01C2" w:rsidRDefault="00F613EA" w:rsidP="00061469">
            <w:pPr>
              <w:pStyle w:val="Tabletext"/>
              <w:tabs>
                <w:tab w:val="clear" w:pos="567"/>
                <w:tab w:val="clear" w:pos="851"/>
              </w:tabs>
              <w:ind w:right="61"/>
              <w:jc w:val="right"/>
            </w:pPr>
            <w:r w:rsidRPr="000C01C2">
              <w:t>71,2</w:t>
            </w:r>
          </w:p>
        </w:tc>
        <w:tc>
          <w:tcPr>
            <w:tcW w:w="896" w:type="pct"/>
            <w:vAlign w:val="center"/>
          </w:tcPr>
          <w:p w14:paraId="297C078F" w14:textId="77777777" w:rsidR="00F613EA" w:rsidRPr="000C01C2" w:rsidRDefault="00F613EA" w:rsidP="00061469">
            <w:pPr>
              <w:pStyle w:val="Tabletext"/>
              <w:tabs>
                <w:tab w:val="clear" w:pos="567"/>
                <w:tab w:val="clear" w:pos="851"/>
                <w:tab w:val="left" w:pos="574"/>
              </w:tabs>
              <w:ind w:right="408"/>
              <w:jc w:val="right"/>
            </w:pPr>
            <w:r w:rsidRPr="000C01C2">
              <w:t>95,2</w:t>
            </w:r>
          </w:p>
        </w:tc>
        <w:tc>
          <w:tcPr>
            <w:tcW w:w="1745" w:type="dxa"/>
            <w:vAlign w:val="center"/>
          </w:tcPr>
          <w:p w14:paraId="163AD26B" w14:textId="77777777" w:rsidR="00F613EA" w:rsidRPr="000C01C2" w:rsidRDefault="00F613EA" w:rsidP="00061469">
            <w:pPr>
              <w:pStyle w:val="Tabletext"/>
              <w:tabs>
                <w:tab w:val="clear" w:pos="567"/>
                <w:tab w:val="clear" w:pos="851"/>
                <w:tab w:val="left" w:pos="574"/>
              </w:tabs>
              <w:ind w:right="408"/>
              <w:jc w:val="right"/>
            </w:pPr>
            <w:r w:rsidRPr="000C01C2">
              <w:t>56,9</w:t>
            </w:r>
          </w:p>
        </w:tc>
      </w:tr>
      <w:tr w:rsidR="00F613EA" w:rsidRPr="00A73D4A" w14:paraId="365FFD47" w14:textId="77777777" w:rsidTr="00982609">
        <w:tc>
          <w:tcPr>
            <w:tcW w:w="2514" w:type="pct"/>
          </w:tcPr>
          <w:p w14:paraId="46F91E06" w14:textId="77777777" w:rsidR="00F613EA" w:rsidRPr="000C01C2" w:rsidRDefault="00F613EA" w:rsidP="000C01C2">
            <w:pPr>
              <w:pStyle w:val="Tabletext"/>
            </w:pPr>
            <w:r w:rsidRPr="000C01C2">
              <w:t>PDSL</w:t>
            </w:r>
          </w:p>
        </w:tc>
        <w:tc>
          <w:tcPr>
            <w:tcW w:w="627" w:type="pct"/>
            <w:vAlign w:val="center"/>
          </w:tcPr>
          <w:p w14:paraId="5E019888" w14:textId="77777777" w:rsidR="00F613EA" w:rsidRPr="000C01C2" w:rsidRDefault="00F613EA" w:rsidP="00061469">
            <w:pPr>
              <w:pStyle w:val="Tabletext"/>
              <w:tabs>
                <w:tab w:val="clear" w:pos="567"/>
                <w:tab w:val="clear" w:pos="851"/>
              </w:tabs>
              <w:ind w:right="61"/>
              <w:jc w:val="right"/>
            </w:pPr>
            <w:r w:rsidRPr="000C01C2">
              <w:t>66,1</w:t>
            </w:r>
          </w:p>
        </w:tc>
        <w:tc>
          <w:tcPr>
            <w:tcW w:w="896" w:type="pct"/>
            <w:vAlign w:val="center"/>
          </w:tcPr>
          <w:p w14:paraId="7E4576C3" w14:textId="77777777" w:rsidR="00F613EA" w:rsidRPr="000C01C2" w:rsidRDefault="00F613EA" w:rsidP="00061469">
            <w:pPr>
              <w:pStyle w:val="Tabletext"/>
              <w:tabs>
                <w:tab w:val="clear" w:pos="567"/>
                <w:tab w:val="clear" w:pos="851"/>
                <w:tab w:val="left" w:pos="574"/>
              </w:tabs>
              <w:ind w:right="408"/>
              <w:jc w:val="right"/>
            </w:pPr>
            <w:r w:rsidRPr="000C01C2">
              <w:t>92,4</w:t>
            </w:r>
          </w:p>
        </w:tc>
        <w:tc>
          <w:tcPr>
            <w:tcW w:w="1745" w:type="dxa"/>
            <w:vAlign w:val="center"/>
          </w:tcPr>
          <w:p w14:paraId="49EA237B" w14:textId="77777777" w:rsidR="00F613EA" w:rsidRPr="000C01C2" w:rsidRDefault="00F613EA" w:rsidP="00061469">
            <w:pPr>
              <w:pStyle w:val="Tabletext"/>
              <w:tabs>
                <w:tab w:val="clear" w:pos="567"/>
                <w:tab w:val="clear" w:pos="851"/>
                <w:tab w:val="left" w:pos="574"/>
              </w:tabs>
              <w:ind w:right="408"/>
              <w:jc w:val="right"/>
            </w:pPr>
            <w:r w:rsidRPr="000C01C2">
              <w:t>53,2</w:t>
            </w:r>
          </w:p>
        </w:tc>
      </w:tr>
      <w:tr w:rsidR="00F613EA" w:rsidRPr="00A73D4A" w14:paraId="6AFA14DD" w14:textId="77777777" w:rsidTr="00982609">
        <w:tc>
          <w:tcPr>
            <w:tcW w:w="2514" w:type="pct"/>
          </w:tcPr>
          <w:p w14:paraId="1B844D3C" w14:textId="77777777" w:rsidR="00F613EA" w:rsidRPr="000C01C2" w:rsidRDefault="00F613EA" w:rsidP="000C01C2">
            <w:pPr>
              <w:pStyle w:val="Tabletext"/>
            </w:pPr>
            <w:r w:rsidRPr="000C01C2">
              <w:t>PEID</w:t>
            </w:r>
          </w:p>
        </w:tc>
        <w:tc>
          <w:tcPr>
            <w:tcW w:w="627" w:type="pct"/>
            <w:vAlign w:val="center"/>
          </w:tcPr>
          <w:p w14:paraId="3D93B25E" w14:textId="77777777" w:rsidR="00F613EA" w:rsidRPr="000C01C2" w:rsidRDefault="00F613EA" w:rsidP="00061469">
            <w:pPr>
              <w:pStyle w:val="Tabletext"/>
              <w:tabs>
                <w:tab w:val="clear" w:pos="567"/>
                <w:tab w:val="clear" w:pos="851"/>
              </w:tabs>
              <w:ind w:right="61"/>
              <w:jc w:val="right"/>
            </w:pPr>
            <w:r w:rsidRPr="000C01C2">
              <w:t>73,4</w:t>
            </w:r>
          </w:p>
        </w:tc>
        <w:tc>
          <w:tcPr>
            <w:tcW w:w="896" w:type="pct"/>
            <w:vAlign w:val="center"/>
          </w:tcPr>
          <w:p w14:paraId="662E8322" w14:textId="77777777" w:rsidR="00F613EA" w:rsidRPr="000C01C2" w:rsidRDefault="00F613EA" w:rsidP="00061469">
            <w:pPr>
              <w:pStyle w:val="Tabletext"/>
              <w:tabs>
                <w:tab w:val="clear" w:pos="567"/>
                <w:tab w:val="clear" w:pos="851"/>
                <w:tab w:val="left" w:pos="574"/>
              </w:tabs>
              <w:ind w:right="408"/>
              <w:jc w:val="right"/>
            </w:pPr>
            <w:r w:rsidRPr="000C01C2">
              <w:t>86,0</w:t>
            </w:r>
          </w:p>
        </w:tc>
        <w:tc>
          <w:tcPr>
            <w:tcW w:w="1745" w:type="dxa"/>
            <w:vAlign w:val="center"/>
          </w:tcPr>
          <w:p w14:paraId="21699807" w14:textId="77777777" w:rsidR="00F613EA" w:rsidRPr="000C01C2" w:rsidRDefault="00F613EA" w:rsidP="00061469">
            <w:pPr>
              <w:pStyle w:val="Tabletext"/>
              <w:tabs>
                <w:tab w:val="clear" w:pos="567"/>
                <w:tab w:val="clear" w:pos="851"/>
                <w:tab w:val="left" w:pos="574"/>
              </w:tabs>
              <w:ind w:right="408"/>
              <w:jc w:val="right"/>
            </w:pPr>
            <w:r w:rsidRPr="000C01C2">
              <w:t>52,9</w:t>
            </w:r>
          </w:p>
        </w:tc>
      </w:tr>
      <w:tr w:rsidR="00F613EA" w:rsidRPr="003C1D3F" w14:paraId="36672CD1" w14:textId="77777777" w:rsidTr="00982609">
        <w:trPr>
          <w:trHeight w:val="219"/>
        </w:trPr>
        <w:tc>
          <w:tcPr>
            <w:tcW w:w="2514" w:type="pct"/>
            <w:shd w:val="clear" w:color="auto" w:fill="F2F2F2" w:themeFill="background1" w:themeFillShade="F2"/>
            <w:vAlign w:val="center"/>
          </w:tcPr>
          <w:p w14:paraId="16FF57B3" w14:textId="1A3C5BD7" w:rsidR="00F613EA" w:rsidRPr="005C0507" w:rsidRDefault="00F613EA" w:rsidP="00982609">
            <w:pPr>
              <w:pStyle w:val="Tablehead"/>
            </w:pPr>
            <w:r>
              <w:t>Personnes utilisant l</w:t>
            </w:r>
            <w:r w:rsidR="006C43DF">
              <w:t>'</w:t>
            </w:r>
            <w:r>
              <w:t>Internet (en pourcentage)</w:t>
            </w:r>
          </w:p>
        </w:tc>
        <w:tc>
          <w:tcPr>
            <w:tcW w:w="627" w:type="pct"/>
            <w:shd w:val="clear" w:color="auto" w:fill="F2F2F2" w:themeFill="background1" w:themeFillShade="F2"/>
            <w:vAlign w:val="center"/>
          </w:tcPr>
          <w:p w14:paraId="5CD439C7" w14:textId="77777777" w:rsidR="00F613EA" w:rsidRPr="003C1D3F" w:rsidRDefault="00F613EA" w:rsidP="00982609">
            <w:pPr>
              <w:pStyle w:val="Tablehead"/>
            </w:pPr>
            <w:r>
              <w:t>Total</w:t>
            </w:r>
          </w:p>
        </w:tc>
        <w:tc>
          <w:tcPr>
            <w:tcW w:w="896" w:type="pct"/>
            <w:shd w:val="clear" w:color="auto" w:fill="F2F2F2" w:themeFill="background1" w:themeFillShade="F2"/>
            <w:vAlign w:val="center"/>
          </w:tcPr>
          <w:p w14:paraId="54B979A2" w14:textId="77777777" w:rsidR="00F613EA" w:rsidRPr="003C1D3F" w:rsidRDefault="00F613EA" w:rsidP="00982609">
            <w:pPr>
              <w:pStyle w:val="Tablehead"/>
            </w:pPr>
            <w:r>
              <w:t>Hommes</w:t>
            </w:r>
          </w:p>
        </w:tc>
        <w:tc>
          <w:tcPr>
            <w:tcW w:w="1745" w:type="dxa"/>
            <w:shd w:val="clear" w:color="auto" w:fill="F2F2F2" w:themeFill="background1" w:themeFillShade="F2"/>
            <w:vAlign w:val="center"/>
          </w:tcPr>
          <w:p w14:paraId="6A7C1CBB" w14:textId="77777777" w:rsidR="00F613EA" w:rsidRPr="003C1D3F" w:rsidRDefault="00F613EA" w:rsidP="00982609">
            <w:pPr>
              <w:pStyle w:val="Tablehead"/>
            </w:pPr>
            <w:r>
              <w:t>Femmes</w:t>
            </w:r>
          </w:p>
        </w:tc>
      </w:tr>
      <w:tr w:rsidR="00F613EA" w:rsidRPr="00A73D4A" w14:paraId="6624850C" w14:textId="77777777" w:rsidTr="001064C7">
        <w:tc>
          <w:tcPr>
            <w:tcW w:w="2514" w:type="pct"/>
          </w:tcPr>
          <w:p w14:paraId="2F2F2392" w14:textId="77777777" w:rsidR="00F613EA" w:rsidRPr="00A73D4A" w:rsidRDefault="00F613EA" w:rsidP="001064C7">
            <w:pPr>
              <w:pStyle w:val="Tabletext"/>
            </w:pPr>
            <w:r w:rsidRPr="000C01C2">
              <w:t>PMA</w:t>
            </w:r>
          </w:p>
        </w:tc>
        <w:tc>
          <w:tcPr>
            <w:tcW w:w="627" w:type="pct"/>
            <w:vAlign w:val="center"/>
          </w:tcPr>
          <w:p w14:paraId="3E74631E" w14:textId="77777777" w:rsidR="00F613EA" w:rsidRPr="00A73D4A" w:rsidRDefault="00F613EA" w:rsidP="00061469">
            <w:pPr>
              <w:pStyle w:val="Tabletext"/>
              <w:tabs>
                <w:tab w:val="clear" w:pos="567"/>
                <w:tab w:val="clear" w:pos="851"/>
              </w:tabs>
              <w:ind w:right="61"/>
              <w:jc w:val="right"/>
            </w:pPr>
            <w:r w:rsidRPr="000C01C2">
              <w:t>33,7</w:t>
            </w:r>
          </w:p>
        </w:tc>
        <w:tc>
          <w:tcPr>
            <w:tcW w:w="896" w:type="pct"/>
            <w:vAlign w:val="bottom"/>
          </w:tcPr>
          <w:p w14:paraId="120B4FE4" w14:textId="77777777" w:rsidR="00F613EA" w:rsidRPr="00A73D4A" w:rsidRDefault="00F613EA" w:rsidP="00061469">
            <w:pPr>
              <w:pStyle w:val="Tabletext"/>
              <w:tabs>
                <w:tab w:val="clear" w:pos="851"/>
              </w:tabs>
              <w:ind w:right="408"/>
              <w:jc w:val="right"/>
            </w:pPr>
            <w:r w:rsidRPr="000C01C2">
              <w:t>39,1</w:t>
            </w:r>
          </w:p>
        </w:tc>
        <w:tc>
          <w:tcPr>
            <w:tcW w:w="1745" w:type="dxa"/>
            <w:vAlign w:val="bottom"/>
          </w:tcPr>
          <w:p w14:paraId="57049712" w14:textId="77777777" w:rsidR="00F613EA" w:rsidRPr="00A73D4A" w:rsidRDefault="00F613EA" w:rsidP="00061469">
            <w:pPr>
              <w:pStyle w:val="Tabletext"/>
              <w:tabs>
                <w:tab w:val="clear" w:pos="851"/>
              </w:tabs>
              <w:ind w:right="408"/>
              <w:jc w:val="right"/>
            </w:pPr>
            <w:r w:rsidRPr="000C01C2">
              <w:t>28,4</w:t>
            </w:r>
          </w:p>
        </w:tc>
      </w:tr>
      <w:tr w:rsidR="00F613EA" w:rsidRPr="00A73D4A" w14:paraId="0C1864C2" w14:textId="77777777" w:rsidTr="001064C7">
        <w:tc>
          <w:tcPr>
            <w:tcW w:w="2514" w:type="pct"/>
          </w:tcPr>
          <w:p w14:paraId="221112B3" w14:textId="77777777" w:rsidR="00F613EA" w:rsidRPr="00A73D4A" w:rsidRDefault="00F613EA" w:rsidP="001064C7">
            <w:pPr>
              <w:pStyle w:val="Tabletext"/>
            </w:pPr>
            <w:r w:rsidRPr="000C01C2">
              <w:t>PDSL</w:t>
            </w:r>
          </w:p>
        </w:tc>
        <w:tc>
          <w:tcPr>
            <w:tcW w:w="627" w:type="pct"/>
            <w:vAlign w:val="center"/>
          </w:tcPr>
          <w:p w14:paraId="040721BE" w14:textId="77777777" w:rsidR="00F613EA" w:rsidRPr="00A73D4A" w:rsidRDefault="00F613EA" w:rsidP="00061469">
            <w:pPr>
              <w:pStyle w:val="Tabletext"/>
              <w:tabs>
                <w:tab w:val="clear" w:pos="567"/>
                <w:tab w:val="clear" w:pos="851"/>
              </w:tabs>
              <w:ind w:right="61"/>
              <w:jc w:val="right"/>
            </w:pPr>
            <w:r w:rsidRPr="000C01C2">
              <w:t>37,6</w:t>
            </w:r>
          </w:p>
        </w:tc>
        <w:tc>
          <w:tcPr>
            <w:tcW w:w="896" w:type="pct"/>
            <w:vAlign w:val="bottom"/>
          </w:tcPr>
          <w:p w14:paraId="20A618CB" w14:textId="77777777" w:rsidR="00F613EA" w:rsidRPr="00A73D4A" w:rsidRDefault="00F613EA" w:rsidP="00061469">
            <w:pPr>
              <w:pStyle w:val="Tabletext"/>
              <w:tabs>
                <w:tab w:val="clear" w:pos="851"/>
              </w:tabs>
              <w:ind w:right="408"/>
              <w:jc w:val="right"/>
            </w:pPr>
            <w:r w:rsidRPr="000C01C2">
              <w:t>41,0</w:t>
            </w:r>
          </w:p>
        </w:tc>
        <w:tc>
          <w:tcPr>
            <w:tcW w:w="1745" w:type="dxa"/>
            <w:vAlign w:val="bottom"/>
          </w:tcPr>
          <w:p w14:paraId="1F11E204" w14:textId="77777777" w:rsidR="00F613EA" w:rsidRPr="00A73D4A" w:rsidRDefault="00F613EA" w:rsidP="00061469">
            <w:pPr>
              <w:pStyle w:val="Tabletext"/>
              <w:tabs>
                <w:tab w:val="clear" w:pos="851"/>
              </w:tabs>
              <w:ind w:right="408"/>
              <w:jc w:val="right"/>
            </w:pPr>
            <w:r w:rsidRPr="000C01C2">
              <w:t>34,1</w:t>
            </w:r>
          </w:p>
        </w:tc>
      </w:tr>
      <w:tr w:rsidR="00F613EA" w:rsidRPr="00A73D4A" w14:paraId="2BB8730E" w14:textId="77777777" w:rsidTr="001064C7">
        <w:tc>
          <w:tcPr>
            <w:tcW w:w="2514" w:type="pct"/>
            <w:tcBorders>
              <w:bottom w:val="single" w:sz="4" w:space="0" w:color="auto"/>
            </w:tcBorders>
          </w:tcPr>
          <w:p w14:paraId="1EDE2DE3" w14:textId="77777777" w:rsidR="00F613EA" w:rsidRPr="00A73D4A" w:rsidRDefault="00F613EA" w:rsidP="001064C7">
            <w:pPr>
              <w:pStyle w:val="Tabletext"/>
            </w:pPr>
            <w:r w:rsidRPr="000C01C2">
              <w:t>PEID</w:t>
            </w:r>
          </w:p>
        </w:tc>
        <w:tc>
          <w:tcPr>
            <w:tcW w:w="627" w:type="pct"/>
            <w:tcBorders>
              <w:bottom w:val="single" w:sz="4" w:space="0" w:color="auto"/>
            </w:tcBorders>
            <w:vAlign w:val="center"/>
          </w:tcPr>
          <w:p w14:paraId="4C9314E9" w14:textId="77777777" w:rsidR="00F613EA" w:rsidRPr="00A73D4A" w:rsidRDefault="00F613EA" w:rsidP="00061469">
            <w:pPr>
              <w:pStyle w:val="Tabletext"/>
              <w:tabs>
                <w:tab w:val="clear" w:pos="567"/>
                <w:tab w:val="clear" w:pos="851"/>
              </w:tabs>
              <w:ind w:right="61"/>
              <w:jc w:val="right"/>
            </w:pPr>
            <w:r w:rsidRPr="000C01C2">
              <w:t>64,1</w:t>
            </w:r>
          </w:p>
        </w:tc>
        <w:tc>
          <w:tcPr>
            <w:tcW w:w="896" w:type="pct"/>
            <w:tcBorders>
              <w:bottom w:val="single" w:sz="4" w:space="0" w:color="auto"/>
            </w:tcBorders>
            <w:vAlign w:val="bottom"/>
          </w:tcPr>
          <w:p w14:paraId="4196185E" w14:textId="77777777" w:rsidR="00F613EA" w:rsidRPr="00A73D4A" w:rsidRDefault="00F613EA" w:rsidP="00061469">
            <w:pPr>
              <w:pStyle w:val="Tabletext"/>
              <w:tabs>
                <w:tab w:val="clear" w:pos="851"/>
              </w:tabs>
              <w:ind w:right="408"/>
              <w:jc w:val="right"/>
            </w:pPr>
            <w:r w:rsidRPr="000C01C2">
              <w:t>64,0</w:t>
            </w:r>
          </w:p>
        </w:tc>
        <w:tc>
          <w:tcPr>
            <w:tcW w:w="1745" w:type="dxa"/>
            <w:tcBorders>
              <w:bottom w:val="single" w:sz="4" w:space="0" w:color="auto"/>
            </w:tcBorders>
            <w:vAlign w:val="bottom"/>
          </w:tcPr>
          <w:p w14:paraId="3631B34D" w14:textId="77777777" w:rsidR="00F613EA" w:rsidRPr="00A73D4A" w:rsidRDefault="00F613EA" w:rsidP="00061469">
            <w:pPr>
              <w:pStyle w:val="Tabletext"/>
              <w:tabs>
                <w:tab w:val="clear" w:pos="851"/>
              </w:tabs>
              <w:ind w:right="408"/>
              <w:jc w:val="right"/>
            </w:pPr>
            <w:r w:rsidRPr="000C01C2">
              <w:t>64,2</w:t>
            </w:r>
          </w:p>
        </w:tc>
      </w:tr>
      <w:tr w:rsidR="00F613EA" w:rsidRPr="00A73D4A" w14:paraId="73ED7A28" w14:textId="77777777" w:rsidTr="001064C7">
        <w:tc>
          <w:tcPr>
            <w:tcW w:w="5000" w:type="pct"/>
            <w:gridSpan w:val="4"/>
            <w:tcBorders>
              <w:top w:val="single" w:sz="4" w:space="0" w:color="auto"/>
              <w:left w:val="nil"/>
              <w:bottom w:val="nil"/>
              <w:right w:val="nil"/>
            </w:tcBorders>
          </w:tcPr>
          <w:p w14:paraId="5E22B102" w14:textId="6C51F5B4" w:rsidR="00F613EA" w:rsidRPr="000C01C2" w:rsidRDefault="00F613EA" w:rsidP="00982609">
            <w:pPr>
              <w:pStyle w:val="Tablelegend"/>
            </w:pPr>
            <w:r w:rsidRPr="000C01C2">
              <w:t>Source:</w:t>
            </w:r>
            <w:r w:rsidR="00C47867">
              <w:t xml:space="preserve"> </w:t>
            </w:r>
            <w:r w:rsidRPr="000C01C2">
              <w:t>Estimations de l</w:t>
            </w:r>
            <w:r w:rsidR="006C43DF">
              <w:t>'</w:t>
            </w:r>
            <w:r w:rsidRPr="000C01C2">
              <w:t>UIT.</w:t>
            </w:r>
          </w:p>
        </w:tc>
      </w:tr>
    </w:tbl>
    <w:p w14:paraId="0B507222" w14:textId="77777777" w:rsidR="00B10CEF" w:rsidRDefault="00B10CEF" w:rsidP="00B10CEF">
      <w:pPr>
        <w:pStyle w:val="Tablefin"/>
      </w:pPr>
    </w:p>
    <w:p w14:paraId="1FF9BD41" w14:textId="54D1AFC1" w:rsidR="00F613EA" w:rsidRPr="005C0507" w:rsidRDefault="00F613EA" w:rsidP="00B10CEF">
      <w:pPr>
        <w:jc w:val="both"/>
        <w:rPr>
          <w:rFonts w:cs="Calibri"/>
        </w:rPr>
      </w:pPr>
      <w:r>
        <w:t>Les statistiques sur le développement du numérique à l</w:t>
      </w:r>
      <w:r w:rsidR="006C43DF">
        <w:t>'</w:t>
      </w:r>
      <w:r>
        <w:t>échelle de la population cachent souvent des disparités considérables à l</w:t>
      </w:r>
      <w:r w:rsidR="006C43DF">
        <w:t>'</w:t>
      </w:r>
      <w:r>
        <w:t>intérieur des pays, par exemple entre les zones rurales et urbaines, entre les hommes et les femmes, ou entre les groupes d</w:t>
      </w:r>
      <w:r w:rsidR="006C43DF">
        <w:t>'</w:t>
      </w:r>
      <w:r>
        <w:t xml:space="preserve">âge. Les données ventilées permettent de concevoir des mesures bien plus efficaces ciblant des groupes démographiques ou des zones géographiques spécifiques. Comme le montre le </w:t>
      </w:r>
      <w:r w:rsidR="000C01C2" w:rsidRPr="009755BC">
        <w:rPr>
          <w:rStyle w:val="IntenseEmphasis"/>
          <w:i w:val="0"/>
          <w:iCs w:val="0"/>
        </w:rPr>
        <w:fldChar w:fldCharType="begin"/>
      </w:r>
      <w:r w:rsidR="000C01C2" w:rsidRPr="009755BC">
        <w:rPr>
          <w:rStyle w:val="IntenseEmphasis"/>
          <w:i w:val="0"/>
          <w:iCs w:val="0"/>
        </w:rPr>
        <w:instrText xml:space="preserve"> REF Tableau1 \h  \* MERGEFORMAT </w:instrText>
      </w:r>
      <w:r w:rsidR="000C01C2" w:rsidRPr="009755BC">
        <w:rPr>
          <w:rStyle w:val="IntenseEmphasis"/>
          <w:i w:val="0"/>
          <w:iCs w:val="0"/>
        </w:rPr>
      </w:r>
      <w:r w:rsidR="000C01C2" w:rsidRPr="009755BC">
        <w:rPr>
          <w:rStyle w:val="IntenseEmphasis"/>
          <w:i w:val="0"/>
          <w:iCs w:val="0"/>
        </w:rPr>
        <w:fldChar w:fldCharType="separate"/>
      </w:r>
      <w:r w:rsidR="000C01C2" w:rsidRPr="009755BC">
        <w:rPr>
          <w:rStyle w:val="IntenseEmphasis"/>
          <w:i w:val="0"/>
          <w:iCs w:val="0"/>
        </w:rPr>
        <w:t>Tableau</w:t>
      </w:r>
      <w:r w:rsidR="00A47656">
        <w:rPr>
          <w:rStyle w:val="IntenseEmphasis"/>
          <w:i w:val="0"/>
          <w:iCs w:val="0"/>
        </w:rPr>
        <w:t> </w:t>
      </w:r>
      <w:r w:rsidR="000C01C2" w:rsidRPr="009755BC">
        <w:rPr>
          <w:rStyle w:val="IntenseEmphasis"/>
          <w:i w:val="0"/>
          <w:iCs w:val="0"/>
        </w:rPr>
        <w:t>1</w:t>
      </w:r>
      <w:r w:rsidR="000C01C2" w:rsidRPr="009755BC">
        <w:rPr>
          <w:rStyle w:val="IntenseEmphasis"/>
          <w:i w:val="0"/>
          <w:iCs w:val="0"/>
        </w:rPr>
        <w:fldChar w:fldCharType="end"/>
      </w:r>
      <w:r>
        <w:t>, ces disparités peuvent être très importantes. Par exemple, dans les PDSL, 92% de la population urbaine en moyenne est desservie par un réseau mobile 4G, contre seulement 53% de la population rurale, soit un écart de près de 40 points de pourcentage. De la même façon, si dans les PEID, l</w:t>
      </w:r>
      <w:r w:rsidR="006C43DF">
        <w:t>'</w:t>
      </w:r>
      <w:r>
        <w:t>écart entre les hommes et les femmes concernant l</w:t>
      </w:r>
      <w:r w:rsidR="006C43DF">
        <w:t>'</w:t>
      </w:r>
      <w:r>
        <w:t>utilisation de l</w:t>
      </w:r>
      <w:r w:rsidR="006C43DF">
        <w:t>'</w:t>
      </w:r>
      <w:r>
        <w:t>Internet a été réduit, dans les PMA, les hommes ont environ 40% de chances de plus que les femmes d</w:t>
      </w:r>
      <w:r w:rsidR="006C43DF">
        <w:t>'</w:t>
      </w:r>
      <w:r>
        <w:t>être connectés, les taux d</w:t>
      </w:r>
      <w:r w:rsidR="006C43DF">
        <w:t>'</w:t>
      </w:r>
      <w:r>
        <w:t>utilisation atteignant respectivement 39% et 28%. Ces observations ont des implications évidentes en matière de politiques et aident à concentrer les efforts sur ceux qui en ont le plus besoin.</w:t>
      </w:r>
      <w:hyperlink w:anchor="Tab_1" w:history="1"/>
    </w:p>
    <w:p w14:paraId="4ADE1717" w14:textId="45C9347D" w:rsidR="00F613EA" w:rsidRPr="005C0507" w:rsidRDefault="00F613EA" w:rsidP="00B10CEF">
      <w:pPr>
        <w:jc w:val="both"/>
        <w:rPr>
          <w:rFonts w:cs="Calibri"/>
        </w:rPr>
      </w:pPr>
      <w:r>
        <w:t>Malgré l</w:t>
      </w:r>
      <w:r w:rsidR="006C43DF">
        <w:t>'</w:t>
      </w:r>
      <w:r>
        <w:t>importance des statistiques, de grandes lacunes subsistent pour ce qui est des données, en particulier dans les PMA, les PDSL et les PEID. Seule une minorité de ces pays recueille régulièrement des statistiques sur les TIC, et une proportion encore plus faible recueille des données ventilées.</w:t>
      </w:r>
    </w:p>
    <w:p w14:paraId="4528BB33" w14:textId="499DCBD1" w:rsidR="00F613EA" w:rsidRPr="005C0507" w:rsidRDefault="00F613EA" w:rsidP="00B10CEF">
      <w:pPr>
        <w:jc w:val="both"/>
        <w:rPr>
          <w:rFonts w:cs="Calibri"/>
        </w:rPr>
      </w:pPr>
      <w:r>
        <w:t xml:space="preserve">Le BDT met en place des </w:t>
      </w:r>
      <w:hyperlink r:id="rId29" w:history="1">
        <w:r w:rsidRPr="00982609">
          <w:rPr>
            <w:rStyle w:val="Hyperlink"/>
            <w:rFonts w:eastAsia="Times New Roman" w:cs="Times New Roman"/>
            <w:szCs w:val="20"/>
          </w:rPr>
          <w:t>activités de renforcement des capacités et une assistance technique</w:t>
        </w:r>
      </w:hyperlink>
      <w:r>
        <w:t xml:space="preserve"> à l</w:t>
      </w:r>
      <w:r w:rsidR="006C43DF">
        <w:t>'</w:t>
      </w:r>
      <w:r>
        <w:t>intention des États Membres qui souhaitent renforcer leur capacité à mesurer le développement du numérique avec une précision, une actualité et une granularité accrues.</w:t>
      </w:r>
      <w:hyperlink r:id="rId30" w:history="1"/>
    </w:p>
    <w:p w14:paraId="46A2784E" w14:textId="4910763D" w:rsidR="00F613EA" w:rsidRPr="00EF0690" w:rsidRDefault="00F613EA" w:rsidP="00B10CEF">
      <w:pPr>
        <w:jc w:val="both"/>
        <w:rPr>
          <w:rFonts w:cs="Calibri"/>
          <w:spacing w:val="-2"/>
        </w:rPr>
      </w:pPr>
      <w:r w:rsidRPr="00EF0690">
        <w:rPr>
          <w:spacing w:val="-2"/>
        </w:rPr>
        <w:t>Les statistiques permettent de prendre des décisions fondées sur des données probantes, ce qui peut accélérer le développement du numérique et, à terme, améliorer les perspectives économiques. Investir dans la collecte de données est essentiel et donne d</w:t>
      </w:r>
      <w:r w:rsidR="006C43DF" w:rsidRPr="00EF0690">
        <w:rPr>
          <w:spacing w:val="-2"/>
        </w:rPr>
        <w:t>'</w:t>
      </w:r>
      <w:r w:rsidRPr="00EF0690">
        <w:rPr>
          <w:spacing w:val="-2"/>
        </w:rPr>
        <w:t>excellents résultats.</w:t>
      </w:r>
    </w:p>
    <w:p w14:paraId="61EE2DF0" w14:textId="77777777" w:rsidR="00F613EA" w:rsidRPr="005C0507" w:rsidRDefault="00F613EA" w:rsidP="00F613EA">
      <w:pPr>
        <w:pStyle w:val="Headingb"/>
      </w:pPr>
      <w:r w:rsidRPr="001876CD">
        <w:t>Renforcement des capacités et des compétences numériques</w:t>
      </w:r>
    </w:p>
    <w:p w14:paraId="096535B8" w14:textId="18AAC859" w:rsidR="00F613EA" w:rsidRPr="005C0507" w:rsidRDefault="00F613EA" w:rsidP="00B10CEF">
      <w:pPr>
        <w:jc w:val="both"/>
        <w:rPr>
          <w:rFonts w:cs="Calibri"/>
        </w:rPr>
      </w:pPr>
      <w:r>
        <w:t>L</w:t>
      </w:r>
      <w:r w:rsidR="006C43DF">
        <w:t>'</w:t>
      </w:r>
      <w:r>
        <w:t>Académie de l</w:t>
      </w:r>
      <w:r w:rsidR="006C43DF">
        <w:t>'</w:t>
      </w:r>
      <w:r>
        <w:t>UIT constitue une plate-forme complète qui regroupe un large éventail d</w:t>
      </w:r>
      <w:r w:rsidR="006C43DF">
        <w:t>'</w:t>
      </w:r>
      <w:r>
        <w:t>activités de formation et de ressources pédagogiques dans le domaine des TIC et du développement numérique. Ses activités consistent à renforcer les capacités humaines et institutionnelles des États Membres. Depuis 2022, l</w:t>
      </w:r>
      <w:r w:rsidR="006C43DF">
        <w:t>'</w:t>
      </w:r>
      <w:r>
        <w:t>Académie de l</w:t>
      </w:r>
      <w:r w:rsidR="006C43DF">
        <w:t>'</w:t>
      </w:r>
      <w:r>
        <w:t>UIT fournit un appui ciblé aux PMA, aux PDSL et aux PEID, ainsi qu</w:t>
      </w:r>
      <w:r w:rsidR="006C43DF">
        <w:t>'</w:t>
      </w:r>
      <w:r>
        <w:t xml:space="preserve">aux autres pays en situation particulière, par des </w:t>
      </w:r>
      <w:r>
        <w:lastRenderedPageBreak/>
        <w:t>programmes de formation adaptés, des initiatives de renforcement des capacités et un accès à des ressources d</w:t>
      </w:r>
      <w:r w:rsidR="006C43DF">
        <w:t>'</w:t>
      </w:r>
      <w:r>
        <w:t>apprentissage spécialisées. Entre 2022 et 2025, les cours proposés ont été suivis par environ 28 000 participants issus des groupes suivants: 12 718 des PMA (29,7% de femmes), dont 3 154 ont obtenu une certification; 9 061 des PDSL (43% de femmes), dont</w:t>
      </w:r>
      <w:r w:rsidR="0058137D">
        <w:t> </w:t>
      </w:r>
      <w:r>
        <w:t>2</w:t>
      </w:r>
      <w:r w:rsidR="00982609">
        <w:t> </w:t>
      </w:r>
      <w:r>
        <w:t>503 ont obtenu une certification; 4 912 des PEID (40% de femmes), dont 1 361 ont obtenu une certification.</w:t>
      </w:r>
    </w:p>
    <w:p w14:paraId="0ACA8C0B" w14:textId="7BC1CEDC" w:rsidR="00F613EA" w:rsidRPr="00EF0690" w:rsidRDefault="00F613EA" w:rsidP="00B10CEF">
      <w:pPr>
        <w:jc w:val="both"/>
        <w:rPr>
          <w:rFonts w:cs="Calibri"/>
          <w:spacing w:val="-2"/>
        </w:rPr>
      </w:pPr>
      <w:hyperlink r:id="rId31" w:anchor="/fr" w:history="1">
        <w:r w:rsidRPr="00EF0690">
          <w:rPr>
            <w:spacing w:val="-2"/>
          </w:rPr>
          <w:t>L</w:t>
        </w:r>
        <w:r w:rsidR="006C43DF" w:rsidRPr="00EF0690">
          <w:rPr>
            <w:spacing w:val="-2"/>
          </w:rPr>
          <w:t>'</w:t>
        </w:r>
        <w:r w:rsidR="0058137D" w:rsidRPr="00EF0690">
          <w:rPr>
            <w:rStyle w:val="Hyperlink"/>
            <w:rFonts w:eastAsia="Times New Roman" w:cs="Times New Roman"/>
            <w:spacing w:val="-2"/>
            <w:szCs w:val="20"/>
          </w:rPr>
          <w:t>i</w:t>
        </w:r>
        <w:r w:rsidRPr="00EF0690">
          <w:rPr>
            <w:rStyle w:val="Hyperlink"/>
            <w:rFonts w:eastAsia="Times New Roman" w:cs="Times New Roman"/>
            <w:spacing w:val="-2"/>
            <w:szCs w:val="20"/>
          </w:rPr>
          <w:t>nitiative des centres de transformation numérique (DTC)</w:t>
        </w:r>
      </w:hyperlink>
      <w:r w:rsidRPr="00EF0690">
        <w:rPr>
          <w:spacing w:val="-2"/>
        </w:rPr>
        <w:t>, lancée en septembre 2019 par l</w:t>
      </w:r>
      <w:r w:rsidR="006C43DF" w:rsidRPr="00EF0690">
        <w:rPr>
          <w:spacing w:val="-2"/>
        </w:rPr>
        <w:t>'</w:t>
      </w:r>
      <w:r w:rsidRPr="00EF0690">
        <w:rPr>
          <w:spacing w:val="-2"/>
        </w:rPr>
        <w:t>UIT, en partenariat avec Cisco, a pour but de renforcer les compétences numériques des citoyens, en particulier dans les communautés rurales et mal desservies. Cette initiative s</w:t>
      </w:r>
      <w:r w:rsidR="006C43DF" w:rsidRPr="00EF0690">
        <w:rPr>
          <w:spacing w:val="-2"/>
        </w:rPr>
        <w:t>'</w:t>
      </w:r>
      <w:r w:rsidRPr="00EF0690">
        <w:rPr>
          <w:spacing w:val="-2"/>
        </w:rPr>
        <w:t>appuie sur un réseau mondial d</w:t>
      </w:r>
      <w:r w:rsidR="006C43DF" w:rsidRPr="00EF0690">
        <w:rPr>
          <w:spacing w:val="-2"/>
        </w:rPr>
        <w:t>'</w:t>
      </w:r>
      <w:r w:rsidRPr="00EF0690">
        <w:rPr>
          <w:spacing w:val="-2"/>
        </w:rPr>
        <w:t>institutions nationales, les centres DTC, qui ont pour mission de mettre en œuvre des programmes de renforcement des compétences numériques au niveau national. Ces centres ont démontré qu</w:t>
      </w:r>
      <w:r w:rsidR="006C43DF" w:rsidRPr="00EF0690">
        <w:rPr>
          <w:spacing w:val="-2"/>
        </w:rPr>
        <w:t>'</w:t>
      </w:r>
      <w:r w:rsidRPr="00EF0690">
        <w:rPr>
          <w:spacing w:val="-2"/>
        </w:rPr>
        <w:t>ils disposaient de l</w:t>
      </w:r>
      <w:r w:rsidR="006C43DF" w:rsidRPr="00EF0690">
        <w:rPr>
          <w:spacing w:val="-2"/>
        </w:rPr>
        <w:t>'</w:t>
      </w:r>
      <w:r w:rsidRPr="00EF0690">
        <w:rPr>
          <w:spacing w:val="-2"/>
        </w:rPr>
        <w:t>infrastructure, des capacités et de l</w:t>
      </w:r>
      <w:r w:rsidR="006C43DF" w:rsidRPr="00EF0690">
        <w:rPr>
          <w:spacing w:val="-2"/>
        </w:rPr>
        <w:t>'</w:t>
      </w:r>
      <w:r w:rsidRPr="00EF0690">
        <w:rPr>
          <w:spacing w:val="-2"/>
        </w:rPr>
        <w:t>expérience nécessaires pour organiser des formations de niveau élémentaire et intermédiaire.</w:t>
      </w:r>
      <w:hyperlink r:id="rId32"/>
    </w:p>
    <w:p w14:paraId="176B3E51" w14:textId="012B3846" w:rsidR="00F613EA" w:rsidRPr="005C0507" w:rsidRDefault="00F613EA" w:rsidP="00B10CEF">
      <w:pPr>
        <w:jc w:val="both"/>
        <w:rPr>
          <w:rFonts w:cs="Calibri"/>
        </w:rPr>
      </w:pPr>
      <w:r>
        <w:t xml:space="preserve">Actuellement, il existe 16 centres DTC dans le monde, dont </w:t>
      </w:r>
      <w:r w:rsidR="00982609">
        <w:t>8</w:t>
      </w:r>
      <w:r>
        <w:t xml:space="preserve"> ont été établis dans des PMA, des PDSL, des PEID ou des pays dont l</w:t>
      </w:r>
      <w:r w:rsidR="006C43DF">
        <w:t>'</w:t>
      </w:r>
      <w:r>
        <w:t>économie est en transition, à savoir la République</w:t>
      </w:r>
      <w:r w:rsidR="00982609">
        <w:t> </w:t>
      </w:r>
      <w:r>
        <w:t xml:space="preserve">dominicaine, la </w:t>
      </w:r>
      <w:r w:rsidRPr="00061469">
        <w:t>Papouasie-Nouvelle-Guinée, le Rwanda, le Sénégal, la Sierra</w:t>
      </w:r>
      <w:r w:rsidR="00982609" w:rsidRPr="00061469">
        <w:t> </w:t>
      </w:r>
      <w:r w:rsidRPr="00061469">
        <w:t>Leone, Trinité-et-Tobago, l</w:t>
      </w:r>
      <w:r w:rsidR="006C43DF" w:rsidRPr="00061469">
        <w:t>'</w:t>
      </w:r>
      <w:r w:rsidRPr="00061469">
        <w:t>Ouganda et la Zambie. À</w:t>
      </w:r>
      <w:r>
        <w:t xml:space="preserve"> la fin de 2025, ces huit centres avaient permis de dispenser des formations élémentaires et intermédiaires sur les compétences numériques à près de 227 000 participants (dont 54% de femmes). Au total, plus de 422 000 personnes (dont 54% de femmes) ont bénéficié de formations entre 2022 et</w:t>
      </w:r>
      <w:r w:rsidR="00A47656">
        <w:t> </w:t>
      </w:r>
      <w:r>
        <w:t>2025 (voir le Tableau 2 ci-dessous pour plus de précisions).</w:t>
      </w:r>
    </w:p>
    <w:p w14:paraId="0842655F" w14:textId="77777777" w:rsidR="00F613EA" w:rsidRPr="005C0507" w:rsidRDefault="00F613EA" w:rsidP="00F613EA">
      <w:pPr>
        <w:pStyle w:val="TableNo"/>
      </w:pPr>
      <w:r>
        <w:t>Tableau 2</w:t>
      </w:r>
    </w:p>
    <w:p w14:paraId="7637ACF9" w14:textId="77777777" w:rsidR="00F613EA" w:rsidRPr="001876CD" w:rsidRDefault="00F613EA" w:rsidP="001876CD">
      <w:pPr>
        <w:pStyle w:val="Tabletitle"/>
      </w:pPr>
      <w:r w:rsidRPr="001876CD">
        <w:t>Participants aux cours des centres DTC pour la période 2022-2025</w:t>
      </w:r>
    </w:p>
    <w:tbl>
      <w:tblPr>
        <w:tblW w:w="9209" w:type="dxa"/>
        <w:tblLayout w:type="fixed"/>
        <w:tblLook w:val="04A0" w:firstRow="1" w:lastRow="0" w:firstColumn="1" w:lastColumn="0" w:noHBand="0" w:noVBand="1"/>
      </w:tblPr>
      <w:tblGrid>
        <w:gridCol w:w="810"/>
        <w:gridCol w:w="885"/>
        <w:gridCol w:w="1185"/>
        <w:gridCol w:w="945"/>
        <w:gridCol w:w="1110"/>
        <w:gridCol w:w="885"/>
        <w:gridCol w:w="1405"/>
        <w:gridCol w:w="992"/>
        <w:gridCol w:w="992"/>
      </w:tblGrid>
      <w:tr w:rsidR="00F613EA" w:rsidRPr="00DA590B" w14:paraId="23BA1868" w14:textId="77777777" w:rsidTr="00FE3DE2">
        <w:trPr>
          <w:trHeight w:val="300"/>
        </w:trPr>
        <w:tc>
          <w:tcPr>
            <w:tcW w:w="810" w:type="dxa"/>
            <w:vMerge w:val="restart"/>
            <w:tcBorders>
              <w:top w:val="single" w:sz="4" w:space="0" w:color="auto"/>
              <w:left w:val="single" w:sz="4" w:space="0" w:color="auto"/>
              <w:right w:val="single" w:sz="8" w:space="0" w:color="auto"/>
            </w:tcBorders>
            <w:vAlign w:val="bottom"/>
          </w:tcPr>
          <w:p w14:paraId="50F3C6E4" w14:textId="77777777" w:rsidR="00F613EA" w:rsidRPr="005C0507" w:rsidRDefault="00F613EA" w:rsidP="001064C7">
            <w:pPr>
              <w:pStyle w:val="Tablehead"/>
              <w:rPr>
                <w:rFonts w:eastAsia="Aptos Narrow"/>
              </w:rPr>
            </w:pPr>
          </w:p>
        </w:tc>
        <w:tc>
          <w:tcPr>
            <w:tcW w:w="2070" w:type="dxa"/>
            <w:gridSpan w:val="2"/>
            <w:tcBorders>
              <w:top w:val="single" w:sz="8" w:space="0" w:color="auto"/>
              <w:left w:val="single" w:sz="8" w:space="0" w:color="auto"/>
              <w:bottom w:val="single" w:sz="8" w:space="0" w:color="auto"/>
              <w:right w:val="single" w:sz="8" w:space="0" w:color="auto"/>
            </w:tcBorders>
            <w:shd w:val="clear" w:color="auto" w:fill="A6C9EC"/>
            <w:vAlign w:val="center"/>
          </w:tcPr>
          <w:p w14:paraId="3321EB2D" w14:textId="77777777" w:rsidR="00F613EA" w:rsidRPr="005D72A5" w:rsidRDefault="00F613EA" w:rsidP="005D72A5">
            <w:pPr>
              <w:pStyle w:val="Tablehead"/>
              <w:rPr>
                <w:rFonts w:eastAsia="Aptos Narrow"/>
              </w:rPr>
            </w:pPr>
            <w:r w:rsidRPr="005D72A5">
              <w:t>2022</w:t>
            </w:r>
          </w:p>
        </w:tc>
        <w:tc>
          <w:tcPr>
            <w:tcW w:w="2055" w:type="dxa"/>
            <w:gridSpan w:val="2"/>
            <w:tcBorders>
              <w:top w:val="single" w:sz="8" w:space="0" w:color="auto"/>
              <w:left w:val="nil"/>
              <w:bottom w:val="single" w:sz="8" w:space="0" w:color="auto"/>
              <w:right w:val="single" w:sz="8" w:space="0" w:color="auto"/>
            </w:tcBorders>
            <w:shd w:val="clear" w:color="auto" w:fill="A6C9EC"/>
            <w:vAlign w:val="center"/>
          </w:tcPr>
          <w:p w14:paraId="3747E8BA" w14:textId="77777777" w:rsidR="00F613EA" w:rsidRPr="005D72A5" w:rsidRDefault="00F613EA" w:rsidP="005D72A5">
            <w:pPr>
              <w:pStyle w:val="Tablehead"/>
              <w:rPr>
                <w:rFonts w:eastAsia="Aptos Narrow"/>
              </w:rPr>
            </w:pPr>
            <w:r w:rsidRPr="005D72A5">
              <w:t>2023</w:t>
            </w:r>
          </w:p>
        </w:tc>
        <w:tc>
          <w:tcPr>
            <w:tcW w:w="2290" w:type="dxa"/>
            <w:gridSpan w:val="2"/>
            <w:tcBorders>
              <w:top w:val="single" w:sz="8" w:space="0" w:color="auto"/>
              <w:left w:val="nil"/>
              <w:bottom w:val="single" w:sz="8" w:space="0" w:color="auto"/>
              <w:right w:val="single" w:sz="8" w:space="0" w:color="auto"/>
            </w:tcBorders>
            <w:shd w:val="clear" w:color="auto" w:fill="A6C9EC"/>
            <w:vAlign w:val="center"/>
          </w:tcPr>
          <w:p w14:paraId="5CB7F711" w14:textId="77777777" w:rsidR="00F613EA" w:rsidRPr="005D72A5" w:rsidRDefault="00F613EA" w:rsidP="005D72A5">
            <w:pPr>
              <w:pStyle w:val="Tablehead"/>
              <w:rPr>
                <w:rFonts w:eastAsia="Aptos Narrow"/>
              </w:rPr>
            </w:pPr>
            <w:r w:rsidRPr="005D72A5">
              <w:t>2024</w:t>
            </w:r>
          </w:p>
        </w:tc>
        <w:tc>
          <w:tcPr>
            <w:tcW w:w="1984" w:type="dxa"/>
            <w:gridSpan w:val="2"/>
            <w:tcBorders>
              <w:top w:val="single" w:sz="8" w:space="0" w:color="auto"/>
              <w:left w:val="nil"/>
              <w:bottom w:val="single" w:sz="8" w:space="0" w:color="auto"/>
              <w:right w:val="single" w:sz="8" w:space="0" w:color="auto"/>
            </w:tcBorders>
            <w:shd w:val="clear" w:color="auto" w:fill="A6C9EC"/>
            <w:vAlign w:val="center"/>
          </w:tcPr>
          <w:p w14:paraId="188E3CAB" w14:textId="77777777" w:rsidR="00F613EA" w:rsidRPr="005D72A5" w:rsidRDefault="00F613EA" w:rsidP="005D72A5">
            <w:pPr>
              <w:pStyle w:val="Tablehead"/>
              <w:rPr>
                <w:rFonts w:eastAsia="Aptos Narrow"/>
              </w:rPr>
            </w:pPr>
            <w:r w:rsidRPr="005D72A5">
              <w:t>2025</w:t>
            </w:r>
          </w:p>
        </w:tc>
      </w:tr>
      <w:tr w:rsidR="00F613EA" w:rsidRPr="00445401" w14:paraId="71315747" w14:textId="77777777" w:rsidTr="00E07C26">
        <w:trPr>
          <w:trHeight w:val="300"/>
        </w:trPr>
        <w:tc>
          <w:tcPr>
            <w:tcW w:w="810" w:type="dxa"/>
            <w:vMerge/>
            <w:tcBorders>
              <w:top w:val="single" w:sz="8" w:space="0" w:color="auto"/>
              <w:left w:val="single" w:sz="4" w:space="0" w:color="auto"/>
              <w:bottom w:val="single" w:sz="4" w:space="0" w:color="auto"/>
              <w:right w:val="single" w:sz="4" w:space="0" w:color="auto"/>
            </w:tcBorders>
            <w:vAlign w:val="center"/>
          </w:tcPr>
          <w:p w14:paraId="35470EAC" w14:textId="77777777" w:rsidR="00F613EA" w:rsidRPr="00445401" w:rsidRDefault="00F613EA" w:rsidP="001064C7">
            <w:pPr>
              <w:pStyle w:val="Tablehead"/>
            </w:pPr>
          </w:p>
        </w:tc>
        <w:tc>
          <w:tcPr>
            <w:tcW w:w="885" w:type="dxa"/>
            <w:tcBorders>
              <w:top w:val="single" w:sz="8" w:space="0" w:color="auto"/>
              <w:left w:val="single" w:sz="4" w:space="0" w:color="auto"/>
              <w:bottom w:val="single" w:sz="4" w:space="0" w:color="auto"/>
              <w:right w:val="single" w:sz="8" w:space="0" w:color="auto"/>
            </w:tcBorders>
            <w:shd w:val="clear" w:color="auto" w:fill="A6C9EC"/>
            <w:vAlign w:val="center"/>
          </w:tcPr>
          <w:p w14:paraId="020A9B81" w14:textId="77777777" w:rsidR="00F613EA" w:rsidRPr="005D72A5" w:rsidRDefault="00F613EA" w:rsidP="005D72A5">
            <w:pPr>
              <w:pStyle w:val="Tablehead"/>
              <w:rPr>
                <w:rFonts w:eastAsia="Aptos Narrow"/>
              </w:rPr>
            </w:pPr>
            <w:r w:rsidRPr="005D72A5">
              <w:t>Total</w:t>
            </w:r>
          </w:p>
        </w:tc>
        <w:tc>
          <w:tcPr>
            <w:tcW w:w="1185" w:type="dxa"/>
            <w:tcBorders>
              <w:top w:val="nil"/>
              <w:left w:val="single" w:sz="8" w:space="0" w:color="auto"/>
              <w:bottom w:val="single" w:sz="4" w:space="0" w:color="auto"/>
              <w:right w:val="single" w:sz="8" w:space="0" w:color="auto"/>
            </w:tcBorders>
            <w:shd w:val="clear" w:color="auto" w:fill="A6C9EC"/>
            <w:vAlign w:val="center"/>
          </w:tcPr>
          <w:p w14:paraId="6BFC4E1F" w14:textId="77777777" w:rsidR="00F613EA" w:rsidRPr="005D72A5" w:rsidRDefault="00F613EA" w:rsidP="005D72A5">
            <w:pPr>
              <w:pStyle w:val="Tablehead"/>
              <w:rPr>
                <w:rFonts w:eastAsia="Aptos Narrow"/>
              </w:rPr>
            </w:pPr>
            <w:r w:rsidRPr="005D72A5">
              <w:t>Part de femmes</w:t>
            </w:r>
          </w:p>
        </w:tc>
        <w:tc>
          <w:tcPr>
            <w:tcW w:w="945" w:type="dxa"/>
            <w:tcBorders>
              <w:top w:val="single" w:sz="8" w:space="0" w:color="auto"/>
              <w:left w:val="single" w:sz="8" w:space="0" w:color="auto"/>
              <w:bottom w:val="single" w:sz="4" w:space="0" w:color="auto"/>
              <w:right w:val="single" w:sz="8" w:space="0" w:color="auto"/>
            </w:tcBorders>
            <w:shd w:val="clear" w:color="auto" w:fill="A6C9EC"/>
            <w:vAlign w:val="center"/>
          </w:tcPr>
          <w:p w14:paraId="494DE630" w14:textId="77777777" w:rsidR="00F613EA" w:rsidRPr="005D72A5" w:rsidRDefault="00F613EA" w:rsidP="005D72A5">
            <w:pPr>
              <w:pStyle w:val="Tablehead"/>
              <w:rPr>
                <w:rFonts w:eastAsia="Aptos Narrow"/>
              </w:rPr>
            </w:pPr>
            <w:r w:rsidRPr="005D72A5">
              <w:t>Total</w:t>
            </w:r>
          </w:p>
        </w:tc>
        <w:tc>
          <w:tcPr>
            <w:tcW w:w="1110" w:type="dxa"/>
            <w:tcBorders>
              <w:top w:val="nil"/>
              <w:left w:val="single" w:sz="8" w:space="0" w:color="auto"/>
              <w:bottom w:val="single" w:sz="4" w:space="0" w:color="auto"/>
              <w:right w:val="single" w:sz="8" w:space="0" w:color="auto"/>
            </w:tcBorders>
            <w:shd w:val="clear" w:color="auto" w:fill="A6C9EC"/>
            <w:vAlign w:val="center"/>
          </w:tcPr>
          <w:p w14:paraId="4C8491A2" w14:textId="77777777" w:rsidR="00F613EA" w:rsidRPr="005D72A5" w:rsidRDefault="00F613EA" w:rsidP="005D72A5">
            <w:pPr>
              <w:pStyle w:val="Tablehead"/>
              <w:rPr>
                <w:rFonts w:eastAsia="Aptos Narrow"/>
              </w:rPr>
            </w:pPr>
            <w:r w:rsidRPr="005D72A5">
              <w:t>Part de femmes</w:t>
            </w:r>
          </w:p>
        </w:tc>
        <w:tc>
          <w:tcPr>
            <w:tcW w:w="885" w:type="dxa"/>
            <w:tcBorders>
              <w:top w:val="single" w:sz="8" w:space="0" w:color="auto"/>
              <w:left w:val="single" w:sz="8" w:space="0" w:color="auto"/>
              <w:bottom w:val="single" w:sz="4" w:space="0" w:color="auto"/>
              <w:right w:val="single" w:sz="8" w:space="0" w:color="auto"/>
            </w:tcBorders>
            <w:shd w:val="clear" w:color="auto" w:fill="A6C9EC"/>
            <w:vAlign w:val="center"/>
          </w:tcPr>
          <w:p w14:paraId="14D3D7A9" w14:textId="77777777" w:rsidR="00F613EA" w:rsidRPr="005D72A5" w:rsidRDefault="00F613EA" w:rsidP="005D72A5">
            <w:pPr>
              <w:pStyle w:val="Tablehead"/>
              <w:rPr>
                <w:rFonts w:eastAsia="Aptos Narrow"/>
              </w:rPr>
            </w:pPr>
            <w:r w:rsidRPr="005D72A5">
              <w:t>Total</w:t>
            </w:r>
          </w:p>
        </w:tc>
        <w:tc>
          <w:tcPr>
            <w:tcW w:w="1405" w:type="dxa"/>
            <w:tcBorders>
              <w:top w:val="nil"/>
              <w:left w:val="single" w:sz="8" w:space="0" w:color="auto"/>
              <w:bottom w:val="single" w:sz="4" w:space="0" w:color="auto"/>
              <w:right w:val="single" w:sz="8" w:space="0" w:color="auto"/>
            </w:tcBorders>
            <w:shd w:val="clear" w:color="auto" w:fill="A6C9EC"/>
            <w:vAlign w:val="center"/>
          </w:tcPr>
          <w:p w14:paraId="1E051FC6" w14:textId="77777777" w:rsidR="00F613EA" w:rsidRPr="005D72A5" w:rsidRDefault="00F613EA" w:rsidP="005D72A5">
            <w:pPr>
              <w:pStyle w:val="Tablehead"/>
              <w:rPr>
                <w:rFonts w:eastAsia="Aptos Narrow"/>
              </w:rPr>
            </w:pPr>
            <w:r w:rsidRPr="005D72A5">
              <w:t>Pourcentage de femmes</w:t>
            </w:r>
          </w:p>
        </w:tc>
        <w:tc>
          <w:tcPr>
            <w:tcW w:w="992" w:type="dxa"/>
            <w:tcBorders>
              <w:top w:val="single" w:sz="8" w:space="0" w:color="auto"/>
              <w:left w:val="single" w:sz="8" w:space="0" w:color="auto"/>
              <w:bottom w:val="single" w:sz="4" w:space="0" w:color="auto"/>
              <w:right w:val="single" w:sz="8" w:space="0" w:color="auto"/>
            </w:tcBorders>
            <w:shd w:val="clear" w:color="auto" w:fill="A6C9EC"/>
            <w:vAlign w:val="center"/>
          </w:tcPr>
          <w:p w14:paraId="45A0BD4E" w14:textId="77777777" w:rsidR="00F613EA" w:rsidRPr="005D72A5" w:rsidRDefault="00F613EA" w:rsidP="005D72A5">
            <w:pPr>
              <w:pStyle w:val="Tablehead"/>
              <w:rPr>
                <w:rFonts w:eastAsia="Aptos Narrow"/>
              </w:rPr>
            </w:pPr>
            <w:r w:rsidRPr="005D72A5">
              <w:t>Total</w:t>
            </w:r>
          </w:p>
        </w:tc>
        <w:tc>
          <w:tcPr>
            <w:tcW w:w="992" w:type="dxa"/>
            <w:tcBorders>
              <w:top w:val="nil"/>
              <w:left w:val="single" w:sz="8" w:space="0" w:color="auto"/>
              <w:bottom w:val="single" w:sz="4" w:space="0" w:color="auto"/>
              <w:right w:val="single" w:sz="8" w:space="0" w:color="auto"/>
            </w:tcBorders>
            <w:shd w:val="clear" w:color="auto" w:fill="A6C9EC"/>
            <w:vAlign w:val="center"/>
          </w:tcPr>
          <w:p w14:paraId="428B3306" w14:textId="77777777" w:rsidR="00F613EA" w:rsidRPr="005D72A5" w:rsidRDefault="00F613EA" w:rsidP="005D72A5">
            <w:pPr>
              <w:pStyle w:val="Tablehead"/>
              <w:rPr>
                <w:rFonts w:eastAsia="Aptos Narrow"/>
              </w:rPr>
            </w:pPr>
            <w:r w:rsidRPr="005D72A5">
              <w:t>Part de femmes</w:t>
            </w:r>
          </w:p>
        </w:tc>
      </w:tr>
      <w:tr w:rsidR="00F613EA" w:rsidRPr="00445401" w14:paraId="2345B23E" w14:textId="77777777" w:rsidTr="00E07C26">
        <w:trPr>
          <w:trHeight w:val="615"/>
        </w:trPr>
        <w:tc>
          <w:tcPr>
            <w:tcW w:w="810" w:type="dxa"/>
            <w:tcBorders>
              <w:top w:val="single" w:sz="4" w:space="0" w:color="auto"/>
              <w:left w:val="single" w:sz="4" w:space="0" w:color="auto"/>
              <w:bottom w:val="single" w:sz="8" w:space="0" w:color="auto"/>
              <w:right w:val="single" w:sz="8" w:space="0" w:color="auto"/>
            </w:tcBorders>
          </w:tcPr>
          <w:p w14:paraId="0CEE206E" w14:textId="77777777" w:rsidR="00F613EA" w:rsidRPr="00A47656" w:rsidRDefault="00F613EA" w:rsidP="00A47656">
            <w:pPr>
              <w:pStyle w:val="Tabletext"/>
              <w:rPr>
                <w:rFonts w:eastAsia="Aptos Narrow"/>
              </w:rPr>
            </w:pPr>
            <w:r w:rsidRPr="00A47656">
              <w:t xml:space="preserve">PMA </w:t>
            </w:r>
          </w:p>
        </w:tc>
        <w:tc>
          <w:tcPr>
            <w:tcW w:w="885" w:type="dxa"/>
            <w:tcBorders>
              <w:top w:val="single" w:sz="4" w:space="0" w:color="auto"/>
              <w:left w:val="single" w:sz="8" w:space="0" w:color="auto"/>
              <w:bottom w:val="single" w:sz="8" w:space="0" w:color="auto"/>
              <w:right w:val="single" w:sz="8" w:space="0" w:color="auto"/>
            </w:tcBorders>
          </w:tcPr>
          <w:p w14:paraId="265EC326" w14:textId="77777777" w:rsidR="00F613EA" w:rsidRPr="00A47656" w:rsidRDefault="00F613EA" w:rsidP="00A47656">
            <w:pPr>
              <w:pStyle w:val="Tabletext"/>
              <w:jc w:val="right"/>
              <w:rPr>
                <w:rFonts w:eastAsia="Aptos Narrow"/>
              </w:rPr>
            </w:pPr>
            <w:r w:rsidRPr="00A47656">
              <w:t>1 912</w:t>
            </w:r>
          </w:p>
        </w:tc>
        <w:tc>
          <w:tcPr>
            <w:tcW w:w="1185" w:type="dxa"/>
            <w:tcBorders>
              <w:top w:val="single" w:sz="4" w:space="0" w:color="auto"/>
              <w:left w:val="single" w:sz="8" w:space="0" w:color="auto"/>
              <w:bottom w:val="single" w:sz="8" w:space="0" w:color="auto"/>
              <w:right w:val="single" w:sz="8" w:space="0" w:color="auto"/>
            </w:tcBorders>
          </w:tcPr>
          <w:p w14:paraId="1C716292" w14:textId="1F7B8C25" w:rsidR="00F613EA" w:rsidRPr="00A47656" w:rsidRDefault="00F613EA" w:rsidP="00A47656">
            <w:pPr>
              <w:pStyle w:val="Tabletext"/>
              <w:jc w:val="right"/>
              <w:rPr>
                <w:rFonts w:eastAsia="Aptos Narrow"/>
              </w:rPr>
            </w:pPr>
            <w:r w:rsidRPr="00A47656">
              <w:t>23%</w:t>
            </w:r>
          </w:p>
        </w:tc>
        <w:tc>
          <w:tcPr>
            <w:tcW w:w="945" w:type="dxa"/>
            <w:tcBorders>
              <w:top w:val="single" w:sz="4" w:space="0" w:color="auto"/>
              <w:left w:val="single" w:sz="8" w:space="0" w:color="auto"/>
              <w:bottom w:val="single" w:sz="8" w:space="0" w:color="auto"/>
              <w:right w:val="single" w:sz="8" w:space="0" w:color="auto"/>
            </w:tcBorders>
          </w:tcPr>
          <w:p w14:paraId="44DF45BE" w14:textId="77777777" w:rsidR="00F613EA" w:rsidRPr="00A47656" w:rsidRDefault="00F613EA" w:rsidP="00A47656">
            <w:pPr>
              <w:pStyle w:val="Tabletext"/>
              <w:jc w:val="right"/>
              <w:rPr>
                <w:rFonts w:eastAsia="Aptos Narrow"/>
              </w:rPr>
            </w:pPr>
            <w:r w:rsidRPr="00A47656">
              <w:t>10 462</w:t>
            </w:r>
          </w:p>
        </w:tc>
        <w:tc>
          <w:tcPr>
            <w:tcW w:w="1110" w:type="dxa"/>
            <w:tcBorders>
              <w:top w:val="single" w:sz="4" w:space="0" w:color="auto"/>
              <w:left w:val="single" w:sz="8" w:space="0" w:color="auto"/>
              <w:bottom w:val="single" w:sz="8" w:space="0" w:color="auto"/>
              <w:right w:val="single" w:sz="8" w:space="0" w:color="auto"/>
            </w:tcBorders>
          </w:tcPr>
          <w:p w14:paraId="44836789" w14:textId="10E13250" w:rsidR="00F613EA" w:rsidRPr="00A47656" w:rsidRDefault="00F613EA" w:rsidP="00A47656">
            <w:pPr>
              <w:pStyle w:val="Tabletext"/>
              <w:jc w:val="right"/>
              <w:rPr>
                <w:rFonts w:eastAsia="Aptos Narrow"/>
              </w:rPr>
            </w:pPr>
            <w:r w:rsidRPr="00A47656">
              <w:t>28%</w:t>
            </w:r>
          </w:p>
        </w:tc>
        <w:tc>
          <w:tcPr>
            <w:tcW w:w="885" w:type="dxa"/>
            <w:tcBorders>
              <w:top w:val="single" w:sz="4" w:space="0" w:color="auto"/>
              <w:left w:val="single" w:sz="8" w:space="0" w:color="auto"/>
              <w:bottom w:val="single" w:sz="8" w:space="0" w:color="auto"/>
              <w:right w:val="single" w:sz="8" w:space="0" w:color="auto"/>
            </w:tcBorders>
          </w:tcPr>
          <w:p w14:paraId="0027C0A0" w14:textId="77777777" w:rsidR="00F613EA" w:rsidRPr="00A47656" w:rsidRDefault="00F613EA" w:rsidP="00A47656">
            <w:pPr>
              <w:pStyle w:val="Tabletext"/>
              <w:jc w:val="right"/>
              <w:rPr>
                <w:rFonts w:eastAsia="Aptos Narrow"/>
              </w:rPr>
            </w:pPr>
            <w:r w:rsidRPr="00A47656">
              <w:t>70 482</w:t>
            </w:r>
          </w:p>
        </w:tc>
        <w:tc>
          <w:tcPr>
            <w:tcW w:w="1405" w:type="dxa"/>
            <w:tcBorders>
              <w:top w:val="single" w:sz="4" w:space="0" w:color="auto"/>
              <w:left w:val="single" w:sz="8" w:space="0" w:color="auto"/>
              <w:bottom w:val="single" w:sz="8" w:space="0" w:color="auto"/>
              <w:right w:val="single" w:sz="8" w:space="0" w:color="auto"/>
            </w:tcBorders>
          </w:tcPr>
          <w:p w14:paraId="1015630A" w14:textId="3E1042D8" w:rsidR="00F613EA" w:rsidRPr="00A47656" w:rsidRDefault="00F613EA" w:rsidP="00A47656">
            <w:pPr>
              <w:pStyle w:val="Tabletext"/>
              <w:jc w:val="right"/>
              <w:rPr>
                <w:rFonts w:eastAsia="Aptos Narrow"/>
              </w:rPr>
            </w:pPr>
            <w:r w:rsidRPr="00A47656">
              <w:t>53%</w:t>
            </w:r>
          </w:p>
        </w:tc>
        <w:tc>
          <w:tcPr>
            <w:tcW w:w="992" w:type="dxa"/>
            <w:tcBorders>
              <w:top w:val="single" w:sz="4" w:space="0" w:color="auto"/>
              <w:left w:val="single" w:sz="8" w:space="0" w:color="auto"/>
              <w:bottom w:val="single" w:sz="8" w:space="0" w:color="auto"/>
              <w:right w:val="single" w:sz="8" w:space="0" w:color="auto"/>
            </w:tcBorders>
          </w:tcPr>
          <w:p w14:paraId="1F8530DB" w14:textId="77777777" w:rsidR="00F613EA" w:rsidRPr="00A47656" w:rsidRDefault="00F613EA" w:rsidP="00A47656">
            <w:pPr>
              <w:pStyle w:val="Tabletext"/>
              <w:jc w:val="right"/>
              <w:rPr>
                <w:rFonts w:eastAsia="Aptos Narrow"/>
              </w:rPr>
            </w:pPr>
            <w:r w:rsidRPr="00A47656">
              <w:t>140 251</w:t>
            </w:r>
          </w:p>
        </w:tc>
        <w:tc>
          <w:tcPr>
            <w:tcW w:w="992" w:type="dxa"/>
            <w:tcBorders>
              <w:top w:val="single" w:sz="4" w:space="0" w:color="auto"/>
              <w:left w:val="single" w:sz="8" w:space="0" w:color="auto"/>
              <w:bottom w:val="single" w:sz="8" w:space="0" w:color="auto"/>
              <w:right w:val="single" w:sz="8" w:space="0" w:color="auto"/>
            </w:tcBorders>
          </w:tcPr>
          <w:p w14:paraId="53B00892" w14:textId="22F10629" w:rsidR="00F613EA" w:rsidRPr="00A47656" w:rsidRDefault="00F613EA" w:rsidP="00A47656">
            <w:pPr>
              <w:pStyle w:val="Tabletext"/>
              <w:jc w:val="right"/>
              <w:rPr>
                <w:rFonts w:eastAsia="Aptos Narrow"/>
              </w:rPr>
            </w:pPr>
            <w:r w:rsidRPr="00A47656">
              <w:t>50%</w:t>
            </w:r>
          </w:p>
        </w:tc>
      </w:tr>
      <w:tr w:rsidR="00F613EA" w:rsidRPr="00445401" w14:paraId="651D92C9" w14:textId="77777777" w:rsidTr="00E07C26">
        <w:trPr>
          <w:trHeight w:val="300"/>
        </w:trPr>
        <w:tc>
          <w:tcPr>
            <w:tcW w:w="810" w:type="dxa"/>
            <w:tcBorders>
              <w:top w:val="single" w:sz="8" w:space="0" w:color="auto"/>
              <w:left w:val="single" w:sz="4" w:space="0" w:color="auto"/>
              <w:bottom w:val="single" w:sz="8" w:space="0" w:color="auto"/>
              <w:right w:val="single" w:sz="8" w:space="0" w:color="auto"/>
            </w:tcBorders>
          </w:tcPr>
          <w:p w14:paraId="43D3A8E6" w14:textId="77777777" w:rsidR="00F613EA" w:rsidRPr="00A47656" w:rsidRDefault="00F613EA" w:rsidP="00A47656">
            <w:pPr>
              <w:pStyle w:val="Tabletext"/>
              <w:rPr>
                <w:rFonts w:eastAsia="Aptos Narrow"/>
              </w:rPr>
            </w:pPr>
            <w:r w:rsidRPr="00A47656">
              <w:t xml:space="preserve">PDSL </w:t>
            </w:r>
          </w:p>
        </w:tc>
        <w:tc>
          <w:tcPr>
            <w:tcW w:w="885" w:type="dxa"/>
            <w:tcBorders>
              <w:top w:val="single" w:sz="8" w:space="0" w:color="auto"/>
              <w:left w:val="single" w:sz="8" w:space="0" w:color="auto"/>
              <w:bottom w:val="single" w:sz="8" w:space="0" w:color="auto"/>
              <w:right w:val="single" w:sz="8" w:space="0" w:color="auto"/>
            </w:tcBorders>
          </w:tcPr>
          <w:p w14:paraId="2A03581F" w14:textId="77777777" w:rsidR="00F613EA" w:rsidRPr="00A47656" w:rsidRDefault="00F613EA" w:rsidP="00A47656">
            <w:pPr>
              <w:pStyle w:val="Tabletext"/>
              <w:jc w:val="right"/>
              <w:rPr>
                <w:rFonts w:eastAsia="Aptos Narrow"/>
              </w:rPr>
            </w:pPr>
            <w:r w:rsidRPr="00A47656">
              <w:t>1 912</w:t>
            </w:r>
          </w:p>
        </w:tc>
        <w:tc>
          <w:tcPr>
            <w:tcW w:w="1185" w:type="dxa"/>
            <w:tcBorders>
              <w:top w:val="single" w:sz="8" w:space="0" w:color="auto"/>
              <w:left w:val="single" w:sz="8" w:space="0" w:color="auto"/>
              <w:bottom w:val="single" w:sz="8" w:space="0" w:color="auto"/>
              <w:right w:val="single" w:sz="8" w:space="0" w:color="auto"/>
            </w:tcBorders>
          </w:tcPr>
          <w:p w14:paraId="5D586B8F" w14:textId="5CCC2A31" w:rsidR="00F613EA" w:rsidRPr="00A47656" w:rsidRDefault="00F613EA" w:rsidP="00A47656">
            <w:pPr>
              <w:pStyle w:val="Tabletext"/>
              <w:jc w:val="right"/>
              <w:rPr>
                <w:rFonts w:eastAsia="Aptos Narrow"/>
              </w:rPr>
            </w:pPr>
            <w:r w:rsidRPr="00A47656">
              <w:t>23%</w:t>
            </w:r>
          </w:p>
        </w:tc>
        <w:tc>
          <w:tcPr>
            <w:tcW w:w="945" w:type="dxa"/>
            <w:tcBorders>
              <w:top w:val="single" w:sz="8" w:space="0" w:color="auto"/>
              <w:left w:val="single" w:sz="8" w:space="0" w:color="auto"/>
              <w:bottom w:val="single" w:sz="8" w:space="0" w:color="auto"/>
              <w:right w:val="single" w:sz="8" w:space="0" w:color="auto"/>
            </w:tcBorders>
          </w:tcPr>
          <w:p w14:paraId="24234609" w14:textId="77777777" w:rsidR="00F613EA" w:rsidRPr="00A47656" w:rsidRDefault="00F613EA" w:rsidP="00A47656">
            <w:pPr>
              <w:pStyle w:val="Tabletext"/>
              <w:jc w:val="right"/>
              <w:rPr>
                <w:rFonts w:eastAsia="Aptos Narrow"/>
              </w:rPr>
            </w:pPr>
            <w:r w:rsidRPr="00A47656">
              <w:t>10 462</w:t>
            </w:r>
          </w:p>
        </w:tc>
        <w:tc>
          <w:tcPr>
            <w:tcW w:w="1110" w:type="dxa"/>
            <w:tcBorders>
              <w:top w:val="single" w:sz="8" w:space="0" w:color="auto"/>
              <w:left w:val="single" w:sz="8" w:space="0" w:color="auto"/>
              <w:bottom w:val="single" w:sz="8" w:space="0" w:color="auto"/>
              <w:right w:val="single" w:sz="8" w:space="0" w:color="auto"/>
            </w:tcBorders>
          </w:tcPr>
          <w:p w14:paraId="78428F1F" w14:textId="2A53D25F" w:rsidR="00F613EA" w:rsidRPr="00A47656" w:rsidRDefault="00F613EA" w:rsidP="00A47656">
            <w:pPr>
              <w:pStyle w:val="Tabletext"/>
              <w:jc w:val="right"/>
              <w:rPr>
                <w:rFonts w:eastAsia="Aptos Narrow"/>
              </w:rPr>
            </w:pPr>
            <w:r w:rsidRPr="00A47656">
              <w:t>28%</w:t>
            </w:r>
          </w:p>
        </w:tc>
        <w:tc>
          <w:tcPr>
            <w:tcW w:w="885" w:type="dxa"/>
            <w:tcBorders>
              <w:top w:val="single" w:sz="8" w:space="0" w:color="auto"/>
              <w:left w:val="single" w:sz="8" w:space="0" w:color="auto"/>
              <w:bottom w:val="single" w:sz="8" w:space="0" w:color="auto"/>
              <w:right w:val="single" w:sz="8" w:space="0" w:color="auto"/>
            </w:tcBorders>
          </w:tcPr>
          <w:p w14:paraId="2C799FE2" w14:textId="77777777" w:rsidR="00F613EA" w:rsidRPr="00A47656" w:rsidRDefault="00F613EA" w:rsidP="00A47656">
            <w:pPr>
              <w:pStyle w:val="Tabletext"/>
              <w:jc w:val="right"/>
              <w:rPr>
                <w:rFonts w:eastAsia="Aptos Narrow"/>
              </w:rPr>
            </w:pPr>
            <w:r w:rsidRPr="00A47656">
              <w:t>12 825</w:t>
            </w:r>
          </w:p>
        </w:tc>
        <w:tc>
          <w:tcPr>
            <w:tcW w:w="1405" w:type="dxa"/>
            <w:tcBorders>
              <w:top w:val="single" w:sz="8" w:space="0" w:color="auto"/>
              <w:left w:val="single" w:sz="8" w:space="0" w:color="auto"/>
              <w:bottom w:val="single" w:sz="8" w:space="0" w:color="auto"/>
              <w:right w:val="single" w:sz="8" w:space="0" w:color="auto"/>
            </w:tcBorders>
          </w:tcPr>
          <w:p w14:paraId="50F77240" w14:textId="09A5F0B7" w:rsidR="00F613EA" w:rsidRPr="00A47656" w:rsidRDefault="00F613EA" w:rsidP="00A47656">
            <w:pPr>
              <w:pStyle w:val="Tabletext"/>
              <w:jc w:val="right"/>
              <w:rPr>
                <w:rFonts w:eastAsia="Aptos Narrow"/>
              </w:rPr>
            </w:pPr>
            <w:r w:rsidRPr="00A47656">
              <w:t>31%</w:t>
            </w:r>
          </w:p>
        </w:tc>
        <w:tc>
          <w:tcPr>
            <w:tcW w:w="992" w:type="dxa"/>
            <w:tcBorders>
              <w:top w:val="single" w:sz="8" w:space="0" w:color="auto"/>
              <w:left w:val="single" w:sz="8" w:space="0" w:color="auto"/>
              <w:bottom w:val="single" w:sz="8" w:space="0" w:color="auto"/>
              <w:right w:val="single" w:sz="8" w:space="0" w:color="auto"/>
            </w:tcBorders>
          </w:tcPr>
          <w:p w14:paraId="3FE6D03A" w14:textId="77777777" w:rsidR="00F613EA" w:rsidRPr="00A47656" w:rsidRDefault="00F613EA" w:rsidP="00A47656">
            <w:pPr>
              <w:pStyle w:val="Tabletext"/>
              <w:jc w:val="right"/>
              <w:rPr>
                <w:rFonts w:eastAsia="Aptos Narrow"/>
              </w:rPr>
            </w:pPr>
            <w:r w:rsidRPr="00A47656">
              <w:t>42 846</w:t>
            </w:r>
          </w:p>
        </w:tc>
        <w:tc>
          <w:tcPr>
            <w:tcW w:w="992" w:type="dxa"/>
            <w:tcBorders>
              <w:top w:val="single" w:sz="8" w:space="0" w:color="auto"/>
              <w:left w:val="single" w:sz="8" w:space="0" w:color="auto"/>
              <w:bottom w:val="single" w:sz="8" w:space="0" w:color="auto"/>
              <w:right w:val="single" w:sz="8" w:space="0" w:color="auto"/>
            </w:tcBorders>
          </w:tcPr>
          <w:p w14:paraId="14CF05C8" w14:textId="138622EC" w:rsidR="00F613EA" w:rsidRPr="00A47656" w:rsidRDefault="00F613EA" w:rsidP="00A47656">
            <w:pPr>
              <w:pStyle w:val="Tabletext"/>
              <w:jc w:val="right"/>
              <w:rPr>
                <w:rFonts w:eastAsia="Aptos Narrow"/>
              </w:rPr>
            </w:pPr>
            <w:r w:rsidRPr="00A47656">
              <w:t>28%</w:t>
            </w:r>
          </w:p>
        </w:tc>
      </w:tr>
      <w:tr w:rsidR="00F613EA" w:rsidRPr="00445401" w14:paraId="0E8E4993" w14:textId="77777777" w:rsidTr="00E07C26">
        <w:trPr>
          <w:trHeight w:val="300"/>
        </w:trPr>
        <w:tc>
          <w:tcPr>
            <w:tcW w:w="810" w:type="dxa"/>
            <w:tcBorders>
              <w:top w:val="single" w:sz="8" w:space="0" w:color="auto"/>
              <w:left w:val="single" w:sz="4" w:space="0" w:color="auto"/>
              <w:bottom w:val="single" w:sz="8" w:space="0" w:color="auto"/>
              <w:right w:val="single" w:sz="8" w:space="0" w:color="auto"/>
            </w:tcBorders>
          </w:tcPr>
          <w:p w14:paraId="3A950DA6" w14:textId="77777777" w:rsidR="00F613EA" w:rsidRPr="00A47656" w:rsidRDefault="00F613EA" w:rsidP="00A47656">
            <w:pPr>
              <w:pStyle w:val="Tabletext"/>
              <w:rPr>
                <w:rFonts w:eastAsia="Aptos Narrow"/>
              </w:rPr>
            </w:pPr>
            <w:r w:rsidRPr="00A47656">
              <w:t xml:space="preserve">PEID </w:t>
            </w:r>
          </w:p>
        </w:tc>
        <w:tc>
          <w:tcPr>
            <w:tcW w:w="885" w:type="dxa"/>
            <w:tcBorders>
              <w:top w:val="single" w:sz="8" w:space="0" w:color="auto"/>
              <w:left w:val="single" w:sz="8" w:space="0" w:color="auto"/>
              <w:bottom w:val="single" w:sz="8" w:space="0" w:color="auto"/>
              <w:right w:val="single" w:sz="8" w:space="0" w:color="auto"/>
            </w:tcBorders>
          </w:tcPr>
          <w:p w14:paraId="033970FA" w14:textId="77777777" w:rsidR="00F613EA" w:rsidRPr="00A47656" w:rsidRDefault="00F613EA" w:rsidP="00A47656">
            <w:pPr>
              <w:pStyle w:val="Tabletext"/>
              <w:jc w:val="right"/>
              <w:rPr>
                <w:rFonts w:eastAsia="Aptos Narrow"/>
              </w:rPr>
            </w:pPr>
            <w:r w:rsidRPr="00A47656">
              <w:t>16 742</w:t>
            </w:r>
          </w:p>
        </w:tc>
        <w:tc>
          <w:tcPr>
            <w:tcW w:w="1185" w:type="dxa"/>
            <w:tcBorders>
              <w:top w:val="single" w:sz="8" w:space="0" w:color="auto"/>
              <w:left w:val="single" w:sz="8" w:space="0" w:color="auto"/>
              <w:bottom w:val="single" w:sz="8" w:space="0" w:color="auto"/>
              <w:right w:val="single" w:sz="8" w:space="0" w:color="auto"/>
            </w:tcBorders>
          </w:tcPr>
          <w:p w14:paraId="4DAFC7DD" w14:textId="44FDEF25" w:rsidR="00F613EA" w:rsidRPr="00A47656" w:rsidRDefault="00F613EA" w:rsidP="00A47656">
            <w:pPr>
              <w:pStyle w:val="Tabletext"/>
              <w:jc w:val="right"/>
              <w:rPr>
                <w:rFonts w:eastAsia="Aptos Narrow"/>
              </w:rPr>
            </w:pPr>
            <w:r w:rsidRPr="00A47656">
              <w:t>53%</w:t>
            </w:r>
          </w:p>
        </w:tc>
        <w:tc>
          <w:tcPr>
            <w:tcW w:w="945" w:type="dxa"/>
            <w:tcBorders>
              <w:top w:val="single" w:sz="8" w:space="0" w:color="auto"/>
              <w:left w:val="single" w:sz="8" w:space="0" w:color="auto"/>
              <w:bottom w:val="single" w:sz="8" w:space="0" w:color="auto"/>
              <w:right w:val="single" w:sz="8" w:space="0" w:color="auto"/>
            </w:tcBorders>
          </w:tcPr>
          <w:p w14:paraId="6B934718" w14:textId="77777777" w:rsidR="00F613EA" w:rsidRPr="00A47656" w:rsidRDefault="00F613EA" w:rsidP="00A47656">
            <w:pPr>
              <w:pStyle w:val="Tabletext"/>
              <w:jc w:val="right"/>
              <w:rPr>
                <w:rFonts w:eastAsia="Aptos Narrow"/>
              </w:rPr>
            </w:pPr>
            <w:r w:rsidRPr="00A47656">
              <w:t>50 995</w:t>
            </w:r>
          </w:p>
        </w:tc>
        <w:tc>
          <w:tcPr>
            <w:tcW w:w="1110" w:type="dxa"/>
            <w:tcBorders>
              <w:top w:val="single" w:sz="8" w:space="0" w:color="auto"/>
              <w:left w:val="single" w:sz="8" w:space="0" w:color="auto"/>
              <w:bottom w:val="single" w:sz="8" w:space="0" w:color="auto"/>
              <w:right w:val="single" w:sz="8" w:space="0" w:color="auto"/>
            </w:tcBorders>
          </w:tcPr>
          <w:p w14:paraId="0C1B6473" w14:textId="6CBA5FE6" w:rsidR="00F613EA" w:rsidRPr="00A47656" w:rsidRDefault="00F613EA" w:rsidP="00A47656">
            <w:pPr>
              <w:pStyle w:val="Tabletext"/>
              <w:jc w:val="right"/>
              <w:rPr>
                <w:rFonts w:eastAsia="Aptos Narrow"/>
              </w:rPr>
            </w:pPr>
            <w:r w:rsidRPr="00A47656">
              <w:t>57%</w:t>
            </w:r>
          </w:p>
        </w:tc>
        <w:tc>
          <w:tcPr>
            <w:tcW w:w="885" w:type="dxa"/>
            <w:tcBorders>
              <w:top w:val="single" w:sz="8" w:space="0" w:color="auto"/>
              <w:left w:val="single" w:sz="8" w:space="0" w:color="auto"/>
              <w:bottom w:val="single" w:sz="8" w:space="0" w:color="auto"/>
              <w:right w:val="single" w:sz="8" w:space="0" w:color="auto"/>
            </w:tcBorders>
          </w:tcPr>
          <w:p w14:paraId="11E945A7" w14:textId="77777777" w:rsidR="00F613EA" w:rsidRPr="00A47656" w:rsidRDefault="00F613EA" w:rsidP="00A47656">
            <w:pPr>
              <w:pStyle w:val="Tabletext"/>
              <w:jc w:val="right"/>
              <w:rPr>
                <w:rFonts w:eastAsia="Aptos Narrow"/>
              </w:rPr>
            </w:pPr>
            <w:r w:rsidRPr="00A47656">
              <w:t>44 494</w:t>
            </w:r>
          </w:p>
        </w:tc>
        <w:tc>
          <w:tcPr>
            <w:tcW w:w="1405" w:type="dxa"/>
            <w:tcBorders>
              <w:top w:val="single" w:sz="8" w:space="0" w:color="auto"/>
              <w:left w:val="single" w:sz="8" w:space="0" w:color="auto"/>
              <w:bottom w:val="single" w:sz="8" w:space="0" w:color="auto"/>
              <w:right w:val="single" w:sz="8" w:space="0" w:color="auto"/>
            </w:tcBorders>
          </w:tcPr>
          <w:p w14:paraId="3D21E226" w14:textId="577048CE" w:rsidR="00F613EA" w:rsidRPr="00A47656" w:rsidRDefault="00F613EA" w:rsidP="00A47656">
            <w:pPr>
              <w:pStyle w:val="Tabletext"/>
              <w:jc w:val="right"/>
              <w:rPr>
                <w:rFonts w:eastAsia="Aptos Narrow"/>
              </w:rPr>
            </w:pPr>
            <w:r w:rsidRPr="00A47656">
              <w:t>61%</w:t>
            </w:r>
          </w:p>
        </w:tc>
        <w:tc>
          <w:tcPr>
            <w:tcW w:w="992" w:type="dxa"/>
            <w:tcBorders>
              <w:top w:val="single" w:sz="8" w:space="0" w:color="auto"/>
              <w:left w:val="single" w:sz="8" w:space="0" w:color="auto"/>
              <w:bottom w:val="single" w:sz="8" w:space="0" w:color="auto"/>
              <w:right w:val="single" w:sz="8" w:space="0" w:color="auto"/>
            </w:tcBorders>
          </w:tcPr>
          <w:p w14:paraId="57ED9469" w14:textId="77777777" w:rsidR="00F613EA" w:rsidRPr="00A47656" w:rsidRDefault="00F613EA" w:rsidP="00A47656">
            <w:pPr>
              <w:pStyle w:val="Tabletext"/>
              <w:jc w:val="right"/>
              <w:rPr>
                <w:rFonts w:eastAsia="Aptos Narrow"/>
              </w:rPr>
            </w:pPr>
            <w:r w:rsidRPr="00A47656">
              <w:t>86 691</w:t>
            </w:r>
          </w:p>
        </w:tc>
        <w:tc>
          <w:tcPr>
            <w:tcW w:w="992" w:type="dxa"/>
            <w:tcBorders>
              <w:top w:val="single" w:sz="8" w:space="0" w:color="auto"/>
              <w:left w:val="single" w:sz="8" w:space="0" w:color="auto"/>
              <w:bottom w:val="single" w:sz="8" w:space="0" w:color="auto"/>
              <w:right w:val="single" w:sz="8" w:space="0" w:color="auto"/>
            </w:tcBorders>
          </w:tcPr>
          <w:p w14:paraId="50635A5C" w14:textId="1BF66AEA" w:rsidR="00F613EA" w:rsidRPr="00A47656" w:rsidRDefault="00F613EA" w:rsidP="00A47656">
            <w:pPr>
              <w:pStyle w:val="Tabletext"/>
              <w:jc w:val="right"/>
              <w:rPr>
                <w:rFonts w:eastAsia="Aptos Narrow"/>
              </w:rPr>
            </w:pPr>
            <w:r w:rsidRPr="00A47656">
              <w:t>59%</w:t>
            </w:r>
          </w:p>
        </w:tc>
      </w:tr>
    </w:tbl>
    <w:p w14:paraId="344B617F" w14:textId="77777777" w:rsidR="00B10CEF" w:rsidRDefault="00B10CEF" w:rsidP="00B10CEF">
      <w:pPr>
        <w:pStyle w:val="Tablefin"/>
      </w:pPr>
    </w:p>
    <w:p w14:paraId="119C6E8A" w14:textId="054146F2" w:rsidR="00F613EA" w:rsidRPr="005C0507" w:rsidRDefault="00F613EA" w:rsidP="00B10CEF">
      <w:pPr>
        <w:jc w:val="both"/>
        <w:rPr>
          <w:rFonts w:cs="Calibri"/>
        </w:rPr>
      </w:pPr>
      <w:r>
        <w:t xml:space="preserve">Le </w:t>
      </w:r>
      <w:hyperlink r:id="rId33" w:anchor="/fr" w:history="1">
        <w:r w:rsidRPr="00FE3DE2">
          <w:rPr>
            <w:rStyle w:val="Hyperlink"/>
            <w:rFonts w:eastAsia="Times New Roman" w:cs="Times New Roman"/>
            <w:szCs w:val="20"/>
          </w:rPr>
          <w:t>programme des centres de formation de l</w:t>
        </w:r>
        <w:r w:rsidR="006C43DF">
          <w:rPr>
            <w:rStyle w:val="Hyperlink"/>
            <w:rFonts w:eastAsia="Times New Roman" w:cs="Times New Roman"/>
            <w:szCs w:val="20"/>
          </w:rPr>
          <w:t>'</w:t>
        </w:r>
        <w:r w:rsidRPr="00FE3DE2">
          <w:rPr>
            <w:rStyle w:val="Hyperlink"/>
            <w:rFonts w:eastAsia="Times New Roman" w:cs="Times New Roman"/>
            <w:szCs w:val="20"/>
          </w:rPr>
          <w:t>Académie de l</w:t>
        </w:r>
        <w:r w:rsidR="006C43DF">
          <w:rPr>
            <w:rStyle w:val="Hyperlink"/>
            <w:rFonts w:eastAsia="Times New Roman" w:cs="Times New Roman"/>
            <w:szCs w:val="20"/>
          </w:rPr>
          <w:t>'</w:t>
        </w:r>
        <w:r w:rsidRPr="00FE3DE2">
          <w:rPr>
            <w:rStyle w:val="Hyperlink"/>
            <w:rFonts w:eastAsia="Times New Roman" w:cs="Times New Roman"/>
            <w:szCs w:val="20"/>
          </w:rPr>
          <w:t>UIT (ATC)</w:t>
        </w:r>
      </w:hyperlink>
      <w:r>
        <w:t>, lancé en 2023, contribue à renforcer les connaissances et les compétences des professionnels du secteur des TIC, des opérateurs de télécommunication, des régulateurs, des représentants des pouvoirs publics et des établissements universitaires, leur permettant ainsi de contribuer et de participer pleinement à la transformation numérique. Le programme forme un réseau mondial de partenaires de renforcement des capacités qui comprennent des établissements de formation publics, des universités et des entités privées. Parmi les 14 institutions participantes, deux sont situées dans des PMA, des PDSL, des PEID ou des pays dont l</w:t>
      </w:r>
      <w:r w:rsidR="006C43DF">
        <w:t>'</w:t>
      </w:r>
      <w:r>
        <w:t>économie est en transition: l</w:t>
      </w:r>
      <w:r w:rsidR="006C43DF">
        <w:t>'</w:t>
      </w:r>
      <w:r>
        <w:t>équipe d</w:t>
      </w:r>
      <w:r w:rsidR="006C43DF">
        <w:t>'</w:t>
      </w:r>
      <w:r>
        <w:t>intervention en cas d</w:t>
      </w:r>
      <w:r w:rsidR="006C43DF">
        <w:t>'</w:t>
      </w:r>
      <w:r>
        <w:t>urgence informatique de Maurice et la University of West Indies, qui a plusieurs campus en Jamaïque, à Trinité</w:t>
      </w:r>
      <w:r w:rsidR="00911B67">
        <w:noBreakHyphen/>
      </w:r>
      <w:r>
        <w:t>et</w:t>
      </w:r>
      <w:r w:rsidR="00911B67">
        <w:noBreakHyphen/>
      </w:r>
      <w:r>
        <w:t xml:space="preserve">Tobago et à la Barbade. À la fin de 2025, ces deux centres ATC avaient formé </w:t>
      </w:r>
      <w:r>
        <w:lastRenderedPageBreak/>
        <w:t>2</w:t>
      </w:r>
      <w:r w:rsidR="00911B67">
        <w:t> </w:t>
      </w:r>
      <w:r>
        <w:t>288</w:t>
      </w:r>
      <w:r w:rsidR="00911B67">
        <w:t> </w:t>
      </w:r>
      <w:r>
        <w:t>participants (dont 23% de femmes) et délivré un total de 659 certifications. Les formations dispensées portaient sur des sujets tels que les villes intelligentes, l</w:t>
      </w:r>
      <w:r w:rsidR="006C43DF">
        <w:t>'</w:t>
      </w:r>
      <w:r>
        <w:t>inclusion numérique et la cybersécurité.</w:t>
      </w:r>
      <w:hyperlink r:id="rId34" w:history="1"/>
    </w:p>
    <w:p w14:paraId="39495E47" w14:textId="77777777" w:rsidR="00F613EA" w:rsidRPr="008C294C" w:rsidRDefault="00F613EA" w:rsidP="00F613EA">
      <w:pPr>
        <w:pStyle w:val="Headingb"/>
      </w:pPr>
      <w:r w:rsidRPr="001876CD">
        <w:t>Projets et activités</w:t>
      </w:r>
    </w:p>
    <w:p w14:paraId="4EB2A1D5" w14:textId="1918B60B" w:rsidR="00F613EA" w:rsidRPr="005C0507" w:rsidRDefault="00F613EA" w:rsidP="00B10CEF">
      <w:pPr>
        <w:jc w:val="both"/>
        <w:rPr>
          <w:rFonts w:cs="Calibri"/>
        </w:rPr>
      </w:pPr>
      <w:r>
        <w:t xml:space="preserve">Compte tenu des besoins opérationnels pour la mise en </w:t>
      </w:r>
      <w:r w:rsidR="0058137D">
        <w:t>œuvre</w:t>
      </w:r>
      <w:r>
        <w:t xml:space="preserve"> des projets et la mobilisation des ressources soulignés dans la Résolution 30, la capacité d</w:t>
      </w:r>
      <w:r w:rsidR="006C43DF">
        <w:t>'</w:t>
      </w:r>
      <w:r>
        <w:t>exécution du Bureau reste essentielle pour sa stratégie. L</w:t>
      </w:r>
      <w:r w:rsidR="006C43DF">
        <w:t>'</w:t>
      </w:r>
      <w:r>
        <w:t>UIT a une double responsabilité en tant qu</w:t>
      </w:r>
      <w:r w:rsidR="006C43DF">
        <w:t>'</w:t>
      </w:r>
      <w:r>
        <w:t>institution spécialisée des Nations Unies et en tant qu</w:t>
      </w:r>
      <w:r w:rsidR="006C43DF">
        <w:t>'</w:t>
      </w:r>
      <w:r>
        <w:t>agent d</w:t>
      </w:r>
      <w:r w:rsidR="006C43DF">
        <w:t>'</w:t>
      </w:r>
      <w:r>
        <w:t>exécution. Le BDT de l</w:t>
      </w:r>
      <w:r w:rsidR="006C43DF">
        <w:t>'</w:t>
      </w:r>
      <w:r>
        <w:t>UIT jouit d</w:t>
      </w:r>
      <w:r w:rsidR="006C43DF">
        <w:t>'</w:t>
      </w:r>
      <w:r>
        <w:t>une longue expérience en matière d</w:t>
      </w:r>
      <w:r w:rsidR="006C43DF">
        <w:t>'</w:t>
      </w:r>
      <w:r>
        <w:t>exécution et de mise en œuvre de projets relatifs aux TIC au service du développement, à laquelle s</w:t>
      </w:r>
      <w:r w:rsidR="006C43DF">
        <w:t>'</w:t>
      </w:r>
      <w:r>
        <w:t>ajoutent ses compétences spécialisées en matière de mobilisation de ressources, de conception, de gestion et de mise en œuvre de projets, ainsi que de suivi et d</w:t>
      </w:r>
      <w:r w:rsidR="006C43DF">
        <w:t>'</w:t>
      </w:r>
      <w:r>
        <w:t>évaluation. De plus amples informations sur les travaux menés dans le cadre des projets de l</w:t>
      </w:r>
      <w:r w:rsidR="006C43DF">
        <w:t>'</w:t>
      </w:r>
      <w:r>
        <w:t xml:space="preserve">UIT-D figurent dans le </w:t>
      </w:r>
      <w:hyperlink r:id="rId35" w:history="1">
        <w:r w:rsidRPr="0058137D">
          <w:rPr>
            <w:rStyle w:val="Hyperlink"/>
            <w:rFonts w:eastAsia="Times New Roman" w:cs="Times New Roman"/>
            <w:szCs w:val="20"/>
          </w:rPr>
          <w:t>Document TDAG-26/2</w:t>
        </w:r>
      </w:hyperlink>
      <w:r>
        <w:t xml:space="preserve"> et le </w:t>
      </w:r>
      <w:hyperlink r:id="rId36" w:history="1">
        <w:r w:rsidRPr="0058137D">
          <w:rPr>
            <w:rStyle w:val="Hyperlink"/>
            <w:rFonts w:eastAsia="Times New Roman" w:cs="Times New Roman"/>
            <w:szCs w:val="20"/>
          </w:rPr>
          <w:t>Document</w:t>
        </w:r>
        <w:r w:rsidR="00911B67" w:rsidRPr="0058137D">
          <w:rPr>
            <w:rStyle w:val="Hyperlink"/>
            <w:rFonts w:eastAsia="Times New Roman" w:cs="Times New Roman"/>
            <w:szCs w:val="20"/>
          </w:rPr>
          <w:t> </w:t>
        </w:r>
        <w:proofErr w:type="spellStart"/>
        <w:r w:rsidRPr="0058137D">
          <w:rPr>
            <w:rStyle w:val="Hyperlink"/>
            <w:rFonts w:eastAsia="Times New Roman" w:cs="Times New Roman"/>
            <w:szCs w:val="20"/>
          </w:rPr>
          <w:t>WTDC</w:t>
        </w:r>
        <w:r w:rsidR="00FE3DE2" w:rsidRPr="0058137D">
          <w:rPr>
            <w:rStyle w:val="Hyperlink"/>
            <w:rFonts w:eastAsia="Times New Roman" w:cs="Times New Roman"/>
            <w:szCs w:val="20"/>
          </w:rPr>
          <w:noBreakHyphen/>
        </w:r>
        <w:r w:rsidRPr="0058137D">
          <w:rPr>
            <w:rStyle w:val="Hyperlink"/>
            <w:rFonts w:eastAsia="Times New Roman" w:cs="Times New Roman"/>
            <w:szCs w:val="20"/>
          </w:rPr>
          <w:t>25</w:t>
        </w:r>
        <w:proofErr w:type="spellEnd"/>
        <w:r w:rsidRPr="0058137D">
          <w:rPr>
            <w:rStyle w:val="Hyperlink"/>
            <w:rFonts w:eastAsia="Times New Roman" w:cs="Times New Roman"/>
            <w:szCs w:val="20"/>
          </w:rPr>
          <w:t>/2</w:t>
        </w:r>
      </w:hyperlink>
      <w:r>
        <w:t>.</w:t>
      </w:r>
      <w:hyperlink r:id="rId37"/>
      <w:hyperlink r:id="rId38"/>
    </w:p>
    <w:p w14:paraId="35F752A1" w14:textId="50FC2457" w:rsidR="00F613EA" w:rsidRPr="005C0507" w:rsidRDefault="00F613EA" w:rsidP="00B10CEF">
      <w:pPr>
        <w:jc w:val="both"/>
        <w:rPr>
          <w:rFonts w:cs="Calibri"/>
        </w:rPr>
      </w:pPr>
      <w:r>
        <w:t>Le portefeuille de projets de l</w:t>
      </w:r>
      <w:r w:rsidR="006C43DF">
        <w:t>'</w:t>
      </w:r>
      <w:r>
        <w:t>UIT comprend des projets mis en œuvre dans toutes les régions de l</w:t>
      </w:r>
      <w:r w:rsidR="006C43DF">
        <w:t>'</w:t>
      </w:r>
      <w:r>
        <w:t>Union et couvrant le large éventail de domaines de compétence de celle-ci. Les projets de l</w:t>
      </w:r>
      <w:r w:rsidR="006C43DF">
        <w:t>'</w:t>
      </w:r>
      <w:r>
        <w:t>UIT-D sont pour l</w:t>
      </w:r>
      <w:r w:rsidR="006C43DF">
        <w:t>'</w:t>
      </w:r>
      <w:r>
        <w:t>essentiel financés au moyen des contributions de partenaires de financement et, dans certains cas, et sous réserve du respect de critères d</w:t>
      </w:r>
      <w:r w:rsidR="006C43DF">
        <w:t>'</w:t>
      </w:r>
      <w:r>
        <w:t>admissibilité, au moyen du Fonds pour le développement des TIC (FDTIC). Créé en 1997, le FDTIC favorise la mise en œuvre de projets. Il s</w:t>
      </w:r>
      <w:r w:rsidR="006C43DF">
        <w:t>'</w:t>
      </w:r>
      <w:r>
        <w:t>appuie sur des partenariats multi-parties prenantes avec des États</w:t>
      </w:r>
      <w:r w:rsidR="0058137D">
        <w:t> </w:t>
      </w:r>
      <w:r>
        <w:t>Membres de l</w:t>
      </w:r>
      <w:r w:rsidR="006C43DF">
        <w:t>'</w:t>
      </w:r>
      <w:r>
        <w:t>UIT, des Membres de Secteur, les secteurs public et privé, des organisations multilatérales, des fondations, des institutions de financement et des organismes de développement. Ce fonds vise tout particulièrement à aider les PMA, les PDSL, les PEID, les pays dont l</w:t>
      </w:r>
      <w:r w:rsidR="006C43DF">
        <w:t>'</w:t>
      </w:r>
      <w:r>
        <w:t>économie est en transition et/ou les pays ayant des besoins particuliers. Depuis 2023, le FDTIC soutient également des projets contribuant à la mise en œuvre des initiatives régionales de la CMDT.</w:t>
      </w:r>
    </w:p>
    <w:p w14:paraId="6C29B3B1" w14:textId="1917E03F" w:rsidR="00F613EA" w:rsidRPr="005C0507" w:rsidRDefault="00F613EA" w:rsidP="00B10CEF">
      <w:pPr>
        <w:jc w:val="both"/>
        <w:rPr>
          <w:rFonts w:cs="Calibri"/>
        </w:rPr>
      </w:pPr>
      <w:r>
        <w:t>Les PMA, les PDSL et les PEID tirent régulièrement profit des projets de l</w:t>
      </w:r>
      <w:r w:rsidR="006C43DF">
        <w:t>'</w:t>
      </w:r>
      <w:r>
        <w:t>UIT-D. Au cours de la période 2022-2025, le BDT a signé au total 41 nouveaux projets prévoyant des activités dans au moins un de ces pays cibles. Ces projets étaient de nature nationale, régionale ou multirégionale et ont été élaborés en partenariat avec un large éventail de parties prenantes des secteurs public et privé, ainsi qu</w:t>
      </w:r>
      <w:r w:rsidR="006C43DF">
        <w:t>'</w:t>
      </w:r>
      <w:r>
        <w:t>avec d</w:t>
      </w:r>
      <w:r w:rsidR="006C43DF">
        <w:t>'</w:t>
      </w:r>
      <w:r>
        <w:t>autres organismes des Nations Unies et des institutions à but non lucratif.</w:t>
      </w:r>
    </w:p>
    <w:p w14:paraId="16DF78E7" w14:textId="21422F28" w:rsidR="00F613EA" w:rsidRPr="005C0507" w:rsidRDefault="00F613EA" w:rsidP="00B10CEF">
      <w:pPr>
        <w:jc w:val="both"/>
        <w:rPr>
          <w:rFonts w:cs="Calibri"/>
        </w:rPr>
      </w:pPr>
      <w:r>
        <w:t>Ces projets concernent directement les missions fixées par la Résolution 30, à savoir examiner la situation des services TIC et identifier les faiblesses particulièrement sensibles, ainsi que renforcer la participation des établissements universitaires et du secteur privé grâce à des plates-formes de développement des capacités telles que l</w:t>
      </w:r>
      <w:r w:rsidR="006C43DF">
        <w:t>'</w:t>
      </w:r>
      <w:r>
        <w:t>Académie de l</w:t>
      </w:r>
      <w:r w:rsidR="006C43DF">
        <w:t>'</w:t>
      </w:r>
      <w:r>
        <w:t>UIT et les centres de transformation numérique.</w:t>
      </w:r>
    </w:p>
    <w:p w14:paraId="162DE31A" w14:textId="3B0A7436" w:rsidR="00F613EA" w:rsidRPr="005C0507" w:rsidRDefault="00F613EA" w:rsidP="00B10CEF">
      <w:pPr>
        <w:jc w:val="both"/>
        <w:rPr>
          <w:rFonts w:cs="Calibri"/>
        </w:rPr>
      </w:pPr>
      <w:r>
        <w:t>En outre, dans le cadre de la Coalition pour le numérique Partner2Connect (P2C), l</w:t>
      </w:r>
      <w:r w:rsidR="006C43DF">
        <w:t>'</w:t>
      </w:r>
      <w:r>
        <w:t>UIT propose des mesures et des alliances novatrices afin de générer les fonds supplémentaires nécessaires pour réduire la fracture numérique dans les régions du monde les plus vulnérables. Un appui a ainsi été fourni à 39 PMA, 27 PDSL et 31 PEID au moyen d</w:t>
      </w:r>
      <w:r w:rsidR="006C43DF">
        <w:t>'</w:t>
      </w:r>
      <w:r>
        <w:t>une assistance technique, de l</w:t>
      </w:r>
      <w:r w:rsidR="006C43DF">
        <w:t>'</w:t>
      </w:r>
      <w:r>
        <w:t>élaboration de politiques, de produits de connaissance, de séances de sensibilisation et d</w:t>
      </w:r>
      <w:r w:rsidR="006C43DF">
        <w:t>'</w:t>
      </w:r>
      <w:r>
        <w:t>une fourniture de données. Certains pays ont bénéficié de multiples interventions, jusqu</w:t>
      </w:r>
      <w:r w:rsidR="006C43DF">
        <w:t>'</w:t>
      </w:r>
      <w:r>
        <w:t>à cinq dans le cas du Mali, du Sénégal, du Zimbabwe et de la Jamaïque.</w:t>
      </w:r>
    </w:p>
    <w:p w14:paraId="796E2439" w14:textId="5D8DD146" w:rsidR="00F613EA" w:rsidRPr="005C0507" w:rsidRDefault="00F613EA" w:rsidP="00B10CEF">
      <w:pPr>
        <w:jc w:val="both"/>
        <w:rPr>
          <w:rFonts w:cs="Calibri"/>
        </w:rPr>
      </w:pPr>
      <w:r>
        <w:lastRenderedPageBreak/>
        <w:t>Dans les PDSL, en 2025, 21 projets interrégionaux ont permis d</w:t>
      </w:r>
      <w:r w:rsidR="006C43DF">
        <w:t>'</w:t>
      </w:r>
      <w:r>
        <w:t xml:space="preserve">accélérer la transformation numérique. Ces projets comprenaient des formations sur les compétences numériques dispensées par des centres de transformation et des académies en ligne; un appui à la création de services publics numériques économiques au Rwanda et au Kazakhstan; une cartographie des infrastructures large bande au Botswana, au Burundi, en </w:t>
      </w:r>
      <w:r>
        <w:rPr>
          <w:rFonts w:cs="Calibri"/>
        </w:rPr>
        <w:t>É</w:t>
      </w:r>
      <w:r>
        <w:t>thiopie, au Malawi, en Ouganda, en Zambie et au Zimbabwe; et des initiatives sur les politiques en matière de déchets d</w:t>
      </w:r>
      <w:r w:rsidR="006C43DF">
        <w:t>'</w:t>
      </w:r>
      <w:r>
        <w:t>équipements électriques et électroniques et le développement des réseaux ruraux pour promouvoir une économie circulaire.</w:t>
      </w:r>
    </w:p>
    <w:p w14:paraId="11709F5D" w14:textId="69240C4A" w:rsidR="00F613EA" w:rsidRPr="005C0507" w:rsidRDefault="00F613EA" w:rsidP="00B10CEF">
      <w:pPr>
        <w:jc w:val="both"/>
        <w:rPr>
          <w:rFonts w:cs="Calibri"/>
        </w:rPr>
      </w:pPr>
      <w:r>
        <w:t>Dans les PMA, en 2025, 19 projets étaient en cours pour promouvoir les systèmes d</w:t>
      </w:r>
      <w:r w:rsidR="006C43DF">
        <w:t>'</w:t>
      </w:r>
      <w:r>
        <w:t>alerte avancée, la cybersécurité, la cartographie du large bande, l</w:t>
      </w:r>
      <w:r w:rsidR="006C43DF">
        <w:t>'</w:t>
      </w:r>
      <w:r>
        <w:t>intégration numérique, la connectivité, les infrastructures numériques et l</w:t>
      </w:r>
      <w:r w:rsidR="006C43DF">
        <w:t>'</w:t>
      </w:r>
      <w:r>
        <w:t>accès aux technologies de l</w:t>
      </w:r>
      <w:r w:rsidR="006C43DF">
        <w:t>'</w:t>
      </w:r>
      <w:r>
        <w:t>information et de la communication.</w:t>
      </w:r>
    </w:p>
    <w:p w14:paraId="289E619E" w14:textId="77777777" w:rsidR="00F613EA" w:rsidRPr="005C0507" w:rsidRDefault="00F613EA" w:rsidP="00B10CEF">
      <w:pPr>
        <w:jc w:val="both"/>
        <w:rPr>
          <w:b/>
          <w:bCs/>
          <w:color w:val="000000" w:themeColor="text1"/>
        </w:rPr>
      </w:pPr>
      <w:r>
        <w:t>Dans les PEID, en 2025, 16 projets contribuaient à changer la donne en matière de transformation numérique, de compétences numériques et de cybersécurité.</w:t>
      </w:r>
    </w:p>
    <w:p w14:paraId="5F13B207" w14:textId="77777777" w:rsidR="00F613EA" w:rsidRPr="001876CD" w:rsidRDefault="00F613EA" w:rsidP="00F613EA">
      <w:pPr>
        <w:pStyle w:val="Headingb"/>
      </w:pPr>
      <w:r w:rsidRPr="001876CD">
        <w:t>Cadre administratif et opérationnel</w:t>
      </w:r>
      <w:r>
        <w:t xml:space="preserve"> </w:t>
      </w:r>
    </w:p>
    <w:p w14:paraId="11A1A943" w14:textId="2FA27CB8" w:rsidR="00F613EA" w:rsidRPr="005C0507" w:rsidRDefault="00F613EA" w:rsidP="00B10CEF">
      <w:pPr>
        <w:jc w:val="both"/>
        <w:rPr>
          <w:rFonts w:cs="Calibri"/>
        </w:rPr>
      </w:pPr>
      <w:r>
        <w:t>Pour s</w:t>
      </w:r>
      <w:r w:rsidR="006C43DF">
        <w:t>'</w:t>
      </w:r>
      <w:r>
        <w:t>acquitter de ces missions, le BDT a adopté une approche globale de l</w:t>
      </w:r>
      <w:r w:rsidR="006C43DF">
        <w:t>'</w:t>
      </w:r>
      <w:r>
        <w:t>écosystème numérique, qui ne se limite pas à la question de la connectivité de base et intègre davantage le perfectionnement technologique et l</w:t>
      </w:r>
      <w:r w:rsidR="006C43DF">
        <w:t>'</w:t>
      </w:r>
      <w:r>
        <w:t>élaboration de politiques fondées sur des données probantes. Cette approche reflète le constat que la connectivité universelle et efficace et la transformation numérique au sens large sont des moteurs essentiels du développement socio-économique, en particulier pour les PMA, les PDSL et les PEID.</w:t>
      </w:r>
    </w:p>
    <w:p w14:paraId="01E72657" w14:textId="62F78B44" w:rsidR="00F613EA" w:rsidRPr="005C0507" w:rsidRDefault="00F613EA" w:rsidP="00B10CEF">
      <w:pPr>
        <w:jc w:val="both"/>
        <w:rPr>
          <w:rFonts w:cs="Calibri"/>
        </w:rPr>
      </w:pPr>
      <w:r>
        <w:t>Sur le plan institutionnel, une grande étape a été franchie dans la mise en œuvre de la Résolution</w:t>
      </w:r>
      <w:r w:rsidR="0058137D">
        <w:t> </w:t>
      </w:r>
      <w:r>
        <w:t>30, qui préconise la mise en place d</w:t>
      </w:r>
      <w:r w:rsidR="006C43DF">
        <w:t>'</w:t>
      </w:r>
      <w:r>
        <w:t>une structure administrative et opérationnelle appropriée, avec la réorganisation du BDT en 2024. Cette réforme s</w:t>
      </w:r>
      <w:r w:rsidR="006C43DF">
        <w:t>'</w:t>
      </w:r>
      <w:r>
        <w:t>est traduite par la création, au sein du BDT, d</w:t>
      </w:r>
      <w:r w:rsidR="006C43DF">
        <w:t>'</w:t>
      </w:r>
      <w:r>
        <w:t xml:space="preserve">une </w:t>
      </w:r>
      <w:r w:rsidRPr="0065754E">
        <w:t>division</w:t>
      </w:r>
      <w:r>
        <w:t xml:space="preserve"> spécialisée chargée de fournir une assistance coordonnée et ciblée aux pays ayant des besoins particuliers dans tous les domaines du développement numérique. Dans le cadre de cette structure consolidée, le BDT a encore accru sa capacité opérationnelle grâce à la récente nomination d</w:t>
      </w:r>
      <w:r w:rsidR="006C43DF">
        <w:t>'</w:t>
      </w:r>
      <w:r>
        <w:t>un chef de la Division des PMA, des PDSL et des PEID (LLS), renforçant ainsi le contrôle stratégique et améliorant l</w:t>
      </w:r>
      <w:r w:rsidR="006C43DF">
        <w:t>'</w:t>
      </w:r>
      <w:r>
        <w:t>efficacité de l</w:t>
      </w:r>
      <w:r w:rsidR="006C43DF">
        <w:t>'</w:t>
      </w:r>
      <w:r>
        <w:t>exécution des programmes.</w:t>
      </w:r>
    </w:p>
    <w:p w14:paraId="1BB69786" w14:textId="68077C0A" w:rsidR="00F613EA" w:rsidRPr="001876CD" w:rsidRDefault="00F613EA" w:rsidP="00F613EA">
      <w:pPr>
        <w:pStyle w:val="Headingb"/>
      </w:pPr>
      <w:r w:rsidRPr="001876CD">
        <w:t>Plates-formes numériques et écosystèmes de l</w:t>
      </w:r>
      <w:r w:rsidR="006C43DF">
        <w:t>'</w:t>
      </w:r>
      <w:r w:rsidRPr="001876CD">
        <w:t>information pour un développement inclusif des TIC</w:t>
      </w:r>
    </w:p>
    <w:p w14:paraId="46DFA0D6" w14:textId="379D260F" w:rsidR="00F613EA" w:rsidRPr="005C0507" w:rsidRDefault="00F613EA" w:rsidP="00B10CEF">
      <w:pPr>
        <w:jc w:val="both"/>
        <w:rPr>
          <w:rFonts w:eastAsia="Aptos" w:cs="Calibri"/>
        </w:rPr>
      </w:pPr>
      <w:r>
        <w:t>Les plates-formes numériques de l</w:t>
      </w:r>
      <w:r w:rsidR="006C43DF">
        <w:t>'</w:t>
      </w:r>
      <w:r>
        <w:t>UIT jouent un rôle essentiel lorsqu</w:t>
      </w:r>
      <w:r w:rsidR="006C43DF">
        <w:t>'</w:t>
      </w:r>
      <w:r>
        <w:t>il s</w:t>
      </w:r>
      <w:r w:rsidR="006C43DF">
        <w:t>'</w:t>
      </w:r>
      <w:r>
        <w:t>agit d</w:t>
      </w:r>
      <w:r w:rsidR="006C43DF">
        <w:t>'</w:t>
      </w:r>
      <w:r>
        <w:t>améliorer l</w:t>
      </w:r>
      <w:r w:rsidR="006C43DF">
        <w:t>'</w:t>
      </w:r>
      <w:r>
        <w:t>accès à l</w:t>
      </w:r>
      <w:r w:rsidR="006C43DF">
        <w:t>'</w:t>
      </w:r>
      <w:r>
        <w:t>information, de renforcer la coordination et de favoriser la prise de décisions fondées sur des données probantes à l</w:t>
      </w:r>
      <w:r w:rsidR="006C43DF">
        <w:t>'</w:t>
      </w:r>
      <w:r>
        <w:t>appui de la transformation numérique inclusive des</w:t>
      </w:r>
      <w:r w:rsidR="0058137D">
        <w:t> </w:t>
      </w:r>
      <w:r>
        <w:t>PMA, des PDSL et des PEID. La page web</w:t>
      </w:r>
      <w:r w:rsidRPr="001876CD">
        <w:rPr>
          <w:rStyle w:val="FootnoteReference"/>
        </w:rPr>
        <w:footnoteReference w:id="1"/>
      </w:r>
      <w:r>
        <w:t xml:space="preserve"> gérée par le BDT centralise les données, les ressources et les initiatives en cours et est régulièrement mise à jour pour garantir la diffusion rapide des publications, des produits des programmes et des documents de pays pertinents. Elle met en évidence les grands domaines de priorité, notamment l</w:t>
      </w:r>
      <w:r w:rsidR="006C43DF">
        <w:t>'</w:t>
      </w:r>
      <w:r>
        <w:t>inclusion numérique, le développement des infrastructures, le renforcement des capacités et l</w:t>
      </w:r>
      <w:r w:rsidR="006C43DF">
        <w:t>'</w:t>
      </w:r>
      <w:r>
        <w:t>appui politique, facilitant ainsi le partage de connaissances et la participation des parties prenantes.</w:t>
      </w:r>
    </w:p>
    <w:p w14:paraId="0C2A0238" w14:textId="4181AA38" w:rsidR="00F613EA" w:rsidRPr="005C0507" w:rsidRDefault="00F613EA" w:rsidP="00B10CEF">
      <w:pPr>
        <w:jc w:val="both"/>
        <w:rPr>
          <w:rStyle w:val="FootnoteReference"/>
          <w:rFonts w:eastAsia="Aptos" w:cs="Calibri"/>
        </w:rPr>
      </w:pPr>
      <w:r>
        <w:lastRenderedPageBreak/>
        <w:t>De plus, l</w:t>
      </w:r>
      <w:r w:rsidR="006C43DF">
        <w:t>'</w:t>
      </w:r>
      <w:r>
        <w:t>ensemble des plates-formes numériques de l</w:t>
      </w:r>
      <w:r w:rsidR="006C43DF">
        <w:t>'</w:t>
      </w:r>
      <w:r>
        <w:t>UIT contribue à renforcer encore la transparence, la coordination et la collaboration multi-parties prenantes. En particulier, la plate-forme de la Coalition pour le numérique P2C fournit des informations complètes et régulièrement actualisées sur les engagements volontaires, les partenariats et les efforts de mobilisation des ressources qui contribuent à atteindre une connectivité universelle et efficace et à une transformation numérique durable. Cette plate-forme permet de suivre de manière transparente les engagements pris dans les quatre domaines d</w:t>
      </w:r>
      <w:r w:rsidR="006C43DF">
        <w:t>'</w:t>
      </w:r>
      <w:r>
        <w:t>intervention de la Coalition P2C, appuie la mise en œuvre d</w:t>
      </w:r>
      <w:r w:rsidR="006C43DF">
        <w:t>'</w:t>
      </w:r>
      <w:r>
        <w:t>initiatives sur le développement numérique et met tout particulièrement l</w:t>
      </w:r>
      <w:r w:rsidR="006C43DF">
        <w:t>'</w:t>
      </w:r>
      <w:r>
        <w:t>accent sur les communautés mal desservies et difficiles à connecter, en particulier dans les PMA, les PDSL et les PEID. Grâce à son tableau de bord interactif</w:t>
      </w:r>
      <w:r w:rsidRPr="001876CD">
        <w:rPr>
          <w:rStyle w:val="FootnoteReference"/>
        </w:rPr>
        <w:footnoteReference w:id="2"/>
      </w:r>
      <w:r>
        <w:t>, les parties prenantes peuvent identifier, suivre et analyser les engagements volontaires ciblant ces groupes de pays, renforçant ainsi la responsabilité, la visibilité et l</w:t>
      </w:r>
      <w:r w:rsidR="006C43DF">
        <w:t>'</w:t>
      </w:r>
      <w:r>
        <w:t>alignement stratégique tout en facilitant les partenariats qui permettent d</w:t>
      </w:r>
      <w:r w:rsidR="006C43DF">
        <w:t>'</w:t>
      </w:r>
      <w:r>
        <w:t xml:space="preserve">accélérer la mise en </w:t>
      </w:r>
      <w:r w:rsidRPr="0065754E">
        <w:t>œuvre des initiatives</w:t>
      </w:r>
      <w:r>
        <w:t xml:space="preserve"> et d</w:t>
      </w:r>
      <w:r w:rsidR="006C43DF">
        <w:t>'</w:t>
      </w:r>
      <w:r>
        <w:t>en accroître l</w:t>
      </w:r>
      <w:r w:rsidR="006C43DF">
        <w:t>'</w:t>
      </w:r>
      <w:r>
        <w:t>efficacité.</w:t>
      </w:r>
    </w:p>
    <w:p w14:paraId="42A3D4F7" w14:textId="77777777" w:rsidR="00F613EA" w:rsidRPr="00F34027" w:rsidRDefault="00F613EA" w:rsidP="00F613EA">
      <w:pPr>
        <w:pStyle w:val="Headingb"/>
      </w:pPr>
      <w:r w:rsidRPr="001876CD">
        <w:t>Conclusion</w:t>
      </w:r>
    </w:p>
    <w:p w14:paraId="222DF188" w14:textId="0526F865" w:rsidR="00F613EA" w:rsidRPr="005C0507" w:rsidRDefault="00F613EA" w:rsidP="00B10CEF">
      <w:pPr>
        <w:jc w:val="both"/>
        <w:rPr>
          <w:rFonts w:cs="Calibri"/>
        </w:rPr>
      </w:pPr>
      <w:r>
        <w:t>Les instructions données par les États Membres au BDT, telles qu</w:t>
      </w:r>
      <w:r w:rsidR="006C43DF">
        <w:t>'</w:t>
      </w:r>
      <w:r>
        <w:t>elles sont énoncées dans la Résolution 30 (Rév. Bucarest, 2022) de la PP</w:t>
      </w:r>
      <w:r w:rsidRPr="00AF5769">
        <w:rPr>
          <w:rStyle w:val="FootnoteReference"/>
        </w:rPr>
        <w:footnoteReference w:id="3"/>
      </w:r>
      <w:r>
        <w:t xml:space="preserve"> et dans la Résolution 16 (Rév. Bakou, 2025) de la CMDT</w:t>
      </w:r>
      <w:r w:rsidRPr="001876CD">
        <w:rPr>
          <w:rStyle w:val="FootnoteReference"/>
        </w:rPr>
        <w:footnoteReference w:id="4"/>
      </w:r>
      <w:r>
        <w:t>, ainsi que les résultats de la CMDT-25, confèrent au BDT un mandat renforcé et cohérent en ce qui concerne la fourniture d</w:t>
      </w:r>
      <w:r w:rsidR="006C43DF">
        <w:t>'</w:t>
      </w:r>
      <w:r>
        <w:t>un appui ciblé, mesurable et fondé sur des partenariats aux PMA, aux PDSL, aux PEID et aux pays dont l</w:t>
      </w:r>
      <w:r w:rsidR="006C43DF">
        <w:t>'</w:t>
      </w:r>
      <w:r>
        <w:t>économie est en transition. Par</w:t>
      </w:r>
      <w:r w:rsidR="00ED66DD">
        <w:t> </w:t>
      </w:r>
      <w:r>
        <w:t>la mise en œuvre de la Déclaration de Bakou, du Plan d</w:t>
      </w:r>
      <w:r w:rsidR="006C43DF">
        <w:t>'</w:t>
      </w:r>
      <w:r>
        <w:t>action de Bakou et des initiatives régionales approuvées lors de la CMDT-25, le BDT continuera de traduire ce mandat en mesures concrètes axées sur des infrastructures résilientes, une connectivité financièrement abordable et efficace, les technologies émergentes, l</w:t>
      </w:r>
      <w:r w:rsidR="006C43DF">
        <w:t>'</w:t>
      </w:r>
      <w:r>
        <w:t>élaboration de politiques fondées sur des données probantes et l</w:t>
      </w:r>
      <w:r w:rsidR="006C43DF">
        <w:t>'</w:t>
      </w:r>
      <w:r>
        <w:t xml:space="preserve">inclusion numérique. Pour en savoir plus, on pourra se reporter au </w:t>
      </w:r>
      <w:hyperlink r:id="rId39" w:history="1">
        <w:r w:rsidRPr="00FE3DE2">
          <w:rPr>
            <w:rStyle w:val="Hyperlink"/>
            <w:rFonts w:eastAsia="Times New Roman" w:cs="Times New Roman"/>
            <w:szCs w:val="20"/>
          </w:rPr>
          <w:t>Document TDAG-26/22</w:t>
        </w:r>
      </w:hyperlink>
      <w:r>
        <w:t>. L</w:t>
      </w:r>
      <w:r w:rsidR="006C43DF">
        <w:t>'</w:t>
      </w:r>
      <w:r>
        <w:t>accent sera mis sur les télécommunications d</w:t>
      </w:r>
      <w:r w:rsidR="006C43DF">
        <w:t>'</w:t>
      </w:r>
      <w:r>
        <w:t>urgence, la réduction des coûts de connectivité et les solutions aux problèmes régionaux liés à l</w:t>
      </w:r>
      <w:r w:rsidR="006C43DF">
        <w:t>'</w:t>
      </w:r>
      <w:r>
        <w:t xml:space="preserve">interconnexion et au transit, en particulier dans les PEID et les PDSL du Pacifique. </w:t>
      </w:r>
      <w:hyperlink r:id="rId40" w:history="1"/>
    </w:p>
    <w:p w14:paraId="5797B42A" w14:textId="48D64A4B" w:rsidR="00F613EA" w:rsidRPr="005C0507" w:rsidRDefault="00F613EA" w:rsidP="00B10CEF">
      <w:pPr>
        <w:jc w:val="both"/>
        <w:rPr>
          <w:rFonts w:cs="Calibri"/>
        </w:rPr>
      </w:pPr>
      <w:r>
        <w:t xml:space="preserve">Ces efforts coïncident avec les </w:t>
      </w:r>
      <w:r w:rsidRPr="0065754E">
        <w:t>grands cadres internationaux de développement</w:t>
      </w:r>
      <w:r>
        <w:t>, notamment le Programme d</w:t>
      </w:r>
      <w:r w:rsidR="006C43DF">
        <w:t>'</w:t>
      </w:r>
      <w:r>
        <w:t>action d</w:t>
      </w:r>
      <w:r w:rsidR="006C43DF">
        <w:t>'</w:t>
      </w:r>
      <w:r>
        <w:t>Awaza en faveur des PDSL, le Programme d</w:t>
      </w:r>
      <w:r w:rsidR="006C43DF">
        <w:t>'</w:t>
      </w:r>
      <w:r>
        <w:t>Antigua-et-Barbuda pour les PEID et l</w:t>
      </w:r>
      <w:r w:rsidR="006C43DF">
        <w:t>'</w:t>
      </w:r>
      <w:r>
        <w:t>examen à mi-parcours du Programme d</w:t>
      </w:r>
      <w:r w:rsidR="006C43DF">
        <w:t>'</w:t>
      </w:r>
      <w:r>
        <w:t>action de Doha en faveur des PMA, qui aura lieu en 2027. Dans ce contexte, il sera essentiel de procéder à une cartographie systématique des vulnérabilités cumulées, par exemple le fait pour un pays de faire partie à la fois des PMA et des PDSL, ou des PMA et des PEID, pour assurer un appui cohérent et efficace.</w:t>
      </w:r>
    </w:p>
    <w:p w14:paraId="5D68D6E4" w14:textId="7963DF7F" w:rsidR="00F613EA" w:rsidRDefault="00F613EA" w:rsidP="00B10CEF">
      <w:pPr>
        <w:jc w:val="both"/>
      </w:pPr>
      <w:r>
        <w:t>Dans les années à venir, le BDT continuera de promouvoir l</w:t>
      </w:r>
      <w:r w:rsidR="006C43DF">
        <w:t>'</w:t>
      </w:r>
      <w:r>
        <w:t xml:space="preserve">élaboration de politiques fondées sur des données probantes au moyen de produits analytiques et thématiques, tout en renforçant les approches innovantes et les partenariats multi-parties prenantes pour accélérer la transformation numérique. Pour ce faire, il faudra accorder une attention continue à la connectivité, aux cadres politiques et réglementaires propices, au développement des compétences numériques, à la résilience climatique et aux financements </w:t>
      </w:r>
      <w:r>
        <w:lastRenderedPageBreak/>
        <w:t>durables. L</w:t>
      </w:r>
      <w:r w:rsidR="006C43DF">
        <w:t>'</w:t>
      </w:r>
      <w:r>
        <w:t>objectif fondamental est de faire en sorte que non seulement les PMA, les PDSL et les PEID aient une connexion, mais aussi qu</w:t>
      </w:r>
      <w:r w:rsidR="006C43DF">
        <w:t>'</w:t>
      </w:r>
      <w:r>
        <w:t>ils aient les moyens de participer efficacement à l</w:t>
      </w:r>
      <w:r w:rsidR="006C43DF">
        <w:t>'</w:t>
      </w:r>
      <w:r>
        <w:t>économie numérique, de renforcer leur résilience et d</w:t>
      </w:r>
      <w:r w:rsidR="006C43DF">
        <w:t>'</w:t>
      </w:r>
      <w:r>
        <w:t>atteindre les objectifs de développement durable. Le Conseil est invité à prendre note du présent rapport et à donner des orientations sur le cap stratégique proposé.</w:t>
      </w:r>
    </w:p>
    <w:p w14:paraId="37D766C1" w14:textId="77777777" w:rsidR="00B10CEF" w:rsidRDefault="00B10CEF" w:rsidP="00B10CEF">
      <w:pPr>
        <w:jc w:val="both"/>
      </w:pPr>
    </w:p>
    <w:p w14:paraId="51691EAC" w14:textId="5D9FFAE4" w:rsidR="00897553" w:rsidRPr="001E7EEC" w:rsidRDefault="006A11AE" w:rsidP="002D2336">
      <w:pPr>
        <w:jc w:val="center"/>
      </w:pPr>
      <w:r w:rsidRPr="001E7EEC">
        <w:t>______________</w:t>
      </w:r>
    </w:p>
    <w:sectPr w:rsidR="00897553" w:rsidRPr="001E7EEC" w:rsidSect="00D72F49">
      <w:headerReference w:type="even" r:id="rId41"/>
      <w:footerReference w:type="even" r:id="rId42"/>
      <w:footerReference w:type="default" r:id="rId43"/>
      <w:headerReference w:type="first" r:id="rId44"/>
      <w:footerReference w:type="first" r:id="rId45"/>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7E69B" w14:textId="77777777" w:rsidR="00442539" w:rsidRDefault="00442539">
      <w:r>
        <w:separator/>
      </w:r>
    </w:p>
  </w:endnote>
  <w:endnote w:type="continuationSeparator" w:id="0">
    <w:p w14:paraId="31EEA2E9" w14:textId="77777777" w:rsidR="00442539" w:rsidRDefault="0044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1AF7" w14:textId="6457CFBE" w:rsidR="00732045" w:rsidRDefault="00442539">
    <w:pPr>
      <w:pStyle w:val="Footer"/>
    </w:pPr>
    <w:fldSimple w:instr=" FILENAME \p \* MERGEFORMAT ">
      <w:r>
        <w:t>Document3</w:t>
      </w:r>
    </w:fldSimple>
    <w:r w:rsidR="00732045">
      <w:tab/>
    </w:r>
    <w:r w:rsidR="002F1B76">
      <w:fldChar w:fldCharType="begin"/>
    </w:r>
    <w:r w:rsidR="00732045">
      <w:instrText xml:space="preserve"> savedate \@ dd.MM.yy </w:instrText>
    </w:r>
    <w:r w:rsidR="002F1B76">
      <w:fldChar w:fldCharType="separate"/>
    </w:r>
    <w:r w:rsidR="00D43C27">
      <w:t>21.04.26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9AB8CBC" w14:textId="77777777" w:rsidTr="00E31DCE">
      <w:trPr>
        <w:jc w:val="center"/>
      </w:trPr>
      <w:tc>
        <w:tcPr>
          <w:tcW w:w="1803" w:type="dxa"/>
          <w:vAlign w:val="center"/>
        </w:tcPr>
        <w:p w14:paraId="2F5617F2" w14:textId="15B651EA" w:rsidR="00A51849" w:rsidRDefault="00442539" w:rsidP="00A51849">
          <w:pPr>
            <w:pStyle w:val="Header"/>
            <w:jc w:val="left"/>
            <w:rPr>
              <w:noProof/>
            </w:rPr>
          </w:pPr>
          <w:r>
            <w:rPr>
              <w:noProof/>
            </w:rPr>
            <w:t>2600</w:t>
          </w:r>
          <w:r w:rsidR="0049786D">
            <w:rPr>
              <w:noProof/>
            </w:rPr>
            <w:t>730</w:t>
          </w:r>
        </w:p>
      </w:tc>
      <w:tc>
        <w:tcPr>
          <w:tcW w:w="8261" w:type="dxa"/>
        </w:tcPr>
        <w:p w14:paraId="14E17E00" w14:textId="4C90CFC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9786D">
            <w:rPr>
              <w:bCs/>
            </w:rPr>
            <w:t>74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542CDC2"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13A63A7" w14:textId="77777777" w:rsidTr="00E31DCE">
      <w:trPr>
        <w:jc w:val="center"/>
      </w:trPr>
      <w:tc>
        <w:tcPr>
          <w:tcW w:w="1803" w:type="dxa"/>
          <w:vAlign w:val="center"/>
        </w:tcPr>
        <w:p w14:paraId="17E62DE8"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47BECDA" w14:textId="26DAFC0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CE37B6">
            <w:rPr>
              <w:bCs/>
            </w:rPr>
            <w:t>74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80DCC4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E896" w14:textId="77777777" w:rsidR="00442539" w:rsidRDefault="00442539">
      <w:r>
        <w:t>____________________</w:t>
      </w:r>
    </w:p>
  </w:footnote>
  <w:footnote w:type="continuationSeparator" w:id="0">
    <w:p w14:paraId="4E2D3E93" w14:textId="77777777" w:rsidR="00442539" w:rsidRDefault="00442539">
      <w:r>
        <w:continuationSeparator/>
      </w:r>
    </w:p>
  </w:footnote>
  <w:footnote w:id="1">
    <w:p w14:paraId="53D18C1C" w14:textId="524EC129" w:rsidR="00F613EA" w:rsidRPr="00911B67" w:rsidRDefault="00F613EA" w:rsidP="00F613EA">
      <w:pPr>
        <w:pStyle w:val="FootnoteText"/>
        <w:spacing w:line="276" w:lineRule="auto"/>
      </w:pPr>
      <w:r w:rsidRPr="00911B67">
        <w:rPr>
          <w:rStyle w:val="FootnoteReference"/>
        </w:rPr>
        <w:footnoteRef/>
      </w:r>
      <w:r>
        <w:tab/>
      </w:r>
      <w:r w:rsidRPr="00911B67">
        <w:t xml:space="preserve">PMA, PDSL et </w:t>
      </w:r>
      <w:proofErr w:type="gramStart"/>
      <w:r w:rsidRPr="00911B67">
        <w:t>PEID</w:t>
      </w:r>
      <w:r w:rsidR="00FE3DE2" w:rsidRPr="00911B67">
        <w:t>:</w:t>
      </w:r>
      <w:proofErr w:type="gramEnd"/>
      <w:r w:rsidR="00FE3DE2" w:rsidRPr="00911B67">
        <w:t xml:space="preserve"> </w:t>
      </w:r>
      <w:hyperlink r:id="rId1" w:anchor="/fr" w:history="1">
        <w:r w:rsidR="00FE3DE2" w:rsidRPr="0058137D">
          <w:rPr>
            <w:rStyle w:val="Hyperlink"/>
            <w:rFonts w:cs="Times New Roman"/>
            <w:szCs w:val="20"/>
          </w:rPr>
          <w:t>https://</w:t>
        </w:r>
        <w:proofErr w:type="spellStart"/>
        <w:r w:rsidR="00FE3DE2" w:rsidRPr="0058137D">
          <w:rPr>
            <w:rStyle w:val="Hyperlink"/>
            <w:rFonts w:cs="Times New Roman"/>
            <w:szCs w:val="20"/>
          </w:rPr>
          <w:t>www.itu.int</w:t>
        </w:r>
        <w:proofErr w:type="spellEnd"/>
        <w:r w:rsidR="00FE3DE2" w:rsidRPr="0058137D">
          <w:rPr>
            <w:rStyle w:val="Hyperlink"/>
            <w:rFonts w:cs="Times New Roman"/>
            <w:szCs w:val="20"/>
          </w:rPr>
          <w:t>/</w:t>
        </w:r>
        <w:proofErr w:type="spellStart"/>
        <w:r w:rsidR="00FE3DE2" w:rsidRPr="0058137D">
          <w:rPr>
            <w:rStyle w:val="Hyperlink"/>
            <w:rFonts w:cs="Times New Roman"/>
            <w:szCs w:val="20"/>
          </w:rPr>
          <w:t>itu</w:t>
        </w:r>
        <w:proofErr w:type="spellEnd"/>
        <w:r w:rsidR="00FE3DE2" w:rsidRPr="0058137D">
          <w:rPr>
            <w:rStyle w:val="Hyperlink"/>
            <w:rFonts w:cs="Times New Roman"/>
            <w:szCs w:val="20"/>
          </w:rPr>
          <w:t>-d/sites/</w:t>
        </w:r>
        <w:proofErr w:type="spellStart"/>
        <w:r w:rsidR="00FE3DE2" w:rsidRPr="0058137D">
          <w:rPr>
            <w:rStyle w:val="Hyperlink"/>
            <w:rFonts w:cs="Times New Roman"/>
            <w:szCs w:val="20"/>
          </w:rPr>
          <w:t>ldcs</w:t>
        </w:r>
        <w:proofErr w:type="spellEnd"/>
        <w:r w:rsidR="00FE3DE2" w:rsidRPr="0058137D">
          <w:rPr>
            <w:rStyle w:val="Hyperlink"/>
            <w:rFonts w:cs="Times New Roman"/>
            <w:szCs w:val="20"/>
          </w:rPr>
          <w:t>/?</w:t>
        </w:r>
        <w:proofErr w:type="spellStart"/>
        <w:r w:rsidR="00FE3DE2" w:rsidRPr="0058137D">
          <w:rPr>
            <w:rStyle w:val="Hyperlink"/>
            <w:rFonts w:cs="Times New Roman"/>
            <w:szCs w:val="20"/>
          </w:rPr>
          <w:t>lang</w:t>
        </w:r>
        <w:proofErr w:type="spellEnd"/>
        <w:r w:rsidR="00FE3DE2" w:rsidRPr="0058137D">
          <w:rPr>
            <w:rStyle w:val="Hyperlink"/>
            <w:rFonts w:cs="Times New Roman"/>
            <w:szCs w:val="20"/>
          </w:rPr>
          <w:t>=en</w:t>
        </w:r>
      </w:hyperlink>
      <w:r w:rsidRPr="00911B67">
        <w:t>.</w:t>
      </w:r>
      <w:hyperlink r:id="rId2" w:history="1"/>
    </w:p>
  </w:footnote>
  <w:footnote w:id="2">
    <w:p w14:paraId="28F8FA4C" w14:textId="41397BF8" w:rsidR="00F613EA" w:rsidRPr="005C0507" w:rsidRDefault="00F613EA" w:rsidP="00F613EA">
      <w:pPr>
        <w:pStyle w:val="FootnoteText"/>
        <w:rPr>
          <w:rFonts w:cs="Calibri"/>
        </w:rPr>
      </w:pPr>
      <w:r w:rsidRPr="001876CD">
        <w:rPr>
          <w:rStyle w:val="FootnoteReference"/>
        </w:rPr>
        <w:footnoteRef/>
      </w:r>
      <w:r>
        <w:tab/>
      </w:r>
      <w:hyperlink r:id="rId3" w:anchor="/fr" w:history="1">
        <w:proofErr w:type="spellStart"/>
        <w:r w:rsidRPr="00AF5769">
          <w:rPr>
            <w:rStyle w:val="Hyperlink"/>
          </w:rPr>
          <w:t>Partner2Connect</w:t>
        </w:r>
        <w:proofErr w:type="spellEnd"/>
        <w:r w:rsidRPr="00AF5769">
          <w:rPr>
            <w:rStyle w:val="Hyperlink"/>
          </w:rPr>
          <w:t xml:space="preserve"> – Portail des engagements</w:t>
        </w:r>
      </w:hyperlink>
      <w:r>
        <w:t>.</w:t>
      </w:r>
      <w:hyperlink r:id="rId4"/>
    </w:p>
  </w:footnote>
  <w:footnote w:id="3">
    <w:p w14:paraId="72A6ED34" w14:textId="16DCC8E1" w:rsidR="00F613EA" w:rsidRPr="005C0507" w:rsidRDefault="00F613EA" w:rsidP="00F613EA">
      <w:pPr>
        <w:pStyle w:val="FootnoteText"/>
        <w:spacing w:before="40"/>
        <w:jc w:val="both"/>
        <w:rPr>
          <w:rFonts w:cs="Calibri"/>
        </w:rPr>
      </w:pPr>
      <w:r w:rsidRPr="001876CD">
        <w:rPr>
          <w:rStyle w:val="FootnoteReference"/>
        </w:rPr>
        <w:footnoteRef/>
      </w:r>
      <w:r>
        <w:tab/>
      </w:r>
      <w:hyperlink r:id="rId5" w:history="1">
        <w:r w:rsidRPr="00A47656">
          <w:rPr>
            <w:rStyle w:val="Hyperlink"/>
            <w:rFonts w:eastAsia="Times New Roman" w:cs="Times New Roman"/>
            <w:szCs w:val="20"/>
          </w:rPr>
          <w:t>Recueil des textes fondamentaux de l'Union internationale des télécommunications adoptés par la Conférence de plénipotentiaires</w:t>
        </w:r>
        <w:r w:rsidR="00A47656" w:rsidRPr="00A47656">
          <w:rPr>
            <w:rStyle w:val="Hyperlink"/>
            <w:rFonts w:eastAsia="Times New Roman" w:cs="Times New Roman"/>
            <w:szCs w:val="20"/>
          </w:rPr>
          <w:t xml:space="preserve"> –</w:t>
        </w:r>
        <w:r w:rsidRPr="00A47656">
          <w:rPr>
            <w:rStyle w:val="Hyperlink"/>
            <w:rFonts w:eastAsia="Times New Roman" w:cs="Times New Roman"/>
            <w:szCs w:val="20"/>
          </w:rPr>
          <w:t xml:space="preserve"> </w:t>
        </w:r>
        <w:r w:rsidR="00A47656" w:rsidRPr="00A47656">
          <w:rPr>
            <w:rStyle w:val="Hyperlink"/>
            <w:rFonts w:eastAsia="Times New Roman" w:cs="Times New Roman"/>
            <w:szCs w:val="20"/>
          </w:rPr>
          <w:t>É</w:t>
        </w:r>
        <w:r w:rsidRPr="00A47656">
          <w:rPr>
            <w:rStyle w:val="Hyperlink"/>
            <w:rFonts w:eastAsia="Times New Roman" w:cs="Times New Roman"/>
            <w:szCs w:val="20"/>
          </w:rPr>
          <w:t>dition de 2023</w:t>
        </w:r>
      </w:hyperlink>
      <w:r>
        <w:t>.</w:t>
      </w:r>
      <w:hyperlink r:id="rId6"/>
    </w:p>
  </w:footnote>
  <w:footnote w:id="4">
    <w:p w14:paraId="08E6DB8E" w14:textId="260C035A" w:rsidR="00F613EA" w:rsidRPr="005C0507" w:rsidRDefault="00F613EA" w:rsidP="00F613EA">
      <w:pPr>
        <w:pStyle w:val="FootnoteText"/>
        <w:spacing w:before="40"/>
        <w:rPr>
          <w:rFonts w:cs="Calibri"/>
        </w:rPr>
      </w:pPr>
      <w:r w:rsidRPr="001876CD">
        <w:rPr>
          <w:rStyle w:val="FootnoteReference"/>
        </w:rPr>
        <w:footnoteRef/>
      </w:r>
      <w:r>
        <w:tab/>
      </w:r>
      <w:hyperlink r:id="rId7" w:history="1">
        <w:r w:rsidRPr="00A47656">
          <w:rPr>
            <w:rStyle w:val="Hyperlink"/>
            <w:rFonts w:eastAsia="Times New Roman" w:cs="Times New Roman"/>
            <w:szCs w:val="20"/>
          </w:rPr>
          <w:t>Rapport final provisoire de la CMDT-25</w:t>
        </w:r>
      </w:hyperlink>
      <w:r>
        <w:t xml:space="preserve"> (page 179).</w:t>
      </w:r>
      <w:hyperlink r:id="r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DD3"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EB8A43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6F18" w14:textId="77777777" w:rsidR="00A51849" w:rsidRPr="001342E0" w:rsidRDefault="001342E0" w:rsidP="001342E0">
    <w:pPr>
      <w:pStyle w:val="Header"/>
    </w:pPr>
    <w:r>
      <w:rPr>
        <w:noProof/>
      </w:rPr>
      <w:drawing>
        <wp:inline distT="0" distB="0" distL="0" distR="0" wp14:anchorId="583F02B9" wp14:editId="04585C7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668599108">
    <w:abstractNumId w:val="9"/>
  </w:num>
  <w:num w:numId="2" w16cid:durableId="1185047949">
    <w:abstractNumId w:val="7"/>
  </w:num>
  <w:num w:numId="3" w16cid:durableId="1964191661">
    <w:abstractNumId w:val="6"/>
  </w:num>
  <w:num w:numId="4" w16cid:durableId="1911229500">
    <w:abstractNumId w:val="5"/>
  </w:num>
  <w:num w:numId="5" w16cid:durableId="1702122108">
    <w:abstractNumId w:val="4"/>
  </w:num>
  <w:num w:numId="6" w16cid:durableId="652946948">
    <w:abstractNumId w:val="8"/>
  </w:num>
  <w:num w:numId="7" w16cid:durableId="279798188">
    <w:abstractNumId w:val="3"/>
  </w:num>
  <w:num w:numId="8" w16cid:durableId="964778024">
    <w:abstractNumId w:val="2"/>
  </w:num>
  <w:num w:numId="9" w16cid:durableId="2050447563">
    <w:abstractNumId w:val="1"/>
  </w:num>
  <w:num w:numId="10" w16cid:durableId="472870796">
    <w:abstractNumId w:val="0"/>
  </w:num>
  <w:num w:numId="11" w16cid:durableId="1201477038">
    <w:abstractNumId w:val="8"/>
  </w:num>
  <w:num w:numId="12" w16cid:durableId="868831909">
    <w:abstractNumId w:val="3"/>
  </w:num>
  <w:num w:numId="13" w16cid:durableId="817454235">
    <w:abstractNumId w:val="2"/>
  </w:num>
  <w:num w:numId="14" w16cid:durableId="1160150678">
    <w:abstractNumId w:val="1"/>
  </w:num>
  <w:num w:numId="15" w16cid:durableId="121550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39"/>
    <w:rsid w:val="000130BF"/>
    <w:rsid w:val="00061469"/>
    <w:rsid w:val="00076A2C"/>
    <w:rsid w:val="000C01C2"/>
    <w:rsid w:val="000D0D0A"/>
    <w:rsid w:val="00103163"/>
    <w:rsid w:val="00106B19"/>
    <w:rsid w:val="001133EF"/>
    <w:rsid w:val="00115D93"/>
    <w:rsid w:val="001247A8"/>
    <w:rsid w:val="001342E0"/>
    <w:rsid w:val="001370B2"/>
    <w:rsid w:val="001378C0"/>
    <w:rsid w:val="001658F9"/>
    <w:rsid w:val="0018694A"/>
    <w:rsid w:val="001876CD"/>
    <w:rsid w:val="0019129B"/>
    <w:rsid w:val="001A3287"/>
    <w:rsid w:val="001A6508"/>
    <w:rsid w:val="001D4C31"/>
    <w:rsid w:val="001E3553"/>
    <w:rsid w:val="001E4D21"/>
    <w:rsid w:val="001E7EEC"/>
    <w:rsid w:val="00207CD1"/>
    <w:rsid w:val="00226657"/>
    <w:rsid w:val="002477A2"/>
    <w:rsid w:val="00263A51"/>
    <w:rsid w:val="00267E02"/>
    <w:rsid w:val="00271321"/>
    <w:rsid w:val="00277DEA"/>
    <w:rsid w:val="002A5D44"/>
    <w:rsid w:val="002C3F32"/>
    <w:rsid w:val="002C4E3D"/>
    <w:rsid w:val="002D2336"/>
    <w:rsid w:val="002E0BC4"/>
    <w:rsid w:val="002E119F"/>
    <w:rsid w:val="002F1B76"/>
    <w:rsid w:val="0033568E"/>
    <w:rsid w:val="00355FF5"/>
    <w:rsid w:val="00361350"/>
    <w:rsid w:val="003C3FAE"/>
    <w:rsid w:val="004038CB"/>
    <w:rsid w:val="0040546F"/>
    <w:rsid w:val="004177BD"/>
    <w:rsid w:val="0042404A"/>
    <w:rsid w:val="00442539"/>
    <w:rsid w:val="0044618F"/>
    <w:rsid w:val="00465C35"/>
    <w:rsid w:val="0046769A"/>
    <w:rsid w:val="00475FB3"/>
    <w:rsid w:val="0049786D"/>
    <w:rsid w:val="004C37A9"/>
    <w:rsid w:val="004D1D50"/>
    <w:rsid w:val="004F259E"/>
    <w:rsid w:val="004F633A"/>
    <w:rsid w:val="00504C7F"/>
    <w:rsid w:val="00511F1D"/>
    <w:rsid w:val="00520F36"/>
    <w:rsid w:val="00524E8D"/>
    <w:rsid w:val="00533C20"/>
    <w:rsid w:val="00534E13"/>
    <w:rsid w:val="00540615"/>
    <w:rsid w:val="00540A6D"/>
    <w:rsid w:val="00553536"/>
    <w:rsid w:val="00566679"/>
    <w:rsid w:val="00571EEA"/>
    <w:rsid w:val="00575417"/>
    <w:rsid w:val="005768E1"/>
    <w:rsid w:val="005776E3"/>
    <w:rsid w:val="0058137D"/>
    <w:rsid w:val="005B1938"/>
    <w:rsid w:val="005C3890"/>
    <w:rsid w:val="005D72A5"/>
    <w:rsid w:val="005F7BFE"/>
    <w:rsid w:val="00600017"/>
    <w:rsid w:val="00600BF1"/>
    <w:rsid w:val="00602682"/>
    <w:rsid w:val="006235CA"/>
    <w:rsid w:val="0062366E"/>
    <w:rsid w:val="006643AB"/>
    <w:rsid w:val="006A11AE"/>
    <w:rsid w:val="006B224B"/>
    <w:rsid w:val="006B5C8C"/>
    <w:rsid w:val="006C43DF"/>
    <w:rsid w:val="006F0A53"/>
    <w:rsid w:val="0071402E"/>
    <w:rsid w:val="007210CD"/>
    <w:rsid w:val="00732045"/>
    <w:rsid w:val="0073275D"/>
    <w:rsid w:val="007369DB"/>
    <w:rsid w:val="0077110E"/>
    <w:rsid w:val="007956C2"/>
    <w:rsid w:val="00796BDB"/>
    <w:rsid w:val="007A187E"/>
    <w:rsid w:val="007C72C2"/>
    <w:rsid w:val="007D4436"/>
    <w:rsid w:val="007E2F53"/>
    <w:rsid w:val="007F257A"/>
    <w:rsid w:val="007F3665"/>
    <w:rsid w:val="00800037"/>
    <w:rsid w:val="0082299A"/>
    <w:rsid w:val="0083391C"/>
    <w:rsid w:val="0084546D"/>
    <w:rsid w:val="00861D73"/>
    <w:rsid w:val="00882919"/>
    <w:rsid w:val="00897553"/>
    <w:rsid w:val="008A4E87"/>
    <w:rsid w:val="008D76E6"/>
    <w:rsid w:val="00911B67"/>
    <w:rsid w:val="0092392D"/>
    <w:rsid w:val="0093234A"/>
    <w:rsid w:val="00941D97"/>
    <w:rsid w:val="00956A78"/>
    <w:rsid w:val="0097363B"/>
    <w:rsid w:val="00973F53"/>
    <w:rsid w:val="009755BC"/>
    <w:rsid w:val="00982609"/>
    <w:rsid w:val="0098348E"/>
    <w:rsid w:val="009A6BAA"/>
    <w:rsid w:val="009A76A8"/>
    <w:rsid w:val="009C307F"/>
    <w:rsid w:val="009C353C"/>
    <w:rsid w:val="009D5955"/>
    <w:rsid w:val="009F0FB8"/>
    <w:rsid w:val="00A01F4F"/>
    <w:rsid w:val="00A109AF"/>
    <w:rsid w:val="00A125FB"/>
    <w:rsid w:val="00A17730"/>
    <w:rsid w:val="00A2113E"/>
    <w:rsid w:val="00A23A51"/>
    <w:rsid w:val="00A24607"/>
    <w:rsid w:val="00A25CD3"/>
    <w:rsid w:val="00A47656"/>
    <w:rsid w:val="00A51849"/>
    <w:rsid w:val="00A709FE"/>
    <w:rsid w:val="00A73C60"/>
    <w:rsid w:val="00A82767"/>
    <w:rsid w:val="00A9088B"/>
    <w:rsid w:val="00AA332F"/>
    <w:rsid w:val="00AA7BBB"/>
    <w:rsid w:val="00AB64A8"/>
    <w:rsid w:val="00AC0266"/>
    <w:rsid w:val="00AC0F1D"/>
    <w:rsid w:val="00AD24EC"/>
    <w:rsid w:val="00AF5769"/>
    <w:rsid w:val="00B10CEF"/>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47867"/>
    <w:rsid w:val="00CA08ED"/>
    <w:rsid w:val="00CC6EAA"/>
    <w:rsid w:val="00CE37B6"/>
    <w:rsid w:val="00CE5172"/>
    <w:rsid w:val="00CF0534"/>
    <w:rsid w:val="00CF183B"/>
    <w:rsid w:val="00D375CD"/>
    <w:rsid w:val="00D37B53"/>
    <w:rsid w:val="00D43C27"/>
    <w:rsid w:val="00D553A2"/>
    <w:rsid w:val="00D72F49"/>
    <w:rsid w:val="00D774D3"/>
    <w:rsid w:val="00D904E8"/>
    <w:rsid w:val="00DA08C3"/>
    <w:rsid w:val="00DB5A3E"/>
    <w:rsid w:val="00DC22AA"/>
    <w:rsid w:val="00DD1A99"/>
    <w:rsid w:val="00DE62C6"/>
    <w:rsid w:val="00DF74DD"/>
    <w:rsid w:val="00E07C26"/>
    <w:rsid w:val="00E25AD0"/>
    <w:rsid w:val="00E4428F"/>
    <w:rsid w:val="00E4448E"/>
    <w:rsid w:val="00E47427"/>
    <w:rsid w:val="00E555B1"/>
    <w:rsid w:val="00E9332E"/>
    <w:rsid w:val="00E93668"/>
    <w:rsid w:val="00E95647"/>
    <w:rsid w:val="00EB6350"/>
    <w:rsid w:val="00ED66DD"/>
    <w:rsid w:val="00ED799B"/>
    <w:rsid w:val="00EF0690"/>
    <w:rsid w:val="00F14269"/>
    <w:rsid w:val="00F15B57"/>
    <w:rsid w:val="00F35EF4"/>
    <w:rsid w:val="00F37FE5"/>
    <w:rsid w:val="00F427DB"/>
    <w:rsid w:val="00F613EA"/>
    <w:rsid w:val="00FA5EB1"/>
    <w:rsid w:val="00FA7439"/>
    <w:rsid w:val="00FC4EC0"/>
    <w:rsid w:val="00FC6D7D"/>
    <w:rsid w:val="00FE3DE2"/>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1CC5"/>
  <w15:docId w15:val="{C4A0B63A-CC99-47F3-AE33-B9652A50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qFormat/>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FootnoteTextChar">
    <w:name w:val="Footnote Text Char"/>
    <w:basedOn w:val="DefaultParagraphFont"/>
    <w:link w:val="FootnoteText"/>
    <w:uiPriority w:val="99"/>
    <w:rsid w:val="00F613EA"/>
    <w:rPr>
      <w:rFonts w:ascii="Calibri" w:hAnsi="Calibri"/>
      <w:sz w:val="22"/>
      <w:lang w:val="fr-FR" w:eastAsia="en-US"/>
    </w:rPr>
  </w:style>
  <w:style w:type="paragraph" w:customStyle="1" w:styleId="Figurewithlegend">
    <w:name w:val="Figure_with_legend"/>
    <w:basedOn w:val="Normal"/>
    <w:rsid w:val="00F613EA"/>
    <w:pPr>
      <w:keepNext/>
      <w:keepLines/>
      <w:jc w:val="center"/>
    </w:pPr>
    <w:rPr>
      <w:noProof/>
      <w:lang w:val="en-GB"/>
    </w:rPr>
  </w:style>
  <w:style w:type="paragraph" w:customStyle="1" w:styleId="Tablefin">
    <w:name w:val="Table_fin"/>
    <w:basedOn w:val="Tabletext"/>
    <w:rsid w:val="00F613EA"/>
    <w:pPr>
      <w:tabs>
        <w:tab w:val="clear" w:pos="284"/>
        <w:tab w:val="clear" w:pos="567"/>
        <w:tab w:val="clear" w:pos="851"/>
      </w:tabs>
      <w:spacing w:before="0" w:after="0"/>
    </w:pPr>
    <w:rPr>
      <w:lang w:val="en-GB"/>
    </w:rPr>
  </w:style>
  <w:style w:type="character" w:styleId="IntenseEmphasis">
    <w:name w:val="Intense Emphasis"/>
    <w:basedOn w:val="DefaultParagraphFont"/>
    <w:uiPriority w:val="21"/>
    <w:qFormat/>
    <w:rsid w:val="002E119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itu.int%2Fdms_pub%2Fitu-d%2Fmd%2F22%2Fwtdc25%2Fc%2FD22-WTDC25-C-0016!R1!MSW-E.docx&amp;wdOrigin=BROWSELINK" TargetMode="External"/><Relationship Id="rId18" Type="http://schemas.openxmlformats.org/officeDocument/2006/relationships/hyperlink" Target="https://view.officeapps.live.com/op/view.aspx?src=https%3A%2F%2Fwww.itu.int%2Fdms_pub%2Fitu-d%2Fmd%2F26%2Ftdag33%2Fc%2FD26-TDAG33-C-0002!!MSW-E.docx&amp;wdOrigin=BROWSELINK" TargetMode="External"/><Relationship Id="rId26" Type="http://schemas.openxmlformats.org/officeDocument/2006/relationships/hyperlink" Target="https://www.itu.int/itu-d/reports/statistics/facts-figures-for-ldc/" TargetMode="External"/><Relationship Id="rId39"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21" Type="http://schemas.openxmlformats.org/officeDocument/2006/relationships/hyperlink" Target="https://www.itu.int/itu-d/reports/statistics/facts-figures-2025/" TargetMode="External"/><Relationship Id="rId34" Type="http://schemas.openxmlformats.org/officeDocument/2006/relationships/hyperlink" Target="https://academy.itu.int/digital-capacity-governments/itu-academy-training-centre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w.officeapps.live.com/op/view.aspx?src=https%3A%2F%2Fwww.itu.int%2Fdms_pub%2Fitu-d%2Fmd%2F22%2Fwtdc25%2Fc%2FD22-WTDC25-C-0002!R2!MSW-F.docx&amp;wdOrigin=BROWSELINK" TargetMode="External"/><Relationship Id="rId29" Type="http://schemas.openxmlformats.org/officeDocument/2006/relationships/hyperlink" Target="https://www.itu.int/en/ITU-D/Statistics/Pages/capacitydev/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sharepoint.com/:w:/r/sites/TDAG/_layouts/15/Doc.aspx?sourcedoc=%7B3D2F727B-39E6-47AB-BE23-8883DCE3C9AC%7D&amp;file=022E_V_revmarks_2_TDAG26_Repot%20LDCs.docx&amp;action=default&amp;mobileredirect=true" TargetMode="External"/><Relationship Id="rId24" Type="http://schemas.openxmlformats.org/officeDocument/2006/relationships/hyperlink" Target="https://www.itu.int/itu-d/reports/statistics/facts-figures-for-sids/" TargetMode="External"/><Relationship Id="rId32" Type="http://schemas.openxmlformats.org/officeDocument/2006/relationships/hyperlink" Target="https://academy.itu.int/index.php/main-activities/digital-transformation-centres-initiative" TargetMode="External"/><Relationship Id="rId37" Type="http://schemas.openxmlformats.org/officeDocument/2006/relationships/hyperlink" Target="https://view.officeapps.live.com/op/view.aspx?src=https%3A%2F%2Fwww.itu.int%2Fdms_pub%2Fitu-d%2Fmd%2F26%2Ftdag33%2Fc%2FD26-TDAG33-C-0002!!MSW-E.docx&amp;wdOrigin=BROWSELINK" TargetMode="External"/><Relationship Id="rId40"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iew.officeapps.live.com/op/view.aspx?src=https%3A%2F%2Fwww.itu.int%2Fdms_pub%2Fitu-d%2Fmd%2F26%2Ftdag33%2Fc%2FD26-TDAG33-C-0002!!MSW-F.docx&amp;wdOrigin=BROWSELINK" TargetMode="External"/><Relationship Id="rId23" Type="http://schemas.openxmlformats.org/officeDocument/2006/relationships/hyperlink" Target="https://www.itu.int/itu-d/reports/statistics/facts-figures-for-lldc/" TargetMode="External"/><Relationship Id="rId28" Type="http://schemas.openxmlformats.org/officeDocument/2006/relationships/hyperlink" Target="https://www.itu.int/itu-d/reports/statistics/facts-figures-for-sids/" TargetMode="External"/><Relationship Id="rId36" Type="http://schemas.openxmlformats.org/officeDocument/2006/relationships/hyperlink" Target="https://view.officeapps.live.com/op/view.aspx?src=https%3A%2F%2Fwww.itu.int%2Fdms_pub%2Fitu-d%2Fmd%2F22%2Fwtdc25%2Fc%2FD22-WTDC25-C-0002!R2!MSW-F.docx&amp;wdOrigin=BROWSELINK" TargetMode="External"/><Relationship Id="rId10" Type="http://schemas.openxmlformats.org/officeDocument/2006/relationships/hyperlink" Target="https://view.officeapps.live.com/op/view.aspx?src=https%3A%2F%2Fwww.itu.int%2Fdms_pub%2Fitu-d%2Fmd%2F26%2Ftdag33%2Fc%2FD26-TDAG33-C-0004!!MSW-E.docx&amp;wdOrigin=BROWSELINK" TargetMode="External"/><Relationship Id="rId19" Type="http://schemas.openxmlformats.org/officeDocument/2006/relationships/hyperlink" Target="https://view.officeapps.live.com/op/view.aspx?src=https%3A%2F%2Fwww.itu.int%2Fdms_pub%2Fitu-d%2Fmd%2F22%2Fwtdc25%2Fc%2FD22-WTDC25-C-0002!R2!MSW-E.docx&amp;wdOrigin=BROWSELINK" TargetMode="External"/><Relationship Id="rId31" Type="http://schemas.openxmlformats.org/officeDocument/2006/relationships/hyperlink" Target="https://academy.itu.int/digital-skills-communities/digital-transformation-centres-initiative"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tuint.sharepoint.com/:w:/r/sites/TDAG/_layouts/15/Doc.aspx?sourcedoc=%7BFB84FBC1-E446-4DE9-8F54-55C6908A27AC%7D&amp;file=002E_Add1_V_clean_TDAG26_Update%20on%20the%20Report%20on%20implementation%20of%20KAP_Feb%2025_FT.docx&amp;action=default&amp;mobileredirect=true" TargetMode="External"/><Relationship Id="rId14" Type="http://schemas.openxmlformats.org/officeDocument/2006/relationships/hyperlink" Target="https://www.itu.int/en/ITU-D/Documents/BAP/D22-WTDC25-C-0090%21%21PDF-F.pdf" TargetMode="External"/><Relationship Id="rId22" Type="http://schemas.openxmlformats.org/officeDocument/2006/relationships/hyperlink" Target="https://www.itu.int/itu-d/reports/statistics/facts-figures-for-ldc/" TargetMode="External"/><Relationship Id="rId27" Type="http://schemas.openxmlformats.org/officeDocument/2006/relationships/hyperlink" Target="https://www.itu.int/itu-d/reports/statistics/facts-figures-for-lldc/" TargetMode="External"/><Relationship Id="rId30" Type="http://schemas.openxmlformats.org/officeDocument/2006/relationships/hyperlink" Target="https://www.itu.int/en/ITU-D/Statistics/Pages/capacitydev/default.aspx" TargetMode="External"/><Relationship Id="rId35" Type="http://schemas.openxmlformats.org/officeDocument/2006/relationships/hyperlink" Target="https://view.officeapps.live.com/op/view.aspx?src=https%3A%2F%2Fwww.itu.int%2Fdms_pub%2Fitu-d%2Fmd%2F26%2Ftdag33%2Fc%2FD26-TDAG33-C-0002!!MSW-F.docx&amp;wdOrigin=BROWSELINK" TargetMode="External"/><Relationship Id="rId43" Type="http://schemas.openxmlformats.org/officeDocument/2006/relationships/footer" Target="footer2.xml"/><Relationship Id="rId8"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3" Type="http://schemas.openxmlformats.org/officeDocument/2006/relationships/styles" Target="styles.xml"/><Relationship Id="rId12" Type="http://schemas.openxmlformats.org/officeDocument/2006/relationships/hyperlink" Target="https://view.officeapps.live.com/op/view.aspx?src=https%3A%2F%2Fwww.itu.int%2Fdms_pub%2Fitu-d%2Fmd%2F22%2Fwtdc25%2Fc%2FD22-WTDC25-C-0002!N2!MSW-E.docx&amp;wdOrigin=BROWSELINK" TargetMode="External"/><Relationship Id="rId17" Type="http://schemas.openxmlformats.org/officeDocument/2006/relationships/hyperlink" Target="https://www.itu.int/itu-d/meetings/wtdc25/wp-content/uploads/sites/29/2025/11/090-E.pdf" TargetMode="External"/><Relationship Id="rId25" Type="http://schemas.openxmlformats.org/officeDocument/2006/relationships/hyperlink" Target="https://www.itu.int/itu-d/reports/statistics/facts-figures-2025/" TargetMode="External"/><Relationship Id="rId33" Type="http://schemas.openxmlformats.org/officeDocument/2006/relationships/hyperlink" Target="https://academy.itu.int/digital-capacity-governments/itu-academy-training-centres" TargetMode="External"/><Relationship Id="rId38" Type="http://schemas.openxmlformats.org/officeDocument/2006/relationships/hyperlink" Target="https://view.officeapps.live.com/op/view.aspx?src=https%3A%2F%2Fwww.itu.int%2Fdms_pub%2Fitu-d%2Fmd%2F22%2Fwtdc25%2Fc%2FD22-WTDC25-C-0002!R2!MSW-E.docx&amp;wdOrigin=BROWSELINK" TargetMode="External"/><Relationship Id="rId46"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d/meetings/wtdc25/wp-content/uploads/sites/29/2025/11/090-E.pdf" TargetMode="External"/><Relationship Id="rId3" Type="http://schemas.openxmlformats.org/officeDocument/2006/relationships/hyperlink" Target="https://www.itu.int/partner2connect/pledges/explore-pledges/" TargetMode="External"/><Relationship Id="rId7" Type="http://schemas.openxmlformats.org/officeDocument/2006/relationships/hyperlink" Target="https://www.itu.int/en/ITU-D/Documents/BAP/D22-WTDC25-C-0090%21%21PDF-F.pdf" TargetMode="External"/><Relationship Id="rId2" Type="http://schemas.openxmlformats.org/officeDocument/2006/relationships/hyperlink" Target="http://www.itu.int/itu-d/sites/ldcs/?lang=en" TargetMode="External"/><Relationship Id="rId1" Type="http://schemas.openxmlformats.org/officeDocument/2006/relationships/hyperlink" Target="https://www.itu.int/itu-d/sites/ldcs/?lang=en" TargetMode="External"/><Relationship Id="rId6" Type="http://schemas.openxmlformats.org/officeDocument/2006/relationships/hyperlink" Target="https://www.itu.int/en/council/Documents/basic-texts-2023/RES-030-E.pdf" TargetMode="External"/><Relationship Id="rId5" Type="http://schemas.openxmlformats.org/officeDocument/2006/relationships/hyperlink" Target="https://www.itu.int/en/council/Documents/basic-texts-2023/RES-030-F.pdf" TargetMode="External"/><Relationship Id="rId4" Type="http://schemas.openxmlformats.org/officeDocument/2006/relationships/hyperlink" Target="https://www.itu.int/partner2connect/pledges/explore-pledg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569D-BB85-4E02-AC9E-8BFB412C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117</TotalTime>
  <Pages>9</Pages>
  <Words>3405</Words>
  <Characters>23999</Characters>
  <Application>Microsoft Office Word</Application>
  <DocSecurity>0</DocSecurity>
  <Lines>2399</Lines>
  <Paragraphs>1712</Paragraphs>
  <ScaleCrop>false</ScaleCrop>
  <HeadingPairs>
    <vt:vector size="2" baseType="variant">
      <vt:variant>
        <vt:lpstr>Title</vt:lpstr>
      </vt:variant>
      <vt:variant>
        <vt:i4>1</vt:i4>
      </vt:variant>
    </vt:vector>
  </HeadingPairs>
  <TitlesOfParts>
    <vt:vector size="1" baseType="lpstr">
      <vt:lpstr>Rapport sur la mise en œuvre de la Résolution 30 (Rév. Bucarest, 2022) de la Conférence de plénipotentiaires sur les mesures spéciales en faveur des pays les moins avancés, des pays en développement sans littoral, des petits États insulaires en développem</vt:lpstr>
    </vt:vector>
  </TitlesOfParts>
  <Manager>Secrétariat général - Pool</Manager>
  <Company>Union internationale des télécommunications (UIT)</Company>
  <LinksUpToDate>false</LinksUpToDate>
  <CharactersWithSpaces>25692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la mise en œuvre de la Résolution 30 (Rév. Bucarest, 2022) de la Conférence de plénipotentiaires sur les mesures spéciales en faveur des pays les moins avancés, des pays en développement sans littoral, des petits États insulaires en développement et des pays dont l'économie est en transition pour 2025</dc:title>
  <dc:subject>Conseil 2026 de l'UIT</dc:subject>
  <cp:keywords>C26; C2026; Council 2026; PP26</cp:keywords>
  <dc:description/>
  <cp:lastPrinted>2000-07-18T08:55:00Z</cp:lastPrinted>
  <dcterms:created xsi:type="dcterms:W3CDTF">2026-04-22T09:24:00Z</dcterms:created>
  <dcterms:modified xsi:type="dcterms:W3CDTF">2026-04-22T11:20:00Z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