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B7369A6" w14:textId="77777777" w:rsidTr="00954C49">
        <w:trPr>
          <w:cantSplit/>
          <w:trHeight w:val="23"/>
        </w:trPr>
        <w:tc>
          <w:tcPr>
            <w:tcW w:w="3969" w:type="dxa"/>
            <w:vMerge w:val="restart"/>
            <w:tcMar>
              <w:left w:w="0" w:type="dxa"/>
            </w:tcMar>
          </w:tcPr>
          <w:p w14:paraId="6F1CAB51" w14:textId="3FCBF80A"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E93092">
              <w:rPr>
                <w:b/>
              </w:rPr>
              <w:t>PL-2</w:t>
            </w:r>
          </w:p>
        </w:tc>
        <w:tc>
          <w:tcPr>
            <w:tcW w:w="5245" w:type="dxa"/>
          </w:tcPr>
          <w:p w14:paraId="39E54421" w14:textId="6C237BF3"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E93092">
              <w:rPr>
                <w:b/>
              </w:rPr>
              <w:t>74</w:t>
            </w:r>
            <w:r w:rsidRPr="00C0458D">
              <w:rPr>
                <w:b/>
              </w:rPr>
              <w:t>-E</w:t>
            </w:r>
          </w:p>
        </w:tc>
      </w:tr>
      <w:tr w:rsidR="00AD3606" w:rsidRPr="00C0458D" w14:paraId="66CB9EB8" w14:textId="77777777" w:rsidTr="00954C49">
        <w:trPr>
          <w:cantSplit/>
        </w:trPr>
        <w:tc>
          <w:tcPr>
            <w:tcW w:w="3969" w:type="dxa"/>
            <w:vMerge/>
          </w:tcPr>
          <w:p w14:paraId="05A8DFF9"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3AA4FEB1" w14:textId="45A019A4" w:rsidR="00AD3606" w:rsidRPr="00C0458D" w:rsidRDefault="00ED6637" w:rsidP="00954C49">
            <w:pPr>
              <w:tabs>
                <w:tab w:val="left" w:pos="851"/>
              </w:tabs>
              <w:spacing w:before="0"/>
              <w:jc w:val="right"/>
              <w:rPr>
                <w:b/>
              </w:rPr>
            </w:pPr>
            <w:r>
              <w:rPr>
                <w:b/>
              </w:rPr>
              <w:t>3</w:t>
            </w:r>
            <w:r>
              <w:rPr>
                <w:b/>
              </w:rPr>
              <w:t>0</w:t>
            </w:r>
            <w:r>
              <w:rPr>
                <w:b/>
              </w:rPr>
              <w:t xml:space="preserve"> </w:t>
            </w:r>
            <w:r w:rsidR="00BB7228">
              <w:rPr>
                <w:b/>
              </w:rPr>
              <w:t>March 2026</w:t>
            </w:r>
          </w:p>
        </w:tc>
      </w:tr>
      <w:tr w:rsidR="00AD3606" w:rsidRPr="00C0458D" w14:paraId="4B1C963B" w14:textId="77777777" w:rsidTr="00954C49">
        <w:trPr>
          <w:cantSplit/>
          <w:trHeight w:val="23"/>
        </w:trPr>
        <w:tc>
          <w:tcPr>
            <w:tcW w:w="3969" w:type="dxa"/>
            <w:vMerge/>
          </w:tcPr>
          <w:p w14:paraId="2C94F18E"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69039FF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4613279" w14:textId="77777777" w:rsidTr="00954C49">
        <w:trPr>
          <w:cantSplit/>
          <w:trHeight w:val="23"/>
        </w:trPr>
        <w:tc>
          <w:tcPr>
            <w:tcW w:w="3969" w:type="dxa"/>
          </w:tcPr>
          <w:p w14:paraId="22BC248F" w14:textId="77777777" w:rsidR="00472BAD" w:rsidRPr="00C0458D" w:rsidRDefault="00472BAD" w:rsidP="00954C49">
            <w:pPr>
              <w:tabs>
                <w:tab w:val="left" w:pos="851"/>
              </w:tabs>
              <w:spacing w:line="240" w:lineRule="atLeast"/>
              <w:rPr>
                <w:b/>
              </w:rPr>
            </w:pPr>
          </w:p>
        </w:tc>
        <w:tc>
          <w:tcPr>
            <w:tcW w:w="5245" w:type="dxa"/>
          </w:tcPr>
          <w:p w14:paraId="26D35499" w14:textId="77777777" w:rsidR="00472BAD" w:rsidRPr="00C0458D" w:rsidRDefault="00472BAD" w:rsidP="00954C49">
            <w:pPr>
              <w:tabs>
                <w:tab w:val="left" w:pos="851"/>
              </w:tabs>
              <w:spacing w:before="0" w:line="240" w:lineRule="atLeast"/>
              <w:jc w:val="right"/>
              <w:rPr>
                <w:b/>
              </w:rPr>
            </w:pPr>
          </w:p>
        </w:tc>
      </w:tr>
      <w:tr w:rsidR="00AD3606" w:rsidRPr="00C0458D" w14:paraId="1AE3C315" w14:textId="77777777" w:rsidTr="00954C49">
        <w:trPr>
          <w:cantSplit/>
        </w:trPr>
        <w:tc>
          <w:tcPr>
            <w:tcW w:w="9214" w:type="dxa"/>
            <w:gridSpan w:val="2"/>
            <w:tcMar>
              <w:left w:w="0" w:type="dxa"/>
            </w:tcMar>
          </w:tcPr>
          <w:p w14:paraId="6FDA0AF8"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0D632FFF" w14:textId="77777777" w:rsidTr="00954C49">
        <w:trPr>
          <w:cantSplit/>
        </w:trPr>
        <w:tc>
          <w:tcPr>
            <w:tcW w:w="9214" w:type="dxa"/>
            <w:gridSpan w:val="2"/>
            <w:tcMar>
              <w:left w:w="0" w:type="dxa"/>
            </w:tcMar>
          </w:tcPr>
          <w:p w14:paraId="2EBFC131" w14:textId="7669A6D3" w:rsidR="00AD3606" w:rsidRPr="00B42BF3" w:rsidRDefault="00B42BF3" w:rsidP="00BB7228">
            <w:pPr>
              <w:pStyle w:val="Subtitle"/>
              <w:framePr w:hSpace="0" w:wrap="auto" w:hAnchor="text" w:xAlign="left" w:yAlign="inline"/>
              <w:rPr>
                <w:sz w:val="30"/>
                <w:szCs w:val="30"/>
              </w:rPr>
            </w:pPr>
            <w:bookmarkStart w:id="9" w:name="dtitle1" w:colFirst="0" w:colLast="0"/>
            <w:bookmarkEnd w:id="8"/>
            <w:r w:rsidRPr="00B42BF3">
              <w:rPr>
                <w:rFonts w:cs="Calibri"/>
                <w:sz w:val="30"/>
                <w:szCs w:val="30"/>
              </w:rPr>
              <w:t>REPORT ON THE IMPLEMENTATION OF RESOLUTION 30 (REV. BUCHAREST, 2022) ON SPECIAL MEASURES FOR LEAST DEVELOPED COUNTRIES, LANDLOCKED DEVELOPING COUNTRIES, SMALL ISLAND DEVELOPING STATES AND COUNTRIES WITH ECONOMIES IN TRANSITION, 2025</w:t>
            </w:r>
          </w:p>
        </w:tc>
      </w:tr>
      <w:tr w:rsidR="00AD3606" w:rsidRPr="00C0458D" w14:paraId="7C4F0821" w14:textId="77777777" w:rsidTr="00954C49">
        <w:trPr>
          <w:cantSplit/>
        </w:trPr>
        <w:tc>
          <w:tcPr>
            <w:tcW w:w="9214" w:type="dxa"/>
            <w:gridSpan w:val="2"/>
            <w:tcBorders>
              <w:top w:val="single" w:sz="4" w:space="0" w:color="auto"/>
              <w:bottom w:val="single" w:sz="4" w:space="0" w:color="auto"/>
            </w:tcBorders>
            <w:tcMar>
              <w:left w:w="0" w:type="dxa"/>
            </w:tcMar>
          </w:tcPr>
          <w:p w14:paraId="31351025" w14:textId="77777777" w:rsidR="00AD3606" w:rsidRPr="00C0458D" w:rsidRDefault="00F16BAB" w:rsidP="00954C49">
            <w:pPr>
              <w:spacing w:before="160"/>
              <w:rPr>
                <w:b/>
                <w:bCs/>
                <w:sz w:val="26"/>
                <w:szCs w:val="26"/>
              </w:rPr>
            </w:pPr>
            <w:r w:rsidRPr="00C0458D">
              <w:rPr>
                <w:b/>
                <w:bCs/>
                <w:sz w:val="26"/>
                <w:szCs w:val="26"/>
              </w:rPr>
              <w:t>Purpose</w:t>
            </w:r>
          </w:p>
          <w:p w14:paraId="1D1CDECA" w14:textId="5195125A" w:rsidR="00BC44B3" w:rsidRPr="00A73D4A" w:rsidRDefault="00BC44B3" w:rsidP="00BC44B3">
            <w:pPr>
              <w:spacing w:before="100"/>
              <w:jc w:val="both"/>
              <w:rPr>
                <w:rFonts w:cs="Calibri"/>
                <w:lang w:val="en-US"/>
              </w:rPr>
            </w:pPr>
            <w:r w:rsidRPr="00A73D4A">
              <w:rPr>
                <w:rFonts w:cs="Calibri"/>
                <w:spacing w:val="-2"/>
              </w:rPr>
              <w:t xml:space="preserve">This document reports on the implementation of </w:t>
            </w:r>
            <w:r w:rsidR="00817E5E">
              <w:rPr>
                <w:rFonts w:cs="Calibri"/>
                <w:spacing w:val="-2"/>
              </w:rPr>
              <w:t>R</w:t>
            </w:r>
            <w:r w:rsidRPr="00A73D4A">
              <w:rPr>
                <w:rFonts w:cs="Calibri"/>
                <w:spacing w:val="-2"/>
              </w:rPr>
              <w:t>esolution 30 (R</w:t>
            </w:r>
            <w:r>
              <w:rPr>
                <w:rFonts w:cs="Calibri"/>
                <w:spacing w:val="-2"/>
              </w:rPr>
              <w:t>ev</w:t>
            </w:r>
            <w:r w:rsidRPr="00A73D4A">
              <w:rPr>
                <w:rFonts w:cs="Calibri"/>
                <w:spacing w:val="-2"/>
              </w:rPr>
              <w:t>. B</w:t>
            </w:r>
            <w:r>
              <w:rPr>
                <w:rFonts w:cs="Calibri"/>
                <w:spacing w:val="-2"/>
              </w:rPr>
              <w:t>ucharest</w:t>
            </w:r>
            <w:r w:rsidRPr="00A73D4A">
              <w:rPr>
                <w:rFonts w:cs="Calibri"/>
                <w:spacing w:val="-2"/>
              </w:rPr>
              <w:t>,</w:t>
            </w:r>
            <w:r>
              <w:rPr>
                <w:rFonts w:cs="Calibri"/>
                <w:spacing w:val="-2"/>
              </w:rPr>
              <w:t xml:space="preserve"> </w:t>
            </w:r>
            <w:r w:rsidRPr="00A73D4A">
              <w:rPr>
                <w:rFonts w:cs="Calibri"/>
                <w:spacing w:val="-2"/>
              </w:rPr>
              <w:t xml:space="preserve">2022) </w:t>
            </w:r>
            <w:r w:rsidR="00817E5E">
              <w:rPr>
                <w:rFonts w:cs="Calibri"/>
                <w:spacing w:val="-2"/>
              </w:rPr>
              <w:t xml:space="preserve">of the Plenipotentiary Conference </w:t>
            </w:r>
            <w:r w:rsidRPr="00A73D4A">
              <w:rPr>
                <w:rFonts w:cs="Calibri"/>
                <w:spacing w:val="-2"/>
              </w:rPr>
              <w:t xml:space="preserve">to </w:t>
            </w:r>
            <w:r w:rsidR="00817E5E">
              <w:rPr>
                <w:rFonts w:cs="Calibri"/>
                <w:spacing w:val="-2"/>
              </w:rPr>
              <w:t xml:space="preserve">the ITU </w:t>
            </w:r>
            <w:r w:rsidRPr="00A73D4A">
              <w:rPr>
                <w:rFonts w:cs="Calibri"/>
                <w:spacing w:val="-2"/>
              </w:rPr>
              <w:t>Council.</w:t>
            </w:r>
          </w:p>
          <w:p w14:paraId="6ACDC1DF"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1118CA91" w14:textId="77777777" w:rsidR="00BC44B3" w:rsidRPr="00A73D4A" w:rsidRDefault="00BC44B3" w:rsidP="00BC44B3">
            <w:pPr>
              <w:spacing w:before="100"/>
              <w:rPr>
                <w:rFonts w:cs="Calibri"/>
              </w:rPr>
            </w:pPr>
            <w:r w:rsidRPr="00A73D4A">
              <w:rPr>
                <w:rFonts w:cs="Calibri"/>
              </w:rPr>
              <w:t xml:space="preserve">The Council is invited to </w:t>
            </w:r>
            <w:r w:rsidRPr="00BC44B3">
              <w:rPr>
                <w:rFonts w:cs="Calibri"/>
                <w:b/>
                <w:bCs/>
              </w:rPr>
              <w:t>note</w:t>
            </w:r>
            <w:r w:rsidRPr="00A73D4A">
              <w:rPr>
                <w:rFonts w:cs="Calibri"/>
              </w:rPr>
              <w:t xml:space="preserve"> the report and </w:t>
            </w:r>
            <w:r w:rsidRPr="00BC44B3">
              <w:rPr>
                <w:rFonts w:cs="Calibri"/>
                <w:b/>
                <w:bCs/>
              </w:rPr>
              <w:t>provide</w:t>
            </w:r>
            <w:r w:rsidRPr="00A73D4A">
              <w:rPr>
                <w:rFonts w:cs="Calibri"/>
              </w:rPr>
              <w:t xml:space="preserve"> further guidance.</w:t>
            </w:r>
          </w:p>
          <w:p w14:paraId="1C234E40"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222A8566" w14:textId="544C5506" w:rsidR="00BC44B3" w:rsidRPr="00A73D4A" w:rsidRDefault="00BC44B3" w:rsidP="00BC44B3">
            <w:pPr>
              <w:spacing w:before="100"/>
              <w:rPr>
                <w:rFonts w:cs="Calibri"/>
              </w:rPr>
            </w:pPr>
            <w:r w:rsidRPr="00A73D4A">
              <w:rPr>
                <w:rFonts w:cs="Calibri"/>
              </w:rPr>
              <w:t>Convening platform; membership driven; regional presence; all thematic priorities</w:t>
            </w:r>
            <w:r>
              <w:rPr>
                <w:rFonts w:cs="Calibri"/>
              </w:rPr>
              <w:t>.</w:t>
            </w:r>
          </w:p>
          <w:p w14:paraId="1EDEAAF7" w14:textId="77777777" w:rsidR="00722551" w:rsidRDefault="00722551" w:rsidP="00954C49">
            <w:pPr>
              <w:spacing w:before="160"/>
              <w:rPr>
                <w:b/>
                <w:bCs/>
                <w:sz w:val="26"/>
                <w:szCs w:val="26"/>
              </w:rPr>
            </w:pPr>
            <w:r>
              <w:rPr>
                <w:b/>
                <w:bCs/>
                <w:sz w:val="26"/>
                <w:szCs w:val="26"/>
              </w:rPr>
              <w:t>Financial implications</w:t>
            </w:r>
          </w:p>
          <w:p w14:paraId="5F51808C" w14:textId="2651AD32" w:rsidR="00453079" w:rsidRPr="00BC44B3" w:rsidRDefault="00BC44B3" w:rsidP="00BC44B3">
            <w:pPr>
              <w:spacing w:before="100"/>
              <w:jc w:val="both"/>
              <w:rPr>
                <w:rFonts w:cs="Calibri"/>
                <w:lang w:val="en-US"/>
              </w:rPr>
            </w:pPr>
            <w:r w:rsidRPr="40524877">
              <w:rPr>
                <w:rFonts w:cs="Calibri"/>
                <w:color w:val="000000" w:themeColor="text1"/>
              </w:rPr>
              <w:t xml:space="preserve">Resolution 30 </w:t>
            </w:r>
            <w:r w:rsidR="001B7DAC" w:rsidRPr="00A73D4A">
              <w:rPr>
                <w:rFonts w:cs="Calibri"/>
                <w:spacing w:val="-2"/>
              </w:rPr>
              <w:t>(R</w:t>
            </w:r>
            <w:r w:rsidR="001B7DAC">
              <w:rPr>
                <w:rFonts w:cs="Calibri"/>
                <w:spacing w:val="-2"/>
              </w:rPr>
              <w:t>ev</w:t>
            </w:r>
            <w:r w:rsidR="001B7DAC" w:rsidRPr="00A73D4A">
              <w:rPr>
                <w:rFonts w:cs="Calibri"/>
                <w:spacing w:val="-2"/>
              </w:rPr>
              <w:t>. B</w:t>
            </w:r>
            <w:r w:rsidR="001B7DAC">
              <w:rPr>
                <w:rFonts w:cs="Calibri"/>
                <w:spacing w:val="-2"/>
              </w:rPr>
              <w:t>ucharest</w:t>
            </w:r>
            <w:r w:rsidR="001B7DAC" w:rsidRPr="00A73D4A">
              <w:rPr>
                <w:rFonts w:cs="Calibri"/>
                <w:spacing w:val="-2"/>
              </w:rPr>
              <w:t>,</w:t>
            </w:r>
            <w:r w:rsidR="001B7DAC">
              <w:rPr>
                <w:rFonts w:cs="Calibri"/>
                <w:spacing w:val="-2"/>
              </w:rPr>
              <w:t xml:space="preserve"> </w:t>
            </w:r>
            <w:r w:rsidR="001B7DAC" w:rsidRPr="00A73D4A">
              <w:rPr>
                <w:rFonts w:cs="Calibri"/>
                <w:spacing w:val="-2"/>
              </w:rPr>
              <w:t xml:space="preserve">2022) </w:t>
            </w:r>
            <w:r w:rsidRPr="40524877">
              <w:rPr>
                <w:rFonts w:cs="Calibri"/>
                <w:color w:val="000000" w:themeColor="text1"/>
              </w:rPr>
              <w:t xml:space="preserve">is being implemented by the Telecommunication Development Bureau (BDT) using the regular budget, as well as extra-budgetary funds received through projects and voluntary contributions. A separate report on the financial implications of the </w:t>
            </w:r>
            <w:r w:rsidR="00080159">
              <w:rPr>
                <w:rFonts w:cs="Calibri"/>
                <w:color w:val="000000" w:themeColor="text1"/>
              </w:rPr>
              <w:t>r</w:t>
            </w:r>
            <w:r w:rsidRPr="40524877">
              <w:rPr>
                <w:rFonts w:cs="Calibri"/>
                <w:color w:val="000000" w:themeColor="text1"/>
              </w:rPr>
              <w:t>esolutions adopted by WTDC-25 was presented to the 2026 session of the Telecommunications Development Advisory Group (TDAG-26).</w:t>
            </w:r>
          </w:p>
          <w:p w14:paraId="54BD6B40" w14:textId="77777777" w:rsidR="00C0458D" w:rsidRDefault="00C0458D" w:rsidP="00954C49">
            <w:r>
              <w:t>_______________</w:t>
            </w:r>
          </w:p>
          <w:p w14:paraId="01C861C7" w14:textId="77777777" w:rsidR="00AD3606" w:rsidRPr="00C0458D" w:rsidRDefault="00AD3606" w:rsidP="00954C49">
            <w:pPr>
              <w:spacing w:before="160"/>
              <w:rPr>
                <w:b/>
                <w:bCs/>
                <w:sz w:val="26"/>
                <w:szCs w:val="26"/>
              </w:rPr>
            </w:pPr>
            <w:r w:rsidRPr="00C0458D">
              <w:rPr>
                <w:b/>
                <w:bCs/>
                <w:sz w:val="26"/>
                <w:szCs w:val="26"/>
              </w:rPr>
              <w:t>References</w:t>
            </w:r>
          </w:p>
          <w:p w14:paraId="7F5BB581" w14:textId="0D80A837" w:rsidR="00AD3606" w:rsidRPr="00BC44B3" w:rsidRDefault="00BC44B3" w:rsidP="00954C49">
            <w:pPr>
              <w:spacing w:after="160"/>
              <w:rPr>
                <w:i/>
                <w:iCs/>
                <w:sz w:val="22"/>
                <w:szCs w:val="22"/>
              </w:rPr>
            </w:pPr>
            <w:r w:rsidRPr="00BC44B3">
              <w:rPr>
                <w:rFonts w:cs="Calibri"/>
                <w:i/>
                <w:iCs/>
                <w:sz w:val="22"/>
                <w:szCs w:val="22"/>
              </w:rPr>
              <w:t xml:space="preserve">Telecommunication Development Advisory Group Documents </w:t>
            </w:r>
            <w:hyperlink r:id="rId11" w:history="1">
              <w:r w:rsidRPr="00BC44B3">
                <w:rPr>
                  <w:rStyle w:val="Hyperlink"/>
                  <w:rFonts w:eastAsia="Calibri" w:cs="Calibri"/>
                  <w:i/>
                  <w:iCs/>
                  <w:sz w:val="22"/>
                  <w:szCs w:val="22"/>
                </w:rPr>
                <w:t>TDAG-26/2</w:t>
              </w:r>
            </w:hyperlink>
            <w:r w:rsidRPr="00BC44B3">
              <w:rPr>
                <w:rFonts w:eastAsia="Calibri" w:cs="Calibri"/>
                <w:i/>
                <w:iCs/>
                <w:sz w:val="22"/>
                <w:szCs w:val="22"/>
              </w:rPr>
              <w:t xml:space="preserve">, </w:t>
            </w:r>
            <w:hyperlink r:id="rId12" w:history="1">
              <w:r w:rsidRPr="00BC44B3">
                <w:rPr>
                  <w:rStyle w:val="Hyperlink"/>
                  <w:rFonts w:eastAsia="Calibri" w:cs="Calibri"/>
                  <w:i/>
                  <w:iCs/>
                  <w:sz w:val="22"/>
                  <w:szCs w:val="22"/>
                </w:rPr>
                <w:t>TDAG-26/2(Add.1)</w:t>
              </w:r>
            </w:hyperlink>
            <w:r w:rsidRPr="00BC44B3">
              <w:rPr>
                <w:rFonts w:eastAsia="Calibri" w:cs="Calibri"/>
                <w:i/>
                <w:iCs/>
                <w:sz w:val="22"/>
                <w:szCs w:val="22"/>
              </w:rPr>
              <w:t xml:space="preserve">, </w:t>
            </w:r>
            <w:r w:rsidRPr="00BC44B3">
              <w:rPr>
                <w:rFonts w:eastAsia="Calibri" w:cs="Calibri"/>
                <w:i/>
                <w:iCs/>
                <w:sz w:val="22"/>
                <w:szCs w:val="22"/>
              </w:rPr>
              <w:br/>
            </w:r>
            <w:hyperlink r:id="rId13" w:history="1">
              <w:r w:rsidRPr="00BC44B3">
                <w:rPr>
                  <w:rStyle w:val="Hyperlink"/>
                  <w:rFonts w:eastAsia="Calibri" w:cs="Calibri"/>
                  <w:i/>
                  <w:iCs/>
                  <w:sz w:val="22"/>
                  <w:szCs w:val="22"/>
                </w:rPr>
                <w:t>TDAG-26/4</w:t>
              </w:r>
            </w:hyperlink>
            <w:r w:rsidRPr="00BC44B3">
              <w:rPr>
                <w:rFonts w:eastAsia="Calibri" w:cs="Calibri"/>
                <w:i/>
                <w:iCs/>
                <w:sz w:val="22"/>
                <w:szCs w:val="22"/>
              </w:rPr>
              <w:t xml:space="preserve"> and </w:t>
            </w:r>
            <w:hyperlink r:id="rId14" w:history="1">
              <w:r w:rsidRPr="00BC44B3">
                <w:rPr>
                  <w:rStyle w:val="Hyperlink"/>
                  <w:rFonts w:eastAsia="Calibri" w:cs="Calibri"/>
                  <w:i/>
                  <w:iCs/>
                  <w:sz w:val="22"/>
                  <w:szCs w:val="22"/>
                </w:rPr>
                <w:t>TDAG-26/22</w:t>
              </w:r>
            </w:hyperlink>
            <w:r w:rsidRPr="00BC44B3">
              <w:rPr>
                <w:rFonts w:eastAsia="Calibri" w:cs="Calibri"/>
                <w:i/>
                <w:iCs/>
                <w:sz w:val="22"/>
                <w:szCs w:val="22"/>
              </w:rPr>
              <w:t xml:space="preserve">; World Telecommunication Development Conference Documents </w:t>
            </w:r>
            <w:hyperlink r:id="rId15" w:history="1">
              <w:r w:rsidRPr="00BC44B3">
                <w:rPr>
                  <w:rStyle w:val="Hyperlink"/>
                  <w:rFonts w:eastAsia="Calibri" w:cs="Calibri"/>
                  <w:i/>
                  <w:iCs/>
                  <w:sz w:val="22"/>
                  <w:szCs w:val="22"/>
                </w:rPr>
                <w:t>WTDC-25/2(Ann.2)</w:t>
              </w:r>
            </w:hyperlink>
            <w:r w:rsidRPr="00BC44B3">
              <w:rPr>
                <w:rFonts w:eastAsia="Calibri" w:cs="Calibri"/>
                <w:i/>
                <w:iCs/>
                <w:sz w:val="22"/>
                <w:szCs w:val="22"/>
              </w:rPr>
              <w:t xml:space="preserve">, and </w:t>
            </w:r>
            <w:hyperlink r:id="rId16" w:history="1">
              <w:r w:rsidRPr="00BC44B3">
                <w:rPr>
                  <w:rStyle w:val="Hyperlink"/>
                  <w:rFonts w:eastAsia="Calibri" w:cs="Calibri"/>
                  <w:i/>
                  <w:iCs/>
                  <w:sz w:val="22"/>
                  <w:szCs w:val="22"/>
                </w:rPr>
                <w:t>WTDC-25/16</w:t>
              </w:r>
            </w:hyperlink>
          </w:p>
        </w:tc>
      </w:tr>
    </w:tbl>
    <w:p w14:paraId="7EF7CAE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32FF5EF"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694CBB26" w14:textId="77777777" w:rsidR="00BB7228" w:rsidRPr="00A73D4A" w:rsidRDefault="00BB7228" w:rsidP="000367B1">
      <w:pPr>
        <w:pStyle w:val="Headingb"/>
      </w:pPr>
      <w:r w:rsidRPr="00A73D4A">
        <w:lastRenderedPageBreak/>
        <w:t>Introduction and Institutional Framework</w:t>
      </w:r>
    </w:p>
    <w:p w14:paraId="3FB4A042" w14:textId="504990AD" w:rsidR="00BB7228" w:rsidRPr="00A73D4A" w:rsidRDefault="00BB7228" w:rsidP="00D46BD2">
      <w:pPr>
        <w:jc w:val="both"/>
        <w:rPr>
          <w:rFonts w:cs="Calibri"/>
        </w:rPr>
      </w:pPr>
      <w:r w:rsidRPr="00A73D4A">
        <w:rPr>
          <w:rFonts w:eastAsiaTheme="minorEastAsia" w:cs="Calibri"/>
        </w:rPr>
        <w:t xml:space="preserve">Despite steady progress, reflected in the upward trends observed in the least developed countries (LDCs), landlocked developing countries (LLDCs), and small island developing </w:t>
      </w:r>
      <w:r w:rsidR="00C841BD">
        <w:rPr>
          <w:rFonts w:eastAsiaTheme="minorEastAsia" w:cs="Calibri"/>
        </w:rPr>
        <w:t>s</w:t>
      </w:r>
      <w:r w:rsidRPr="00A73D4A">
        <w:rPr>
          <w:rFonts w:eastAsiaTheme="minorEastAsia" w:cs="Calibri"/>
        </w:rPr>
        <w:t xml:space="preserve">tates (SIDS) in </w:t>
      </w:r>
      <w:hyperlink w:anchor="Fig_1" w:history="1">
        <w:r w:rsidRPr="00080159">
          <w:rPr>
            <w:rStyle w:val="Hyperlink"/>
            <w:rFonts w:eastAsiaTheme="minorEastAsia" w:cs="Calibri"/>
          </w:rPr>
          <w:t>Figure 1</w:t>
        </w:r>
      </w:hyperlink>
      <w:r w:rsidRPr="00A73D4A">
        <w:rPr>
          <w:rFonts w:eastAsiaTheme="minorEastAsia" w:cs="Calibri"/>
        </w:rPr>
        <w:t xml:space="preserve">, </w:t>
      </w:r>
      <w:r w:rsidR="00583849">
        <w:rPr>
          <w:rFonts w:eastAsiaTheme="minorEastAsia" w:cs="Calibri"/>
        </w:rPr>
        <w:t>I</w:t>
      </w:r>
      <w:r w:rsidRPr="00A73D4A">
        <w:rPr>
          <w:rFonts w:eastAsiaTheme="minorEastAsia" w:cs="Calibri"/>
        </w:rPr>
        <w:t xml:space="preserve">nternet usage remains significantly lower compared with global averages. By 2025, the global share of individuals using the </w:t>
      </w:r>
      <w:r w:rsidR="00583849">
        <w:rPr>
          <w:rFonts w:eastAsiaTheme="minorEastAsia" w:cs="Calibri"/>
        </w:rPr>
        <w:t>I</w:t>
      </w:r>
      <w:r w:rsidRPr="00A73D4A">
        <w:rPr>
          <w:rFonts w:eastAsiaTheme="minorEastAsia" w:cs="Calibri"/>
        </w:rPr>
        <w:t>nternet had reached 73.6</w:t>
      </w:r>
      <w:r w:rsidR="000B306D" w:rsidRPr="000B306D">
        <w:rPr>
          <w:rFonts w:eastAsiaTheme="minorEastAsia" w:cs="Calibri"/>
        </w:rPr>
        <w:t xml:space="preserve"> </w:t>
      </w:r>
      <w:r w:rsidR="000B306D">
        <w:rPr>
          <w:rFonts w:eastAsiaTheme="minorEastAsia" w:cs="Calibri"/>
        </w:rPr>
        <w:t>per cent</w:t>
      </w:r>
      <w:r w:rsidRPr="00A73D4A">
        <w:rPr>
          <w:rFonts w:eastAsiaTheme="minorEastAsia" w:cs="Calibri"/>
        </w:rPr>
        <w:t>. In contrast, LDCs reported the lowest level of usage at 33.7</w:t>
      </w:r>
      <w:r w:rsidR="000B306D">
        <w:rPr>
          <w:rFonts w:eastAsiaTheme="minorEastAsia" w:cs="Calibri"/>
        </w:rPr>
        <w:t xml:space="preserve"> per cent</w:t>
      </w:r>
      <w:r w:rsidRPr="00A73D4A">
        <w:rPr>
          <w:rFonts w:eastAsiaTheme="minorEastAsia" w:cs="Calibri"/>
        </w:rPr>
        <w:t>. LLDCs exhibited a slightly higher penetration rate of 37.6%, while SIDS showed comparatively stronger performance at 64.1</w:t>
      </w:r>
      <w:r w:rsidR="000B306D" w:rsidRPr="000B306D">
        <w:rPr>
          <w:rFonts w:eastAsiaTheme="minorEastAsia" w:cs="Calibri"/>
        </w:rPr>
        <w:t xml:space="preserve"> </w:t>
      </w:r>
      <w:r w:rsidR="000B306D">
        <w:rPr>
          <w:rFonts w:eastAsiaTheme="minorEastAsia" w:cs="Calibri"/>
        </w:rPr>
        <w:t>per cent</w:t>
      </w:r>
      <w:r w:rsidRPr="00A73D4A">
        <w:rPr>
          <w:rFonts w:eastAsiaTheme="minorEastAsia" w:cs="Calibri"/>
        </w:rPr>
        <w:t>. Multiple barriers explain these outcomes, including high international connectivity costs, the cost of infrastructure deployment, lack of local content, and insufficient digital skills, all of which directly affect affordability, access and use.</w:t>
      </w:r>
    </w:p>
    <w:p w14:paraId="0F74DCB2" w14:textId="2B50DA1C" w:rsidR="00BB7228" w:rsidRPr="000B306D" w:rsidRDefault="00BB7228" w:rsidP="00D46BD2">
      <w:pPr>
        <w:jc w:val="both"/>
        <w:rPr>
          <w:rFonts w:cs="Calibri"/>
        </w:rPr>
      </w:pPr>
      <w:r w:rsidRPr="4A509299">
        <w:rPr>
          <w:rFonts w:cs="Calibri"/>
        </w:rPr>
        <w:t xml:space="preserve">Addressing these barriers is at the heart of </w:t>
      </w:r>
      <w:r w:rsidR="00D973C2">
        <w:rPr>
          <w:rFonts w:cs="Calibri"/>
        </w:rPr>
        <w:t>ITU</w:t>
      </w:r>
      <w:r w:rsidR="0022406A">
        <w:rPr>
          <w:rFonts w:cs="Calibri"/>
        </w:rPr>
        <w:t xml:space="preserve"> </w:t>
      </w:r>
      <w:r w:rsidR="00D973C2">
        <w:rPr>
          <w:rFonts w:cs="Calibri"/>
        </w:rPr>
        <w:t xml:space="preserve">and </w:t>
      </w:r>
      <w:r w:rsidRPr="4A509299">
        <w:rPr>
          <w:rFonts w:cs="Calibri"/>
        </w:rPr>
        <w:t>BDT’s agenda, guided by established frameworks, including Resolution 30 (Rev. Bucharest, 2022) of the Plenipotentiary Conference</w:t>
      </w:r>
      <w:r w:rsidR="00F223C4" w:rsidRPr="4A509299">
        <w:rPr>
          <w:rFonts w:cs="Calibri"/>
        </w:rPr>
        <w:t xml:space="preserve"> (PP)</w:t>
      </w:r>
      <w:r w:rsidRPr="4A509299">
        <w:rPr>
          <w:rFonts w:cs="Calibri"/>
        </w:rPr>
        <w:t>, Resolution</w:t>
      </w:r>
      <w:r w:rsidR="00325949" w:rsidRPr="4A509299">
        <w:rPr>
          <w:rFonts w:cs="Calibri"/>
        </w:rPr>
        <w:t> </w:t>
      </w:r>
      <w:r w:rsidRPr="4A509299">
        <w:rPr>
          <w:rFonts w:cs="Calibri"/>
        </w:rPr>
        <w:t>16 (Rev. Baku, 2025)</w:t>
      </w:r>
      <w:r w:rsidR="008C48FC" w:rsidRPr="4A509299">
        <w:rPr>
          <w:rFonts w:cs="Calibri"/>
        </w:rPr>
        <w:t xml:space="preserve"> of the World Telecommunication Development Conference (WTDC)</w:t>
      </w:r>
      <w:r w:rsidRPr="4A509299">
        <w:rPr>
          <w:rFonts w:cs="Calibri"/>
        </w:rPr>
        <w:t xml:space="preserve">, </w:t>
      </w:r>
      <w:hyperlink r:id="rId17">
        <w:r w:rsidRPr="4A509299">
          <w:rPr>
            <w:rStyle w:val="Hyperlink"/>
            <w:rFonts w:cs="Calibri"/>
          </w:rPr>
          <w:t>the Baku Action Plan</w:t>
        </w:r>
      </w:hyperlink>
      <w:r w:rsidRPr="4A509299">
        <w:rPr>
          <w:rFonts w:cs="Calibri"/>
        </w:rPr>
        <w:t xml:space="preserve">, and complementary global agendas such as the Doha Programme of Action (DPOA) for LDCs, the </w:t>
      </w:r>
      <w:proofErr w:type="spellStart"/>
      <w:r w:rsidRPr="4A509299">
        <w:rPr>
          <w:rFonts w:cs="Calibri"/>
        </w:rPr>
        <w:t>Awaza</w:t>
      </w:r>
      <w:proofErr w:type="spellEnd"/>
      <w:r w:rsidRPr="4A509299">
        <w:rPr>
          <w:rFonts w:cs="Calibri"/>
        </w:rPr>
        <w:t xml:space="preserve"> Programme of Action (APOA) for LLDCs, and the Antigua and Barbuda Agenda for SIDS (ABAS). BDT regularly reports on its' work in this regard. Reference is made to the reports to WTDC-25 and TDAG-26, as contained in </w:t>
      </w:r>
      <w:r w:rsidR="000B306D" w:rsidRPr="4A509299">
        <w:rPr>
          <w:rFonts w:cs="Calibri"/>
        </w:rPr>
        <w:t xml:space="preserve">Document </w:t>
      </w:r>
      <w:hyperlink r:id="rId18">
        <w:r w:rsidRPr="4A509299">
          <w:rPr>
            <w:rStyle w:val="Hyperlink"/>
            <w:rFonts w:cs="Calibri"/>
          </w:rPr>
          <w:t>TDAG-26/2</w:t>
        </w:r>
      </w:hyperlink>
      <w:r w:rsidRPr="4A509299">
        <w:rPr>
          <w:rFonts w:cs="Calibri"/>
        </w:rPr>
        <w:t xml:space="preserve"> and </w:t>
      </w:r>
      <w:r w:rsidR="000B306D" w:rsidRPr="4A509299">
        <w:rPr>
          <w:rFonts w:cs="Calibri"/>
        </w:rPr>
        <w:t xml:space="preserve">Document </w:t>
      </w:r>
      <w:hyperlink r:id="rId19">
        <w:r w:rsidRPr="4A509299">
          <w:rPr>
            <w:rStyle w:val="Hyperlink"/>
            <w:rFonts w:cs="Calibri"/>
          </w:rPr>
          <w:t>WTDC-25/2</w:t>
        </w:r>
      </w:hyperlink>
      <w:r w:rsidRPr="4A509299">
        <w:rPr>
          <w:rFonts w:cs="Calibri"/>
        </w:rPr>
        <w:t>.</w:t>
      </w:r>
    </w:p>
    <w:p w14:paraId="11434E8A" w14:textId="77777777" w:rsidR="00BB7228" w:rsidRPr="00A73D4A" w:rsidRDefault="00BB7228" w:rsidP="00D46BD2">
      <w:pPr>
        <w:jc w:val="both"/>
        <w:rPr>
          <w:rFonts w:cs="Calibri"/>
        </w:rPr>
      </w:pPr>
      <w:r w:rsidRPr="00A73D4A">
        <w:rPr>
          <w:rFonts w:cs="Calibri"/>
        </w:rPr>
        <w:t>Collectively, these instruments call for special measures to support LDCs, LLDCs, SIDS and countries in special situations, with a focus on capacity-building, infrastructure development, and enhanced international cooperation. In alignment with these mandates, the 2024 realignment of the BDT has strengthened institutional responsiveness, notably through the creation of a dedicated division for countries with special needs, improving the coordination and delivery of targeted technical assistance and policy support.</w:t>
      </w:r>
    </w:p>
    <w:p w14:paraId="1CA5E9F9" w14:textId="77777777" w:rsidR="000367B1" w:rsidRDefault="00BB7228" w:rsidP="009129DB">
      <w:pPr>
        <w:pStyle w:val="FigureNo"/>
        <w:keepNext w:val="0"/>
        <w:keepLines w:val="0"/>
        <w:spacing w:before="240"/>
      </w:pPr>
      <w:bookmarkStart w:id="11" w:name="Fig_1"/>
      <w:r w:rsidRPr="00A73D4A">
        <w:t>Figure 1</w:t>
      </w:r>
      <w:bookmarkEnd w:id="11"/>
    </w:p>
    <w:p w14:paraId="5E28CE9C" w14:textId="4B444BE7" w:rsidR="00BB7228" w:rsidRPr="00A73D4A" w:rsidRDefault="00BB7228" w:rsidP="009129DB">
      <w:pPr>
        <w:pStyle w:val="Figuretitle"/>
        <w:keepNext w:val="0"/>
        <w:rPr>
          <w:lang w:val="en-US"/>
        </w:rPr>
      </w:pPr>
      <w:r w:rsidRPr="00A73D4A">
        <w:t xml:space="preserve">Individuals using the </w:t>
      </w:r>
      <w:r w:rsidR="00583849">
        <w:t>I</w:t>
      </w:r>
      <w:r w:rsidRPr="00A73D4A">
        <w:t>nternet, LDCs, LLDCs and SIDS</w:t>
      </w:r>
      <w:r w:rsidRPr="00A73D4A">
        <w:rPr>
          <w:lang w:val="en-US"/>
        </w:rPr>
        <w:t xml:space="preserve"> (percentage)</w:t>
      </w:r>
    </w:p>
    <w:p w14:paraId="56B8DD79" w14:textId="77777777" w:rsidR="000367B1" w:rsidRPr="003C1D3F" w:rsidRDefault="00BB7228" w:rsidP="009129DB">
      <w:pPr>
        <w:pStyle w:val="Figurewithlegend"/>
        <w:keepNext w:val="0"/>
        <w:keepLines w:val="0"/>
        <w:rPr>
          <w:rFonts w:eastAsia="Aptos"/>
        </w:rPr>
      </w:pPr>
      <w:r w:rsidRPr="003C1D3F">
        <w:drawing>
          <wp:inline distT="0" distB="0" distL="0" distR="0" wp14:anchorId="23493E01" wp14:editId="0EB52B6F">
            <wp:extent cx="5695950" cy="3333750"/>
            <wp:effectExtent l="0" t="0" r="0" b="0"/>
            <wp:docPr id="9161730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73097" name="Picture 916173097"/>
                    <pic:cNvPicPr/>
                  </pic:nvPicPr>
                  <pic:blipFill>
                    <a:blip r:embed="rId20">
                      <a:extLst>
                        <a:ext uri="{28A0092B-C50C-407E-A947-70E740481C1C}">
                          <a14:useLocalDpi xmlns:a14="http://schemas.microsoft.com/office/drawing/2010/main"/>
                        </a:ext>
                      </a:extLst>
                    </a:blip>
                    <a:stretch>
                      <a:fillRect/>
                    </a:stretch>
                  </pic:blipFill>
                  <pic:spPr>
                    <a:xfrm>
                      <a:off x="0" y="0"/>
                      <a:ext cx="5695950" cy="3333750"/>
                    </a:xfrm>
                    <a:prstGeom prst="rect">
                      <a:avLst/>
                    </a:prstGeom>
                  </pic:spPr>
                </pic:pic>
              </a:graphicData>
            </a:graphic>
          </wp:inline>
        </w:drawing>
      </w:r>
      <w:r w:rsidRPr="003C1D3F">
        <w:rPr>
          <w:rFonts w:eastAsia="Aptos"/>
        </w:rPr>
        <w:t xml:space="preserve"> </w:t>
      </w:r>
    </w:p>
    <w:p w14:paraId="5E8B25A4" w14:textId="50548D2D" w:rsidR="00BB7228" w:rsidRPr="00A73D4A" w:rsidRDefault="00BB7228" w:rsidP="009129DB">
      <w:pPr>
        <w:pStyle w:val="Figurelegend"/>
      </w:pPr>
      <w:r w:rsidRPr="00A73D4A">
        <w:t>Source: ITU estimates.</w:t>
      </w:r>
    </w:p>
    <w:p w14:paraId="1B2FDECB" w14:textId="33426E4B" w:rsidR="00BB7228" w:rsidRPr="00A73D4A" w:rsidRDefault="0022406A" w:rsidP="009129DB">
      <w:pPr>
        <w:pStyle w:val="Headingb"/>
        <w:keepNext w:val="0"/>
        <w:keepLines w:val="0"/>
      </w:pPr>
      <w:r>
        <w:lastRenderedPageBreak/>
        <w:t>I</w:t>
      </w:r>
      <w:r w:rsidR="000367B1">
        <w:t xml:space="preserve">mplementation of special measures </w:t>
      </w:r>
      <w:r w:rsidR="00BB7228">
        <w:t>for LDCs, LLDCs, SIDS and countries with economies in transition</w:t>
      </w:r>
    </w:p>
    <w:p w14:paraId="1682DFE6" w14:textId="18317C83" w:rsidR="00BB7228" w:rsidRPr="00445401" w:rsidRDefault="00BB7228" w:rsidP="009129DB">
      <w:pPr>
        <w:jc w:val="both"/>
        <w:rPr>
          <w:rFonts w:cs="Calibri"/>
          <w:lang w:eastAsia="en-GB"/>
        </w:rPr>
      </w:pPr>
      <w:r w:rsidRPr="40524877">
        <w:rPr>
          <w:rFonts w:cs="Calibri"/>
          <w:lang w:eastAsia="en-GB"/>
        </w:rPr>
        <w:t>T</w:t>
      </w:r>
      <w:r w:rsidRPr="40524877">
        <w:rPr>
          <w:rFonts w:cs="Calibri"/>
        </w:rPr>
        <w:t>he Plenipotentiary Conference (Bucharest, 2022) reaffirmed the mandate of Resolution</w:t>
      </w:r>
      <w:r w:rsidR="00F15E10">
        <w:rPr>
          <w:rFonts w:cs="Calibri"/>
        </w:rPr>
        <w:t> </w:t>
      </w:r>
      <w:r w:rsidRPr="40524877">
        <w:rPr>
          <w:rFonts w:cs="Calibri"/>
        </w:rPr>
        <w:t>30 (Rev. Bucharest, 2022), which instructs the Secretary-General and the BDT Director to implement special measures for LDCs, LLDCs, SIDS, and countries with economies in transition.</w:t>
      </w:r>
    </w:p>
    <w:p w14:paraId="35D43F57" w14:textId="1B9672CD" w:rsidR="00BB7228" w:rsidRPr="00A73D4A" w:rsidRDefault="00BB7228" w:rsidP="000367B1">
      <w:pPr>
        <w:pStyle w:val="Headingb"/>
      </w:pPr>
      <w:r w:rsidRPr="00A73D4A">
        <w:t xml:space="preserve">Reviewing the </w:t>
      </w:r>
      <w:r w:rsidR="000367B1" w:rsidRPr="00A73D4A">
        <w:t xml:space="preserve">state </w:t>
      </w:r>
      <w:r w:rsidRPr="00A73D4A">
        <w:t>of ICT</w:t>
      </w:r>
    </w:p>
    <w:p w14:paraId="2A8EBCB5" w14:textId="14AD9C72" w:rsidR="00BB7228" w:rsidRPr="00445401" w:rsidRDefault="00BB7228" w:rsidP="00D46BD2">
      <w:pPr>
        <w:jc w:val="both"/>
        <w:rPr>
          <w:rFonts w:eastAsia="Calibri" w:cs="Calibri"/>
        </w:rPr>
      </w:pPr>
      <w:r w:rsidRPr="00445401">
        <w:rPr>
          <w:rFonts w:cs="Calibri"/>
        </w:rPr>
        <w:t xml:space="preserve">ITU continuously assesses ICT development and identifies critical gaps through its flagship </w:t>
      </w:r>
      <w:hyperlink r:id="rId21" w:history="1">
        <w:r w:rsidRPr="00EF6444">
          <w:rPr>
            <w:rStyle w:val="Hyperlink"/>
            <w:rFonts w:cs="Calibri"/>
            <w:i/>
            <w:iCs/>
          </w:rPr>
          <w:t>Facts and Figures</w:t>
        </w:r>
      </w:hyperlink>
      <w:r w:rsidRPr="00EF6444">
        <w:rPr>
          <w:rFonts w:cs="Calibri"/>
          <w:i/>
          <w:iCs/>
        </w:rPr>
        <w:t xml:space="preserve"> </w:t>
      </w:r>
      <w:r w:rsidRPr="00EF6444">
        <w:rPr>
          <w:rFonts w:cs="Calibri"/>
        </w:rPr>
        <w:t>series</w:t>
      </w:r>
      <w:r w:rsidRPr="00445401">
        <w:rPr>
          <w:rFonts w:cs="Calibri"/>
        </w:rPr>
        <w:t xml:space="preserve">, complemented in recent years by special editions dedicated to </w:t>
      </w:r>
      <w:hyperlink r:id="rId22" w:history="1">
        <w:r w:rsidRPr="00445401">
          <w:rPr>
            <w:rStyle w:val="Hyperlink"/>
            <w:rFonts w:cs="Calibri"/>
          </w:rPr>
          <w:t>LDCs</w:t>
        </w:r>
      </w:hyperlink>
      <w:r w:rsidRPr="00445401">
        <w:rPr>
          <w:rFonts w:cs="Calibri"/>
        </w:rPr>
        <w:t xml:space="preserve">, </w:t>
      </w:r>
      <w:hyperlink r:id="rId23" w:history="1">
        <w:r w:rsidRPr="00445401">
          <w:rPr>
            <w:rStyle w:val="Hyperlink"/>
            <w:rFonts w:cs="Calibri"/>
          </w:rPr>
          <w:t>LLDCs</w:t>
        </w:r>
      </w:hyperlink>
      <w:r w:rsidRPr="00445401">
        <w:rPr>
          <w:rFonts w:cs="Calibri"/>
        </w:rPr>
        <w:t xml:space="preserve"> and </w:t>
      </w:r>
      <w:hyperlink r:id="rId24" w:history="1">
        <w:r w:rsidRPr="00445401">
          <w:rPr>
            <w:rStyle w:val="Hyperlink"/>
            <w:rFonts w:cs="Calibri"/>
          </w:rPr>
          <w:t>SIDS</w:t>
        </w:r>
      </w:hyperlink>
      <w:r w:rsidRPr="00445401">
        <w:rPr>
          <w:rFonts w:cs="Calibri"/>
        </w:rPr>
        <w:t>. These editions were strategically aligned with major United Nations international development frameworks, including the DPOA, APOA and ABAS. Together, these documents</w:t>
      </w:r>
      <w:r w:rsidRPr="00445401" w:rsidDel="003203CB">
        <w:rPr>
          <w:rFonts w:cs="Calibri"/>
        </w:rPr>
        <w:t xml:space="preserve"> </w:t>
      </w:r>
      <w:r w:rsidRPr="00445401">
        <w:rPr>
          <w:rFonts w:cs="Calibri"/>
        </w:rPr>
        <w:t>provide comprehensive</w:t>
      </w:r>
      <w:r w:rsidRPr="00445401" w:rsidDel="004C770D">
        <w:rPr>
          <w:rFonts w:cs="Calibri"/>
        </w:rPr>
        <w:t xml:space="preserve"> </w:t>
      </w:r>
      <w:r w:rsidRPr="00445401">
        <w:rPr>
          <w:rFonts w:cs="Calibri"/>
        </w:rPr>
        <w:t>insights into the state of digital development globally and across these special groups.</w:t>
      </w:r>
      <w:r>
        <w:rPr>
          <w:rFonts w:cs="Calibri"/>
        </w:rPr>
        <w:t xml:space="preserve"> </w:t>
      </w:r>
      <w:r w:rsidRPr="40524877">
        <w:rPr>
          <w:rFonts w:eastAsia="Calibri" w:cs="Calibri"/>
        </w:rPr>
        <w:t xml:space="preserve">As illustrated in </w:t>
      </w:r>
      <w:hyperlink w:anchor="Fig_1" w:history="1">
        <w:r w:rsidRPr="0050300B">
          <w:rPr>
            <w:rStyle w:val="Hyperlink"/>
            <w:rFonts w:eastAsia="Calibri" w:cs="Calibri"/>
          </w:rPr>
          <w:t>Figure 1</w:t>
        </w:r>
      </w:hyperlink>
      <w:r w:rsidRPr="000B306D">
        <w:rPr>
          <w:rFonts w:eastAsia="Calibri" w:cs="Calibri"/>
        </w:rPr>
        <w:t>,</w:t>
      </w:r>
      <w:r w:rsidRPr="40524877">
        <w:rPr>
          <w:rFonts w:eastAsia="Calibri" w:cs="Calibri"/>
        </w:rPr>
        <w:t xml:space="preserve"> steady progress has been made. However, disparities persist both among these special groups and between them and the rest of the world.</w:t>
      </w:r>
    </w:p>
    <w:p w14:paraId="22A783B9" w14:textId="77777777" w:rsidR="000367B1" w:rsidRDefault="00BB7228" w:rsidP="003C1D3F">
      <w:pPr>
        <w:pStyle w:val="TableNo"/>
      </w:pPr>
      <w:bookmarkStart w:id="12" w:name="Tab_1"/>
      <w:r w:rsidRPr="00A73D4A">
        <w:t>Table</w:t>
      </w:r>
      <w:r w:rsidR="000367B1">
        <w:t xml:space="preserve"> </w:t>
      </w:r>
      <w:r w:rsidRPr="00A73D4A">
        <w:t>1</w:t>
      </w:r>
      <w:bookmarkEnd w:id="12"/>
    </w:p>
    <w:p w14:paraId="40EA25E6" w14:textId="1A233F55" w:rsidR="00BB7228" w:rsidRPr="00A73D4A" w:rsidRDefault="00BB7228" w:rsidP="003C1D3F">
      <w:pPr>
        <w:pStyle w:val="Tabletitle"/>
      </w:pPr>
      <w:r w:rsidRPr="00A73D4A">
        <w:t>Selected connectivity indicators, 2025</w:t>
      </w:r>
    </w:p>
    <w:tbl>
      <w:tblPr>
        <w:tblStyle w:val="TableGrid"/>
        <w:tblW w:w="5000" w:type="pct"/>
        <w:tblLook w:val="04A0" w:firstRow="1" w:lastRow="0" w:firstColumn="1" w:lastColumn="0" w:noHBand="0" w:noVBand="1"/>
      </w:tblPr>
      <w:tblGrid>
        <w:gridCol w:w="4556"/>
        <w:gridCol w:w="1136"/>
        <w:gridCol w:w="1624"/>
        <w:gridCol w:w="1745"/>
      </w:tblGrid>
      <w:tr w:rsidR="00BB7228" w:rsidRPr="00A73D4A" w14:paraId="224128F4" w14:textId="77777777" w:rsidTr="00D46BD2">
        <w:trPr>
          <w:tblHeader/>
        </w:trPr>
        <w:tc>
          <w:tcPr>
            <w:tcW w:w="2514" w:type="pct"/>
            <w:shd w:val="clear" w:color="auto" w:fill="F2F2F2" w:themeFill="background1" w:themeFillShade="F2"/>
          </w:tcPr>
          <w:p w14:paraId="71BCC098" w14:textId="77777777" w:rsidR="00BB7228" w:rsidRPr="00A73D4A" w:rsidRDefault="00BB7228" w:rsidP="003C1D3F">
            <w:pPr>
              <w:pStyle w:val="Tablehead"/>
            </w:pPr>
            <w:r w:rsidRPr="00A73D4A">
              <w:t>Population covered by at least an LTE/WiMAX (4G) mobile network, %</w:t>
            </w:r>
          </w:p>
        </w:tc>
        <w:tc>
          <w:tcPr>
            <w:tcW w:w="627" w:type="pct"/>
            <w:shd w:val="clear" w:color="auto" w:fill="F2F2F2" w:themeFill="background1" w:themeFillShade="F2"/>
          </w:tcPr>
          <w:p w14:paraId="71357177" w14:textId="77777777" w:rsidR="00BB7228" w:rsidRPr="00D36FD5" w:rsidRDefault="00BB7228" w:rsidP="003C1D3F">
            <w:pPr>
              <w:pStyle w:val="Tablehead"/>
            </w:pPr>
            <w:r w:rsidRPr="00D36FD5">
              <w:t>Total</w:t>
            </w:r>
          </w:p>
        </w:tc>
        <w:tc>
          <w:tcPr>
            <w:tcW w:w="896" w:type="pct"/>
            <w:shd w:val="clear" w:color="auto" w:fill="F2F2F2" w:themeFill="background1" w:themeFillShade="F2"/>
          </w:tcPr>
          <w:p w14:paraId="2A4ED1F3" w14:textId="77777777" w:rsidR="00BB7228" w:rsidRPr="00D36FD5" w:rsidRDefault="00BB7228" w:rsidP="003C1D3F">
            <w:pPr>
              <w:pStyle w:val="Tablehead"/>
            </w:pPr>
            <w:r w:rsidRPr="00D36FD5">
              <w:t>Urban areas</w:t>
            </w:r>
          </w:p>
        </w:tc>
        <w:tc>
          <w:tcPr>
            <w:tcW w:w="0" w:type="auto"/>
            <w:shd w:val="clear" w:color="auto" w:fill="F2F2F2" w:themeFill="background1" w:themeFillShade="F2"/>
          </w:tcPr>
          <w:p w14:paraId="2CD92A86" w14:textId="77777777" w:rsidR="00BB7228" w:rsidRPr="00D36FD5" w:rsidRDefault="00BB7228" w:rsidP="003C1D3F">
            <w:pPr>
              <w:pStyle w:val="Tablehead"/>
            </w:pPr>
            <w:r w:rsidRPr="00D36FD5">
              <w:t>Rural areas</w:t>
            </w:r>
          </w:p>
        </w:tc>
      </w:tr>
      <w:tr w:rsidR="00BB7228" w:rsidRPr="00A73D4A" w14:paraId="22652696" w14:textId="77777777" w:rsidTr="00D46BD2">
        <w:trPr>
          <w:trHeight w:val="91"/>
        </w:trPr>
        <w:tc>
          <w:tcPr>
            <w:tcW w:w="2514" w:type="pct"/>
          </w:tcPr>
          <w:p w14:paraId="38CCDD0D" w14:textId="77777777" w:rsidR="00BB7228" w:rsidRPr="00A73D4A" w:rsidRDefault="00BB7228" w:rsidP="003C1D3F">
            <w:pPr>
              <w:pStyle w:val="Tabletext"/>
            </w:pPr>
            <w:r w:rsidRPr="00A73D4A">
              <w:t>LDCs</w:t>
            </w:r>
          </w:p>
        </w:tc>
        <w:tc>
          <w:tcPr>
            <w:tcW w:w="627" w:type="pct"/>
            <w:vAlign w:val="bottom"/>
          </w:tcPr>
          <w:p w14:paraId="26490F58" w14:textId="77777777" w:rsidR="00BB7228" w:rsidRPr="00A73D4A" w:rsidRDefault="00BB7228" w:rsidP="003C1D3F">
            <w:pPr>
              <w:pStyle w:val="Tabletext"/>
              <w:jc w:val="right"/>
            </w:pPr>
            <w:r w:rsidRPr="00A73D4A">
              <w:rPr>
                <w:color w:val="000000" w:themeColor="text1"/>
              </w:rPr>
              <w:t xml:space="preserve">71.2 </w:t>
            </w:r>
          </w:p>
        </w:tc>
        <w:tc>
          <w:tcPr>
            <w:tcW w:w="896" w:type="pct"/>
            <w:vAlign w:val="bottom"/>
          </w:tcPr>
          <w:p w14:paraId="5BDE71B8" w14:textId="77777777" w:rsidR="00BB7228" w:rsidRPr="00A73D4A" w:rsidRDefault="00BB7228" w:rsidP="003C1D3F">
            <w:pPr>
              <w:pStyle w:val="Tabletext"/>
              <w:jc w:val="right"/>
            </w:pPr>
            <w:r w:rsidRPr="00A73D4A">
              <w:rPr>
                <w:color w:val="000000" w:themeColor="text1"/>
              </w:rPr>
              <w:t xml:space="preserve">95.2 </w:t>
            </w:r>
          </w:p>
        </w:tc>
        <w:tc>
          <w:tcPr>
            <w:tcW w:w="0" w:type="auto"/>
            <w:vAlign w:val="bottom"/>
          </w:tcPr>
          <w:p w14:paraId="7FBD7602" w14:textId="77777777" w:rsidR="00BB7228" w:rsidRPr="00A73D4A" w:rsidRDefault="00BB7228" w:rsidP="003C1D3F">
            <w:pPr>
              <w:pStyle w:val="Tabletext"/>
              <w:jc w:val="right"/>
            </w:pPr>
            <w:r w:rsidRPr="00A73D4A">
              <w:rPr>
                <w:color w:val="000000" w:themeColor="text1"/>
              </w:rPr>
              <w:t xml:space="preserve">56.9 </w:t>
            </w:r>
          </w:p>
        </w:tc>
      </w:tr>
      <w:tr w:rsidR="00BB7228" w:rsidRPr="00A73D4A" w14:paraId="3BC52A23" w14:textId="77777777" w:rsidTr="00D46BD2">
        <w:tc>
          <w:tcPr>
            <w:tcW w:w="2514" w:type="pct"/>
          </w:tcPr>
          <w:p w14:paraId="1D8605B6" w14:textId="77777777" w:rsidR="00BB7228" w:rsidRPr="00A73D4A" w:rsidRDefault="00BB7228" w:rsidP="003C1D3F">
            <w:pPr>
              <w:pStyle w:val="Tabletext"/>
            </w:pPr>
            <w:r w:rsidRPr="00A73D4A">
              <w:t>LLDCs</w:t>
            </w:r>
          </w:p>
        </w:tc>
        <w:tc>
          <w:tcPr>
            <w:tcW w:w="627" w:type="pct"/>
            <w:vAlign w:val="bottom"/>
          </w:tcPr>
          <w:p w14:paraId="3995D9F4" w14:textId="77777777" w:rsidR="00BB7228" w:rsidRPr="00A73D4A" w:rsidRDefault="00BB7228" w:rsidP="003C1D3F">
            <w:pPr>
              <w:pStyle w:val="Tabletext"/>
              <w:jc w:val="right"/>
            </w:pPr>
            <w:r w:rsidRPr="00A73D4A">
              <w:rPr>
                <w:color w:val="000000" w:themeColor="text1"/>
              </w:rPr>
              <w:t xml:space="preserve">66.1 </w:t>
            </w:r>
          </w:p>
        </w:tc>
        <w:tc>
          <w:tcPr>
            <w:tcW w:w="896" w:type="pct"/>
            <w:vAlign w:val="bottom"/>
          </w:tcPr>
          <w:p w14:paraId="44D74061" w14:textId="77777777" w:rsidR="00BB7228" w:rsidRPr="00A73D4A" w:rsidRDefault="00BB7228" w:rsidP="003C1D3F">
            <w:pPr>
              <w:pStyle w:val="Tabletext"/>
              <w:jc w:val="right"/>
            </w:pPr>
            <w:r w:rsidRPr="00A73D4A">
              <w:rPr>
                <w:color w:val="000000" w:themeColor="text1"/>
              </w:rPr>
              <w:t xml:space="preserve">92.4 </w:t>
            </w:r>
          </w:p>
        </w:tc>
        <w:tc>
          <w:tcPr>
            <w:tcW w:w="0" w:type="auto"/>
            <w:vAlign w:val="bottom"/>
          </w:tcPr>
          <w:p w14:paraId="10CDA1CF" w14:textId="77777777" w:rsidR="00BB7228" w:rsidRPr="00A73D4A" w:rsidRDefault="00BB7228" w:rsidP="003C1D3F">
            <w:pPr>
              <w:pStyle w:val="Tabletext"/>
              <w:jc w:val="right"/>
            </w:pPr>
            <w:r w:rsidRPr="00A73D4A">
              <w:rPr>
                <w:color w:val="000000" w:themeColor="text1"/>
              </w:rPr>
              <w:t xml:space="preserve">53.2 </w:t>
            </w:r>
          </w:p>
        </w:tc>
      </w:tr>
      <w:tr w:rsidR="00BB7228" w:rsidRPr="00A73D4A" w14:paraId="61713263" w14:textId="77777777" w:rsidTr="00D46BD2">
        <w:tc>
          <w:tcPr>
            <w:tcW w:w="2514" w:type="pct"/>
          </w:tcPr>
          <w:p w14:paraId="15EE5370" w14:textId="77777777" w:rsidR="00BB7228" w:rsidRPr="00A73D4A" w:rsidRDefault="00BB7228" w:rsidP="003C1D3F">
            <w:pPr>
              <w:pStyle w:val="Tabletext"/>
            </w:pPr>
            <w:r w:rsidRPr="00A73D4A">
              <w:t>SIDS</w:t>
            </w:r>
          </w:p>
        </w:tc>
        <w:tc>
          <w:tcPr>
            <w:tcW w:w="627" w:type="pct"/>
            <w:vAlign w:val="bottom"/>
          </w:tcPr>
          <w:p w14:paraId="7303B78A" w14:textId="77777777" w:rsidR="00BB7228" w:rsidRPr="00A73D4A" w:rsidRDefault="00BB7228" w:rsidP="003C1D3F">
            <w:pPr>
              <w:pStyle w:val="Tabletext"/>
              <w:jc w:val="right"/>
            </w:pPr>
            <w:r w:rsidRPr="00A73D4A">
              <w:rPr>
                <w:color w:val="000000" w:themeColor="text1"/>
              </w:rPr>
              <w:t xml:space="preserve">73.4 </w:t>
            </w:r>
          </w:p>
        </w:tc>
        <w:tc>
          <w:tcPr>
            <w:tcW w:w="896" w:type="pct"/>
            <w:vAlign w:val="bottom"/>
          </w:tcPr>
          <w:p w14:paraId="70A530C0" w14:textId="77777777" w:rsidR="00BB7228" w:rsidRPr="00A73D4A" w:rsidRDefault="00BB7228" w:rsidP="003C1D3F">
            <w:pPr>
              <w:pStyle w:val="Tabletext"/>
              <w:jc w:val="right"/>
            </w:pPr>
            <w:r w:rsidRPr="00A73D4A">
              <w:rPr>
                <w:color w:val="000000" w:themeColor="text1"/>
              </w:rPr>
              <w:t xml:space="preserve">86.0 </w:t>
            </w:r>
          </w:p>
        </w:tc>
        <w:tc>
          <w:tcPr>
            <w:tcW w:w="0" w:type="auto"/>
            <w:vAlign w:val="bottom"/>
          </w:tcPr>
          <w:p w14:paraId="0C4C2D44" w14:textId="77777777" w:rsidR="00BB7228" w:rsidRPr="00A73D4A" w:rsidRDefault="00BB7228" w:rsidP="003C1D3F">
            <w:pPr>
              <w:pStyle w:val="Tabletext"/>
              <w:jc w:val="right"/>
            </w:pPr>
            <w:r w:rsidRPr="00A73D4A">
              <w:rPr>
                <w:color w:val="000000" w:themeColor="text1"/>
              </w:rPr>
              <w:t xml:space="preserve">52.9 </w:t>
            </w:r>
          </w:p>
        </w:tc>
      </w:tr>
      <w:tr w:rsidR="00BB7228" w:rsidRPr="003C1D3F" w14:paraId="45DDBE23" w14:textId="77777777" w:rsidTr="00D46BD2">
        <w:tc>
          <w:tcPr>
            <w:tcW w:w="2514" w:type="pct"/>
            <w:shd w:val="clear" w:color="auto" w:fill="F2F2F2" w:themeFill="background1" w:themeFillShade="F2"/>
          </w:tcPr>
          <w:p w14:paraId="4EA6F201" w14:textId="77777777" w:rsidR="00BB7228" w:rsidRPr="003C1D3F" w:rsidRDefault="00BB7228" w:rsidP="003C1D3F">
            <w:pPr>
              <w:pStyle w:val="Tabletext"/>
              <w:rPr>
                <w:b/>
                <w:bCs/>
              </w:rPr>
            </w:pPr>
            <w:r w:rsidRPr="003C1D3F">
              <w:rPr>
                <w:b/>
                <w:bCs/>
              </w:rPr>
              <w:t>Individuals using the Internet, %</w:t>
            </w:r>
          </w:p>
        </w:tc>
        <w:tc>
          <w:tcPr>
            <w:tcW w:w="627" w:type="pct"/>
            <w:shd w:val="clear" w:color="auto" w:fill="F2F2F2" w:themeFill="background1" w:themeFillShade="F2"/>
          </w:tcPr>
          <w:p w14:paraId="759EFBBC" w14:textId="77777777" w:rsidR="00BB7228" w:rsidRPr="003C1D3F" w:rsidRDefault="00BB7228" w:rsidP="0002410B">
            <w:pPr>
              <w:pStyle w:val="Tabletext"/>
              <w:jc w:val="center"/>
              <w:rPr>
                <w:b/>
                <w:bCs/>
              </w:rPr>
            </w:pPr>
            <w:r w:rsidRPr="003C1D3F">
              <w:rPr>
                <w:b/>
                <w:bCs/>
              </w:rPr>
              <w:t>Total</w:t>
            </w:r>
          </w:p>
        </w:tc>
        <w:tc>
          <w:tcPr>
            <w:tcW w:w="896" w:type="pct"/>
            <w:shd w:val="clear" w:color="auto" w:fill="F2F2F2" w:themeFill="background1" w:themeFillShade="F2"/>
          </w:tcPr>
          <w:p w14:paraId="6F2C404C" w14:textId="77777777" w:rsidR="00BB7228" w:rsidRPr="003C1D3F" w:rsidRDefault="00BB7228" w:rsidP="0002410B">
            <w:pPr>
              <w:pStyle w:val="Tabletext"/>
              <w:jc w:val="center"/>
              <w:rPr>
                <w:b/>
                <w:bCs/>
              </w:rPr>
            </w:pPr>
            <w:r w:rsidRPr="003C1D3F">
              <w:rPr>
                <w:b/>
                <w:bCs/>
              </w:rPr>
              <w:t>Men</w:t>
            </w:r>
          </w:p>
        </w:tc>
        <w:tc>
          <w:tcPr>
            <w:tcW w:w="0" w:type="auto"/>
            <w:shd w:val="clear" w:color="auto" w:fill="F2F2F2" w:themeFill="background1" w:themeFillShade="F2"/>
          </w:tcPr>
          <w:p w14:paraId="0FAB9E1F" w14:textId="77777777" w:rsidR="00BB7228" w:rsidRPr="003C1D3F" w:rsidRDefault="00BB7228" w:rsidP="0002410B">
            <w:pPr>
              <w:pStyle w:val="Tabletext"/>
              <w:jc w:val="center"/>
              <w:rPr>
                <w:b/>
                <w:bCs/>
              </w:rPr>
            </w:pPr>
            <w:r w:rsidRPr="003C1D3F">
              <w:rPr>
                <w:b/>
                <w:bCs/>
              </w:rPr>
              <w:t>Women</w:t>
            </w:r>
          </w:p>
        </w:tc>
      </w:tr>
      <w:tr w:rsidR="00BB7228" w:rsidRPr="00A73D4A" w14:paraId="41FC3EBA" w14:textId="77777777" w:rsidTr="00D46BD2">
        <w:tc>
          <w:tcPr>
            <w:tcW w:w="2514" w:type="pct"/>
          </w:tcPr>
          <w:p w14:paraId="66D42B5D" w14:textId="77777777" w:rsidR="00BB7228" w:rsidRPr="00A73D4A" w:rsidRDefault="00BB7228" w:rsidP="003C1D3F">
            <w:pPr>
              <w:pStyle w:val="Tabletext"/>
            </w:pPr>
            <w:r w:rsidRPr="00A73D4A">
              <w:t>LDCs</w:t>
            </w:r>
          </w:p>
        </w:tc>
        <w:tc>
          <w:tcPr>
            <w:tcW w:w="627" w:type="pct"/>
            <w:vAlign w:val="center"/>
          </w:tcPr>
          <w:p w14:paraId="74908924" w14:textId="77777777" w:rsidR="00BB7228" w:rsidRPr="00A73D4A" w:rsidRDefault="00BB7228" w:rsidP="003C1D3F">
            <w:pPr>
              <w:pStyle w:val="Tabletext"/>
              <w:jc w:val="right"/>
            </w:pPr>
            <w:r w:rsidRPr="00A73D4A">
              <w:t>33.7</w:t>
            </w:r>
          </w:p>
        </w:tc>
        <w:tc>
          <w:tcPr>
            <w:tcW w:w="896" w:type="pct"/>
            <w:vAlign w:val="bottom"/>
          </w:tcPr>
          <w:p w14:paraId="67EA1BAB" w14:textId="77777777" w:rsidR="00BB7228" w:rsidRPr="00A73D4A" w:rsidRDefault="00BB7228" w:rsidP="003C1D3F">
            <w:pPr>
              <w:pStyle w:val="Tabletext"/>
              <w:jc w:val="right"/>
            </w:pPr>
            <w:r w:rsidRPr="00A73D4A">
              <w:rPr>
                <w:color w:val="000000" w:themeColor="text1"/>
              </w:rPr>
              <w:t xml:space="preserve">39.1 </w:t>
            </w:r>
          </w:p>
        </w:tc>
        <w:tc>
          <w:tcPr>
            <w:tcW w:w="0" w:type="auto"/>
            <w:vAlign w:val="bottom"/>
          </w:tcPr>
          <w:p w14:paraId="1B34570D" w14:textId="77777777" w:rsidR="00BB7228" w:rsidRPr="00A73D4A" w:rsidRDefault="00BB7228" w:rsidP="003C1D3F">
            <w:pPr>
              <w:pStyle w:val="Tabletext"/>
              <w:jc w:val="right"/>
            </w:pPr>
            <w:r w:rsidRPr="00A73D4A">
              <w:rPr>
                <w:color w:val="000000" w:themeColor="text1"/>
              </w:rPr>
              <w:t xml:space="preserve">28.4 </w:t>
            </w:r>
          </w:p>
        </w:tc>
      </w:tr>
      <w:tr w:rsidR="00BB7228" w:rsidRPr="00A73D4A" w14:paraId="2241254F" w14:textId="77777777" w:rsidTr="00D46BD2">
        <w:tc>
          <w:tcPr>
            <w:tcW w:w="2514" w:type="pct"/>
          </w:tcPr>
          <w:p w14:paraId="04FF3779" w14:textId="77777777" w:rsidR="00BB7228" w:rsidRPr="00A73D4A" w:rsidRDefault="00BB7228" w:rsidP="003C1D3F">
            <w:pPr>
              <w:pStyle w:val="Tabletext"/>
            </w:pPr>
            <w:r w:rsidRPr="00A73D4A">
              <w:t>LLDCs</w:t>
            </w:r>
          </w:p>
        </w:tc>
        <w:tc>
          <w:tcPr>
            <w:tcW w:w="627" w:type="pct"/>
            <w:vAlign w:val="center"/>
          </w:tcPr>
          <w:p w14:paraId="4DFFBE86" w14:textId="77777777" w:rsidR="00BB7228" w:rsidRPr="00A73D4A" w:rsidRDefault="00BB7228" w:rsidP="003C1D3F">
            <w:pPr>
              <w:pStyle w:val="Tabletext"/>
              <w:jc w:val="right"/>
            </w:pPr>
            <w:r w:rsidRPr="00A73D4A">
              <w:t>37.6</w:t>
            </w:r>
          </w:p>
        </w:tc>
        <w:tc>
          <w:tcPr>
            <w:tcW w:w="896" w:type="pct"/>
            <w:vAlign w:val="bottom"/>
          </w:tcPr>
          <w:p w14:paraId="673D02E7" w14:textId="77777777" w:rsidR="00BB7228" w:rsidRPr="00A73D4A" w:rsidRDefault="00BB7228" w:rsidP="003C1D3F">
            <w:pPr>
              <w:pStyle w:val="Tabletext"/>
              <w:jc w:val="right"/>
            </w:pPr>
            <w:r w:rsidRPr="00A73D4A">
              <w:rPr>
                <w:color w:val="000000" w:themeColor="text1"/>
              </w:rPr>
              <w:t xml:space="preserve">41.0 </w:t>
            </w:r>
          </w:p>
        </w:tc>
        <w:tc>
          <w:tcPr>
            <w:tcW w:w="0" w:type="auto"/>
            <w:vAlign w:val="bottom"/>
          </w:tcPr>
          <w:p w14:paraId="2AA54B29" w14:textId="77777777" w:rsidR="00BB7228" w:rsidRPr="00A73D4A" w:rsidRDefault="00BB7228" w:rsidP="003C1D3F">
            <w:pPr>
              <w:pStyle w:val="Tabletext"/>
              <w:jc w:val="right"/>
            </w:pPr>
            <w:r w:rsidRPr="00A73D4A">
              <w:rPr>
                <w:color w:val="000000" w:themeColor="text1"/>
              </w:rPr>
              <w:t xml:space="preserve">34.1 </w:t>
            </w:r>
          </w:p>
        </w:tc>
      </w:tr>
      <w:tr w:rsidR="00BB7228" w:rsidRPr="00A73D4A" w14:paraId="7CA6F8A0" w14:textId="77777777" w:rsidTr="000367B1">
        <w:tc>
          <w:tcPr>
            <w:tcW w:w="2514" w:type="pct"/>
            <w:tcBorders>
              <w:bottom w:val="single" w:sz="4" w:space="0" w:color="auto"/>
            </w:tcBorders>
          </w:tcPr>
          <w:p w14:paraId="38411121" w14:textId="77777777" w:rsidR="00BB7228" w:rsidRPr="00A73D4A" w:rsidRDefault="00BB7228" w:rsidP="003C1D3F">
            <w:pPr>
              <w:pStyle w:val="Tabletext"/>
            </w:pPr>
            <w:r w:rsidRPr="00A73D4A">
              <w:t>SIDS</w:t>
            </w:r>
          </w:p>
        </w:tc>
        <w:tc>
          <w:tcPr>
            <w:tcW w:w="627" w:type="pct"/>
            <w:tcBorders>
              <w:bottom w:val="single" w:sz="4" w:space="0" w:color="auto"/>
            </w:tcBorders>
            <w:vAlign w:val="center"/>
          </w:tcPr>
          <w:p w14:paraId="333AF921" w14:textId="77777777" w:rsidR="00BB7228" w:rsidRPr="00A73D4A" w:rsidRDefault="00BB7228" w:rsidP="003C1D3F">
            <w:pPr>
              <w:pStyle w:val="Tabletext"/>
              <w:jc w:val="right"/>
            </w:pPr>
            <w:r w:rsidRPr="00A73D4A">
              <w:t>64.1</w:t>
            </w:r>
          </w:p>
        </w:tc>
        <w:tc>
          <w:tcPr>
            <w:tcW w:w="896" w:type="pct"/>
            <w:tcBorders>
              <w:bottom w:val="single" w:sz="4" w:space="0" w:color="auto"/>
            </w:tcBorders>
            <w:vAlign w:val="bottom"/>
          </w:tcPr>
          <w:p w14:paraId="78742E2B" w14:textId="77777777" w:rsidR="00BB7228" w:rsidRPr="00A73D4A" w:rsidRDefault="00BB7228" w:rsidP="003C1D3F">
            <w:pPr>
              <w:pStyle w:val="Tabletext"/>
              <w:jc w:val="right"/>
            </w:pPr>
            <w:r w:rsidRPr="00A73D4A">
              <w:rPr>
                <w:color w:val="000000" w:themeColor="text1"/>
              </w:rPr>
              <w:t xml:space="preserve">64.0 </w:t>
            </w:r>
          </w:p>
        </w:tc>
        <w:tc>
          <w:tcPr>
            <w:tcW w:w="0" w:type="auto"/>
            <w:tcBorders>
              <w:bottom w:val="single" w:sz="4" w:space="0" w:color="auto"/>
            </w:tcBorders>
            <w:vAlign w:val="bottom"/>
          </w:tcPr>
          <w:p w14:paraId="1C1C16E4" w14:textId="77777777" w:rsidR="00BB7228" w:rsidRPr="00A73D4A" w:rsidRDefault="00BB7228" w:rsidP="003C1D3F">
            <w:pPr>
              <w:pStyle w:val="Tabletext"/>
              <w:jc w:val="right"/>
            </w:pPr>
            <w:r w:rsidRPr="00A73D4A">
              <w:rPr>
                <w:color w:val="000000" w:themeColor="text1"/>
              </w:rPr>
              <w:t xml:space="preserve">64.2 </w:t>
            </w:r>
          </w:p>
        </w:tc>
      </w:tr>
      <w:tr w:rsidR="000367B1" w:rsidRPr="00A73D4A" w14:paraId="43BD9E0E" w14:textId="77777777" w:rsidTr="000367B1">
        <w:tc>
          <w:tcPr>
            <w:tcW w:w="5000" w:type="pct"/>
            <w:gridSpan w:val="4"/>
            <w:tcBorders>
              <w:top w:val="single" w:sz="4" w:space="0" w:color="auto"/>
              <w:left w:val="nil"/>
              <w:bottom w:val="nil"/>
              <w:right w:val="nil"/>
            </w:tcBorders>
          </w:tcPr>
          <w:p w14:paraId="690D713A" w14:textId="3A7601F1" w:rsidR="000367B1" w:rsidRPr="00A73D4A" w:rsidRDefault="000367B1" w:rsidP="003C1D3F">
            <w:pPr>
              <w:pStyle w:val="Tablelegend"/>
              <w:rPr>
                <w:color w:val="000000" w:themeColor="text1"/>
              </w:rPr>
            </w:pPr>
            <w:r w:rsidRPr="00D36FD5">
              <w:t>Source: ITU estimates.</w:t>
            </w:r>
          </w:p>
        </w:tc>
      </w:tr>
    </w:tbl>
    <w:p w14:paraId="2C9CFD20" w14:textId="74FB1067" w:rsidR="00BB7228" w:rsidRPr="00D36FD5" w:rsidRDefault="00BB7228" w:rsidP="003C1D3F">
      <w:pPr>
        <w:pStyle w:val="Tablefin"/>
      </w:pPr>
    </w:p>
    <w:p w14:paraId="1DA776CA" w14:textId="584A9E28" w:rsidR="00BB7228" w:rsidRPr="00445401" w:rsidRDefault="00BB7228" w:rsidP="00D46BD2">
      <w:pPr>
        <w:jc w:val="both"/>
        <w:rPr>
          <w:rFonts w:cs="Calibri"/>
        </w:rPr>
      </w:pPr>
      <w:r w:rsidRPr="30C468EA">
        <w:rPr>
          <w:rFonts w:cs="Calibri"/>
        </w:rPr>
        <w:t xml:space="preserve">Population-wide statistics on digital development often conceal substantial disparities within countries, for example between rural and urban areas, between men and women, or across age groups. Disaggregated data makes it possible to design much more effective interventions targeted at specific demographic groups or geographic areas. </w:t>
      </w:r>
      <w:hyperlink w:anchor="Tab_1" w:history="1">
        <w:r w:rsidRPr="002625C7">
          <w:rPr>
            <w:rStyle w:val="Hyperlink"/>
            <w:rFonts w:cs="Calibri"/>
          </w:rPr>
          <w:t>Table 1</w:t>
        </w:r>
      </w:hyperlink>
      <w:r w:rsidRPr="30C468EA">
        <w:rPr>
          <w:rFonts w:cs="Calibri"/>
        </w:rPr>
        <w:t xml:space="preserve"> shows that that these gaps can be very large. For example, in LLDCs, an average of 92 per cent of the urban</w:t>
      </w:r>
      <w:r>
        <w:rPr>
          <w:rFonts w:cs="Calibri"/>
        </w:rPr>
        <w:t xml:space="preserve"> population</w:t>
      </w:r>
      <w:r w:rsidRPr="30C468EA">
        <w:rPr>
          <w:rFonts w:cs="Calibri"/>
        </w:rPr>
        <w:t xml:space="preserve"> is covered by a 4G mobile network, compared with only 53 per cent of the rural population, a gap of almost 40 percentage points. Similarly, while the gender gap in Internet use has been closed in SIDS. In LDCs, men are around 40 per cent more likely than women to be online, with usage rates of 39 per cent and 28 per cent, respectively. These findings have clear policy implications and help focus efforts on those most in need.</w:t>
      </w:r>
    </w:p>
    <w:p w14:paraId="3C84E5C5" w14:textId="77777777" w:rsidR="00BB7228" w:rsidRPr="00445401" w:rsidRDefault="00BB7228" w:rsidP="00D46BD2">
      <w:pPr>
        <w:jc w:val="both"/>
        <w:rPr>
          <w:rFonts w:cs="Calibri"/>
        </w:rPr>
      </w:pPr>
      <w:r w:rsidRPr="00445401">
        <w:rPr>
          <w:rFonts w:cs="Calibri"/>
        </w:rPr>
        <w:t>Despite the importance of statistics, major data gaps persist, particularly in the LDCs, LLD</w:t>
      </w:r>
      <w:r>
        <w:rPr>
          <w:rFonts w:cs="Calibri"/>
        </w:rPr>
        <w:t>C</w:t>
      </w:r>
      <w:r w:rsidRPr="00445401">
        <w:rPr>
          <w:rFonts w:cs="Calibri"/>
        </w:rPr>
        <w:t>s, and SIDS</w:t>
      </w:r>
      <w:r>
        <w:rPr>
          <w:rFonts w:cs="Calibri"/>
        </w:rPr>
        <w:t>, o</w:t>
      </w:r>
      <w:r w:rsidRPr="00445401">
        <w:rPr>
          <w:rFonts w:cs="Calibri"/>
        </w:rPr>
        <w:t xml:space="preserve">nly a minority of these countries collect ICT statistics on a regular basis, and an even smaller share collect disaggregated data. </w:t>
      </w:r>
    </w:p>
    <w:p w14:paraId="516F8DDB" w14:textId="77777777" w:rsidR="00BB7228" w:rsidRPr="00445401" w:rsidRDefault="00BB7228" w:rsidP="00D46BD2">
      <w:pPr>
        <w:jc w:val="both"/>
        <w:rPr>
          <w:rFonts w:cs="Calibri"/>
        </w:rPr>
      </w:pPr>
      <w:r w:rsidRPr="00445401">
        <w:rPr>
          <w:rFonts w:cs="Calibri"/>
        </w:rPr>
        <w:lastRenderedPageBreak/>
        <w:t xml:space="preserve">The BDT provides </w:t>
      </w:r>
      <w:hyperlink r:id="rId25" w:history="1">
        <w:r w:rsidRPr="00445401">
          <w:rPr>
            <w:rStyle w:val="Hyperlink"/>
            <w:rFonts w:cs="Calibri"/>
          </w:rPr>
          <w:t>capacity-development activities and technical assistance</w:t>
        </w:r>
      </w:hyperlink>
      <w:r w:rsidRPr="00445401">
        <w:rPr>
          <w:rFonts w:cs="Calibri"/>
        </w:rPr>
        <w:t xml:space="preserve"> to Member States seeking to strengthen their ability to measure digital development with greater accuracy, timeliness and granularity. </w:t>
      </w:r>
    </w:p>
    <w:p w14:paraId="3FA1FBDA" w14:textId="77777777" w:rsidR="00BB7228" w:rsidRPr="00445401" w:rsidRDefault="00BB7228" w:rsidP="00D46BD2">
      <w:pPr>
        <w:jc w:val="both"/>
        <w:rPr>
          <w:rFonts w:cs="Calibri"/>
        </w:rPr>
      </w:pPr>
      <w:r w:rsidRPr="00445401">
        <w:rPr>
          <w:rFonts w:cs="Calibri"/>
        </w:rPr>
        <w:t>Statistics enable evidence-based decision-making, which can accelerate digital development and ultimately improve economic prospects. Investing in data collection is critical and yields significant returns.</w:t>
      </w:r>
    </w:p>
    <w:p w14:paraId="4447A63F" w14:textId="77777777" w:rsidR="00BB7228" w:rsidRPr="00F40208" w:rsidRDefault="00BB7228" w:rsidP="000367B1">
      <w:pPr>
        <w:pStyle w:val="Headingb"/>
      </w:pPr>
      <w:r w:rsidRPr="00F40208">
        <w:t>Enhancing digital capacities and skills</w:t>
      </w:r>
    </w:p>
    <w:p w14:paraId="0BC1A6BE" w14:textId="4C4E758F" w:rsidR="00BB7228" w:rsidRPr="00445401" w:rsidRDefault="00BB7228" w:rsidP="000B306D">
      <w:pPr>
        <w:jc w:val="both"/>
        <w:rPr>
          <w:rFonts w:cs="Calibri"/>
        </w:rPr>
      </w:pPr>
      <w:r w:rsidRPr="40524877">
        <w:rPr>
          <w:rFonts w:cs="Calibri"/>
        </w:rPr>
        <w:t>The ITU Academy serves as a comprehensive platform that consolidates a wide range of training activities and knowledge resources in the field of ICTs and digital development. Through its work, it strengthens human and institutional capacity across Member States. Since 2022, the ITU Academy has provided targeted support to LDCs, LLDCs and SIDS, and other countries in special situations through tailored training programmes, capacity-building initiatives, and access to specialized learning resources. Between 2022-2025, the platform reached nearly 28</w:t>
      </w:r>
      <w:r w:rsidR="000B306D">
        <w:rPr>
          <w:rFonts w:cs="Calibri"/>
        </w:rPr>
        <w:t> </w:t>
      </w:r>
      <w:r w:rsidRPr="40524877">
        <w:rPr>
          <w:rFonts w:cs="Calibri"/>
        </w:rPr>
        <w:t>000 course participants from these groups: 12</w:t>
      </w:r>
      <w:r w:rsidR="000B306D">
        <w:rPr>
          <w:rFonts w:cs="Calibri"/>
        </w:rPr>
        <w:t> </w:t>
      </w:r>
      <w:r w:rsidRPr="40524877">
        <w:rPr>
          <w:rFonts w:cs="Calibri"/>
        </w:rPr>
        <w:t>718 from LDCs (29.7</w:t>
      </w:r>
      <w:r w:rsidR="000B306D" w:rsidRPr="000B306D">
        <w:rPr>
          <w:rFonts w:eastAsiaTheme="minorEastAsia" w:cs="Calibri"/>
        </w:rPr>
        <w:t xml:space="preserve"> </w:t>
      </w:r>
      <w:r w:rsidR="000B306D">
        <w:rPr>
          <w:rFonts w:eastAsiaTheme="minorEastAsia" w:cs="Calibri"/>
        </w:rPr>
        <w:t>per cent</w:t>
      </w:r>
      <w:r w:rsidRPr="40524877">
        <w:rPr>
          <w:rFonts w:cs="Calibri"/>
        </w:rPr>
        <w:t xml:space="preserve"> female) of whom 3</w:t>
      </w:r>
      <w:r w:rsidR="000B306D">
        <w:rPr>
          <w:rFonts w:cs="Calibri"/>
        </w:rPr>
        <w:t> </w:t>
      </w:r>
      <w:r w:rsidRPr="40524877">
        <w:rPr>
          <w:rFonts w:cs="Calibri"/>
        </w:rPr>
        <w:t xml:space="preserve">154 obtained </w:t>
      </w:r>
      <w:proofErr w:type="gramStart"/>
      <w:r w:rsidRPr="40524877">
        <w:rPr>
          <w:rFonts w:cs="Calibri"/>
        </w:rPr>
        <w:t>certification</w:t>
      </w:r>
      <w:proofErr w:type="gramEnd"/>
      <w:r w:rsidRPr="40524877">
        <w:rPr>
          <w:rFonts w:cs="Calibri"/>
        </w:rPr>
        <w:t>; 9</w:t>
      </w:r>
      <w:r w:rsidR="000B306D">
        <w:rPr>
          <w:rFonts w:cs="Calibri"/>
        </w:rPr>
        <w:t> </w:t>
      </w:r>
      <w:r w:rsidRPr="40524877">
        <w:rPr>
          <w:rFonts w:cs="Calibri"/>
        </w:rPr>
        <w:t>061 from LLDCs (43</w:t>
      </w:r>
      <w:r w:rsidR="000B306D" w:rsidRPr="000B306D">
        <w:rPr>
          <w:rFonts w:eastAsiaTheme="minorEastAsia" w:cs="Calibri"/>
        </w:rPr>
        <w:t xml:space="preserve"> </w:t>
      </w:r>
      <w:r w:rsidR="000B306D">
        <w:rPr>
          <w:rFonts w:eastAsiaTheme="minorEastAsia" w:cs="Calibri"/>
        </w:rPr>
        <w:t>per cent</w:t>
      </w:r>
      <w:r w:rsidRPr="40524877">
        <w:rPr>
          <w:rFonts w:cs="Calibri"/>
        </w:rPr>
        <w:t xml:space="preserve"> female), with 2</w:t>
      </w:r>
      <w:r w:rsidR="000B306D">
        <w:rPr>
          <w:rFonts w:cs="Calibri"/>
        </w:rPr>
        <w:t> </w:t>
      </w:r>
      <w:r w:rsidRPr="40524877">
        <w:rPr>
          <w:rFonts w:cs="Calibri"/>
        </w:rPr>
        <w:t>503 certifications; 4</w:t>
      </w:r>
      <w:r w:rsidR="000B306D">
        <w:rPr>
          <w:rFonts w:cs="Calibri"/>
        </w:rPr>
        <w:t> </w:t>
      </w:r>
      <w:r w:rsidRPr="40524877">
        <w:rPr>
          <w:rFonts w:cs="Calibri"/>
        </w:rPr>
        <w:t>912 from SIDS (40</w:t>
      </w:r>
      <w:r w:rsidR="000B306D" w:rsidRPr="000B306D">
        <w:rPr>
          <w:rFonts w:eastAsiaTheme="minorEastAsia" w:cs="Calibri"/>
        </w:rPr>
        <w:t xml:space="preserve"> </w:t>
      </w:r>
      <w:r w:rsidR="000B306D">
        <w:rPr>
          <w:rFonts w:eastAsiaTheme="minorEastAsia" w:cs="Calibri"/>
        </w:rPr>
        <w:t>per cent</w:t>
      </w:r>
      <w:r w:rsidRPr="40524877">
        <w:rPr>
          <w:rFonts w:cs="Calibri"/>
        </w:rPr>
        <w:t xml:space="preserve"> female) with 1</w:t>
      </w:r>
      <w:r w:rsidR="000B306D">
        <w:rPr>
          <w:rFonts w:cs="Calibri"/>
        </w:rPr>
        <w:t> </w:t>
      </w:r>
      <w:r w:rsidRPr="40524877">
        <w:rPr>
          <w:rFonts w:cs="Calibri"/>
        </w:rPr>
        <w:t>361 certifications.</w:t>
      </w:r>
    </w:p>
    <w:p w14:paraId="1F26710F" w14:textId="14B31396" w:rsidR="00BB7228" w:rsidRPr="00445401" w:rsidRDefault="00BB7228" w:rsidP="00D46BD2">
      <w:pPr>
        <w:jc w:val="both"/>
        <w:rPr>
          <w:rFonts w:cs="Calibri"/>
        </w:rPr>
      </w:pPr>
      <w:r w:rsidRPr="40524877">
        <w:rPr>
          <w:rFonts w:cs="Calibri"/>
        </w:rPr>
        <w:t xml:space="preserve">The </w:t>
      </w:r>
      <w:hyperlink r:id="rId26">
        <w:r w:rsidRPr="40524877">
          <w:rPr>
            <w:rStyle w:val="Hyperlink"/>
            <w:rFonts w:cs="Calibri"/>
            <w:color w:val="0563C1"/>
          </w:rPr>
          <w:t>Digital Transformation Centres (DTC) Initiative</w:t>
        </w:r>
      </w:hyperlink>
      <w:r w:rsidRPr="40524877">
        <w:rPr>
          <w:rFonts w:cs="Calibri"/>
        </w:rPr>
        <w:t xml:space="preserve">, launched in September 2019 by ITU in partnership with Cisco, aims to strengthen the digital capacities of citizens, particularly those in rural and the underserved communities. The Initiative operates through a global network of national institutions </w:t>
      </w:r>
      <w:r w:rsidR="0002410B">
        <w:rPr>
          <w:rFonts w:cs="Calibri"/>
        </w:rPr>
        <w:t>—</w:t>
      </w:r>
      <w:r w:rsidRPr="40524877">
        <w:rPr>
          <w:rFonts w:cs="Calibri"/>
        </w:rPr>
        <w:t>the Digital Transformation Centres (DTCs)</w:t>
      </w:r>
      <w:r w:rsidR="0002410B">
        <w:rPr>
          <w:rFonts w:cs="Calibri"/>
        </w:rPr>
        <w:t>—</w:t>
      </w:r>
      <w:r w:rsidRPr="40524877">
        <w:rPr>
          <w:rFonts w:cs="Calibri"/>
        </w:rPr>
        <w:t xml:space="preserve"> which are mandated to deliver digital skills programmes at the country level. These centres demonstrate proven capacity, infrastructure and experience in implementing basic and intermediate level training.</w:t>
      </w:r>
    </w:p>
    <w:p w14:paraId="20CC2278" w14:textId="114F27EB" w:rsidR="00BB7228" w:rsidRPr="00445401" w:rsidRDefault="00BB7228" w:rsidP="0002410B">
      <w:pPr>
        <w:jc w:val="both"/>
        <w:rPr>
          <w:rFonts w:cs="Calibri"/>
        </w:rPr>
      </w:pPr>
      <w:r w:rsidRPr="4D1BABCB">
        <w:rPr>
          <w:rFonts w:cs="Calibri"/>
        </w:rPr>
        <w:t>Currently, there are 16 DTCs globally of which eight DTCs were established in LDCs, LLDCs, SIDS and countries with economies in transition</w:t>
      </w:r>
      <w:r>
        <w:rPr>
          <w:rFonts w:cs="Calibri"/>
        </w:rPr>
        <w:t>, namely,</w:t>
      </w:r>
      <w:r w:rsidRPr="4D1BABCB">
        <w:rPr>
          <w:rFonts w:cs="Calibri"/>
        </w:rPr>
        <w:t xml:space="preserve"> Dominican Republic, Papua New Guinea, Rwanda, Senegal, Sierra Leone, Trinidad and Tobago, Uganda</w:t>
      </w:r>
      <w:r w:rsidR="00D533A1">
        <w:rPr>
          <w:rFonts w:cs="Calibri"/>
        </w:rPr>
        <w:t>,</w:t>
      </w:r>
      <w:r w:rsidRPr="4D1BABCB">
        <w:rPr>
          <w:rFonts w:cs="Calibri"/>
        </w:rPr>
        <w:t xml:space="preserve"> and Zambia. By the end of 2025, these eight DTCs had trained nearly 227</w:t>
      </w:r>
      <w:r w:rsidR="0002410B">
        <w:rPr>
          <w:rFonts w:cs="Calibri"/>
        </w:rPr>
        <w:t> </w:t>
      </w:r>
      <w:r w:rsidRPr="4D1BABCB">
        <w:rPr>
          <w:rFonts w:cs="Calibri"/>
        </w:rPr>
        <w:t>000 participants (54</w:t>
      </w:r>
      <w:r w:rsidR="0002410B">
        <w:rPr>
          <w:rFonts w:cs="Calibri"/>
        </w:rPr>
        <w:t xml:space="preserve"> per cent</w:t>
      </w:r>
      <w:r w:rsidRPr="4D1BABCB">
        <w:rPr>
          <w:rFonts w:cs="Calibri"/>
        </w:rPr>
        <w:t xml:space="preserve"> female), with basic and intermediate digital skills training. Overall, more than 422</w:t>
      </w:r>
      <w:r w:rsidR="0002410B">
        <w:rPr>
          <w:rFonts w:cs="Calibri"/>
        </w:rPr>
        <w:t> </w:t>
      </w:r>
      <w:r w:rsidRPr="4D1BABCB">
        <w:rPr>
          <w:rFonts w:cs="Calibri"/>
        </w:rPr>
        <w:t>000 (54</w:t>
      </w:r>
      <w:r w:rsidR="0002410B">
        <w:rPr>
          <w:rFonts w:cs="Calibri"/>
        </w:rPr>
        <w:t xml:space="preserve"> per cent</w:t>
      </w:r>
      <w:r w:rsidRPr="4D1BABCB">
        <w:rPr>
          <w:rFonts w:cs="Calibri"/>
        </w:rPr>
        <w:t xml:space="preserve"> female) were reached between 2022-2025 (</w:t>
      </w:r>
      <w:r w:rsidRPr="0002410B">
        <w:rPr>
          <w:rFonts w:cs="Calibri"/>
          <w:iCs/>
        </w:rPr>
        <w:t xml:space="preserve">see Table 2 </w:t>
      </w:r>
      <w:r w:rsidR="00CA2190">
        <w:rPr>
          <w:rFonts w:cs="Calibri"/>
          <w:iCs/>
        </w:rPr>
        <w:t xml:space="preserve">below </w:t>
      </w:r>
      <w:r w:rsidRPr="0002410B">
        <w:rPr>
          <w:rFonts w:cs="Calibri"/>
          <w:iCs/>
        </w:rPr>
        <w:t>for details</w:t>
      </w:r>
      <w:r w:rsidRPr="4D1BABCB">
        <w:rPr>
          <w:rFonts w:cs="Calibri"/>
        </w:rPr>
        <w:t>).</w:t>
      </w:r>
    </w:p>
    <w:p w14:paraId="70B0F330" w14:textId="77777777" w:rsidR="000367B1" w:rsidRDefault="00BB7228" w:rsidP="003C1D3F">
      <w:pPr>
        <w:pStyle w:val="TableNo"/>
      </w:pPr>
      <w:r w:rsidRPr="00F40208">
        <w:t>Table 2</w:t>
      </w:r>
    </w:p>
    <w:p w14:paraId="52531D26" w14:textId="5AFD49FF" w:rsidR="00BB7228" w:rsidRPr="00F40208" w:rsidRDefault="00BB7228" w:rsidP="003C1D3F">
      <w:pPr>
        <w:pStyle w:val="Tabletitle"/>
      </w:pPr>
      <w:r w:rsidRPr="00F40208">
        <w:t>DTC course participants 2022-2025</w:t>
      </w:r>
    </w:p>
    <w:tbl>
      <w:tblPr>
        <w:tblW w:w="9209" w:type="dxa"/>
        <w:tblLook w:val="04A0" w:firstRow="1" w:lastRow="0" w:firstColumn="1" w:lastColumn="0" w:noHBand="0" w:noVBand="1"/>
      </w:tblPr>
      <w:tblGrid>
        <w:gridCol w:w="810"/>
        <w:gridCol w:w="885"/>
        <w:gridCol w:w="1185"/>
        <w:gridCol w:w="945"/>
        <w:gridCol w:w="1110"/>
        <w:gridCol w:w="885"/>
        <w:gridCol w:w="1170"/>
        <w:gridCol w:w="1085"/>
        <w:gridCol w:w="1134"/>
      </w:tblGrid>
      <w:tr w:rsidR="00BB7228" w:rsidRPr="00DA590B" w14:paraId="1560B467" w14:textId="77777777" w:rsidTr="00B660FE">
        <w:trPr>
          <w:trHeight w:val="300"/>
        </w:trPr>
        <w:tc>
          <w:tcPr>
            <w:tcW w:w="810" w:type="dxa"/>
            <w:vMerge w:val="restart"/>
            <w:tcBorders>
              <w:top w:val="single" w:sz="4" w:space="0" w:color="auto"/>
              <w:left w:val="single" w:sz="4" w:space="0" w:color="auto"/>
              <w:right w:val="single" w:sz="8" w:space="0" w:color="auto"/>
            </w:tcBorders>
            <w:vAlign w:val="bottom"/>
          </w:tcPr>
          <w:p w14:paraId="5992268D" w14:textId="77777777" w:rsidR="00BB7228" w:rsidRPr="00DA590B" w:rsidRDefault="00BB7228" w:rsidP="0002410B">
            <w:pPr>
              <w:pStyle w:val="Tablehead"/>
              <w:rPr>
                <w:rFonts w:eastAsia="Aptos Narrow"/>
              </w:rPr>
            </w:pPr>
          </w:p>
        </w:tc>
        <w:tc>
          <w:tcPr>
            <w:tcW w:w="2070" w:type="dxa"/>
            <w:gridSpan w:val="2"/>
            <w:tcBorders>
              <w:top w:val="single" w:sz="8" w:space="0" w:color="auto"/>
              <w:left w:val="single" w:sz="8" w:space="0" w:color="auto"/>
              <w:bottom w:val="single" w:sz="8" w:space="0" w:color="auto"/>
              <w:right w:val="single" w:sz="8" w:space="0" w:color="auto"/>
            </w:tcBorders>
            <w:shd w:val="clear" w:color="auto" w:fill="A6C9EC"/>
            <w:vAlign w:val="bottom"/>
          </w:tcPr>
          <w:p w14:paraId="56DDD0B4" w14:textId="77777777" w:rsidR="00BB7228" w:rsidRPr="00DA590B" w:rsidRDefault="00BB7228" w:rsidP="0002410B">
            <w:pPr>
              <w:pStyle w:val="Tablehead"/>
              <w:rPr>
                <w:rFonts w:eastAsia="Aptos Narrow"/>
              </w:rPr>
            </w:pPr>
            <w:r w:rsidRPr="00DA590B">
              <w:rPr>
                <w:rFonts w:eastAsia="Aptos Narrow"/>
              </w:rPr>
              <w:t>2022</w:t>
            </w:r>
          </w:p>
        </w:tc>
        <w:tc>
          <w:tcPr>
            <w:tcW w:w="2055" w:type="dxa"/>
            <w:gridSpan w:val="2"/>
            <w:tcBorders>
              <w:top w:val="single" w:sz="8" w:space="0" w:color="auto"/>
              <w:left w:val="nil"/>
              <w:bottom w:val="single" w:sz="8" w:space="0" w:color="auto"/>
              <w:right w:val="single" w:sz="8" w:space="0" w:color="auto"/>
            </w:tcBorders>
            <w:shd w:val="clear" w:color="auto" w:fill="A6C9EC"/>
            <w:vAlign w:val="bottom"/>
          </w:tcPr>
          <w:p w14:paraId="169C6F4C" w14:textId="77777777" w:rsidR="00BB7228" w:rsidRPr="00DA590B" w:rsidRDefault="00BB7228" w:rsidP="0002410B">
            <w:pPr>
              <w:pStyle w:val="Tablehead"/>
              <w:rPr>
                <w:rFonts w:eastAsia="Aptos Narrow"/>
              </w:rPr>
            </w:pPr>
            <w:r w:rsidRPr="00DA590B">
              <w:rPr>
                <w:rFonts w:eastAsia="Aptos Narrow"/>
              </w:rPr>
              <w:t>2023</w:t>
            </w:r>
          </w:p>
        </w:tc>
        <w:tc>
          <w:tcPr>
            <w:tcW w:w="2055" w:type="dxa"/>
            <w:gridSpan w:val="2"/>
            <w:tcBorders>
              <w:top w:val="single" w:sz="8" w:space="0" w:color="auto"/>
              <w:left w:val="nil"/>
              <w:bottom w:val="single" w:sz="8" w:space="0" w:color="auto"/>
              <w:right w:val="single" w:sz="8" w:space="0" w:color="auto"/>
            </w:tcBorders>
            <w:shd w:val="clear" w:color="auto" w:fill="A6C9EC"/>
            <w:vAlign w:val="bottom"/>
          </w:tcPr>
          <w:p w14:paraId="0A666B4A" w14:textId="77777777" w:rsidR="00BB7228" w:rsidRPr="00DA590B" w:rsidRDefault="00BB7228" w:rsidP="0002410B">
            <w:pPr>
              <w:pStyle w:val="Tablehead"/>
              <w:rPr>
                <w:rFonts w:eastAsia="Aptos Narrow"/>
              </w:rPr>
            </w:pPr>
            <w:r w:rsidRPr="00DA590B">
              <w:rPr>
                <w:rFonts w:eastAsia="Aptos Narrow"/>
              </w:rPr>
              <w:t>2024</w:t>
            </w:r>
          </w:p>
        </w:tc>
        <w:tc>
          <w:tcPr>
            <w:tcW w:w="2219" w:type="dxa"/>
            <w:gridSpan w:val="2"/>
            <w:tcBorders>
              <w:top w:val="single" w:sz="8" w:space="0" w:color="auto"/>
              <w:left w:val="nil"/>
              <w:bottom w:val="single" w:sz="8" w:space="0" w:color="auto"/>
              <w:right w:val="single" w:sz="8" w:space="0" w:color="auto"/>
            </w:tcBorders>
            <w:shd w:val="clear" w:color="auto" w:fill="A6C9EC"/>
            <w:vAlign w:val="bottom"/>
          </w:tcPr>
          <w:p w14:paraId="162E9D99" w14:textId="77777777" w:rsidR="00BB7228" w:rsidRPr="00DA590B" w:rsidRDefault="00BB7228" w:rsidP="0002410B">
            <w:pPr>
              <w:pStyle w:val="Tablehead"/>
              <w:rPr>
                <w:rFonts w:eastAsia="Aptos Narrow"/>
              </w:rPr>
            </w:pPr>
            <w:r w:rsidRPr="00DA590B">
              <w:rPr>
                <w:rFonts w:eastAsia="Aptos Narrow"/>
              </w:rPr>
              <w:t>2025</w:t>
            </w:r>
          </w:p>
        </w:tc>
      </w:tr>
      <w:tr w:rsidR="00BB7228" w:rsidRPr="00445401" w14:paraId="6CF7EFA2" w14:textId="77777777" w:rsidTr="00B660FE">
        <w:trPr>
          <w:trHeight w:val="300"/>
        </w:trPr>
        <w:tc>
          <w:tcPr>
            <w:tcW w:w="810" w:type="dxa"/>
            <w:vMerge/>
            <w:tcBorders>
              <w:top w:val="single" w:sz="8" w:space="0" w:color="auto"/>
              <w:left w:val="single" w:sz="4" w:space="0" w:color="auto"/>
              <w:bottom w:val="single" w:sz="4" w:space="0" w:color="auto"/>
              <w:right w:val="single" w:sz="4" w:space="0" w:color="auto"/>
            </w:tcBorders>
            <w:vAlign w:val="center"/>
          </w:tcPr>
          <w:p w14:paraId="39F58146" w14:textId="77777777" w:rsidR="00BB7228" w:rsidRPr="00445401" w:rsidRDefault="00BB7228" w:rsidP="0002410B">
            <w:pPr>
              <w:pStyle w:val="Tablehead"/>
            </w:pPr>
          </w:p>
        </w:tc>
        <w:tc>
          <w:tcPr>
            <w:tcW w:w="885" w:type="dxa"/>
            <w:tcBorders>
              <w:top w:val="single" w:sz="8" w:space="0" w:color="auto"/>
              <w:left w:val="single" w:sz="4" w:space="0" w:color="auto"/>
              <w:bottom w:val="single" w:sz="4" w:space="0" w:color="auto"/>
              <w:right w:val="single" w:sz="8" w:space="0" w:color="auto"/>
            </w:tcBorders>
            <w:shd w:val="clear" w:color="auto" w:fill="A6C9EC"/>
            <w:vAlign w:val="bottom"/>
          </w:tcPr>
          <w:p w14:paraId="1A6D3A91"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Total</w:t>
            </w:r>
          </w:p>
        </w:tc>
        <w:tc>
          <w:tcPr>
            <w:tcW w:w="1185" w:type="dxa"/>
            <w:tcBorders>
              <w:top w:val="nil"/>
              <w:left w:val="single" w:sz="8" w:space="0" w:color="auto"/>
              <w:bottom w:val="single" w:sz="4" w:space="0" w:color="auto"/>
              <w:right w:val="single" w:sz="8" w:space="0" w:color="auto"/>
            </w:tcBorders>
            <w:shd w:val="clear" w:color="auto" w:fill="A6C9EC"/>
            <w:vAlign w:val="bottom"/>
          </w:tcPr>
          <w:p w14:paraId="6B6C81DF"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 Female</w:t>
            </w:r>
          </w:p>
        </w:tc>
        <w:tc>
          <w:tcPr>
            <w:tcW w:w="945" w:type="dxa"/>
            <w:tcBorders>
              <w:top w:val="single" w:sz="8" w:space="0" w:color="auto"/>
              <w:left w:val="single" w:sz="8" w:space="0" w:color="auto"/>
              <w:bottom w:val="single" w:sz="4" w:space="0" w:color="auto"/>
              <w:right w:val="single" w:sz="8" w:space="0" w:color="auto"/>
            </w:tcBorders>
            <w:shd w:val="clear" w:color="auto" w:fill="A6C9EC"/>
            <w:vAlign w:val="bottom"/>
          </w:tcPr>
          <w:p w14:paraId="3CBF46DE"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Total</w:t>
            </w:r>
          </w:p>
        </w:tc>
        <w:tc>
          <w:tcPr>
            <w:tcW w:w="1110" w:type="dxa"/>
            <w:tcBorders>
              <w:top w:val="nil"/>
              <w:left w:val="single" w:sz="8" w:space="0" w:color="auto"/>
              <w:bottom w:val="single" w:sz="4" w:space="0" w:color="auto"/>
              <w:right w:val="single" w:sz="8" w:space="0" w:color="auto"/>
            </w:tcBorders>
            <w:shd w:val="clear" w:color="auto" w:fill="A6C9EC"/>
            <w:vAlign w:val="bottom"/>
          </w:tcPr>
          <w:p w14:paraId="110E7A0F"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 Female</w:t>
            </w:r>
          </w:p>
        </w:tc>
        <w:tc>
          <w:tcPr>
            <w:tcW w:w="885" w:type="dxa"/>
            <w:tcBorders>
              <w:top w:val="single" w:sz="8" w:space="0" w:color="auto"/>
              <w:left w:val="single" w:sz="8" w:space="0" w:color="auto"/>
              <w:bottom w:val="single" w:sz="4" w:space="0" w:color="auto"/>
              <w:right w:val="single" w:sz="8" w:space="0" w:color="auto"/>
            </w:tcBorders>
            <w:shd w:val="clear" w:color="auto" w:fill="A6C9EC"/>
            <w:vAlign w:val="bottom"/>
          </w:tcPr>
          <w:p w14:paraId="736D48E5"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Total</w:t>
            </w:r>
          </w:p>
        </w:tc>
        <w:tc>
          <w:tcPr>
            <w:tcW w:w="1170" w:type="dxa"/>
            <w:tcBorders>
              <w:top w:val="nil"/>
              <w:left w:val="single" w:sz="8" w:space="0" w:color="auto"/>
              <w:bottom w:val="single" w:sz="4" w:space="0" w:color="auto"/>
              <w:right w:val="single" w:sz="8" w:space="0" w:color="auto"/>
            </w:tcBorders>
            <w:shd w:val="clear" w:color="auto" w:fill="A6C9EC"/>
            <w:vAlign w:val="bottom"/>
          </w:tcPr>
          <w:p w14:paraId="429262EA"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 Female</w:t>
            </w:r>
          </w:p>
        </w:tc>
        <w:tc>
          <w:tcPr>
            <w:tcW w:w="1085" w:type="dxa"/>
            <w:tcBorders>
              <w:top w:val="single" w:sz="8" w:space="0" w:color="auto"/>
              <w:left w:val="single" w:sz="8" w:space="0" w:color="auto"/>
              <w:bottom w:val="single" w:sz="4" w:space="0" w:color="auto"/>
              <w:right w:val="single" w:sz="8" w:space="0" w:color="auto"/>
            </w:tcBorders>
            <w:shd w:val="clear" w:color="auto" w:fill="A6C9EC"/>
            <w:vAlign w:val="bottom"/>
          </w:tcPr>
          <w:p w14:paraId="04E9903D"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Total</w:t>
            </w:r>
          </w:p>
        </w:tc>
        <w:tc>
          <w:tcPr>
            <w:tcW w:w="1134" w:type="dxa"/>
            <w:tcBorders>
              <w:top w:val="nil"/>
              <w:left w:val="single" w:sz="8" w:space="0" w:color="auto"/>
              <w:bottom w:val="single" w:sz="4" w:space="0" w:color="auto"/>
              <w:right w:val="single" w:sz="8" w:space="0" w:color="auto"/>
            </w:tcBorders>
            <w:shd w:val="clear" w:color="auto" w:fill="A6C9EC"/>
            <w:vAlign w:val="bottom"/>
          </w:tcPr>
          <w:p w14:paraId="0F4F36DA" w14:textId="77777777" w:rsidR="00BB7228" w:rsidRPr="00445401" w:rsidRDefault="00BB7228" w:rsidP="0002410B">
            <w:pPr>
              <w:pStyle w:val="Tablehead"/>
              <w:rPr>
                <w:rFonts w:eastAsia="Aptos Narrow"/>
                <w:color w:val="000000" w:themeColor="text1"/>
              </w:rPr>
            </w:pPr>
            <w:r w:rsidRPr="4D1BABCB">
              <w:rPr>
                <w:rFonts w:eastAsia="Aptos Narrow"/>
                <w:color w:val="000000" w:themeColor="text1"/>
              </w:rPr>
              <w:t>% Female</w:t>
            </w:r>
          </w:p>
        </w:tc>
      </w:tr>
      <w:tr w:rsidR="00BB7228" w:rsidRPr="00445401" w14:paraId="01C0C922" w14:textId="77777777" w:rsidTr="00B660FE">
        <w:trPr>
          <w:trHeight w:val="615"/>
        </w:trPr>
        <w:tc>
          <w:tcPr>
            <w:tcW w:w="810" w:type="dxa"/>
            <w:tcBorders>
              <w:top w:val="single" w:sz="4" w:space="0" w:color="auto"/>
              <w:left w:val="single" w:sz="4" w:space="0" w:color="auto"/>
              <w:bottom w:val="single" w:sz="8" w:space="0" w:color="auto"/>
              <w:right w:val="single" w:sz="8" w:space="0" w:color="auto"/>
            </w:tcBorders>
          </w:tcPr>
          <w:p w14:paraId="7EB0FAA8" w14:textId="64103E37" w:rsidR="00BB7228" w:rsidRPr="00445401" w:rsidRDefault="00BB7228" w:rsidP="0002410B">
            <w:pPr>
              <w:pStyle w:val="Tabletext"/>
              <w:rPr>
                <w:rFonts w:eastAsia="Aptos Narrow"/>
                <w:lang w:val="en-US"/>
              </w:rPr>
            </w:pPr>
            <w:r w:rsidRPr="4D1BABCB">
              <w:rPr>
                <w:rFonts w:eastAsia="Aptos Narrow"/>
              </w:rPr>
              <w:t>LDC</w:t>
            </w:r>
            <w:r w:rsidR="00B660FE" w:rsidRPr="4D1BABCB">
              <w:rPr>
                <w:rFonts w:eastAsia="Aptos Narrow"/>
              </w:rPr>
              <w:t>s</w:t>
            </w:r>
            <w:r w:rsidRPr="4D1BABCB">
              <w:rPr>
                <w:rFonts w:eastAsia="Aptos Narrow"/>
                <w:lang w:val="en-US"/>
              </w:rPr>
              <w:t xml:space="preserve"> </w:t>
            </w:r>
          </w:p>
        </w:tc>
        <w:tc>
          <w:tcPr>
            <w:tcW w:w="885" w:type="dxa"/>
            <w:tcBorders>
              <w:top w:val="single" w:sz="4" w:space="0" w:color="auto"/>
              <w:left w:val="single" w:sz="8" w:space="0" w:color="auto"/>
              <w:bottom w:val="single" w:sz="8" w:space="0" w:color="auto"/>
              <w:right w:val="single" w:sz="8" w:space="0" w:color="auto"/>
            </w:tcBorders>
          </w:tcPr>
          <w:p w14:paraId="668CF2F1" w14:textId="3AF32B3F" w:rsidR="00BB7228" w:rsidRPr="00445401" w:rsidRDefault="00BB7228" w:rsidP="0002410B">
            <w:pPr>
              <w:pStyle w:val="Tabletext"/>
              <w:jc w:val="right"/>
              <w:rPr>
                <w:rFonts w:eastAsia="Aptos Narrow"/>
                <w:lang w:val="en-US"/>
              </w:rPr>
            </w:pPr>
            <w:r w:rsidRPr="4D1BABCB">
              <w:rPr>
                <w:rFonts w:eastAsia="Aptos Narrow"/>
              </w:rPr>
              <w:t>1</w:t>
            </w:r>
            <w:r w:rsidR="00B660FE">
              <w:rPr>
                <w:rFonts w:eastAsia="Aptos Narrow"/>
              </w:rPr>
              <w:t> </w:t>
            </w:r>
            <w:r w:rsidRPr="4D1BABCB">
              <w:rPr>
                <w:rFonts w:eastAsia="Aptos Narrow"/>
              </w:rPr>
              <w:t>912</w:t>
            </w:r>
          </w:p>
        </w:tc>
        <w:tc>
          <w:tcPr>
            <w:tcW w:w="1185" w:type="dxa"/>
            <w:tcBorders>
              <w:top w:val="single" w:sz="4" w:space="0" w:color="auto"/>
              <w:left w:val="single" w:sz="8" w:space="0" w:color="auto"/>
              <w:bottom w:val="single" w:sz="8" w:space="0" w:color="auto"/>
              <w:right w:val="single" w:sz="8" w:space="0" w:color="auto"/>
            </w:tcBorders>
          </w:tcPr>
          <w:p w14:paraId="485107C1" w14:textId="77777777" w:rsidR="00BB7228" w:rsidRPr="00445401" w:rsidRDefault="00BB7228" w:rsidP="0002410B">
            <w:pPr>
              <w:pStyle w:val="Tabletext"/>
              <w:jc w:val="right"/>
              <w:rPr>
                <w:rFonts w:eastAsia="Aptos Narrow"/>
                <w:lang w:val="en-US"/>
              </w:rPr>
            </w:pPr>
            <w:r w:rsidRPr="4D1BABCB">
              <w:rPr>
                <w:rFonts w:eastAsia="Aptos Narrow"/>
              </w:rPr>
              <w:t>23%</w:t>
            </w:r>
          </w:p>
        </w:tc>
        <w:tc>
          <w:tcPr>
            <w:tcW w:w="945" w:type="dxa"/>
            <w:tcBorders>
              <w:top w:val="single" w:sz="4" w:space="0" w:color="auto"/>
              <w:left w:val="single" w:sz="8" w:space="0" w:color="auto"/>
              <w:bottom w:val="single" w:sz="8" w:space="0" w:color="auto"/>
              <w:right w:val="single" w:sz="8" w:space="0" w:color="auto"/>
            </w:tcBorders>
          </w:tcPr>
          <w:p w14:paraId="67A348C8" w14:textId="27C0C109" w:rsidR="00BB7228" w:rsidRPr="00445401" w:rsidRDefault="00BB7228" w:rsidP="0002410B">
            <w:pPr>
              <w:pStyle w:val="Tabletext"/>
              <w:jc w:val="right"/>
              <w:rPr>
                <w:rFonts w:eastAsia="Aptos Narrow"/>
                <w:lang w:val="en-US"/>
              </w:rPr>
            </w:pPr>
            <w:r w:rsidRPr="4D1BABCB">
              <w:rPr>
                <w:rFonts w:eastAsia="Aptos Narrow"/>
              </w:rPr>
              <w:t>10</w:t>
            </w:r>
            <w:r w:rsidR="00B660FE">
              <w:rPr>
                <w:rFonts w:eastAsia="Aptos Narrow"/>
              </w:rPr>
              <w:t> </w:t>
            </w:r>
            <w:r w:rsidRPr="4D1BABCB">
              <w:rPr>
                <w:rFonts w:eastAsia="Aptos Narrow"/>
              </w:rPr>
              <w:t>462</w:t>
            </w:r>
          </w:p>
        </w:tc>
        <w:tc>
          <w:tcPr>
            <w:tcW w:w="1110" w:type="dxa"/>
            <w:tcBorders>
              <w:top w:val="single" w:sz="4" w:space="0" w:color="auto"/>
              <w:left w:val="single" w:sz="8" w:space="0" w:color="auto"/>
              <w:bottom w:val="single" w:sz="8" w:space="0" w:color="auto"/>
              <w:right w:val="single" w:sz="8" w:space="0" w:color="auto"/>
            </w:tcBorders>
          </w:tcPr>
          <w:p w14:paraId="7E2C2068" w14:textId="77777777" w:rsidR="00BB7228" w:rsidRPr="00445401" w:rsidRDefault="00BB7228" w:rsidP="0002410B">
            <w:pPr>
              <w:pStyle w:val="Tabletext"/>
              <w:jc w:val="right"/>
              <w:rPr>
                <w:rFonts w:eastAsia="Aptos Narrow"/>
                <w:lang w:val="en-US"/>
              </w:rPr>
            </w:pPr>
            <w:r w:rsidRPr="4D1BABCB">
              <w:rPr>
                <w:rFonts w:eastAsia="Aptos Narrow"/>
              </w:rPr>
              <w:t>28%</w:t>
            </w:r>
          </w:p>
        </w:tc>
        <w:tc>
          <w:tcPr>
            <w:tcW w:w="885" w:type="dxa"/>
            <w:tcBorders>
              <w:top w:val="single" w:sz="4" w:space="0" w:color="auto"/>
              <w:left w:val="single" w:sz="8" w:space="0" w:color="auto"/>
              <w:bottom w:val="single" w:sz="8" w:space="0" w:color="auto"/>
              <w:right w:val="single" w:sz="8" w:space="0" w:color="auto"/>
            </w:tcBorders>
          </w:tcPr>
          <w:p w14:paraId="7DE42A5E" w14:textId="0B027D7D" w:rsidR="00BB7228" w:rsidRPr="00445401" w:rsidRDefault="00BB7228" w:rsidP="0002410B">
            <w:pPr>
              <w:pStyle w:val="Tabletext"/>
              <w:jc w:val="right"/>
              <w:rPr>
                <w:rFonts w:eastAsia="Aptos Narrow"/>
                <w:lang w:val="en-US"/>
              </w:rPr>
            </w:pPr>
            <w:r w:rsidRPr="4D1BABCB">
              <w:rPr>
                <w:rFonts w:eastAsiaTheme="minorEastAsia"/>
              </w:rPr>
              <w:t>70</w:t>
            </w:r>
            <w:r w:rsidR="00B660FE">
              <w:rPr>
                <w:rFonts w:eastAsiaTheme="minorEastAsia"/>
              </w:rPr>
              <w:t> </w:t>
            </w:r>
            <w:r w:rsidRPr="4D1BABCB">
              <w:rPr>
                <w:rFonts w:eastAsiaTheme="minorEastAsia"/>
              </w:rPr>
              <w:t>48</w:t>
            </w:r>
            <w:r w:rsidRPr="4D1BABCB">
              <w:rPr>
                <w:rFonts w:eastAsia="Aptos Narrow"/>
              </w:rPr>
              <w:t>2</w:t>
            </w:r>
          </w:p>
        </w:tc>
        <w:tc>
          <w:tcPr>
            <w:tcW w:w="1170" w:type="dxa"/>
            <w:tcBorders>
              <w:top w:val="single" w:sz="4" w:space="0" w:color="auto"/>
              <w:left w:val="single" w:sz="8" w:space="0" w:color="auto"/>
              <w:bottom w:val="single" w:sz="8" w:space="0" w:color="auto"/>
              <w:right w:val="single" w:sz="8" w:space="0" w:color="auto"/>
            </w:tcBorders>
          </w:tcPr>
          <w:p w14:paraId="353A4A44" w14:textId="77777777" w:rsidR="00BB7228" w:rsidRPr="00445401" w:rsidRDefault="00BB7228" w:rsidP="0002410B">
            <w:pPr>
              <w:pStyle w:val="Tabletext"/>
              <w:jc w:val="right"/>
              <w:rPr>
                <w:rFonts w:eastAsia="Aptos Narrow"/>
                <w:lang w:val="en-US"/>
              </w:rPr>
            </w:pPr>
            <w:r w:rsidRPr="4D1BABCB">
              <w:rPr>
                <w:rFonts w:eastAsia="Aptos Narrow"/>
              </w:rPr>
              <w:t>53%</w:t>
            </w:r>
          </w:p>
        </w:tc>
        <w:tc>
          <w:tcPr>
            <w:tcW w:w="1085" w:type="dxa"/>
            <w:tcBorders>
              <w:top w:val="single" w:sz="4" w:space="0" w:color="auto"/>
              <w:left w:val="single" w:sz="8" w:space="0" w:color="auto"/>
              <w:bottom w:val="single" w:sz="8" w:space="0" w:color="auto"/>
              <w:right w:val="single" w:sz="8" w:space="0" w:color="auto"/>
            </w:tcBorders>
          </w:tcPr>
          <w:p w14:paraId="183FDEC2" w14:textId="617DCADB" w:rsidR="00BB7228" w:rsidRPr="00445401" w:rsidRDefault="00BB7228" w:rsidP="0002410B">
            <w:pPr>
              <w:pStyle w:val="Tabletext"/>
              <w:jc w:val="right"/>
              <w:rPr>
                <w:rFonts w:eastAsia="Aptos Narrow"/>
                <w:lang w:val="en-US"/>
              </w:rPr>
            </w:pPr>
            <w:r w:rsidRPr="4D1BABCB">
              <w:rPr>
                <w:rFonts w:eastAsia="Aptos Narrow"/>
              </w:rPr>
              <w:t>140</w:t>
            </w:r>
            <w:r w:rsidR="00B660FE">
              <w:rPr>
                <w:rFonts w:eastAsia="Aptos Narrow"/>
              </w:rPr>
              <w:t> </w:t>
            </w:r>
            <w:r w:rsidRPr="4D1BABCB">
              <w:rPr>
                <w:rFonts w:eastAsia="Aptos Narrow"/>
              </w:rPr>
              <w:t>251</w:t>
            </w:r>
          </w:p>
        </w:tc>
        <w:tc>
          <w:tcPr>
            <w:tcW w:w="1134" w:type="dxa"/>
            <w:tcBorders>
              <w:top w:val="single" w:sz="4" w:space="0" w:color="auto"/>
              <w:left w:val="single" w:sz="8" w:space="0" w:color="auto"/>
              <w:bottom w:val="single" w:sz="8" w:space="0" w:color="auto"/>
              <w:right w:val="single" w:sz="8" w:space="0" w:color="auto"/>
            </w:tcBorders>
          </w:tcPr>
          <w:p w14:paraId="655179F6" w14:textId="77777777" w:rsidR="00BB7228" w:rsidRPr="00445401" w:rsidRDefault="00BB7228" w:rsidP="0002410B">
            <w:pPr>
              <w:pStyle w:val="Tabletext"/>
              <w:jc w:val="right"/>
              <w:rPr>
                <w:rFonts w:eastAsia="Aptos Narrow"/>
                <w:lang w:val="en-US"/>
              </w:rPr>
            </w:pPr>
            <w:r w:rsidRPr="4D1BABCB">
              <w:rPr>
                <w:rFonts w:eastAsia="Aptos Narrow"/>
              </w:rPr>
              <w:t>50%</w:t>
            </w:r>
          </w:p>
        </w:tc>
      </w:tr>
      <w:tr w:rsidR="00BB7228" w:rsidRPr="00445401" w14:paraId="39D0CF6A" w14:textId="77777777" w:rsidTr="00B660FE">
        <w:trPr>
          <w:trHeight w:val="300"/>
        </w:trPr>
        <w:tc>
          <w:tcPr>
            <w:tcW w:w="810" w:type="dxa"/>
            <w:tcBorders>
              <w:top w:val="single" w:sz="8" w:space="0" w:color="auto"/>
              <w:left w:val="single" w:sz="4" w:space="0" w:color="auto"/>
              <w:bottom w:val="single" w:sz="8" w:space="0" w:color="auto"/>
              <w:right w:val="single" w:sz="8" w:space="0" w:color="auto"/>
            </w:tcBorders>
          </w:tcPr>
          <w:p w14:paraId="5BF0CD01" w14:textId="77777777" w:rsidR="00BB7228" w:rsidRPr="00445401" w:rsidRDefault="00BB7228" w:rsidP="0002410B">
            <w:pPr>
              <w:pStyle w:val="Tabletext"/>
              <w:rPr>
                <w:rFonts w:eastAsia="Aptos Narrow"/>
                <w:lang w:val="en-US"/>
              </w:rPr>
            </w:pPr>
            <w:r w:rsidRPr="4D1BABCB">
              <w:rPr>
                <w:rFonts w:eastAsia="Aptos Narrow"/>
              </w:rPr>
              <w:t>LLDCs</w:t>
            </w:r>
            <w:r w:rsidRPr="4D1BABCB">
              <w:rPr>
                <w:rFonts w:eastAsia="Aptos Narrow"/>
                <w:lang w:val="en-US"/>
              </w:rPr>
              <w:t xml:space="preserve"> </w:t>
            </w:r>
          </w:p>
        </w:tc>
        <w:tc>
          <w:tcPr>
            <w:tcW w:w="885" w:type="dxa"/>
            <w:tcBorders>
              <w:top w:val="single" w:sz="8" w:space="0" w:color="auto"/>
              <w:left w:val="single" w:sz="8" w:space="0" w:color="auto"/>
              <w:bottom w:val="single" w:sz="8" w:space="0" w:color="auto"/>
              <w:right w:val="single" w:sz="8" w:space="0" w:color="auto"/>
            </w:tcBorders>
          </w:tcPr>
          <w:p w14:paraId="3FF58D49" w14:textId="631A46CB" w:rsidR="00BB7228" w:rsidRPr="00445401" w:rsidRDefault="00BB7228" w:rsidP="0002410B">
            <w:pPr>
              <w:pStyle w:val="Tabletext"/>
              <w:jc w:val="right"/>
              <w:rPr>
                <w:rFonts w:eastAsia="Aptos Narrow"/>
                <w:lang w:val="en-US"/>
              </w:rPr>
            </w:pPr>
            <w:r w:rsidRPr="4D1BABCB">
              <w:rPr>
                <w:rFonts w:eastAsia="Aptos Narrow"/>
              </w:rPr>
              <w:t>1</w:t>
            </w:r>
            <w:r w:rsidR="00B660FE">
              <w:rPr>
                <w:rFonts w:eastAsia="Aptos Narrow"/>
              </w:rPr>
              <w:t> </w:t>
            </w:r>
            <w:r w:rsidRPr="4D1BABCB">
              <w:rPr>
                <w:rFonts w:eastAsia="Aptos Narrow"/>
              </w:rPr>
              <w:t>912</w:t>
            </w:r>
          </w:p>
        </w:tc>
        <w:tc>
          <w:tcPr>
            <w:tcW w:w="1185" w:type="dxa"/>
            <w:tcBorders>
              <w:top w:val="single" w:sz="8" w:space="0" w:color="auto"/>
              <w:left w:val="single" w:sz="8" w:space="0" w:color="auto"/>
              <w:bottom w:val="single" w:sz="8" w:space="0" w:color="auto"/>
              <w:right w:val="single" w:sz="8" w:space="0" w:color="auto"/>
            </w:tcBorders>
          </w:tcPr>
          <w:p w14:paraId="4A3A05E8" w14:textId="77777777" w:rsidR="00BB7228" w:rsidRPr="00445401" w:rsidRDefault="00BB7228" w:rsidP="0002410B">
            <w:pPr>
              <w:pStyle w:val="Tabletext"/>
              <w:jc w:val="right"/>
              <w:rPr>
                <w:rFonts w:eastAsia="Aptos Narrow"/>
                <w:lang w:val="en-US"/>
              </w:rPr>
            </w:pPr>
            <w:r w:rsidRPr="4D1BABCB">
              <w:rPr>
                <w:rFonts w:eastAsia="Aptos Narrow"/>
              </w:rPr>
              <w:t>23%</w:t>
            </w:r>
          </w:p>
        </w:tc>
        <w:tc>
          <w:tcPr>
            <w:tcW w:w="945" w:type="dxa"/>
            <w:tcBorders>
              <w:top w:val="single" w:sz="8" w:space="0" w:color="auto"/>
              <w:left w:val="single" w:sz="8" w:space="0" w:color="auto"/>
              <w:bottom w:val="single" w:sz="8" w:space="0" w:color="auto"/>
              <w:right w:val="single" w:sz="8" w:space="0" w:color="auto"/>
            </w:tcBorders>
          </w:tcPr>
          <w:p w14:paraId="2F016DB3" w14:textId="56D282DE" w:rsidR="00BB7228" w:rsidRPr="00445401" w:rsidRDefault="00BB7228" w:rsidP="0002410B">
            <w:pPr>
              <w:pStyle w:val="Tabletext"/>
              <w:jc w:val="right"/>
              <w:rPr>
                <w:rFonts w:eastAsia="Aptos Narrow"/>
                <w:lang w:val="en-US"/>
              </w:rPr>
            </w:pPr>
            <w:r w:rsidRPr="4D1BABCB">
              <w:rPr>
                <w:rFonts w:eastAsia="Aptos Narrow"/>
              </w:rPr>
              <w:t>10</w:t>
            </w:r>
            <w:r w:rsidR="00B660FE">
              <w:rPr>
                <w:rFonts w:eastAsia="Aptos Narrow"/>
              </w:rPr>
              <w:t> </w:t>
            </w:r>
            <w:r w:rsidRPr="4D1BABCB">
              <w:rPr>
                <w:rFonts w:eastAsia="Aptos Narrow"/>
              </w:rPr>
              <w:t>462</w:t>
            </w:r>
          </w:p>
        </w:tc>
        <w:tc>
          <w:tcPr>
            <w:tcW w:w="1110" w:type="dxa"/>
            <w:tcBorders>
              <w:top w:val="single" w:sz="8" w:space="0" w:color="auto"/>
              <w:left w:val="single" w:sz="8" w:space="0" w:color="auto"/>
              <w:bottom w:val="single" w:sz="8" w:space="0" w:color="auto"/>
              <w:right w:val="single" w:sz="8" w:space="0" w:color="auto"/>
            </w:tcBorders>
          </w:tcPr>
          <w:p w14:paraId="64DA2C64" w14:textId="77777777" w:rsidR="00BB7228" w:rsidRPr="00445401" w:rsidRDefault="00BB7228" w:rsidP="0002410B">
            <w:pPr>
              <w:pStyle w:val="Tabletext"/>
              <w:jc w:val="right"/>
              <w:rPr>
                <w:rFonts w:eastAsia="Aptos Narrow"/>
                <w:lang w:val="en-US"/>
              </w:rPr>
            </w:pPr>
            <w:r w:rsidRPr="4D1BABCB">
              <w:rPr>
                <w:rFonts w:eastAsia="Aptos Narrow"/>
              </w:rPr>
              <w:t>28%</w:t>
            </w:r>
          </w:p>
        </w:tc>
        <w:tc>
          <w:tcPr>
            <w:tcW w:w="885" w:type="dxa"/>
            <w:tcBorders>
              <w:top w:val="single" w:sz="8" w:space="0" w:color="auto"/>
              <w:left w:val="single" w:sz="8" w:space="0" w:color="auto"/>
              <w:bottom w:val="single" w:sz="8" w:space="0" w:color="auto"/>
              <w:right w:val="single" w:sz="8" w:space="0" w:color="auto"/>
            </w:tcBorders>
          </w:tcPr>
          <w:p w14:paraId="20E5D34B" w14:textId="69317E14" w:rsidR="00BB7228" w:rsidRPr="00445401" w:rsidRDefault="00BB7228" w:rsidP="0002410B">
            <w:pPr>
              <w:pStyle w:val="Tabletext"/>
              <w:jc w:val="right"/>
              <w:rPr>
                <w:rFonts w:eastAsia="Aptos Narrow"/>
                <w:lang w:val="en-US"/>
              </w:rPr>
            </w:pPr>
            <w:r w:rsidRPr="4D1BABCB">
              <w:rPr>
                <w:rFonts w:eastAsia="Aptos Narrow"/>
              </w:rPr>
              <w:t>12</w:t>
            </w:r>
            <w:r w:rsidR="00B660FE">
              <w:rPr>
                <w:rFonts w:eastAsia="Aptos Narrow"/>
              </w:rPr>
              <w:t> </w:t>
            </w:r>
            <w:r w:rsidRPr="4D1BABCB">
              <w:rPr>
                <w:rFonts w:eastAsia="Aptos Narrow"/>
              </w:rPr>
              <w:t>825</w:t>
            </w:r>
          </w:p>
        </w:tc>
        <w:tc>
          <w:tcPr>
            <w:tcW w:w="1170" w:type="dxa"/>
            <w:tcBorders>
              <w:top w:val="single" w:sz="8" w:space="0" w:color="auto"/>
              <w:left w:val="single" w:sz="8" w:space="0" w:color="auto"/>
              <w:bottom w:val="single" w:sz="8" w:space="0" w:color="auto"/>
              <w:right w:val="single" w:sz="8" w:space="0" w:color="auto"/>
            </w:tcBorders>
          </w:tcPr>
          <w:p w14:paraId="2BE7AB5B" w14:textId="77777777" w:rsidR="00BB7228" w:rsidRPr="00445401" w:rsidRDefault="00BB7228" w:rsidP="0002410B">
            <w:pPr>
              <w:pStyle w:val="Tabletext"/>
              <w:jc w:val="right"/>
              <w:rPr>
                <w:rFonts w:eastAsia="Aptos Narrow"/>
                <w:lang w:val="en-US"/>
              </w:rPr>
            </w:pPr>
            <w:r w:rsidRPr="4D1BABCB">
              <w:rPr>
                <w:rFonts w:eastAsia="Aptos Narrow"/>
              </w:rPr>
              <w:t>31%</w:t>
            </w:r>
          </w:p>
        </w:tc>
        <w:tc>
          <w:tcPr>
            <w:tcW w:w="1085" w:type="dxa"/>
            <w:tcBorders>
              <w:top w:val="single" w:sz="8" w:space="0" w:color="auto"/>
              <w:left w:val="single" w:sz="8" w:space="0" w:color="auto"/>
              <w:bottom w:val="single" w:sz="8" w:space="0" w:color="auto"/>
              <w:right w:val="single" w:sz="8" w:space="0" w:color="auto"/>
            </w:tcBorders>
          </w:tcPr>
          <w:p w14:paraId="71A583FE" w14:textId="72B04984" w:rsidR="00BB7228" w:rsidRPr="00445401" w:rsidRDefault="00BB7228" w:rsidP="0002410B">
            <w:pPr>
              <w:pStyle w:val="Tabletext"/>
              <w:jc w:val="right"/>
              <w:rPr>
                <w:rFonts w:eastAsia="Aptos Narrow"/>
                <w:lang w:val="en-US"/>
              </w:rPr>
            </w:pPr>
            <w:r w:rsidRPr="4D1BABCB">
              <w:rPr>
                <w:rFonts w:eastAsia="Aptos Narrow"/>
              </w:rPr>
              <w:t>42</w:t>
            </w:r>
            <w:r w:rsidR="00B660FE">
              <w:rPr>
                <w:rFonts w:eastAsia="Aptos Narrow"/>
              </w:rPr>
              <w:t> </w:t>
            </w:r>
            <w:r w:rsidRPr="4D1BABCB">
              <w:rPr>
                <w:rFonts w:eastAsia="Aptos Narrow"/>
              </w:rPr>
              <w:t>846</w:t>
            </w:r>
          </w:p>
        </w:tc>
        <w:tc>
          <w:tcPr>
            <w:tcW w:w="1134" w:type="dxa"/>
            <w:tcBorders>
              <w:top w:val="single" w:sz="8" w:space="0" w:color="auto"/>
              <w:left w:val="single" w:sz="8" w:space="0" w:color="auto"/>
              <w:bottom w:val="single" w:sz="8" w:space="0" w:color="auto"/>
              <w:right w:val="single" w:sz="8" w:space="0" w:color="auto"/>
            </w:tcBorders>
          </w:tcPr>
          <w:p w14:paraId="75C5A17B" w14:textId="77777777" w:rsidR="00BB7228" w:rsidRPr="00445401" w:rsidRDefault="00BB7228" w:rsidP="0002410B">
            <w:pPr>
              <w:pStyle w:val="Tabletext"/>
              <w:jc w:val="right"/>
              <w:rPr>
                <w:rFonts w:eastAsia="Aptos Narrow"/>
                <w:lang w:val="en-US"/>
              </w:rPr>
            </w:pPr>
            <w:r w:rsidRPr="4D1BABCB">
              <w:rPr>
                <w:rFonts w:eastAsia="Aptos Narrow"/>
              </w:rPr>
              <w:t>28%</w:t>
            </w:r>
          </w:p>
        </w:tc>
      </w:tr>
      <w:tr w:rsidR="00BB7228" w:rsidRPr="00445401" w14:paraId="2AA83216" w14:textId="77777777" w:rsidTr="00B660FE">
        <w:trPr>
          <w:trHeight w:val="300"/>
        </w:trPr>
        <w:tc>
          <w:tcPr>
            <w:tcW w:w="810" w:type="dxa"/>
            <w:tcBorders>
              <w:top w:val="single" w:sz="8" w:space="0" w:color="auto"/>
              <w:left w:val="single" w:sz="4" w:space="0" w:color="auto"/>
              <w:bottom w:val="single" w:sz="8" w:space="0" w:color="auto"/>
              <w:right w:val="single" w:sz="8" w:space="0" w:color="auto"/>
            </w:tcBorders>
          </w:tcPr>
          <w:p w14:paraId="1AB1E65C" w14:textId="77777777" w:rsidR="00BB7228" w:rsidRPr="00445401" w:rsidRDefault="00BB7228" w:rsidP="0002410B">
            <w:pPr>
              <w:pStyle w:val="Tabletext"/>
              <w:rPr>
                <w:rFonts w:eastAsia="Aptos Narrow"/>
                <w:lang w:val="en-US"/>
              </w:rPr>
            </w:pPr>
            <w:r w:rsidRPr="4D1BABCB">
              <w:rPr>
                <w:rFonts w:eastAsia="Aptos Narrow"/>
              </w:rPr>
              <w:t>SIDS</w:t>
            </w:r>
            <w:r w:rsidRPr="4D1BABCB">
              <w:rPr>
                <w:rFonts w:eastAsia="Aptos Narrow"/>
                <w:lang w:val="en-US"/>
              </w:rPr>
              <w:t xml:space="preserve"> </w:t>
            </w:r>
          </w:p>
        </w:tc>
        <w:tc>
          <w:tcPr>
            <w:tcW w:w="885" w:type="dxa"/>
            <w:tcBorders>
              <w:top w:val="single" w:sz="8" w:space="0" w:color="auto"/>
              <w:left w:val="single" w:sz="8" w:space="0" w:color="auto"/>
              <w:bottom w:val="single" w:sz="8" w:space="0" w:color="auto"/>
              <w:right w:val="single" w:sz="8" w:space="0" w:color="auto"/>
            </w:tcBorders>
          </w:tcPr>
          <w:p w14:paraId="35DF0A86" w14:textId="79259573" w:rsidR="00BB7228" w:rsidRPr="00445401" w:rsidRDefault="00BB7228" w:rsidP="0002410B">
            <w:pPr>
              <w:pStyle w:val="Tabletext"/>
              <w:jc w:val="right"/>
              <w:rPr>
                <w:rFonts w:eastAsia="Aptos Narrow"/>
                <w:lang w:val="en-US"/>
              </w:rPr>
            </w:pPr>
            <w:r w:rsidRPr="4D1BABCB">
              <w:rPr>
                <w:rFonts w:eastAsia="Aptos Narrow"/>
              </w:rPr>
              <w:t>16</w:t>
            </w:r>
            <w:r w:rsidR="00B660FE">
              <w:rPr>
                <w:rFonts w:eastAsia="Aptos Narrow"/>
              </w:rPr>
              <w:t> </w:t>
            </w:r>
            <w:r w:rsidRPr="4D1BABCB">
              <w:rPr>
                <w:rFonts w:eastAsia="Aptos Narrow"/>
              </w:rPr>
              <w:t>742</w:t>
            </w:r>
          </w:p>
        </w:tc>
        <w:tc>
          <w:tcPr>
            <w:tcW w:w="1185" w:type="dxa"/>
            <w:tcBorders>
              <w:top w:val="single" w:sz="8" w:space="0" w:color="auto"/>
              <w:left w:val="single" w:sz="8" w:space="0" w:color="auto"/>
              <w:bottom w:val="single" w:sz="8" w:space="0" w:color="auto"/>
              <w:right w:val="single" w:sz="8" w:space="0" w:color="auto"/>
            </w:tcBorders>
          </w:tcPr>
          <w:p w14:paraId="48A38BDF" w14:textId="77777777" w:rsidR="00BB7228" w:rsidRPr="00445401" w:rsidRDefault="00BB7228" w:rsidP="0002410B">
            <w:pPr>
              <w:pStyle w:val="Tabletext"/>
              <w:jc w:val="right"/>
              <w:rPr>
                <w:rFonts w:eastAsia="Aptos Narrow"/>
                <w:lang w:val="en-US"/>
              </w:rPr>
            </w:pPr>
            <w:r w:rsidRPr="4D1BABCB">
              <w:rPr>
                <w:rFonts w:eastAsia="Aptos Narrow"/>
              </w:rPr>
              <w:t>53%</w:t>
            </w:r>
          </w:p>
        </w:tc>
        <w:tc>
          <w:tcPr>
            <w:tcW w:w="945" w:type="dxa"/>
            <w:tcBorders>
              <w:top w:val="single" w:sz="8" w:space="0" w:color="auto"/>
              <w:left w:val="single" w:sz="8" w:space="0" w:color="auto"/>
              <w:bottom w:val="single" w:sz="8" w:space="0" w:color="auto"/>
              <w:right w:val="single" w:sz="8" w:space="0" w:color="auto"/>
            </w:tcBorders>
          </w:tcPr>
          <w:p w14:paraId="4539D802" w14:textId="7A5BDBF6" w:rsidR="00BB7228" w:rsidRPr="00445401" w:rsidRDefault="00BB7228" w:rsidP="0002410B">
            <w:pPr>
              <w:pStyle w:val="Tabletext"/>
              <w:jc w:val="right"/>
              <w:rPr>
                <w:rFonts w:eastAsia="Aptos Narrow"/>
                <w:lang w:val="en-US"/>
              </w:rPr>
            </w:pPr>
            <w:r w:rsidRPr="4D1BABCB">
              <w:rPr>
                <w:rFonts w:eastAsia="Aptos Narrow"/>
              </w:rPr>
              <w:t>50</w:t>
            </w:r>
            <w:r w:rsidR="00B660FE">
              <w:rPr>
                <w:rFonts w:eastAsia="Aptos Narrow"/>
              </w:rPr>
              <w:t> </w:t>
            </w:r>
            <w:r w:rsidRPr="4D1BABCB">
              <w:rPr>
                <w:rFonts w:eastAsia="Aptos Narrow"/>
              </w:rPr>
              <w:t>995</w:t>
            </w:r>
          </w:p>
        </w:tc>
        <w:tc>
          <w:tcPr>
            <w:tcW w:w="1110" w:type="dxa"/>
            <w:tcBorders>
              <w:top w:val="single" w:sz="8" w:space="0" w:color="auto"/>
              <w:left w:val="single" w:sz="8" w:space="0" w:color="auto"/>
              <w:bottom w:val="single" w:sz="8" w:space="0" w:color="auto"/>
              <w:right w:val="single" w:sz="8" w:space="0" w:color="auto"/>
            </w:tcBorders>
          </w:tcPr>
          <w:p w14:paraId="57209114" w14:textId="77777777" w:rsidR="00BB7228" w:rsidRPr="00445401" w:rsidRDefault="00BB7228" w:rsidP="0002410B">
            <w:pPr>
              <w:pStyle w:val="Tabletext"/>
              <w:jc w:val="right"/>
              <w:rPr>
                <w:rFonts w:eastAsia="Aptos Narrow"/>
                <w:lang w:val="en-US"/>
              </w:rPr>
            </w:pPr>
            <w:r w:rsidRPr="4D1BABCB">
              <w:rPr>
                <w:rFonts w:eastAsia="Aptos Narrow"/>
              </w:rPr>
              <w:t>57%</w:t>
            </w:r>
          </w:p>
        </w:tc>
        <w:tc>
          <w:tcPr>
            <w:tcW w:w="885" w:type="dxa"/>
            <w:tcBorders>
              <w:top w:val="single" w:sz="8" w:space="0" w:color="auto"/>
              <w:left w:val="single" w:sz="8" w:space="0" w:color="auto"/>
              <w:bottom w:val="single" w:sz="8" w:space="0" w:color="auto"/>
              <w:right w:val="single" w:sz="8" w:space="0" w:color="auto"/>
            </w:tcBorders>
          </w:tcPr>
          <w:p w14:paraId="176A89A1" w14:textId="2B070CEC" w:rsidR="00BB7228" w:rsidRPr="00445401" w:rsidRDefault="00BB7228" w:rsidP="0002410B">
            <w:pPr>
              <w:pStyle w:val="Tabletext"/>
              <w:jc w:val="right"/>
              <w:rPr>
                <w:rFonts w:eastAsia="Aptos Narrow"/>
                <w:lang w:val="en-US"/>
              </w:rPr>
            </w:pPr>
            <w:r w:rsidRPr="4D1BABCB">
              <w:rPr>
                <w:rFonts w:eastAsia="Aptos Narrow"/>
              </w:rPr>
              <w:t>44</w:t>
            </w:r>
            <w:r w:rsidR="00B660FE">
              <w:rPr>
                <w:rFonts w:eastAsia="Aptos Narrow"/>
              </w:rPr>
              <w:t> </w:t>
            </w:r>
            <w:r w:rsidRPr="4D1BABCB">
              <w:rPr>
                <w:rFonts w:eastAsia="Aptos Narrow"/>
              </w:rPr>
              <w:t>494</w:t>
            </w:r>
          </w:p>
        </w:tc>
        <w:tc>
          <w:tcPr>
            <w:tcW w:w="1170" w:type="dxa"/>
            <w:tcBorders>
              <w:top w:val="single" w:sz="8" w:space="0" w:color="auto"/>
              <w:left w:val="single" w:sz="8" w:space="0" w:color="auto"/>
              <w:bottom w:val="single" w:sz="8" w:space="0" w:color="auto"/>
              <w:right w:val="single" w:sz="8" w:space="0" w:color="auto"/>
            </w:tcBorders>
          </w:tcPr>
          <w:p w14:paraId="6D2EA566" w14:textId="77777777" w:rsidR="00BB7228" w:rsidRPr="00445401" w:rsidRDefault="00BB7228" w:rsidP="0002410B">
            <w:pPr>
              <w:pStyle w:val="Tabletext"/>
              <w:jc w:val="right"/>
              <w:rPr>
                <w:rFonts w:eastAsia="Aptos Narrow"/>
                <w:lang w:val="en-US"/>
              </w:rPr>
            </w:pPr>
            <w:r w:rsidRPr="4D1BABCB">
              <w:rPr>
                <w:rFonts w:eastAsia="Aptos Narrow"/>
              </w:rPr>
              <w:t>61%</w:t>
            </w:r>
          </w:p>
        </w:tc>
        <w:tc>
          <w:tcPr>
            <w:tcW w:w="1085" w:type="dxa"/>
            <w:tcBorders>
              <w:top w:val="single" w:sz="8" w:space="0" w:color="auto"/>
              <w:left w:val="single" w:sz="8" w:space="0" w:color="auto"/>
              <w:bottom w:val="single" w:sz="8" w:space="0" w:color="auto"/>
              <w:right w:val="single" w:sz="8" w:space="0" w:color="auto"/>
            </w:tcBorders>
          </w:tcPr>
          <w:p w14:paraId="318C37EF" w14:textId="12B6F147" w:rsidR="00BB7228" w:rsidRPr="00445401" w:rsidRDefault="00BB7228" w:rsidP="0002410B">
            <w:pPr>
              <w:pStyle w:val="Tabletext"/>
              <w:jc w:val="right"/>
              <w:rPr>
                <w:rFonts w:eastAsia="Aptos Narrow"/>
                <w:lang w:val="en-US"/>
              </w:rPr>
            </w:pPr>
            <w:r w:rsidRPr="4D1BABCB">
              <w:rPr>
                <w:rFonts w:eastAsia="Aptos Narrow"/>
              </w:rPr>
              <w:t>86</w:t>
            </w:r>
            <w:r w:rsidR="00B660FE">
              <w:rPr>
                <w:rFonts w:eastAsia="Aptos Narrow"/>
              </w:rPr>
              <w:t> </w:t>
            </w:r>
            <w:r w:rsidRPr="4D1BABCB">
              <w:rPr>
                <w:rFonts w:eastAsia="Aptos Narrow"/>
              </w:rPr>
              <w:t>691</w:t>
            </w:r>
          </w:p>
        </w:tc>
        <w:tc>
          <w:tcPr>
            <w:tcW w:w="1134" w:type="dxa"/>
            <w:tcBorders>
              <w:top w:val="single" w:sz="8" w:space="0" w:color="auto"/>
              <w:left w:val="single" w:sz="8" w:space="0" w:color="auto"/>
              <w:bottom w:val="single" w:sz="8" w:space="0" w:color="auto"/>
              <w:right w:val="single" w:sz="8" w:space="0" w:color="auto"/>
            </w:tcBorders>
          </w:tcPr>
          <w:p w14:paraId="6B4AABA8" w14:textId="77777777" w:rsidR="00BB7228" w:rsidRPr="00445401" w:rsidRDefault="00BB7228" w:rsidP="0002410B">
            <w:pPr>
              <w:pStyle w:val="Tabletext"/>
              <w:jc w:val="right"/>
              <w:rPr>
                <w:rFonts w:eastAsia="Aptos Narrow"/>
                <w:lang w:val="en-US"/>
              </w:rPr>
            </w:pPr>
            <w:r w:rsidRPr="4D1BABCB">
              <w:rPr>
                <w:rFonts w:eastAsia="Aptos Narrow"/>
              </w:rPr>
              <w:t>59%</w:t>
            </w:r>
          </w:p>
        </w:tc>
      </w:tr>
    </w:tbl>
    <w:p w14:paraId="119638C2" w14:textId="77777777" w:rsidR="00BB7228" w:rsidRDefault="00BB7228" w:rsidP="00B660FE">
      <w:pPr>
        <w:pStyle w:val="Tablefin"/>
      </w:pPr>
    </w:p>
    <w:p w14:paraId="4B0C17E2" w14:textId="0634958B" w:rsidR="00BB7228" w:rsidRPr="00F40208" w:rsidRDefault="00BB7228" w:rsidP="00CA2190">
      <w:pPr>
        <w:keepNext/>
        <w:keepLines/>
        <w:jc w:val="both"/>
        <w:rPr>
          <w:rFonts w:cs="Calibri"/>
        </w:rPr>
      </w:pPr>
      <w:r w:rsidRPr="00F40208">
        <w:rPr>
          <w:rFonts w:cs="Calibri"/>
        </w:rPr>
        <w:lastRenderedPageBreak/>
        <w:t xml:space="preserve">The </w:t>
      </w:r>
      <w:hyperlink r:id="rId27" w:history="1">
        <w:r w:rsidRPr="00F40208">
          <w:rPr>
            <w:rStyle w:val="Hyperlink"/>
            <w:rFonts w:cs="Calibri"/>
          </w:rPr>
          <w:t>ITU Academy Training Centres (ATC) programme</w:t>
        </w:r>
      </w:hyperlink>
      <w:r w:rsidRPr="00F40208">
        <w:rPr>
          <w:rFonts w:cs="Calibri"/>
        </w:rPr>
        <w:t xml:space="preserve"> launched in 2023 contributes to building knowledge and skills among professionals in the ICT field, telecommunication operators, regulators, government officials, academia, thus enabling them to contribute to and fully participate in digital transformation. The Programme brings together a global network of capacity development partners encompassing government training institutions, academia and private sector. Among the 14 participating institutions, </w:t>
      </w:r>
      <w:r>
        <w:rPr>
          <w:rFonts w:cs="Calibri"/>
        </w:rPr>
        <w:t xml:space="preserve">the following </w:t>
      </w:r>
      <w:r w:rsidRPr="00F40208">
        <w:rPr>
          <w:rFonts w:cs="Calibri"/>
        </w:rPr>
        <w:t xml:space="preserve">two are in LDCs, LLDCs, SIDS and countries with economies in transition: Computer Emergency Response Team </w:t>
      </w:r>
      <w:r>
        <w:rPr>
          <w:rFonts w:cs="Calibri"/>
        </w:rPr>
        <w:t>in</w:t>
      </w:r>
      <w:r w:rsidRPr="00F40208">
        <w:rPr>
          <w:rFonts w:cs="Calibri"/>
        </w:rPr>
        <w:t xml:space="preserve"> Mauritius</w:t>
      </w:r>
      <w:r>
        <w:rPr>
          <w:rFonts w:cs="Calibri"/>
        </w:rPr>
        <w:t>;</w:t>
      </w:r>
      <w:r w:rsidRPr="00F40208">
        <w:rPr>
          <w:rFonts w:cs="Calibri"/>
        </w:rPr>
        <w:t xml:space="preserve"> and</w:t>
      </w:r>
      <w:r>
        <w:rPr>
          <w:rFonts w:cs="Calibri"/>
        </w:rPr>
        <w:t xml:space="preserve"> the</w:t>
      </w:r>
      <w:r w:rsidRPr="00F40208">
        <w:rPr>
          <w:rFonts w:cs="Calibri"/>
        </w:rPr>
        <w:t xml:space="preserve"> University of West Indies </w:t>
      </w:r>
      <w:r w:rsidR="00B660FE">
        <w:rPr>
          <w:rFonts w:cs="Calibri"/>
        </w:rPr>
        <w:t>–</w:t>
      </w:r>
      <w:r w:rsidRPr="00F40208">
        <w:rPr>
          <w:rFonts w:cs="Calibri"/>
        </w:rPr>
        <w:t xml:space="preserve"> multi-campus serving Jamaica, Trinidad and Tobago</w:t>
      </w:r>
      <w:r w:rsidR="00B660FE">
        <w:rPr>
          <w:rFonts w:cs="Calibri"/>
        </w:rPr>
        <w:t>,</w:t>
      </w:r>
      <w:r w:rsidRPr="00F40208">
        <w:rPr>
          <w:rFonts w:cs="Calibri"/>
        </w:rPr>
        <w:t xml:space="preserve"> and Barbados. By the end of 2025, these two ATCs reached 2</w:t>
      </w:r>
      <w:r w:rsidR="00B660FE">
        <w:rPr>
          <w:rFonts w:cs="Calibri"/>
        </w:rPr>
        <w:t> </w:t>
      </w:r>
      <w:r w:rsidRPr="00F40208">
        <w:rPr>
          <w:rFonts w:cs="Calibri"/>
        </w:rPr>
        <w:t>288 participants (23</w:t>
      </w:r>
      <w:r w:rsidR="00B660FE">
        <w:rPr>
          <w:rFonts w:cs="Calibri"/>
        </w:rPr>
        <w:t xml:space="preserve"> per cent</w:t>
      </w:r>
      <w:r w:rsidRPr="00F40208">
        <w:rPr>
          <w:rFonts w:cs="Calibri"/>
        </w:rPr>
        <w:t xml:space="preserve"> female), with a total of 659 certifications awarded. Training focused on topics such as smart cities, digital inclusion as well as cybersecurity.</w:t>
      </w:r>
    </w:p>
    <w:p w14:paraId="29FD15CA" w14:textId="77777777" w:rsidR="00BB7228" w:rsidRPr="00F40208" w:rsidRDefault="00BB7228" w:rsidP="000367B1">
      <w:pPr>
        <w:pStyle w:val="Headingb"/>
      </w:pPr>
      <w:r w:rsidRPr="00F40208">
        <w:t>Projects and activities</w:t>
      </w:r>
    </w:p>
    <w:p w14:paraId="6D39B44E" w14:textId="3767E4E7" w:rsidR="00BB7228" w:rsidRPr="00B660FE" w:rsidRDefault="00BB7228" w:rsidP="00D46BD2">
      <w:pPr>
        <w:jc w:val="both"/>
        <w:rPr>
          <w:rFonts w:cs="Calibri"/>
          <w:lang w:eastAsia="en-GB"/>
        </w:rPr>
      </w:pPr>
      <w:r w:rsidRPr="00F40208">
        <w:rPr>
          <w:rFonts w:cs="Calibri"/>
          <w:lang w:eastAsia="en-GB"/>
        </w:rPr>
        <w:t xml:space="preserve">In alignment with the operational requirements for project implementation and resource mobilization outlined in Resolution 30, the Bureau’s execution capacity remains central to its strategy. ITU has a dual responsibility as a United Nations specialized agency and as an executing agency. The ITU BDT has longstanding experience in the execution and implementation of projects in ICT for Development with its expertise in resource mobilization, project development, management, and implementation, as well as in monitoring and evaluation. For further information on the work conducted in ITU-D projects see the following </w:t>
      </w:r>
      <w:r w:rsidRPr="00B660FE">
        <w:rPr>
          <w:rFonts w:cs="Calibri"/>
          <w:lang w:eastAsia="en-GB"/>
        </w:rPr>
        <w:t xml:space="preserve">documents: </w:t>
      </w:r>
      <w:r w:rsidR="00B660FE" w:rsidRPr="00B660FE">
        <w:rPr>
          <w:rFonts w:cs="Calibri"/>
          <w:lang w:eastAsia="en-GB"/>
        </w:rPr>
        <w:t xml:space="preserve">Document </w:t>
      </w:r>
      <w:hyperlink r:id="rId28">
        <w:r w:rsidRPr="00B660FE">
          <w:rPr>
            <w:rStyle w:val="Hyperlink"/>
            <w:rFonts w:cs="Calibri"/>
          </w:rPr>
          <w:t>TDAG-26/2</w:t>
        </w:r>
      </w:hyperlink>
      <w:r w:rsidRPr="00B660FE">
        <w:rPr>
          <w:rFonts w:cs="Calibri"/>
          <w:color w:val="000000" w:themeColor="text1"/>
        </w:rPr>
        <w:t xml:space="preserve"> and </w:t>
      </w:r>
      <w:r w:rsidR="00B660FE" w:rsidRPr="00B660FE">
        <w:rPr>
          <w:rFonts w:cs="Calibri"/>
          <w:color w:val="000000" w:themeColor="text1"/>
        </w:rPr>
        <w:t xml:space="preserve">Document </w:t>
      </w:r>
      <w:hyperlink r:id="rId29">
        <w:r w:rsidRPr="00B660FE">
          <w:rPr>
            <w:rStyle w:val="Hyperlink"/>
            <w:rFonts w:cs="Calibri"/>
          </w:rPr>
          <w:t>WTDC-25/2</w:t>
        </w:r>
      </w:hyperlink>
      <w:r w:rsidRPr="00B660FE">
        <w:rPr>
          <w:rFonts w:cs="Calibri"/>
        </w:rPr>
        <w:t>.</w:t>
      </w:r>
    </w:p>
    <w:p w14:paraId="59C710F1" w14:textId="77777777" w:rsidR="00BB7228" w:rsidRPr="00F40208" w:rsidRDefault="00BB7228" w:rsidP="00D46BD2">
      <w:pPr>
        <w:jc w:val="both"/>
        <w:rPr>
          <w:rFonts w:cs="Calibri"/>
          <w:lang w:eastAsia="en-GB"/>
        </w:rPr>
      </w:pPr>
      <w:r w:rsidRPr="00F40208">
        <w:rPr>
          <w:rFonts w:cs="Calibri"/>
          <w:lang w:eastAsia="en-GB"/>
        </w:rPr>
        <w:t xml:space="preserve">ITU’s project portfolio consists of projects implemented across all ITU regions and covering the wide range of ITU´s areas of expertise. ITU-D projects are mostly funded through the contributions of funding partners, as well as in some cases, and subject to eligibility criteria, </w:t>
      </w:r>
      <w:proofErr w:type="gramStart"/>
      <w:r w:rsidRPr="00F40208">
        <w:rPr>
          <w:rFonts w:cs="Calibri"/>
          <w:lang w:eastAsia="en-GB"/>
        </w:rPr>
        <w:t>through the use of</w:t>
      </w:r>
      <w:proofErr w:type="gramEnd"/>
      <w:r w:rsidRPr="00F40208">
        <w:rPr>
          <w:rFonts w:cs="Calibri"/>
          <w:lang w:eastAsia="en-GB"/>
        </w:rPr>
        <w:t xml:space="preserve"> the ICT Development Fund (ICT-DF). Launched in 1997, the ICT-DF supports the implementation of projects based on multi-stakeholder partnerships with ITU Member States, Sector Members, public and private sector, multilateral organizations, foundations, financial institutions and development agencies. The fund is specially targeted at supporting LDCs, LLDCs, SIDS and countries with economies in transition and/or countries in special need. Since 2023, the ICT-DF also supports projects contributing to the implementation of the WTDC Regional Initiatives.</w:t>
      </w:r>
    </w:p>
    <w:p w14:paraId="44E1CA16" w14:textId="77777777" w:rsidR="00BB7228" w:rsidRPr="00F40208" w:rsidRDefault="00BB7228" w:rsidP="00D46BD2">
      <w:pPr>
        <w:jc w:val="both"/>
        <w:rPr>
          <w:rFonts w:cs="Calibri"/>
          <w:lang w:eastAsia="en-GB"/>
        </w:rPr>
      </w:pPr>
      <w:r w:rsidRPr="00F40208">
        <w:rPr>
          <w:rFonts w:cs="Calibri"/>
          <w:lang w:eastAsia="en-GB"/>
        </w:rPr>
        <w:t>LDCs, LLDCs, and SIDS benefit regularly from ITU-D projects. During the 2022-2025 cycle, BDT signed a total of 41 new projects that had activities in at least one of these target countries. These projects were either national, regional or multi-regional in nature and were set up in partnership with a wide range of stakeholders from the public and private sector, as well as with other UN agencies and not-for-profit institutions.</w:t>
      </w:r>
    </w:p>
    <w:p w14:paraId="25129459" w14:textId="77777777" w:rsidR="00BB7228" w:rsidRDefault="00BB7228" w:rsidP="00D46BD2">
      <w:pPr>
        <w:jc w:val="both"/>
        <w:rPr>
          <w:rFonts w:cs="Calibri"/>
          <w:lang w:eastAsia="en-GB"/>
        </w:rPr>
      </w:pPr>
      <w:r w:rsidRPr="00F40208">
        <w:rPr>
          <w:rFonts w:cs="Calibri"/>
          <w:lang w:eastAsia="en-GB"/>
        </w:rPr>
        <w:t xml:space="preserve">These projects directly address the specific mandates of Resolution 30 to review the state of ICT services and identify critical weaknesses, and to enhance engagement by academia and industry through capacity-building platforms such as the ITU Academy and the Digital Transformation Centres. </w:t>
      </w:r>
    </w:p>
    <w:p w14:paraId="54D1D274" w14:textId="77777777" w:rsidR="00BB7228" w:rsidRPr="00F40208" w:rsidRDefault="00BB7228" w:rsidP="00D46BD2">
      <w:pPr>
        <w:jc w:val="both"/>
        <w:rPr>
          <w:rFonts w:cs="Calibri"/>
          <w:lang w:eastAsia="en-GB"/>
        </w:rPr>
      </w:pPr>
      <w:r w:rsidRPr="00F40208">
        <w:rPr>
          <w:rFonts w:cs="Calibri"/>
          <w:lang w:eastAsia="en-GB"/>
        </w:rPr>
        <w:t>Furthermore, through the Partner2Connect (P2C) Digital Coalition, ITU has proposed innovative measures and alliances</w:t>
      </w:r>
      <w:r w:rsidRPr="00F40208" w:rsidDel="6287ECC0">
        <w:rPr>
          <w:rFonts w:cs="Calibri"/>
          <w:lang w:eastAsia="en-GB"/>
        </w:rPr>
        <w:t xml:space="preserve"> </w:t>
      </w:r>
      <w:r w:rsidRPr="00F40208">
        <w:rPr>
          <w:rFonts w:cs="Calibri"/>
          <w:lang w:eastAsia="en-GB"/>
        </w:rPr>
        <w:t>to generate the additional funds necessary to bridge the digital divide in the world's most vulnerable regions.</w:t>
      </w:r>
      <w:r>
        <w:rPr>
          <w:rFonts w:cs="Calibri"/>
          <w:lang w:eastAsia="en-GB"/>
        </w:rPr>
        <w:t xml:space="preserve"> </w:t>
      </w:r>
      <w:r w:rsidRPr="00F40208">
        <w:rPr>
          <w:rFonts w:cs="Calibri"/>
          <w:lang w:eastAsia="en-GB"/>
        </w:rPr>
        <w:t>Support reached 39 LDCs, 27 LLDCs, and 31 SIDS through technical assistance, policy development, knowledge products, awareness sessions, and data provision. Some countries received multiple interventions, up to five in cases like Mali, Senegal, Zimbabwe, and Jamaica.</w:t>
      </w:r>
    </w:p>
    <w:p w14:paraId="108387DB" w14:textId="4F269778" w:rsidR="00BB7228" w:rsidRPr="00F40208" w:rsidRDefault="00BB7228" w:rsidP="00D46BD2">
      <w:pPr>
        <w:jc w:val="both"/>
        <w:rPr>
          <w:rFonts w:cs="Calibri"/>
          <w:lang w:eastAsia="en-GB"/>
        </w:rPr>
      </w:pPr>
      <w:r w:rsidRPr="00F40208">
        <w:rPr>
          <w:rFonts w:cs="Calibri"/>
          <w:lang w:eastAsia="en-GB"/>
        </w:rPr>
        <w:lastRenderedPageBreak/>
        <w:t>In LLDCs</w:t>
      </w:r>
      <w:r>
        <w:rPr>
          <w:rFonts w:cs="Calibri"/>
          <w:lang w:eastAsia="en-GB"/>
        </w:rPr>
        <w:t>,</w:t>
      </w:r>
      <w:r w:rsidRPr="00F40208">
        <w:rPr>
          <w:rFonts w:cs="Calibri"/>
          <w:lang w:eastAsia="en-GB"/>
        </w:rPr>
        <w:t xml:space="preserve"> during 2025, 21 cross-regional projects were accelerating digital transformation. These included digital skills training through transformation centres and online academies; support for cost-effective digital public services in Rwanda and Kazakhstan; broadband infrastructure mapping in Botswana, Burundi, Ethiopia, Malawi, Uganda, Zambia, and Zimbabwe; and initiatives on e-waste policy and rural network development to promote a circular economy.</w:t>
      </w:r>
    </w:p>
    <w:p w14:paraId="20FF9CA0" w14:textId="54FB04E1" w:rsidR="00BB7228" w:rsidRPr="00F40208" w:rsidRDefault="00BB7228" w:rsidP="00D46BD2">
      <w:pPr>
        <w:jc w:val="both"/>
        <w:rPr>
          <w:rFonts w:cs="Calibri"/>
          <w:lang w:eastAsia="en-GB"/>
        </w:rPr>
      </w:pPr>
      <w:r w:rsidRPr="00F40208">
        <w:rPr>
          <w:rFonts w:cs="Calibri"/>
          <w:lang w:eastAsia="en-GB"/>
        </w:rPr>
        <w:t>In LDCs</w:t>
      </w:r>
      <w:r>
        <w:rPr>
          <w:rFonts w:cs="Calibri"/>
          <w:lang w:eastAsia="en-GB"/>
        </w:rPr>
        <w:t>,</w:t>
      </w:r>
      <w:r w:rsidRPr="00F40208">
        <w:rPr>
          <w:rFonts w:cs="Calibri"/>
          <w:lang w:eastAsia="en-GB"/>
        </w:rPr>
        <w:t xml:space="preserve"> during 2025, 19 projects</w:t>
      </w:r>
      <w:r w:rsidR="00B42BF3">
        <w:rPr>
          <w:rFonts w:cs="Calibri"/>
          <w:lang w:eastAsia="en-GB"/>
        </w:rPr>
        <w:t xml:space="preserve"> </w:t>
      </w:r>
      <w:r w:rsidRPr="00F40208">
        <w:rPr>
          <w:rFonts w:cs="Calibri"/>
          <w:lang w:eastAsia="en-GB"/>
        </w:rPr>
        <w:t>were under way to advance early warning systems, cybersecurity, broadband mapping, digital integration, connectivity, digital infrastructure and access to information and communication technology.</w:t>
      </w:r>
    </w:p>
    <w:p w14:paraId="09286538" w14:textId="6DA8F8E6" w:rsidR="00BB7228" w:rsidRPr="00F40208" w:rsidRDefault="00BB7228" w:rsidP="00B42BF3">
      <w:pPr>
        <w:jc w:val="both"/>
        <w:rPr>
          <w:b/>
          <w:bCs/>
          <w:color w:val="000000" w:themeColor="text1"/>
        </w:rPr>
      </w:pPr>
      <w:r w:rsidRPr="00F40208">
        <w:rPr>
          <w:lang w:eastAsia="en-GB"/>
        </w:rPr>
        <w:t>In SIDS</w:t>
      </w:r>
      <w:r>
        <w:rPr>
          <w:lang w:eastAsia="en-GB"/>
        </w:rPr>
        <w:t>,</w:t>
      </w:r>
      <w:r w:rsidRPr="00F40208">
        <w:rPr>
          <w:lang w:eastAsia="en-GB"/>
        </w:rPr>
        <w:t xml:space="preserve"> during 2025,</w:t>
      </w:r>
      <w:r w:rsidR="00B42BF3">
        <w:rPr>
          <w:lang w:eastAsia="en-GB"/>
        </w:rPr>
        <w:t xml:space="preserve"> </w:t>
      </w:r>
      <w:r w:rsidRPr="00F40208">
        <w:rPr>
          <w:lang w:eastAsia="en-GB"/>
        </w:rPr>
        <w:t>16 projects were making a difference in digital transformation, digital skills, and cybersecurity</w:t>
      </w:r>
      <w:r w:rsidRPr="00F40208">
        <w:t>.</w:t>
      </w:r>
    </w:p>
    <w:p w14:paraId="6DBFC692" w14:textId="1272A54A" w:rsidR="00BB7228" w:rsidRPr="00F40208" w:rsidRDefault="00BB7228" w:rsidP="000367B1">
      <w:pPr>
        <w:pStyle w:val="Headingb"/>
        <w:rPr>
          <w:sz w:val="28"/>
        </w:rPr>
      </w:pPr>
      <w:r w:rsidRPr="00F40208">
        <w:rPr>
          <w:sz w:val="28"/>
        </w:rPr>
        <w:t xml:space="preserve">Administrative and </w:t>
      </w:r>
      <w:r w:rsidR="000367B1" w:rsidRPr="00F40208">
        <w:t xml:space="preserve">operational framework </w:t>
      </w:r>
    </w:p>
    <w:p w14:paraId="7131B5D7" w14:textId="77777777" w:rsidR="00BB7228" w:rsidRPr="00F40208" w:rsidRDefault="00BB7228" w:rsidP="00D46BD2">
      <w:pPr>
        <w:jc w:val="both"/>
        <w:rPr>
          <w:rFonts w:cs="Calibri"/>
          <w:lang w:eastAsia="en-GB"/>
        </w:rPr>
      </w:pPr>
      <w:r w:rsidRPr="00F40208">
        <w:rPr>
          <w:rFonts w:cs="Calibri"/>
          <w:lang w:eastAsia="en-GB"/>
        </w:rPr>
        <w:t>To fulfil these mandates, BDT has adopted a comprehensive digital ecosystem approach, shifting beyond basic connectivity toward greater technological sophistication and evidence-based policymaking. This approach reflects the recognition that Universal Meaningful Connectivity and broader digital transformation are critical drivers of socio-economic development, particularly for LDCs, LLDCs and SIDS.</w:t>
      </w:r>
    </w:p>
    <w:p w14:paraId="1B19DB0A" w14:textId="77777777" w:rsidR="00BB7228" w:rsidRPr="00F40208" w:rsidRDefault="00BB7228" w:rsidP="00D46BD2">
      <w:pPr>
        <w:jc w:val="both"/>
        <w:rPr>
          <w:rFonts w:cs="Calibri"/>
          <w:lang w:eastAsia="en-GB"/>
        </w:rPr>
      </w:pPr>
      <w:r w:rsidRPr="00F40208">
        <w:rPr>
          <w:rFonts w:cs="Calibri"/>
          <w:lang w:eastAsia="en-GB"/>
        </w:rPr>
        <w:t>A key institutional milestone in implementing</w:t>
      </w:r>
      <w:r w:rsidRPr="00F40208">
        <w:rPr>
          <w:rFonts w:cs="Calibri"/>
          <w:i/>
          <w:lang w:eastAsia="en-GB"/>
        </w:rPr>
        <w:t xml:space="preserve"> </w:t>
      </w:r>
      <w:r w:rsidRPr="00B42BF3">
        <w:rPr>
          <w:rFonts w:cs="Calibri"/>
          <w:iCs/>
          <w:lang w:eastAsia="en-GB"/>
        </w:rPr>
        <w:t>Resolution 30</w:t>
      </w:r>
      <w:r w:rsidRPr="00F40208">
        <w:rPr>
          <w:rFonts w:cs="Calibri"/>
          <w:lang w:eastAsia="en-GB"/>
        </w:rPr>
        <w:t>, which calls for an appropriate administrative and operational structure, was the 2024 realignment of the BDT. This reform established a dedicated division in BDT to deliver coordinated and targeted assistance to countries with special needs across the full spectrum of digital development. As part of this strengthened framework, BDT has further enhanced its operational capacity through the recent appointment of a Head of the LDCs, LLDCs and SIDS (LLS) unit, reinforcing strategic oversight and improving the effectiveness of programme delivery.</w:t>
      </w:r>
    </w:p>
    <w:p w14:paraId="49F4D1B1" w14:textId="17F69C58" w:rsidR="00BB7228" w:rsidRPr="00F40208" w:rsidRDefault="00BB7228" w:rsidP="000367B1">
      <w:pPr>
        <w:pStyle w:val="Headingb"/>
        <w:rPr>
          <w:sz w:val="28"/>
        </w:rPr>
      </w:pPr>
      <w:r w:rsidRPr="00F40208">
        <w:rPr>
          <w:sz w:val="28"/>
        </w:rPr>
        <w:t xml:space="preserve">Digital </w:t>
      </w:r>
      <w:r w:rsidR="000367B1" w:rsidRPr="00F40208">
        <w:t>platforms and information ecosystems for inclusiv</w:t>
      </w:r>
      <w:r w:rsidRPr="00F40208">
        <w:rPr>
          <w:sz w:val="28"/>
        </w:rPr>
        <w:t xml:space="preserve">e ICT </w:t>
      </w:r>
      <w:r w:rsidR="000367B1" w:rsidRPr="00F40208">
        <w:t>development</w:t>
      </w:r>
    </w:p>
    <w:p w14:paraId="501D62F1" w14:textId="77777777" w:rsidR="00BB7228" w:rsidRPr="00F40208" w:rsidRDefault="00BB7228" w:rsidP="00D46BD2">
      <w:pPr>
        <w:jc w:val="both"/>
        <w:rPr>
          <w:rFonts w:eastAsia="Aptos" w:cs="Calibri"/>
        </w:rPr>
      </w:pPr>
      <w:r w:rsidRPr="00F40208">
        <w:rPr>
          <w:rFonts w:cs="Calibri"/>
        </w:rPr>
        <w:t>ITU’s digital platforms play a critical role in enhancing access to information, strengthening coordination, and supporting evidence-based decision-making in the pursuit of inclusive digital transformation</w:t>
      </w:r>
      <w:r w:rsidRPr="00F40208">
        <w:rPr>
          <w:rFonts w:eastAsia="Aptos" w:cs="Calibri"/>
        </w:rPr>
        <w:t xml:space="preserve"> </w:t>
      </w:r>
      <w:r w:rsidRPr="00F40208">
        <w:rPr>
          <w:rFonts w:cs="Calibri"/>
        </w:rPr>
        <w:t>for LDCs, LLDCs, and SIDS. The webpage</w:t>
      </w:r>
      <w:r w:rsidRPr="00F40208">
        <w:rPr>
          <w:rStyle w:val="FootnoteReference"/>
          <w:rFonts w:cs="Calibri"/>
        </w:rPr>
        <w:footnoteReference w:id="1"/>
      </w:r>
      <w:r w:rsidRPr="00F40208">
        <w:rPr>
          <w:rFonts w:cs="Calibri"/>
        </w:rPr>
        <w:t xml:space="preserve"> managed by BDT serves as a centralized repository for data, resources, and ongoing initiatives, and is regularly updated to ensure the timely dissemination of relevant publications, programme outputs, and country-specific materials. It highlights key priority areas, including digital inclusion, infrastructure development, capacity-building, and policy support, thereby facilitating knowledge-sharing and stakeholder engagement</w:t>
      </w:r>
      <w:r w:rsidRPr="00F40208">
        <w:rPr>
          <w:rFonts w:eastAsia="Aptos" w:cs="Calibri"/>
        </w:rPr>
        <w:t>.</w:t>
      </w:r>
    </w:p>
    <w:p w14:paraId="1269AA1F" w14:textId="078ED253" w:rsidR="00BB7228" w:rsidRPr="00F40208" w:rsidRDefault="00BB7228" w:rsidP="00D46BD2">
      <w:pPr>
        <w:jc w:val="both"/>
        <w:rPr>
          <w:rStyle w:val="FootnoteReference"/>
          <w:rFonts w:eastAsia="Aptos" w:cs="Calibri"/>
        </w:rPr>
      </w:pPr>
      <w:r w:rsidRPr="00F40208">
        <w:rPr>
          <w:rFonts w:cs="Calibri"/>
        </w:rPr>
        <w:t xml:space="preserve">Complementing this, ITU’s broader suite of digital platforms further strengthens transparency, coordination and multistakeholder collaboration. In particular, the P2C Digital Coalition platform provides comprehensive and regularly updated information on voluntary pledges, partnerships and resource mobilization efforts that contribute to achieving universal and meaningful connectivity and sustainable digital transformation. The platform enables transparent tracking of commitments across the four P2C focus areas, supports the implementation of digital development initiatives, and places particular emphasis on underserved and hard to connect communities, particularly in LDCs, LLDCs and SIDS. Through </w:t>
      </w:r>
      <w:r w:rsidRPr="00F40208">
        <w:rPr>
          <w:rFonts w:cs="Calibri"/>
        </w:rPr>
        <w:lastRenderedPageBreak/>
        <w:t>its interactive dashboard</w:t>
      </w:r>
      <w:r w:rsidR="00261550">
        <w:rPr>
          <w:rFonts w:cs="Calibri"/>
        </w:rPr>
        <w:t>,</w:t>
      </w:r>
      <w:r w:rsidRPr="00F40208">
        <w:rPr>
          <w:rStyle w:val="FootnoteReference"/>
          <w:rFonts w:cs="Calibri"/>
        </w:rPr>
        <w:footnoteReference w:id="2"/>
      </w:r>
      <w:r w:rsidRPr="00F40208">
        <w:rPr>
          <w:rFonts w:cs="Calibri"/>
        </w:rPr>
        <w:t xml:space="preserve"> stakeholders can identify, monitor and analyse pledges targeting these country groups, strengthening accountability, visibility and strategic alignment while facilitating partnerships that help accelerate implementation and impact.</w:t>
      </w:r>
    </w:p>
    <w:p w14:paraId="7AB01052" w14:textId="77777777" w:rsidR="00BB7228" w:rsidRPr="00F40208" w:rsidRDefault="00BB7228" w:rsidP="000367B1">
      <w:pPr>
        <w:pStyle w:val="Headingb"/>
      </w:pPr>
      <w:r w:rsidRPr="00F40208">
        <w:t>Conclusion</w:t>
      </w:r>
    </w:p>
    <w:p w14:paraId="4F6F084F" w14:textId="69B2CE2C" w:rsidR="00BB7228" w:rsidRPr="00F40208" w:rsidRDefault="00BB7228" w:rsidP="00D46BD2">
      <w:pPr>
        <w:jc w:val="both"/>
        <w:rPr>
          <w:rFonts w:cs="Calibri"/>
        </w:rPr>
      </w:pPr>
      <w:r w:rsidRPr="00F40208">
        <w:rPr>
          <w:rFonts w:cs="Calibri"/>
        </w:rPr>
        <w:t>The instructions of Member States to the BDT as set out in PP Resolution 30 (</w:t>
      </w:r>
      <w:r w:rsidRPr="00F40208">
        <w:rPr>
          <w:rFonts w:eastAsia="Calibri" w:cs="Calibri"/>
        </w:rPr>
        <w:t>R</w:t>
      </w:r>
      <w:r>
        <w:rPr>
          <w:rFonts w:eastAsia="Calibri" w:cs="Calibri"/>
        </w:rPr>
        <w:t>ev</w:t>
      </w:r>
      <w:r w:rsidRPr="00F40208">
        <w:rPr>
          <w:rFonts w:eastAsia="Calibri" w:cs="Calibri"/>
        </w:rPr>
        <w:t>. B</w:t>
      </w:r>
      <w:r>
        <w:rPr>
          <w:rFonts w:eastAsia="Calibri" w:cs="Calibri"/>
        </w:rPr>
        <w:t>ucharest</w:t>
      </w:r>
      <w:r w:rsidRPr="00F40208">
        <w:rPr>
          <w:rFonts w:eastAsia="Calibri" w:cs="Calibri"/>
        </w:rPr>
        <w:t>, 2022)</w:t>
      </w:r>
      <w:r w:rsidRPr="00F40208">
        <w:rPr>
          <w:rStyle w:val="FootnoteReference"/>
          <w:rFonts w:cs="Calibri"/>
        </w:rPr>
        <w:footnoteReference w:id="3"/>
      </w:r>
      <w:r w:rsidRPr="00F40208">
        <w:rPr>
          <w:rFonts w:cs="Calibri"/>
        </w:rPr>
        <w:t xml:space="preserve"> and WTDC Resolution 16 (</w:t>
      </w:r>
      <w:r w:rsidRPr="00F40208">
        <w:rPr>
          <w:rFonts w:eastAsia="Calibri" w:cs="Calibri"/>
        </w:rPr>
        <w:t>R</w:t>
      </w:r>
      <w:r>
        <w:rPr>
          <w:rFonts w:eastAsia="Calibri" w:cs="Calibri"/>
        </w:rPr>
        <w:t>ev</w:t>
      </w:r>
      <w:r w:rsidRPr="00F40208">
        <w:rPr>
          <w:rFonts w:eastAsia="Calibri" w:cs="Calibri"/>
        </w:rPr>
        <w:t>. B</w:t>
      </w:r>
      <w:r>
        <w:rPr>
          <w:rFonts w:eastAsia="Calibri" w:cs="Calibri"/>
        </w:rPr>
        <w:t>aku</w:t>
      </w:r>
      <w:r w:rsidRPr="00F40208">
        <w:rPr>
          <w:rFonts w:eastAsia="Calibri" w:cs="Calibri"/>
        </w:rPr>
        <w:t>, 2025</w:t>
      </w:r>
      <w:r w:rsidRPr="00F40208">
        <w:rPr>
          <w:rFonts w:cs="Calibri"/>
        </w:rPr>
        <w:t>)</w:t>
      </w:r>
      <w:r w:rsidR="00261550">
        <w:rPr>
          <w:rFonts w:cs="Calibri"/>
        </w:rPr>
        <w:t>,</w:t>
      </w:r>
      <w:r w:rsidRPr="00F40208">
        <w:rPr>
          <w:rStyle w:val="FootnoteReference"/>
          <w:rFonts w:cs="Calibri"/>
        </w:rPr>
        <w:footnoteReference w:id="4"/>
      </w:r>
      <w:r w:rsidRPr="00F40208">
        <w:rPr>
          <w:rFonts w:cs="Calibri"/>
        </w:rPr>
        <w:t xml:space="preserve"> coupled with the outcomes of WTDC-25, provide a strengthened and coherent mandate for BDT to deliver targeted, measurable, and partnership-driven support to LDCs, LLDCs, SIDS and countries with economies in transition. Through the implementation of the Baku Declaration, the Baku Action Plan, and the Regional Initiatives agreed upon in WTDC-25, BDT will continue to translate this mandate into concrete actions focused on resilient infrastructure, affordable and meaningful connectivity, emerging technologies, evidence-based policymaking, and digital inclusion. For more information, please refer to </w:t>
      </w:r>
      <w:r w:rsidR="00B42BF3">
        <w:rPr>
          <w:rFonts w:cs="Calibri"/>
        </w:rPr>
        <w:t xml:space="preserve">Document </w:t>
      </w:r>
      <w:hyperlink r:id="rId30" w:history="1">
        <w:r w:rsidRPr="00F223C4">
          <w:rPr>
            <w:rStyle w:val="Hyperlink"/>
            <w:rFonts w:cs="Calibri"/>
          </w:rPr>
          <w:t>TDAG-26/22</w:t>
        </w:r>
      </w:hyperlink>
      <w:r w:rsidRPr="00F40208">
        <w:rPr>
          <w:rFonts w:cs="Calibri"/>
        </w:rPr>
        <w:t xml:space="preserve">. Emphasis will be placed on emergency telecommunications, reducing connectivity costs, and addressing regional interconnection and transit challenges, especially in Pacific SIDS and LLDCs. </w:t>
      </w:r>
    </w:p>
    <w:p w14:paraId="719E958A" w14:textId="77777777" w:rsidR="00BB7228" w:rsidRPr="00F40208" w:rsidRDefault="00BB7228" w:rsidP="00D46BD2">
      <w:pPr>
        <w:jc w:val="both"/>
        <w:rPr>
          <w:rFonts w:cs="Calibri"/>
        </w:rPr>
      </w:pPr>
      <w:r w:rsidRPr="00F40208">
        <w:rPr>
          <w:rFonts w:cs="Calibri"/>
        </w:rPr>
        <w:t>These efforts are aligned with broader international development frameworks, including the APOA for LLDCs, ABAS for SIDS, and the forthcoming midterm review of the DPOA for LDCs in 2027. In this context, systematically mapping overlapping vulnerabilities, such as countries that are simultaneously LDCs and LLDCs, as well as LDCs and SIDS, will be essential to ensuring coherent and effective support.</w:t>
      </w:r>
    </w:p>
    <w:p w14:paraId="6BDBBCFA" w14:textId="77777777" w:rsidR="00BB7228" w:rsidRDefault="00BB7228" w:rsidP="00D46BD2">
      <w:pPr>
        <w:jc w:val="both"/>
        <w:rPr>
          <w:rFonts w:cs="Calibri"/>
        </w:rPr>
      </w:pPr>
      <w:r w:rsidRPr="00F40208">
        <w:rPr>
          <w:rFonts w:cs="Calibri"/>
        </w:rPr>
        <w:t>In the coming years, BDT will continue to advance evidence-based policy development through analytical and thematic outputs, while enhancing innovative approaches and multi-stakeholder partnerships to accelerate digital transformation. This will require sustained attention to connectivity, enabling policy and regulatory frameworks, digital skills development, climate resilience, and sustainable financing. The overarching objective is to ensure that LDCs, LLDCs, and SIDS are not only connected but also empowered to participate meaningfully in the digital economy, enhance resilience, and achieve sustainable development outcomes. The Council is invited to take note of this report and provide guidance on the proposed strategic direction.</w:t>
      </w:r>
    </w:p>
    <w:p w14:paraId="217E5986" w14:textId="77777777" w:rsidR="007A3FCD" w:rsidRPr="00C0458D" w:rsidRDefault="007A3FCD" w:rsidP="00F223C4">
      <w:pPr>
        <w:spacing w:before="600"/>
        <w:jc w:val="center"/>
      </w:pPr>
      <w:r>
        <w:t>______________</w:t>
      </w:r>
    </w:p>
    <w:sectPr w:rsidR="007A3FCD" w:rsidRPr="00C0458D"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4E49" w14:textId="77777777" w:rsidR="00D46BD2" w:rsidRDefault="00D46BD2">
      <w:r>
        <w:separator/>
      </w:r>
    </w:p>
  </w:endnote>
  <w:endnote w:type="continuationSeparator" w:id="0">
    <w:p w14:paraId="314CB24D" w14:textId="77777777" w:rsidR="00D46BD2" w:rsidRDefault="00D4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840577E" w14:textId="77777777" w:rsidTr="00D46BD2">
      <w:trPr>
        <w:jc w:val="center"/>
      </w:trPr>
      <w:tc>
        <w:tcPr>
          <w:tcW w:w="1803" w:type="dxa"/>
          <w:vAlign w:val="center"/>
        </w:tcPr>
        <w:p w14:paraId="5F1D7904" w14:textId="77777777" w:rsidR="00EE49E8" w:rsidRDefault="00C6520B" w:rsidP="00EE49E8">
          <w:pPr>
            <w:pStyle w:val="Header"/>
            <w:jc w:val="left"/>
            <w:rPr>
              <w:noProof/>
            </w:rPr>
          </w:pPr>
          <w:r>
            <w:rPr>
              <w:noProof/>
            </w:rPr>
            <w:t>gDoc #</w:t>
          </w:r>
        </w:p>
      </w:tc>
      <w:tc>
        <w:tcPr>
          <w:tcW w:w="8261" w:type="dxa"/>
        </w:tcPr>
        <w:p w14:paraId="08B87A81" w14:textId="3110DEC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93092">
            <w:rPr>
              <w:bCs/>
            </w:rPr>
            <w:t>74</w:t>
          </w:r>
          <w:r w:rsidRPr="00623AE3">
            <w:rPr>
              <w:bCs/>
            </w:rPr>
            <w:t>-E</w:t>
          </w:r>
          <w:r>
            <w:rPr>
              <w:bCs/>
            </w:rPr>
            <w:tab/>
          </w:r>
          <w:r>
            <w:fldChar w:fldCharType="begin"/>
          </w:r>
          <w:r>
            <w:instrText>PAGE</w:instrText>
          </w:r>
          <w:r>
            <w:fldChar w:fldCharType="separate"/>
          </w:r>
          <w:r>
            <w:t>1</w:t>
          </w:r>
          <w:r>
            <w:rPr>
              <w:noProof/>
            </w:rPr>
            <w:fldChar w:fldCharType="end"/>
          </w:r>
        </w:p>
      </w:tc>
    </w:tr>
  </w:tbl>
  <w:p w14:paraId="47695231"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78B2E5A" w14:textId="77777777" w:rsidTr="006B77F1">
      <w:trPr>
        <w:jc w:val="center"/>
      </w:trPr>
      <w:tc>
        <w:tcPr>
          <w:tcW w:w="1803" w:type="dxa"/>
          <w:vAlign w:val="center"/>
        </w:tcPr>
        <w:p w14:paraId="223B8D2E"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61A3E4BE" w14:textId="0AB36C8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93092">
            <w:rPr>
              <w:bCs/>
            </w:rPr>
            <w:t>74</w:t>
          </w:r>
          <w:r w:rsidRPr="00623AE3">
            <w:rPr>
              <w:bCs/>
            </w:rPr>
            <w:t>-E</w:t>
          </w:r>
          <w:r>
            <w:rPr>
              <w:bCs/>
            </w:rPr>
            <w:tab/>
          </w:r>
          <w:r>
            <w:fldChar w:fldCharType="begin"/>
          </w:r>
          <w:r>
            <w:instrText>PAGE</w:instrText>
          </w:r>
          <w:r>
            <w:fldChar w:fldCharType="separate"/>
          </w:r>
          <w:r>
            <w:t>1</w:t>
          </w:r>
          <w:r>
            <w:rPr>
              <w:noProof/>
            </w:rPr>
            <w:fldChar w:fldCharType="end"/>
          </w:r>
        </w:p>
      </w:tc>
    </w:tr>
  </w:tbl>
  <w:p w14:paraId="617E3106"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8555" w14:textId="77777777" w:rsidR="00D46BD2" w:rsidRDefault="00D46BD2">
      <w:r>
        <w:t>____________________</w:t>
      </w:r>
    </w:p>
  </w:footnote>
  <w:footnote w:type="continuationSeparator" w:id="0">
    <w:p w14:paraId="5B68709F" w14:textId="77777777" w:rsidR="00D46BD2" w:rsidRDefault="00D46BD2">
      <w:r>
        <w:continuationSeparator/>
      </w:r>
    </w:p>
  </w:footnote>
  <w:footnote w:id="1">
    <w:p w14:paraId="61E51ACD" w14:textId="75247D37" w:rsidR="00BB7228" w:rsidRPr="00131B58" w:rsidRDefault="00BB7228" w:rsidP="00D46BD2">
      <w:pPr>
        <w:pStyle w:val="FootnoteText"/>
        <w:spacing w:line="276" w:lineRule="auto"/>
        <w:rPr>
          <w:rFonts w:cs="Calibri"/>
        </w:rPr>
      </w:pPr>
      <w:r w:rsidRPr="00131B58">
        <w:rPr>
          <w:rStyle w:val="FootnoteReference"/>
          <w:rFonts w:cs="Calibri"/>
        </w:rPr>
        <w:footnoteRef/>
      </w:r>
      <w:r w:rsidR="00B42BF3">
        <w:rPr>
          <w:rFonts w:cs="Calibri"/>
        </w:rPr>
        <w:tab/>
      </w:r>
      <w:r w:rsidRPr="009D2DAD">
        <w:rPr>
          <w:rFonts w:cs="Calibri"/>
          <w:sz w:val="20"/>
        </w:rPr>
        <w:t xml:space="preserve">LDCs, LLDCs and SIDS: </w:t>
      </w:r>
      <w:hyperlink r:id="rId1" w:history="1">
        <w:r w:rsidR="00B42BF3" w:rsidRPr="009D2DAD">
          <w:rPr>
            <w:rStyle w:val="Hyperlink"/>
            <w:rFonts w:eastAsia="Aptos" w:cs="Calibri"/>
            <w:sz w:val="20"/>
          </w:rPr>
          <w:t>www.itu.int/itu-d/sites/ldcs/?lang=en</w:t>
        </w:r>
      </w:hyperlink>
      <w:r w:rsidR="00B42BF3" w:rsidRPr="009D2DAD">
        <w:rPr>
          <w:sz w:val="20"/>
        </w:rPr>
        <w:t>.</w:t>
      </w:r>
    </w:p>
  </w:footnote>
  <w:footnote w:id="2">
    <w:p w14:paraId="2D42067C" w14:textId="453721C3" w:rsidR="00BB7228" w:rsidRPr="00131B58" w:rsidRDefault="00BB7228" w:rsidP="00D46BD2">
      <w:pPr>
        <w:pStyle w:val="FootnoteText"/>
        <w:rPr>
          <w:rFonts w:cs="Calibri"/>
        </w:rPr>
      </w:pPr>
      <w:r w:rsidRPr="00131B58">
        <w:rPr>
          <w:rStyle w:val="FootnoteReference"/>
          <w:rFonts w:cs="Calibri"/>
        </w:rPr>
        <w:footnoteRef/>
      </w:r>
      <w:r w:rsidR="00B42BF3">
        <w:rPr>
          <w:rFonts w:cs="Calibri"/>
        </w:rPr>
        <w:tab/>
      </w:r>
      <w:hyperlink r:id="rId2">
        <w:r w:rsidRPr="00F223C4">
          <w:rPr>
            <w:rStyle w:val="Hyperlink"/>
            <w:rFonts w:cs="Calibri"/>
            <w:sz w:val="20"/>
          </w:rPr>
          <w:t>Partner2Connect - Pledge Portal</w:t>
        </w:r>
      </w:hyperlink>
      <w:r w:rsidR="00B42BF3" w:rsidRPr="00F223C4">
        <w:rPr>
          <w:rFonts w:cs="Calibri"/>
          <w:sz w:val="20"/>
        </w:rPr>
        <w:t>.</w:t>
      </w:r>
    </w:p>
  </w:footnote>
  <w:footnote w:id="3">
    <w:p w14:paraId="58FF9EFC" w14:textId="64FD5E25" w:rsidR="00BB7228" w:rsidRPr="00B42BF3" w:rsidRDefault="00BB7228" w:rsidP="00F223C4">
      <w:pPr>
        <w:pStyle w:val="FootnoteText"/>
        <w:spacing w:before="40"/>
        <w:jc w:val="both"/>
        <w:rPr>
          <w:rFonts w:cs="Calibri"/>
        </w:rPr>
      </w:pPr>
      <w:r w:rsidRPr="00131B58">
        <w:rPr>
          <w:rStyle w:val="FootnoteReference"/>
          <w:rFonts w:cs="Calibri"/>
        </w:rPr>
        <w:footnoteRef/>
      </w:r>
      <w:r w:rsidR="00B42BF3">
        <w:tab/>
      </w:r>
      <w:hyperlink r:id="rId3">
        <w:r w:rsidRPr="00F223C4">
          <w:rPr>
            <w:rStyle w:val="Hyperlink"/>
            <w:rFonts w:cs="Calibri"/>
            <w:sz w:val="20"/>
          </w:rPr>
          <w:t xml:space="preserve">Collection of the basic texts of the International Telecommunication Union adopted by the Plenipotentiary Conference </w:t>
        </w:r>
        <w:r w:rsidR="00B42BF3" w:rsidRPr="00F223C4">
          <w:rPr>
            <w:rStyle w:val="Hyperlink"/>
            <w:rFonts w:cs="Calibri"/>
            <w:sz w:val="20"/>
          </w:rPr>
          <w:t>–</w:t>
        </w:r>
        <w:r w:rsidRPr="00F223C4">
          <w:rPr>
            <w:rStyle w:val="Hyperlink"/>
            <w:rFonts w:cs="Calibri"/>
            <w:sz w:val="20"/>
          </w:rPr>
          <w:t xml:space="preserve"> Edition 2023</w:t>
        </w:r>
      </w:hyperlink>
      <w:r w:rsidR="00B42BF3" w:rsidRPr="00F223C4">
        <w:rPr>
          <w:rFonts w:cs="Calibri"/>
          <w:sz w:val="20"/>
        </w:rPr>
        <w:t>.</w:t>
      </w:r>
    </w:p>
  </w:footnote>
  <w:footnote w:id="4">
    <w:p w14:paraId="6182FE84" w14:textId="7AFB0205" w:rsidR="00BB7228" w:rsidRPr="00572631" w:rsidRDefault="00BB7228" w:rsidP="00F223C4">
      <w:pPr>
        <w:pStyle w:val="FootnoteText"/>
        <w:spacing w:before="40"/>
        <w:rPr>
          <w:rFonts w:cs="Calibri"/>
          <w:lang w:val="fr-FR"/>
        </w:rPr>
      </w:pPr>
      <w:r w:rsidRPr="00F40208">
        <w:rPr>
          <w:rStyle w:val="FootnoteReference"/>
          <w:rFonts w:cs="Calibri"/>
        </w:rPr>
        <w:footnoteRef/>
      </w:r>
      <w:r w:rsidR="00B42BF3">
        <w:rPr>
          <w:rFonts w:cs="Calibri"/>
          <w:lang w:val="fr-FR"/>
        </w:rPr>
        <w:tab/>
      </w:r>
      <w:hyperlink r:id="rId4">
        <w:r w:rsidRPr="00F223C4">
          <w:rPr>
            <w:rStyle w:val="Hyperlink"/>
            <w:rFonts w:cs="Calibri"/>
            <w:sz w:val="20"/>
            <w:lang w:val="fr-FR"/>
          </w:rPr>
          <w:t>WTDC-25 Provisional Final Report</w:t>
        </w:r>
      </w:hyperlink>
      <w:r w:rsidRPr="00F223C4">
        <w:rPr>
          <w:rFonts w:cs="Calibri"/>
          <w:sz w:val="20"/>
          <w:lang w:val="fr-FR"/>
        </w:rPr>
        <w:t xml:space="preserve"> (page 179)</w:t>
      </w:r>
      <w:r w:rsidR="00B42BF3" w:rsidRPr="00F223C4">
        <w:rPr>
          <w:rFonts w:cs="Calibri"/>
          <w:sz w:val="20"/>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0F97"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AC9C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60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1E99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C041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708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78D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44C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426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8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D27EA6"/>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974873816">
    <w:abstractNumId w:val="7"/>
  </w:num>
  <w:num w:numId="3" w16cid:durableId="337083784">
    <w:abstractNumId w:val="6"/>
  </w:num>
  <w:num w:numId="4" w16cid:durableId="1726299460">
    <w:abstractNumId w:val="5"/>
  </w:num>
  <w:num w:numId="5" w16cid:durableId="1579946828">
    <w:abstractNumId w:val="4"/>
  </w:num>
  <w:num w:numId="6" w16cid:durableId="1559515515">
    <w:abstractNumId w:val="8"/>
  </w:num>
  <w:num w:numId="7" w16cid:durableId="903175342">
    <w:abstractNumId w:val="3"/>
  </w:num>
  <w:num w:numId="8" w16cid:durableId="739445612">
    <w:abstractNumId w:val="2"/>
  </w:num>
  <w:num w:numId="9" w16cid:durableId="1363551626">
    <w:abstractNumId w:val="1"/>
  </w:num>
  <w:num w:numId="10" w16cid:durableId="1472290482">
    <w:abstractNumId w:val="0"/>
  </w:num>
  <w:num w:numId="11" w16cid:durableId="1426927157">
    <w:abstractNumId w:val="8"/>
  </w:num>
  <w:num w:numId="12" w16cid:durableId="1153908003">
    <w:abstractNumId w:val="3"/>
  </w:num>
  <w:num w:numId="13" w16cid:durableId="692732146">
    <w:abstractNumId w:val="2"/>
  </w:num>
  <w:num w:numId="14" w16cid:durableId="1751653562">
    <w:abstractNumId w:val="1"/>
  </w:num>
  <w:num w:numId="15" w16cid:durableId="19149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28"/>
    <w:rsid w:val="000210D4"/>
    <w:rsid w:val="0002410B"/>
    <w:rsid w:val="000264CF"/>
    <w:rsid w:val="000367B1"/>
    <w:rsid w:val="0006007D"/>
    <w:rsid w:val="00063016"/>
    <w:rsid w:val="00066795"/>
    <w:rsid w:val="00076AF6"/>
    <w:rsid w:val="00080159"/>
    <w:rsid w:val="00085CF2"/>
    <w:rsid w:val="000B1705"/>
    <w:rsid w:val="000B306D"/>
    <w:rsid w:val="000D75B2"/>
    <w:rsid w:val="000E372C"/>
    <w:rsid w:val="000F5DDB"/>
    <w:rsid w:val="001121F5"/>
    <w:rsid w:val="001400DC"/>
    <w:rsid w:val="00140CE1"/>
    <w:rsid w:val="0015189A"/>
    <w:rsid w:val="0017539C"/>
    <w:rsid w:val="00175AC2"/>
    <w:rsid w:val="0017609F"/>
    <w:rsid w:val="00176F47"/>
    <w:rsid w:val="00185A91"/>
    <w:rsid w:val="001A3154"/>
    <w:rsid w:val="001A7D1D"/>
    <w:rsid w:val="001B51DD"/>
    <w:rsid w:val="001B7DAC"/>
    <w:rsid w:val="001C628E"/>
    <w:rsid w:val="001E0F7B"/>
    <w:rsid w:val="001F5569"/>
    <w:rsid w:val="0020487B"/>
    <w:rsid w:val="002119FD"/>
    <w:rsid w:val="002130E0"/>
    <w:rsid w:val="00221F46"/>
    <w:rsid w:val="0022406A"/>
    <w:rsid w:val="00253EAD"/>
    <w:rsid w:val="00261550"/>
    <w:rsid w:val="002625C7"/>
    <w:rsid w:val="00264425"/>
    <w:rsid w:val="00265875"/>
    <w:rsid w:val="0027303B"/>
    <w:rsid w:val="00277DEA"/>
    <w:rsid w:val="0028109B"/>
    <w:rsid w:val="002916B4"/>
    <w:rsid w:val="002A0615"/>
    <w:rsid w:val="002A133E"/>
    <w:rsid w:val="002A2188"/>
    <w:rsid w:val="002B1F58"/>
    <w:rsid w:val="002C1C7A"/>
    <w:rsid w:val="002C3F32"/>
    <w:rsid w:val="002C54E2"/>
    <w:rsid w:val="002D363B"/>
    <w:rsid w:val="002F7B4D"/>
    <w:rsid w:val="0030160F"/>
    <w:rsid w:val="00320223"/>
    <w:rsid w:val="00322D0D"/>
    <w:rsid w:val="00325949"/>
    <w:rsid w:val="0034492B"/>
    <w:rsid w:val="00361465"/>
    <w:rsid w:val="00385543"/>
    <w:rsid w:val="003877F5"/>
    <w:rsid w:val="003936D3"/>
    <w:rsid w:val="003942D4"/>
    <w:rsid w:val="003958A8"/>
    <w:rsid w:val="003B29C2"/>
    <w:rsid w:val="003B4FAF"/>
    <w:rsid w:val="003C1D3F"/>
    <w:rsid w:val="003C2533"/>
    <w:rsid w:val="003D5A7F"/>
    <w:rsid w:val="003F0228"/>
    <w:rsid w:val="0040435A"/>
    <w:rsid w:val="00416A24"/>
    <w:rsid w:val="00431D9E"/>
    <w:rsid w:val="00433CE8"/>
    <w:rsid w:val="00434A5C"/>
    <w:rsid w:val="00453079"/>
    <w:rsid w:val="004544D9"/>
    <w:rsid w:val="00465C35"/>
    <w:rsid w:val="00472BAD"/>
    <w:rsid w:val="004736AA"/>
    <w:rsid w:val="00484009"/>
    <w:rsid w:val="00484BEB"/>
    <w:rsid w:val="00490E72"/>
    <w:rsid w:val="00491157"/>
    <w:rsid w:val="00491BA9"/>
    <w:rsid w:val="004921C8"/>
    <w:rsid w:val="0049369C"/>
    <w:rsid w:val="00495615"/>
    <w:rsid w:val="00495B0B"/>
    <w:rsid w:val="004A1B8B"/>
    <w:rsid w:val="004D1851"/>
    <w:rsid w:val="004D599D"/>
    <w:rsid w:val="004E2EA5"/>
    <w:rsid w:val="004E3AEB"/>
    <w:rsid w:val="004F2C6E"/>
    <w:rsid w:val="0050223C"/>
    <w:rsid w:val="0050300B"/>
    <w:rsid w:val="00512087"/>
    <w:rsid w:val="005243FF"/>
    <w:rsid w:val="00564FBC"/>
    <w:rsid w:val="005800BC"/>
    <w:rsid w:val="00582442"/>
    <w:rsid w:val="00583849"/>
    <w:rsid w:val="005F3269"/>
    <w:rsid w:val="005F5483"/>
    <w:rsid w:val="0061071E"/>
    <w:rsid w:val="0062307C"/>
    <w:rsid w:val="00623AE3"/>
    <w:rsid w:val="0064737F"/>
    <w:rsid w:val="006535F1"/>
    <w:rsid w:val="0065557D"/>
    <w:rsid w:val="00660D50"/>
    <w:rsid w:val="00662984"/>
    <w:rsid w:val="006716BB"/>
    <w:rsid w:val="006A2F4B"/>
    <w:rsid w:val="006B1859"/>
    <w:rsid w:val="006B6680"/>
    <w:rsid w:val="006B6DCC"/>
    <w:rsid w:val="006B77F1"/>
    <w:rsid w:val="006D1544"/>
    <w:rsid w:val="006D558C"/>
    <w:rsid w:val="006E1680"/>
    <w:rsid w:val="006E4421"/>
    <w:rsid w:val="00702DEF"/>
    <w:rsid w:val="00706861"/>
    <w:rsid w:val="00716BA0"/>
    <w:rsid w:val="00722551"/>
    <w:rsid w:val="0075051B"/>
    <w:rsid w:val="00765C89"/>
    <w:rsid w:val="0077110E"/>
    <w:rsid w:val="00793188"/>
    <w:rsid w:val="00794D34"/>
    <w:rsid w:val="007A3FCD"/>
    <w:rsid w:val="007B19CF"/>
    <w:rsid w:val="007C2259"/>
    <w:rsid w:val="007D01AF"/>
    <w:rsid w:val="00813E5E"/>
    <w:rsid w:val="00817E5E"/>
    <w:rsid w:val="00820ED8"/>
    <w:rsid w:val="0083581B"/>
    <w:rsid w:val="0084546D"/>
    <w:rsid w:val="00863874"/>
    <w:rsid w:val="00864AFF"/>
    <w:rsid w:val="00865925"/>
    <w:rsid w:val="008B4A6A"/>
    <w:rsid w:val="008C32C6"/>
    <w:rsid w:val="008C48FC"/>
    <w:rsid w:val="008C7E27"/>
    <w:rsid w:val="008F7448"/>
    <w:rsid w:val="0090147A"/>
    <w:rsid w:val="009129DB"/>
    <w:rsid w:val="009173EF"/>
    <w:rsid w:val="00932906"/>
    <w:rsid w:val="00954C49"/>
    <w:rsid w:val="00961B0B"/>
    <w:rsid w:val="00962D33"/>
    <w:rsid w:val="009842A1"/>
    <w:rsid w:val="009A76A8"/>
    <w:rsid w:val="009B38C3"/>
    <w:rsid w:val="009D2DAD"/>
    <w:rsid w:val="009E17BD"/>
    <w:rsid w:val="009E4196"/>
    <w:rsid w:val="009E485A"/>
    <w:rsid w:val="009E5B2B"/>
    <w:rsid w:val="00A04CEC"/>
    <w:rsid w:val="00A109AF"/>
    <w:rsid w:val="00A27F92"/>
    <w:rsid w:val="00A32257"/>
    <w:rsid w:val="00A36D20"/>
    <w:rsid w:val="00A514A4"/>
    <w:rsid w:val="00A55622"/>
    <w:rsid w:val="00A83502"/>
    <w:rsid w:val="00A94BAB"/>
    <w:rsid w:val="00AD0F76"/>
    <w:rsid w:val="00AD15B3"/>
    <w:rsid w:val="00AD3606"/>
    <w:rsid w:val="00AD4A3D"/>
    <w:rsid w:val="00AE5C06"/>
    <w:rsid w:val="00AF6E49"/>
    <w:rsid w:val="00B04A67"/>
    <w:rsid w:val="00B0583C"/>
    <w:rsid w:val="00B268E6"/>
    <w:rsid w:val="00B40A81"/>
    <w:rsid w:val="00B42BF3"/>
    <w:rsid w:val="00B44910"/>
    <w:rsid w:val="00B660FE"/>
    <w:rsid w:val="00B72267"/>
    <w:rsid w:val="00B76EB6"/>
    <w:rsid w:val="00B7737B"/>
    <w:rsid w:val="00B824C8"/>
    <w:rsid w:val="00B84B9D"/>
    <w:rsid w:val="00B9131F"/>
    <w:rsid w:val="00BB0646"/>
    <w:rsid w:val="00BB7228"/>
    <w:rsid w:val="00BC251A"/>
    <w:rsid w:val="00BC44B3"/>
    <w:rsid w:val="00BC4A20"/>
    <w:rsid w:val="00BD032B"/>
    <w:rsid w:val="00BE01C6"/>
    <w:rsid w:val="00BE2640"/>
    <w:rsid w:val="00BF1FDE"/>
    <w:rsid w:val="00C01189"/>
    <w:rsid w:val="00C0458D"/>
    <w:rsid w:val="00C20D81"/>
    <w:rsid w:val="00C374DE"/>
    <w:rsid w:val="00C47AD4"/>
    <w:rsid w:val="00C52D81"/>
    <w:rsid w:val="00C55198"/>
    <w:rsid w:val="00C5605F"/>
    <w:rsid w:val="00C6520B"/>
    <w:rsid w:val="00C841BD"/>
    <w:rsid w:val="00CA2190"/>
    <w:rsid w:val="00CA6393"/>
    <w:rsid w:val="00CA7995"/>
    <w:rsid w:val="00CB18FF"/>
    <w:rsid w:val="00CD0C08"/>
    <w:rsid w:val="00CE03FB"/>
    <w:rsid w:val="00CE433C"/>
    <w:rsid w:val="00CF0161"/>
    <w:rsid w:val="00CF33F3"/>
    <w:rsid w:val="00CF4A2B"/>
    <w:rsid w:val="00D024CA"/>
    <w:rsid w:val="00D06183"/>
    <w:rsid w:val="00D11765"/>
    <w:rsid w:val="00D22C42"/>
    <w:rsid w:val="00D41F2A"/>
    <w:rsid w:val="00D42CB0"/>
    <w:rsid w:val="00D46BD2"/>
    <w:rsid w:val="00D533A1"/>
    <w:rsid w:val="00D65041"/>
    <w:rsid w:val="00D973C2"/>
    <w:rsid w:val="00DB1936"/>
    <w:rsid w:val="00DB384B"/>
    <w:rsid w:val="00DE532B"/>
    <w:rsid w:val="00DF0189"/>
    <w:rsid w:val="00DF5B63"/>
    <w:rsid w:val="00E06FD5"/>
    <w:rsid w:val="00E10E80"/>
    <w:rsid w:val="00E124F0"/>
    <w:rsid w:val="00E141C1"/>
    <w:rsid w:val="00E1670F"/>
    <w:rsid w:val="00E227F3"/>
    <w:rsid w:val="00E545C6"/>
    <w:rsid w:val="00E60F04"/>
    <w:rsid w:val="00E65B24"/>
    <w:rsid w:val="00E854E4"/>
    <w:rsid w:val="00E86DBF"/>
    <w:rsid w:val="00E93092"/>
    <w:rsid w:val="00E969AF"/>
    <w:rsid w:val="00EB0D6F"/>
    <w:rsid w:val="00EB2232"/>
    <w:rsid w:val="00EB245E"/>
    <w:rsid w:val="00EC5337"/>
    <w:rsid w:val="00ED6637"/>
    <w:rsid w:val="00EE49E8"/>
    <w:rsid w:val="00EF765D"/>
    <w:rsid w:val="00F15E10"/>
    <w:rsid w:val="00F16BAB"/>
    <w:rsid w:val="00F2150A"/>
    <w:rsid w:val="00F223C4"/>
    <w:rsid w:val="00F231D8"/>
    <w:rsid w:val="00F3026C"/>
    <w:rsid w:val="00F44C00"/>
    <w:rsid w:val="00F45D2C"/>
    <w:rsid w:val="00F46C5F"/>
    <w:rsid w:val="00F632C0"/>
    <w:rsid w:val="00F641E1"/>
    <w:rsid w:val="00F8722E"/>
    <w:rsid w:val="00F94A63"/>
    <w:rsid w:val="00FA1C28"/>
    <w:rsid w:val="00FB1279"/>
    <w:rsid w:val="00FB6B76"/>
    <w:rsid w:val="00FB7596"/>
    <w:rsid w:val="00FC7D11"/>
    <w:rsid w:val="00FE4077"/>
    <w:rsid w:val="00FE500D"/>
    <w:rsid w:val="00FE77D2"/>
    <w:rsid w:val="00FF39B1"/>
    <w:rsid w:val="15D045F8"/>
    <w:rsid w:val="4A509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15E3F"/>
  <w15:docId w15:val="{EF6E34F5-09B5-4490-8162-318C788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3C1D3F"/>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3C1D3F"/>
    <w:pPr>
      <w:spacing w:before="80" w:after="80"/>
      <w:jc w:val="center"/>
    </w:pPr>
    <w:rPr>
      <w:b/>
    </w:rPr>
  </w:style>
  <w:style w:type="paragraph" w:customStyle="1" w:styleId="Tablelegend">
    <w:name w:val="Table_legend"/>
    <w:basedOn w:val="Tabletext"/>
    <w:rsid w:val="003C1D3F"/>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Heading1Char">
    <w:name w:val="Heading 1 Char"/>
    <w:basedOn w:val="DefaultParagraphFont"/>
    <w:link w:val="Heading1"/>
    <w:rsid w:val="00BB7228"/>
    <w:rPr>
      <w:rFonts w:ascii="Calibri" w:hAnsi="Calibri"/>
      <w:b/>
      <w:sz w:val="28"/>
      <w:lang w:val="en-GB" w:eastAsia="en-US"/>
    </w:rPr>
  </w:style>
  <w:style w:type="character" w:customStyle="1" w:styleId="FootnoteTextChar">
    <w:name w:val="Footnote Text Char"/>
    <w:basedOn w:val="DefaultParagraphFont"/>
    <w:link w:val="FootnoteText"/>
    <w:uiPriority w:val="99"/>
    <w:rsid w:val="00BB7228"/>
    <w:rPr>
      <w:rFonts w:ascii="Calibri" w:hAnsi="Calibri"/>
      <w:sz w:val="22"/>
      <w:lang w:val="en-GB" w:eastAsia="en-US"/>
    </w:rPr>
  </w:style>
  <w:style w:type="paragraph" w:customStyle="1" w:styleId="Figurewithlegend">
    <w:name w:val="Figure_with_legend"/>
    <w:basedOn w:val="Figure"/>
    <w:rsid w:val="003C1D3F"/>
    <w:pPr>
      <w:keepNext/>
      <w:keepLines/>
      <w:spacing w:after="0"/>
    </w:pPr>
    <w:rPr>
      <w:noProof/>
    </w:rPr>
  </w:style>
  <w:style w:type="paragraph" w:customStyle="1" w:styleId="Tablefin">
    <w:name w:val="Table_fin"/>
    <w:basedOn w:val="Tabletext"/>
    <w:rsid w:val="003C1D3F"/>
    <w:pPr>
      <w:spacing w:before="0" w:after="0"/>
    </w:pPr>
  </w:style>
  <w:style w:type="paragraph" w:styleId="Revision">
    <w:name w:val="Revision"/>
    <w:hidden/>
    <w:uiPriority w:val="99"/>
    <w:semiHidden/>
    <w:rsid w:val="00FC7D11"/>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E4421"/>
    <w:rPr>
      <w:b/>
      <w:bCs/>
    </w:rPr>
  </w:style>
  <w:style w:type="character" w:customStyle="1" w:styleId="CommentSubjectChar">
    <w:name w:val="Comment Subject Char"/>
    <w:basedOn w:val="CommentTextChar"/>
    <w:link w:val="CommentSubject"/>
    <w:semiHidden/>
    <w:rsid w:val="006E4421"/>
    <w:rPr>
      <w:rFonts w:ascii="Calibri" w:hAnsi="Calibri"/>
      <w:b/>
      <w:bCs/>
      <w:lang w:val="en-GB" w:eastAsia="en-US"/>
    </w:rPr>
  </w:style>
  <w:style w:type="character" w:styleId="Mention">
    <w:name w:val="Mention"/>
    <w:basedOn w:val="DefaultParagraphFont"/>
    <w:uiPriority w:val="99"/>
    <w:unhideWhenUsed/>
    <w:rsid w:val="006E44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itu.int%2Fdms_pub%2Fitu-d%2Fmd%2F26%2Ftdag33%2Fc%2FD26-TDAG33-C-0004!!MSW-E.docx&amp;wdOrigin=BROWSELINK" TargetMode="External"/><Relationship Id="rId18" Type="http://schemas.openxmlformats.org/officeDocument/2006/relationships/hyperlink" Target="https://view.officeapps.live.com/op/view.aspx?src=https%3A%2F%2Fwww.itu.int%2Fdms_pub%2Fitu-d%2Fmd%2F26%2Ftdag33%2Fc%2FD26-TDAG33-C-0002!!MSW-E.docx&amp;wdOrigin=BROWSELINK" TargetMode="External"/><Relationship Id="rId26" Type="http://schemas.openxmlformats.org/officeDocument/2006/relationships/hyperlink" Target="https://academy.itu.int/index.php/main-activities/digital-transformation-centres-initiative" TargetMode="External"/><Relationship Id="rId3" Type="http://schemas.openxmlformats.org/officeDocument/2006/relationships/customXml" Target="../customXml/item3.xml"/><Relationship Id="rId21" Type="http://schemas.openxmlformats.org/officeDocument/2006/relationships/hyperlink" Target="https://www.itu.int/itu-d/reports/statistics/facts-figures-202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tuint.sharepoint.com/:w:/r/sites/TDAG/_layouts/15/Doc.aspx?sourcedoc=%7BFB84FBC1-E446-4DE9-8F54-55C6908A27AC%7D&amp;file=002E_Add1_V_clean_TDAG26_Update%20on%20the%20Report%20on%20implementation%20of%20KAP_Feb%2025_FT.docx&amp;action=default&amp;mobileredirect=true" TargetMode="External"/><Relationship Id="rId17" Type="http://schemas.openxmlformats.org/officeDocument/2006/relationships/hyperlink" Target="https://www.itu.int/itu-d/meetings/wtdc25/wp-content/uploads/sites/29/2025/11/090-E.pdf" TargetMode="External"/><Relationship Id="rId25" Type="http://schemas.openxmlformats.org/officeDocument/2006/relationships/hyperlink" Target="https://www.itu.int/en/ITU-D/Statistics/Pages/capacitydev/default.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iew.officeapps.live.com/op/view.aspx?src=https%3A%2F%2Fwww.itu.int%2Fdms_pub%2Fitu-d%2Fmd%2F22%2Fwtdc25%2Fc%2FD22-WTDC25-C-0016!R1!MSW-E.docx&amp;wdOrigin=BROWSELINK" TargetMode="External"/><Relationship Id="rId20" Type="http://schemas.openxmlformats.org/officeDocument/2006/relationships/image" Target="media/image1.png"/><Relationship Id="rId29" Type="http://schemas.openxmlformats.org/officeDocument/2006/relationships/hyperlink" Target="https://view.officeapps.live.com/op/view.aspx?src=https%3A%2F%2Fwww.itu.int%2Fdms_pub%2Fitu-d%2Fmd%2F22%2Fwtdc25%2Fc%2FD22-WTDC25-C-0002!R2!MSW-E.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24" Type="http://schemas.openxmlformats.org/officeDocument/2006/relationships/hyperlink" Target="https://www.itu.int/itu-d/reports/statistics/facts-figures-for-sid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w.officeapps.live.com/op/view.aspx?src=https%3A%2F%2Fwww.itu.int%2Fdms_pub%2Fitu-d%2Fmd%2F22%2Fwtdc25%2Fc%2FD22-WTDC25-C-0002!N2!MSW-E.docx&amp;wdOrigin=BROWSELINK" TargetMode="External"/><Relationship Id="rId23" Type="http://schemas.openxmlformats.org/officeDocument/2006/relationships/hyperlink" Target="https://www.itu.int/itu-d/reports/statistics/facts-figures-for-lldc/" TargetMode="External"/><Relationship Id="rId28" Type="http://schemas.openxmlformats.org/officeDocument/2006/relationships/hyperlink" Target="https://view.officeapps.live.com/op/view.aspx?src=https%3A%2F%2Fwww.itu.int%2Fdms_pub%2Fitu-d%2Fmd%2F26%2Ftdag33%2Fc%2FD26-TDAG33-C-0002!!MSW-E.docx&amp;wdOrigin=BROWSELINK" TargetMode="External"/><Relationship Id="rId10" Type="http://schemas.openxmlformats.org/officeDocument/2006/relationships/endnotes" Target="endnotes.xml"/><Relationship Id="rId19" Type="http://schemas.openxmlformats.org/officeDocument/2006/relationships/hyperlink" Target="https://view.officeapps.live.com/op/view.aspx?src=https%3A%2F%2Fwww.itu.int%2Fdms_pub%2Fitu-d%2Fmd%2F22%2Fwtdc25%2Fc%2FD22-WTDC25-C-0002!R2!MSW-E.docx&amp;wdOrigin=BROWSELIN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int.sharepoint.com/:w:/r/sites/TDAG/_layouts/15/Doc.aspx?sourcedoc=%7B3D2F727B-39E6-47AB-BE23-8883DCE3C9AC%7D&amp;file=022E_V_revmarks_2_TDAG26_Repot%20LDCs.docx&amp;action=default&amp;mobileredirect=true" TargetMode="External"/><Relationship Id="rId22" Type="http://schemas.openxmlformats.org/officeDocument/2006/relationships/hyperlink" Target="https://www.itu.int/itu-d/reports/statistics/facts-figures-for-ldc/" TargetMode="External"/><Relationship Id="rId27" Type="http://schemas.openxmlformats.org/officeDocument/2006/relationships/hyperlink" Target="https://academy.itu.int/digital-capacity-governments/itu-academy-training-centres" TargetMode="External"/><Relationship Id="rId30"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council/Documents/basic-texts-2023/RES-030-E.pdf" TargetMode="External"/><Relationship Id="rId2" Type="http://schemas.openxmlformats.org/officeDocument/2006/relationships/hyperlink" Target="https://www.itu.int/partner2connect/pledges/explore-pledges/" TargetMode="External"/><Relationship Id="rId1" Type="http://schemas.openxmlformats.org/officeDocument/2006/relationships/hyperlink" Target="http://www.itu.int/itu-d/sites/ldcs/?lang=en" TargetMode="External"/><Relationship Id="rId4" Type="http://schemas.openxmlformats.org/officeDocument/2006/relationships/hyperlink" Target="https://www.itu.int/itu-d/meetings/wtdc25/wp-content/uploads/sites/29/2025/11/090-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5B33-7713-404E-B733-EF748768D73D}">
  <ds:schemaRefs>
    <ds:schemaRef ds:uri="http://schemas.microsoft.com/sharepoint/v3/contenttype/forms"/>
  </ds:schemaRefs>
</ds:datastoreItem>
</file>

<file path=customXml/itemProps2.xml><?xml version="1.0" encoding="utf-8"?>
<ds:datastoreItem xmlns:ds="http://schemas.openxmlformats.org/officeDocument/2006/customXml" ds:itemID="{F3F4E583-ECAF-43E0-AB09-301CD7C0F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DA0B7-E88C-4E83-AD3C-1F7841ED6876}">
  <ds:schemaRefs>
    <ds:schemaRef ds:uri="http://schemas.microsoft.com/office/2006/documentManagement/types"/>
    <ds:schemaRef ds:uri="http://purl.org/dc/elements/1.1/"/>
    <ds:schemaRef ds:uri="http://purl.org/dc/dcmitype/"/>
    <ds:schemaRef ds:uri="a4c22657-7647-457b-a399-8471255bb166"/>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4</TotalTime>
  <Pages>7</Pages>
  <Words>2538</Words>
  <Characters>18707</Characters>
  <Application>Microsoft Office Word</Application>
  <DocSecurity>0</DocSecurity>
  <Lines>381</Lines>
  <Paragraphs>181</Paragraphs>
  <ScaleCrop>false</ScaleCrop>
  <HeadingPairs>
    <vt:vector size="2" baseType="variant">
      <vt:variant>
        <vt:lpstr>Title</vt:lpstr>
      </vt:variant>
      <vt:variant>
        <vt:i4>1</vt:i4>
      </vt:variant>
    </vt:vector>
  </HeadingPairs>
  <TitlesOfParts>
    <vt:vector size="1" baseType="lpstr">
      <vt:lpstr>Report on the implementation of Resolution 30 (Rev. Bucharest, 2022) on special measures for least developed countries, landlocked developing countries, small island developing States and countries with economies in transition, 2025</vt:lpstr>
    </vt:vector>
  </TitlesOfParts>
  <Manager>General Secretariat</Manager>
  <Company>International Telecommunication Union (ITU)</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Resolution 30 (Rev. Bucharest, 2022) on special measures for least developed countries, landlocked developing countries, small island developing States and countries with economies in transition, 2025</dc:title>
  <dc:subject>ITU Council 2026</dc:subject>
  <dc:creator/>
  <cp:keywords>C26; C2026; Council 2026; PP26</cp:keywords>
  <dc:description/>
  <cp:lastModifiedBy>GBS</cp:lastModifiedBy>
  <cp:revision>3</cp:revision>
  <cp:lastPrinted>2000-07-18T04:30:00Z</cp:lastPrinted>
  <dcterms:created xsi:type="dcterms:W3CDTF">2026-03-30T14:42:00Z</dcterms:created>
  <dcterms:modified xsi:type="dcterms:W3CDTF">2026-03-30T14:46:00Z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