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64627DD5" w14:textId="77777777" w:rsidTr="00555C29">
        <w:trPr>
          <w:cantSplit/>
          <w:trHeight w:val="23"/>
        </w:trPr>
        <w:tc>
          <w:tcPr>
            <w:tcW w:w="3969" w:type="dxa"/>
            <w:vMerge w:val="restart"/>
            <w:tcMar>
              <w:left w:w="0" w:type="dxa"/>
            </w:tcMar>
          </w:tcPr>
          <w:p w14:paraId="6019F280" w14:textId="6CBA1D0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EE7B8A" w:rsidRPr="00EE7B8A">
              <w:rPr>
                <w:rFonts w:cstheme="minorHAnsi"/>
                <w:b/>
                <w:bCs/>
              </w:rPr>
              <w:t>PL-2</w:t>
            </w:r>
          </w:p>
        </w:tc>
        <w:tc>
          <w:tcPr>
            <w:tcW w:w="5245" w:type="dxa"/>
          </w:tcPr>
          <w:p w14:paraId="5E790931" w14:textId="66E17B70"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EE7B8A" w:rsidRPr="00EE7B8A">
              <w:rPr>
                <w:b/>
              </w:rPr>
              <w:t>74</w:t>
            </w:r>
            <w:r w:rsidRPr="00E24D59">
              <w:rPr>
                <w:b/>
                <w:lang w:val="fr-CH"/>
              </w:rPr>
              <w:t>-C</w:t>
            </w:r>
          </w:p>
        </w:tc>
      </w:tr>
      <w:tr w:rsidR="00E24D59" w:rsidRPr="00813E5E" w14:paraId="6E93C044" w14:textId="77777777" w:rsidTr="00555C29">
        <w:trPr>
          <w:cantSplit/>
        </w:trPr>
        <w:tc>
          <w:tcPr>
            <w:tcW w:w="3969" w:type="dxa"/>
            <w:vMerge/>
          </w:tcPr>
          <w:p w14:paraId="318236D6"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6B7E7D24" w14:textId="613451F4" w:rsidR="00E24D59" w:rsidRPr="00E85629" w:rsidRDefault="00EE7B8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74D4CCF5" w14:textId="77777777" w:rsidTr="00555C29">
        <w:trPr>
          <w:cantSplit/>
          <w:trHeight w:val="23"/>
        </w:trPr>
        <w:tc>
          <w:tcPr>
            <w:tcW w:w="3969" w:type="dxa"/>
            <w:vMerge/>
          </w:tcPr>
          <w:p w14:paraId="3543EA03"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97551EE" w14:textId="1F4BDEBF"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996FD6" w:rsidRPr="00996FD6">
              <w:rPr>
                <w:rFonts w:cstheme="minorHAnsi" w:hint="eastAsia"/>
                <w:b/>
                <w:bCs/>
                <w:lang w:val="ru-RU"/>
              </w:rPr>
              <w:t>英文</w:t>
            </w:r>
            <w:proofErr w:type="spellEnd"/>
          </w:p>
        </w:tc>
      </w:tr>
      <w:tr w:rsidR="00E24D59" w:rsidRPr="00813E5E" w14:paraId="39C007A2" w14:textId="77777777" w:rsidTr="00555C29">
        <w:trPr>
          <w:cantSplit/>
          <w:trHeight w:val="23"/>
        </w:trPr>
        <w:tc>
          <w:tcPr>
            <w:tcW w:w="3969" w:type="dxa"/>
          </w:tcPr>
          <w:p w14:paraId="22C7C75F" w14:textId="77777777" w:rsidR="00E24D59" w:rsidRPr="00813E5E" w:rsidRDefault="00E24D59" w:rsidP="00555C29">
            <w:pPr>
              <w:tabs>
                <w:tab w:val="left" w:pos="851"/>
              </w:tabs>
              <w:spacing w:line="240" w:lineRule="atLeast"/>
              <w:rPr>
                <w:b/>
              </w:rPr>
            </w:pPr>
          </w:p>
        </w:tc>
        <w:tc>
          <w:tcPr>
            <w:tcW w:w="5245" w:type="dxa"/>
          </w:tcPr>
          <w:p w14:paraId="65383E6F" w14:textId="77777777" w:rsidR="00E24D59" w:rsidRDefault="00E24D59" w:rsidP="00555C29">
            <w:pPr>
              <w:tabs>
                <w:tab w:val="left" w:pos="851"/>
              </w:tabs>
              <w:spacing w:before="0" w:line="240" w:lineRule="atLeast"/>
              <w:jc w:val="right"/>
              <w:rPr>
                <w:b/>
              </w:rPr>
            </w:pPr>
          </w:p>
        </w:tc>
      </w:tr>
      <w:tr w:rsidR="00E24D59" w:rsidRPr="00813E5E" w14:paraId="509973DE" w14:textId="77777777" w:rsidTr="00555C29">
        <w:trPr>
          <w:cantSplit/>
        </w:trPr>
        <w:tc>
          <w:tcPr>
            <w:tcW w:w="9214" w:type="dxa"/>
            <w:gridSpan w:val="2"/>
            <w:tcMar>
              <w:left w:w="0" w:type="dxa"/>
            </w:tcMar>
          </w:tcPr>
          <w:p w14:paraId="16F1AD7E" w14:textId="4C31DBE1"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341770" w14:paraId="351262ED" w14:textId="77777777" w:rsidTr="00555C29">
        <w:trPr>
          <w:cantSplit/>
        </w:trPr>
        <w:tc>
          <w:tcPr>
            <w:tcW w:w="9214" w:type="dxa"/>
            <w:gridSpan w:val="2"/>
            <w:tcMar>
              <w:left w:w="0" w:type="dxa"/>
            </w:tcMar>
          </w:tcPr>
          <w:p w14:paraId="29FEF539" w14:textId="7CF9E997" w:rsidR="00E24D59" w:rsidRPr="00C24DAC" w:rsidRDefault="00EB6EF6" w:rsidP="00EB6EF6">
            <w:pPr>
              <w:pStyle w:val="Subtitle"/>
              <w:framePr w:hSpace="0" w:wrap="auto" w:vAnchor="margin" w:hAnchor="text" w:xAlign="left" w:yAlign="inline"/>
            </w:pPr>
            <w:bookmarkStart w:id="6" w:name="dtitle1" w:colFirst="0" w:colLast="0"/>
            <w:bookmarkEnd w:id="5"/>
            <w:r w:rsidRPr="00EE7B8A">
              <w:rPr>
                <w:lang w:val="en-GB"/>
              </w:rPr>
              <w:t>2025</w:t>
            </w:r>
            <w:r>
              <w:rPr>
                <w:rFonts w:hint="eastAsia"/>
                <w:lang w:val="en-GB"/>
              </w:rPr>
              <w:t>年</w:t>
            </w:r>
            <w:r w:rsidR="002E3517">
              <w:rPr>
                <w:rFonts w:hint="eastAsia"/>
                <w:lang w:val="en-GB"/>
              </w:rPr>
              <w:t>关于</w:t>
            </w:r>
            <w:r w:rsidRPr="00EB6EF6">
              <w:rPr>
                <w:rFonts w:hint="eastAsia"/>
                <w:lang w:val="en-GB"/>
              </w:rPr>
              <w:t>针对最不发达国家</w:t>
            </w:r>
            <w:r>
              <w:rPr>
                <w:rFonts w:hint="eastAsia"/>
                <w:lang w:val="en-GB"/>
              </w:rPr>
              <w:t>、</w:t>
            </w:r>
            <w:r w:rsidR="002E3517" w:rsidRPr="00EB6EF6">
              <w:rPr>
                <w:rFonts w:hint="eastAsia"/>
                <w:lang w:val="en-GB"/>
              </w:rPr>
              <w:t>内陆发展中国家</w:t>
            </w:r>
            <w:r>
              <w:rPr>
                <w:rFonts w:hint="eastAsia"/>
                <w:lang w:val="en-GB"/>
              </w:rPr>
              <w:t>、</w:t>
            </w:r>
            <w:r w:rsidR="002E3517" w:rsidRPr="00EB6EF6">
              <w:rPr>
                <w:rFonts w:hint="eastAsia"/>
                <w:lang w:val="en-GB"/>
              </w:rPr>
              <w:t>小岛屿发展中国家</w:t>
            </w:r>
            <w:r w:rsidRPr="00EB6EF6">
              <w:rPr>
                <w:rFonts w:hint="eastAsia"/>
                <w:lang w:val="en-GB"/>
              </w:rPr>
              <w:t>和经济转型国家</w:t>
            </w:r>
            <w:r w:rsidR="000A662F">
              <w:rPr>
                <w:rFonts w:hint="eastAsia"/>
                <w:lang w:val="en-GB"/>
              </w:rPr>
              <w:t>的</w:t>
            </w:r>
            <w:r w:rsidRPr="00EB6EF6">
              <w:rPr>
                <w:rFonts w:hint="eastAsia"/>
                <w:lang w:val="en-GB"/>
              </w:rPr>
              <w:t>特别措施</w:t>
            </w:r>
            <w:r>
              <w:rPr>
                <w:rFonts w:hint="eastAsia"/>
                <w:lang w:val="en-GB"/>
              </w:rPr>
              <w:t>的</w:t>
            </w:r>
            <w:r w:rsidRPr="00EB6EF6">
              <w:rPr>
                <w:rFonts w:hint="eastAsia"/>
                <w:lang w:val="en-GB"/>
              </w:rPr>
              <w:t>第</w:t>
            </w:r>
            <w:r w:rsidRPr="00EE7B8A">
              <w:rPr>
                <w:lang w:val="en-GB"/>
              </w:rPr>
              <w:t>30</w:t>
            </w:r>
            <w:r w:rsidRPr="00EB6EF6">
              <w:rPr>
                <w:rFonts w:hint="eastAsia"/>
                <w:lang w:val="en-GB"/>
              </w:rPr>
              <w:t>号决议</w:t>
            </w:r>
            <w:r>
              <w:rPr>
                <w:rFonts w:hint="eastAsia"/>
                <w:lang w:val="en-GB"/>
              </w:rPr>
              <w:t>（</w:t>
            </w:r>
            <w:r w:rsidRPr="00EE7B8A">
              <w:rPr>
                <w:lang w:val="en-GB"/>
              </w:rPr>
              <w:t>2022</w:t>
            </w:r>
            <w:r w:rsidRPr="00EB6EF6">
              <w:rPr>
                <w:rFonts w:hint="eastAsia"/>
                <w:lang w:val="en-GB"/>
              </w:rPr>
              <w:t>年</w:t>
            </w:r>
            <w:r>
              <w:rPr>
                <w:rFonts w:hint="eastAsia"/>
                <w:lang w:val="en-GB"/>
              </w:rPr>
              <w:t>，</w:t>
            </w:r>
            <w:r w:rsidRPr="00EB6EF6">
              <w:rPr>
                <w:rFonts w:hint="eastAsia"/>
                <w:lang w:val="en-GB"/>
              </w:rPr>
              <w:t>布加勒斯特</w:t>
            </w:r>
            <w:r>
              <w:rPr>
                <w:rFonts w:hint="eastAsia"/>
                <w:lang w:val="en-GB"/>
              </w:rPr>
              <w:t>，</w:t>
            </w:r>
            <w:r w:rsidRPr="00EB6EF6">
              <w:rPr>
                <w:rFonts w:hint="eastAsia"/>
                <w:lang w:val="en-GB"/>
              </w:rPr>
              <w:t>修订版</w:t>
            </w:r>
            <w:r>
              <w:rPr>
                <w:rFonts w:hint="eastAsia"/>
                <w:lang w:val="en-GB"/>
              </w:rPr>
              <w:t>）</w:t>
            </w:r>
            <w:r w:rsidR="002E3517" w:rsidRPr="002E3517">
              <w:rPr>
                <w:rFonts w:hint="eastAsia"/>
              </w:rPr>
              <w:t>执行</w:t>
            </w:r>
            <w:r w:rsidRPr="002E3517">
              <w:rPr>
                <w:rFonts w:hint="eastAsia"/>
              </w:rPr>
              <w:t>情</w:t>
            </w:r>
            <w:r w:rsidRPr="009255C8">
              <w:rPr>
                <w:rFonts w:hint="eastAsia"/>
              </w:rPr>
              <w:t>况的报告</w:t>
            </w:r>
          </w:p>
        </w:tc>
      </w:tr>
      <w:tr w:rsidR="00E24D59" w:rsidRPr="00813E5E" w14:paraId="19A617CB" w14:textId="77777777" w:rsidTr="00555C29">
        <w:trPr>
          <w:cantSplit/>
        </w:trPr>
        <w:tc>
          <w:tcPr>
            <w:tcW w:w="9214" w:type="dxa"/>
            <w:gridSpan w:val="2"/>
            <w:tcBorders>
              <w:top w:val="single" w:sz="4" w:space="0" w:color="auto"/>
              <w:bottom w:val="single" w:sz="4" w:space="0" w:color="auto"/>
            </w:tcBorders>
            <w:tcMar>
              <w:left w:w="0" w:type="dxa"/>
            </w:tcMar>
          </w:tcPr>
          <w:p w14:paraId="1D69E20F" w14:textId="36E4B2A7" w:rsidR="003F086E" w:rsidRPr="00477D57" w:rsidRDefault="003F086E" w:rsidP="00555C29">
            <w:pPr>
              <w:rPr>
                <w:b/>
                <w:bCs/>
                <w:lang w:eastAsia="zh-CN"/>
              </w:rPr>
            </w:pPr>
            <w:r w:rsidRPr="00477D57">
              <w:rPr>
                <w:b/>
                <w:bCs/>
                <w:lang w:eastAsia="zh-CN"/>
              </w:rPr>
              <w:t>目的</w:t>
            </w:r>
          </w:p>
          <w:p w14:paraId="021229A0" w14:textId="20F30A80" w:rsidR="003F086E" w:rsidRPr="00EE7B8A" w:rsidRDefault="009255C8" w:rsidP="00FD32D7">
            <w:pPr>
              <w:ind w:firstLineChars="200" w:firstLine="480"/>
              <w:rPr>
                <w:rFonts w:eastAsiaTheme="majorEastAsia" w:cs="Calibri"/>
                <w:lang w:eastAsia="zh-CN"/>
              </w:rPr>
            </w:pPr>
            <w:r w:rsidRPr="009255C8">
              <w:rPr>
                <w:rFonts w:eastAsiaTheme="majorEastAsia" w:cs="Calibri" w:hint="eastAsia"/>
                <w:lang w:eastAsia="zh-CN"/>
              </w:rPr>
              <w:t>本文件向国际电联理事会报告全权代表大会</w:t>
            </w:r>
            <w:r w:rsidR="00EB6EF6" w:rsidRPr="00EB6EF6">
              <w:rPr>
                <w:rFonts w:eastAsiaTheme="majorEastAsia" w:cs="Calibri" w:hint="eastAsia"/>
                <w:lang w:eastAsia="zh-CN"/>
              </w:rPr>
              <w:t>第</w:t>
            </w:r>
            <w:r w:rsidR="00EB6EF6" w:rsidRPr="00EE7B8A">
              <w:rPr>
                <w:rFonts w:eastAsiaTheme="majorEastAsia" w:cs="Calibri"/>
                <w:lang w:eastAsia="zh-CN"/>
              </w:rPr>
              <w:t>30</w:t>
            </w:r>
            <w:r w:rsidR="00EB6EF6" w:rsidRPr="00EB6EF6">
              <w:rPr>
                <w:rFonts w:eastAsiaTheme="majorEastAsia" w:cs="Calibri" w:hint="eastAsia"/>
                <w:lang w:eastAsia="zh-CN"/>
              </w:rPr>
              <w:t>号决议</w:t>
            </w:r>
            <w:r w:rsidR="00EB6EF6">
              <w:rPr>
                <w:rFonts w:eastAsiaTheme="majorEastAsia" w:cs="Calibri" w:hint="eastAsia"/>
                <w:lang w:eastAsia="zh-CN"/>
              </w:rPr>
              <w:t>（</w:t>
            </w:r>
            <w:r w:rsidR="00EB6EF6" w:rsidRPr="00EE7B8A">
              <w:rPr>
                <w:rFonts w:eastAsiaTheme="majorEastAsia" w:cs="Calibri"/>
                <w:lang w:eastAsia="zh-CN"/>
              </w:rPr>
              <w:t>2022</w:t>
            </w:r>
            <w:r w:rsidR="00EB6EF6" w:rsidRPr="00EB6EF6">
              <w:rPr>
                <w:rFonts w:eastAsiaTheme="majorEastAsia" w:cs="Calibri" w:hint="eastAsia"/>
                <w:lang w:eastAsia="zh-CN"/>
              </w:rPr>
              <w:t>年</w:t>
            </w:r>
            <w:r w:rsidR="00EB6EF6">
              <w:rPr>
                <w:rFonts w:eastAsiaTheme="majorEastAsia" w:cs="Calibri" w:hint="eastAsia"/>
                <w:lang w:eastAsia="zh-CN"/>
              </w:rPr>
              <w:t>，</w:t>
            </w:r>
            <w:r w:rsidR="00EB6EF6" w:rsidRPr="00EB6EF6">
              <w:rPr>
                <w:rFonts w:eastAsiaTheme="majorEastAsia" w:cs="Calibri" w:hint="eastAsia"/>
                <w:lang w:eastAsia="zh-CN"/>
              </w:rPr>
              <w:t>布加勒斯特</w:t>
            </w:r>
            <w:r w:rsidR="00EB6EF6">
              <w:rPr>
                <w:rFonts w:eastAsiaTheme="majorEastAsia" w:cs="Calibri" w:hint="eastAsia"/>
                <w:lang w:eastAsia="zh-CN"/>
              </w:rPr>
              <w:t>，</w:t>
            </w:r>
            <w:r w:rsidR="00EB6EF6" w:rsidRPr="00EB6EF6">
              <w:rPr>
                <w:rFonts w:eastAsiaTheme="majorEastAsia" w:cs="Calibri" w:hint="eastAsia"/>
                <w:lang w:eastAsia="zh-CN"/>
              </w:rPr>
              <w:t>修订版</w:t>
            </w:r>
            <w:r w:rsidR="00EB6EF6">
              <w:rPr>
                <w:rFonts w:eastAsiaTheme="majorEastAsia" w:cs="Calibri" w:hint="eastAsia"/>
                <w:lang w:eastAsia="zh-CN"/>
              </w:rPr>
              <w:t>）</w:t>
            </w:r>
            <w:r w:rsidRPr="009255C8">
              <w:rPr>
                <w:rFonts w:eastAsiaTheme="majorEastAsia" w:cs="Calibri" w:hint="eastAsia"/>
                <w:lang w:eastAsia="zh-CN"/>
              </w:rPr>
              <w:t>的</w:t>
            </w:r>
            <w:r w:rsidR="009C69EF">
              <w:rPr>
                <w:rFonts w:eastAsiaTheme="majorEastAsia" w:cs="Calibri" w:hint="eastAsia"/>
                <w:lang w:eastAsia="zh-CN"/>
              </w:rPr>
              <w:t>执行</w:t>
            </w:r>
            <w:r w:rsidRPr="009255C8">
              <w:rPr>
                <w:rFonts w:eastAsiaTheme="majorEastAsia" w:cs="Calibri" w:hint="eastAsia"/>
                <w:lang w:eastAsia="zh-CN"/>
              </w:rPr>
              <w:t>情况</w:t>
            </w:r>
            <w:r w:rsidR="00EB6EF6">
              <w:rPr>
                <w:rFonts w:eastAsiaTheme="majorEastAsia" w:cs="Calibri" w:hint="eastAsia"/>
                <w:lang w:eastAsia="zh-CN"/>
              </w:rPr>
              <w:t>。</w:t>
            </w:r>
          </w:p>
          <w:p w14:paraId="0DD3A03E" w14:textId="77777777" w:rsidR="003F086E" w:rsidRPr="00477D57" w:rsidRDefault="003F086E" w:rsidP="00555C29">
            <w:pPr>
              <w:rPr>
                <w:b/>
                <w:bCs/>
                <w:lang w:eastAsia="zh-CN"/>
              </w:rPr>
            </w:pPr>
            <w:r w:rsidRPr="00477D57">
              <w:rPr>
                <w:b/>
                <w:bCs/>
                <w:lang w:eastAsia="zh-CN"/>
              </w:rPr>
              <w:t>理事会需采取的行动</w:t>
            </w:r>
          </w:p>
          <w:p w14:paraId="0AB71816" w14:textId="74662AEF" w:rsidR="003F086E" w:rsidRPr="00EE7B8A" w:rsidRDefault="009255C8" w:rsidP="00FD32D7">
            <w:pPr>
              <w:ind w:firstLineChars="200" w:firstLine="480"/>
              <w:rPr>
                <w:rFonts w:eastAsiaTheme="majorEastAsia" w:cs="Calibri"/>
                <w:lang w:eastAsia="zh-CN"/>
              </w:rPr>
            </w:pPr>
            <w:r w:rsidRPr="009255C8">
              <w:rPr>
                <w:rFonts w:eastAsiaTheme="majorEastAsia" w:cs="Calibri" w:hint="eastAsia"/>
                <w:lang w:eastAsia="zh-CN"/>
              </w:rPr>
              <w:t>请理事会将本报告</w:t>
            </w:r>
            <w:r w:rsidRPr="00EB6EF6">
              <w:rPr>
                <w:rFonts w:eastAsiaTheme="majorEastAsia" w:cs="Calibri" w:hint="eastAsia"/>
                <w:b/>
                <w:bCs/>
                <w:lang w:eastAsia="zh-CN"/>
              </w:rPr>
              <w:t>记录在案</w:t>
            </w:r>
            <w:r w:rsidRPr="009255C8">
              <w:rPr>
                <w:rFonts w:eastAsiaTheme="majorEastAsia" w:cs="Calibri" w:hint="eastAsia"/>
                <w:lang w:eastAsia="zh-CN"/>
              </w:rPr>
              <w:t>并</w:t>
            </w:r>
            <w:r w:rsidRPr="00EB6EF6">
              <w:rPr>
                <w:rFonts w:eastAsiaTheme="majorEastAsia" w:cs="Calibri" w:hint="eastAsia"/>
                <w:b/>
                <w:bCs/>
                <w:lang w:eastAsia="zh-CN"/>
              </w:rPr>
              <w:t>提供</w:t>
            </w:r>
            <w:r w:rsidRPr="009255C8">
              <w:rPr>
                <w:rFonts w:eastAsiaTheme="majorEastAsia" w:cs="Calibri" w:hint="eastAsia"/>
                <w:lang w:eastAsia="zh-CN"/>
              </w:rPr>
              <w:t>进一步指导</w:t>
            </w:r>
            <w:r w:rsidR="00EB6EF6">
              <w:rPr>
                <w:rFonts w:eastAsiaTheme="majorEastAsia" w:cs="Calibri" w:hint="eastAsia"/>
                <w:lang w:eastAsia="zh-CN"/>
              </w:rPr>
              <w:t>。</w:t>
            </w:r>
          </w:p>
          <w:p w14:paraId="2D23B8E5"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4E78E5CF" w14:textId="7EA8FAF5" w:rsidR="003F086E" w:rsidRPr="00EE7B8A" w:rsidRDefault="009255C8" w:rsidP="00FD32D7">
            <w:pPr>
              <w:ind w:firstLineChars="200" w:firstLine="480"/>
              <w:rPr>
                <w:rFonts w:eastAsiaTheme="majorEastAsia" w:cs="Calibri"/>
                <w:lang w:eastAsia="zh-CN"/>
              </w:rPr>
            </w:pPr>
            <w:r w:rsidRPr="009255C8">
              <w:rPr>
                <w:rFonts w:eastAsiaTheme="majorEastAsia" w:cs="Calibri" w:hint="eastAsia"/>
                <w:lang w:eastAsia="zh-CN"/>
              </w:rPr>
              <w:t>召集平台</w:t>
            </w:r>
            <w:r w:rsidR="00EB6EF6">
              <w:rPr>
                <w:rFonts w:eastAsiaTheme="majorEastAsia" w:cs="Calibri" w:hint="eastAsia"/>
                <w:lang w:eastAsia="zh-CN"/>
              </w:rPr>
              <w:t>；</w:t>
            </w:r>
            <w:r w:rsidRPr="009255C8">
              <w:rPr>
                <w:rFonts w:eastAsiaTheme="majorEastAsia" w:cs="Calibri" w:hint="eastAsia"/>
                <w:lang w:eastAsia="zh-CN"/>
              </w:rPr>
              <w:t>成员驱动</w:t>
            </w:r>
            <w:r w:rsidR="00EB6EF6">
              <w:rPr>
                <w:rFonts w:eastAsiaTheme="majorEastAsia" w:cs="Calibri" w:hint="eastAsia"/>
                <w:lang w:eastAsia="zh-CN"/>
              </w:rPr>
              <w:t>；</w:t>
            </w:r>
            <w:r w:rsidR="009C69EF" w:rsidRPr="009C69EF">
              <w:rPr>
                <w:rFonts w:eastAsiaTheme="majorEastAsia" w:cs="Calibri" w:hint="eastAsia"/>
                <w:lang w:eastAsia="zh-CN"/>
              </w:rPr>
              <w:t>区域代表性</w:t>
            </w:r>
            <w:r w:rsidR="00EB6EF6">
              <w:rPr>
                <w:rFonts w:eastAsiaTheme="majorEastAsia" w:cs="Calibri" w:hint="eastAsia"/>
                <w:lang w:eastAsia="zh-CN"/>
              </w:rPr>
              <w:t>；</w:t>
            </w:r>
            <w:r w:rsidRPr="009255C8">
              <w:rPr>
                <w:rFonts w:eastAsiaTheme="majorEastAsia" w:cs="Calibri" w:hint="eastAsia"/>
                <w:lang w:eastAsia="zh-CN"/>
              </w:rPr>
              <w:t>所有主题重点</w:t>
            </w:r>
            <w:r w:rsidR="00EE26A6" w:rsidRPr="00664A43">
              <w:rPr>
                <w:rFonts w:eastAsiaTheme="majorEastAsia" w:cs="Calibri" w:hint="eastAsia"/>
                <w:lang w:eastAsia="zh-CN"/>
              </w:rPr>
              <w:t>。</w:t>
            </w:r>
          </w:p>
          <w:p w14:paraId="0F150E05" w14:textId="77777777" w:rsidR="003F086E" w:rsidRPr="00477D57" w:rsidRDefault="003F086E" w:rsidP="00555C29">
            <w:pPr>
              <w:rPr>
                <w:b/>
                <w:bCs/>
                <w:lang w:eastAsia="zh-CN"/>
              </w:rPr>
            </w:pPr>
            <w:r w:rsidRPr="00477D57">
              <w:rPr>
                <w:b/>
                <w:bCs/>
                <w:lang w:eastAsia="zh-CN"/>
              </w:rPr>
              <w:t>财务影响</w:t>
            </w:r>
          </w:p>
          <w:p w14:paraId="35C784CC" w14:textId="22DCD5D1" w:rsidR="008F64AD" w:rsidRPr="00EE7B8A" w:rsidRDefault="00A25E91" w:rsidP="00FD32D7">
            <w:pPr>
              <w:ind w:firstLineChars="200" w:firstLine="480"/>
              <w:rPr>
                <w:rFonts w:eastAsiaTheme="majorEastAsia" w:cs="Calibri"/>
                <w:lang w:eastAsia="zh-CN"/>
              </w:rPr>
            </w:pPr>
            <w:r w:rsidRPr="00EE26A6">
              <w:rPr>
                <w:rFonts w:eastAsiaTheme="majorEastAsia" w:cs="Calibri" w:hint="eastAsia"/>
                <w:lang w:eastAsia="zh-CN"/>
              </w:rPr>
              <w:t>第</w:t>
            </w:r>
            <w:r w:rsidRPr="00EE7B8A">
              <w:rPr>
                <w:rFonts w:eastAsiaTheme="majorEastAsia" w:cs="Calibri"/>
                <w:lang w:eastAsia="zh-CN"/>
              </w:rPr>
              <w:t>30</w:t>
            </w:r>
            <w:r w:rsidRPr="00EE26A6">
              <w:rPr>
                <w:rFonts w:eastAsiaTheme="majorEastAsia" w:cs="Calibri" w:hint="eastAsia"/>
                <w:lang w:eastAsia="zh-CN"/>
              </w:rPr>
              <w:t>号决议</w:t>
            </w:r>
            <w:r>
              <w:rPr>
                <w:rFonts w:eastAsiaTheme="majorEastAsia" w:cs="Calibri" w:hint="eastAsia"/>
                <w:lang w:eastAsia="zh-CN"/>
              </w:rPr>
              <w:t>（</w:t>
            </w:r>
            <w:r w:rsidRPr="00EE7B8A">
              <w:rPr>
                <w:rFonts w:eastAsiaTheme="majorEastAsia" w:cs="Calibri"/>
                <w:lang w:eastAsia="zh-CN"/>
              </w:rPr>
              <w:t>2022</w:t>
            </w:r>
            <w:r w:rsidRPr="00EE26A6">
              <w:rPr>
                <w:rFonts w:eastAsiaTheme="majorEastAsia" w:cs="Calibri" w:hint="eastAsia"/>
                <w:lang w:eastAsia="zh-CN"/>
              </w:rPr>
              <w:t>年</w:t>
            </w:r>
            <w:r>
              <w:rPr>
                <w:rFonts w:eastAsiaTheme="majorEastAsia" w:cs="Calibri" w:hint="eastAsia"/>
                <w:lang w:eastAsia="zh-CN"/>
              </w:rPr>
              <w:t>，</w:t>
            </w:r>
            <w:r w:rsidRPr="00EE26A6">
              <w:rPr>
                <w:rFonts w:eastAsiaTheme="majorEastAsia" w:cs="Calibri" w:hint="eastAsia"/>
                <w:lang w:eastAsia="zh-CN"/>
              </w:rPr>
              <w:t>布加勒斯特</w:t>
            </w:r>
            <w:r>
              <w:rPr>
                <w:rFonts w:eastAsiaTheme="majorEastAsia" w:cs="Calibri" w:hint="eastAsia"/>
                <w:lang w:eastAsia="zh-CN"/>
              </w:rPr>
              <w:t>，</w:t>
            </w:r>
            <w:r w:rsidRPr="00EE26A6">
              <w:rPr>
                <w:rFonts w:eastAsiaTheme="majorEastAsia" w:cs="Calibri" w:hint="eastAsia"/>
                <w:lang w:eastAsia="zh-CN"/>
              </w:rPr>
              <w:t>修订版</w:t>
            </w:r>
            <w:r>
              <w:rPr>
                <w:rFonts w:eastAsiaTheme="majorEastAsia" w:cs="Calibri" w:hint="eastAsia"/>
                <w:lang w:eastAsia="zh-CN"/>
              </w:rPr>
              <w:t>）正由</w:t>
            </w:r>
            <w:r w:rsidR="009255C8" w:rsidRPr="009255C8">
              <w:rPr>
                <w:rFonts w:eastAsiaTheme="majorEastAsia" w:cs="Calibri" w:hint="eastAsia"/>
                <w:lang w:eastAsia="zh-CN"/>
              </w:rPr>
              <w:t>电信发展局</w:t>
            </w:r>
            <w:r w:rsidR="00EE26A6">
              <w:rPr>
                <w:rFonts w:eastAsiaTheme="majorEastAsia" w:cs="Calibri" w:hint="eastAsia"/>
                <w:lang w:eastAsia="zh-CN"/>
              </w:rPr>
              <w:t>（</w:t>
            </w:r>
            <w:r w:rsidR="00EE26A6" w:rsidRPr="00EE7B8A">
              <w:rPr>
                <w:rFonts w:eastAsiaTheme="majorEastAsia" w:cs="Calibri"/>
                <w:lang w:eastAsia="zh-CN"/>
              </w:rPr>
              <w:t>BDT</w:t>
            </w:r>
            <w:r w:rsidR="00EE26A6">
              <w:rPr>
                <w:rFonts w:eastAsiaTheme="majorEastAsia" w:cs="Calibri" w:hint="eastAsia"/>
                <w:lang w:eastAsia="zh-CN"/>
              </w:rPr>
              <w:t>）</w:t>
            </w:r>
            <w:r w:rsidR="009255C8" w:rsidRPr="009255C8">
              <w:rPr>
                <w:rFonts w:eastAsiaTheme="majorEastAsia" w:cs="Calibri" w:hint="eastAsia"/>
                <w:lang w:eastAsia="zh-CN"/>
              </w:rPr>
              <w:t>利用正常预算以及通过项目和自愿捐款</w:t>
            </w:r>
            <w:r>
              <w:rPr>
                <w:rFonts w:eastAsiaTheme="majorEastAsia" w:cs="Calibri" w:hint="eastAsia"/>
                <w:lang w:eastAsia="zh-CN"/>
              </w:rPr>
              <w:t>获得</w:t>
            </w:r>
            <w:r w:rsidR="009255C8" w:rsidRPr="009255C8">
              <w:rPr>
                <w:rFonts w:eastAsiaTheme="majorEastAsia" w:cs="Calibri" w:hint="eastAsia"/>
                <w:lang w:eastAsia="zh-CN"/>
              </w:rPr>
              <w:t>的</w:t>
            </w:r>
            <w:r w:rsidR="009255C8" w:rsidRPr="00A25E91">
              <w:rPr>
                <w:rFonts w:eastAsiaTheme="majorEastAsia" w:cs="Calibri" w:hint="eastAsia"/>
                <w:lang w:eastAsia="zh-CN"/>
              </w:rPr>
              <w:t>预算外资金</w:t>
            </w:r>
            <w:r w:rsidRPr="00A25E91">
              <w:rPr>
                <w:rFonts w:eastAsiaTheme="majorEastAsia" w:cs="Calibri" w:hint="eastAsia"/>
                <w:lang w:eastAsia="zh-CN"/>
              </w:rPr>
              <w:t>予以实施</w:t>
            </w:r>
            <w:r w:rsidR="00EE26A6">
              <w:rPr>
                <w:rFonts w:eastAsiaTheme="majorEastAsia" w:cs="Calibri" w:hint="eastAsia"/>
                <w:lang w:eastAsia="zh-CN"/>
              </w:rPr>
              <w:t>。</w:t>
            </w:r>
            <w:r w:rsidR="009255C8" w:rsidRPr="009255C8">
              <w:rPr>
                <w:rFonts w:eastAsiaTheme="majorEastAsia" w:cs="Calibri" w:hint="eastAsia"/>
                <w:lang w:eastAsia="zh-CN"/>
              </w:rPr>
              <w:t>一份</w:t>
            </w:r>
            <w:r w:rsidR="00EE26A6">
              <w:rPr>
                <w:rFonts w:eastAsiaTheme="majorEastAsia" w:cs="Calibri" w:hint="eastAsia"/>
                <w:lang w:eastAsia="zh-CN"/>
              </w:rPr>
              <w:t>关于</w:t>
            </w:r>
            <w:r w:rsidR="00EE26A6" w:rsidRPr="00EE7B8A">
              <w:rPr>
                <w:rFonts w:eastAsiaTheme="majorEastAsia" w:cs="Calibri"/>
                <w:lang w:eastAsia="zh-CN"/>
              </w:rPr>
              <w:t>20</w:t>
            </w:r>
            <w:r w:rsidR="00EE26A6">
              <w:rPr>
                <w:rFonts w:eastAsiaTheme="majorEastAsia" w:cs="Calibri" w:hint="eastAsia"/>
                <w:lang w:eastAsia="zh-CN"/>
              </w:rPr>
              <w:t>25</w:t>
            </w:r>
            <w:r w:rsidR="00EE26A6" w:rsidRPr="00EE26A6">
              <w:rPr>
                <w:rFonts w:eastAsiaTheme="majorEastAsia" w:cs="Calibri" w:hint="eastAsia"/>
                <w:lang w:eastAsia="zh-CN"/>
              </w:rPr>
              <w:t>年世界电信发展大会</w:t>
            </w:r>
            <w:r w:rsidR="00EE26A6">
              <w:rPr>
                <w:rFonts w:eastAsiaTheme="majorEastAsia" w:cs="Calibri" w:hint="eastAsia"/>
                <w:lang w:eastAsia="zh-CN"/>
              </w:rPr>
              <w:t>（</w:t>
            </w:r>
            <w:r w:rsidR="00EE26A6" w:rsidRPr="00EE7B8A">
              <w:rPr>
                <w:rFonts w:eastAsiaTheme="majorEastAsia" w:cs="Calibri"/>
                <w:lang w:eastAsia="zh-CN"/>
              </w:rPr>
              <w:t>WTDC-25</w:t>
            </w:r>
            <w:r w:rsidR="00EE26A6">
              <w:rPr>
                <w:rFonts w:eastAsiaTheme="majorEastAsia" w:cs="Calibri" w:hint="eastAsia"/>
                <w:lang w:eastAsia="zh-CN"/>
              </w:rPr>
              <w:t>）</w:t>
            </w:r>
            <w:r w:rsidR="009255C8" w:rsidRPr="009255C8">
              <w:rPr>
                <w:rFonts w:eastAsiaTheme="majorEastAsia" w:cs="Calibri" w:hint="eastAsia"/>
                <w:lang w:eastAsia="zh-CN"/>
              </w:rPr>
              <w:t>所通过</w:t>
            </w:r>
            <w:r w:rsidR="00C866A9">
              <w:rPr>
                <w:rFonts w:eastAsiaTheme="majorEastAsia" w:cs="Calibri" w:hint="eastAsia"/>
                <w:lang w:eastAsia="zh-CN"/>
              </w:rPr>
              <w:t>各项</w:t>
            </w:r>
            <w:r w:rsidR="009255C8" w:rsidRPr="009255C8">
              <w:rPr>
                <w:rFonts w:eastAsiaTheme="majorEastAsia" w:cs="Calibri" w:hint="eastAsia"/>
                <w:lang w:eastAsia="zh-CN"/>
              </w:rPr>
              <w:t>决议的财务影响的单独报告已提交</w:t>
            </w:r>
            <w:r w:rsidR="00EE26A6">
              <w:rPr>
                <w:rFonts w:eastAsiaTheme="majorEastAsia" w:cs="Calibri" w:hint="eastAsia"/>
                <w:lang w:eastAsia="zh-CN"/>
              </w:rPr>
              <w:t>给</w:t>
            </w:r>
            <w:r w:rsidR="009255C8" w:rsidRPr="009255C8">
              <w:rPr>
                <w:rFonts w:eastAsiaTheme="majorEastAsia" w:cs="Calibri" w:hint="eastAsia"/>
                <w:lang w:eastAsia="zh-CN"/>
              </w:rPr>
              <w:t>电信发展顾问组</w:t>
            </w:r>
            <w:r w:rsidR="00C866A9" w:rsidRPr="00EE7B8A">
              <w:rPr>
                <w:rFonts w:eastAsiaTheme="majorEastAsia" w:cs="Calibri"/>
                <w:lang w:eastAsia="zh-CN"/>
              </w:rPr>
              <w:t>2026</w:t>
            </w:r>
            <w:r w:rsidR="00C866A9">
              <w:rPr>
                <w:rFonts w:eastAsiaTheme="majorEastAsia" w:cs="Calibri" w:hint="eastAsia"/>
                <w:lang w:eastAsia="zh-CN"/>
              </w:rPr>
              <w:t>年</w:t>
            </w:r>
            <w:r w:rsidR="00EE26A6" w:rsidRPr="009255C8">
              <w:rPr>
                <w:rFonts w:eastAsiaTheme="majorEastAsia" w:cs="Calibri" w:hint="eastAsia"/>
                <w:lang w:eastAsia="zh-CN"/>
              </w:rPr>
              <w:t>会议</w:t>
            </w:r>
            <w:r w:rsidR="00EE26A6">
              <w:rPr>
                <w:rFonts w:eastAsiaTheme="majorEastAsia" w:cs="Calibri" w:hint="eastAsia"/>
                <w:lang w:eastAsia="zh-CN"/>
              </w:rPr>
              <w:t>（</w:t>
            </w:r>
            <w:proofErr w:type="spellStart"/>
            <w:r w:rsidR="00EE26A6" w:rsidRPr="00EE7B8A">
              <w:rPr>
                <w:rFonts w:eastAsiaTheme="majorEastAsia" w:cs="Calibri"/>
                <w:lang w:eastAsia="zh-CN"/>
              </w:rPr>
              <w:t>TDAG</w:t>
            </w:r>
            <w:proofErr w:type="spellEnd"/>
            <w:r w:rsidR="00EE26A6" w:rsidRPr="00EE7B8A">
              <w:rPr>
                <w:rFonts w:eastAsiaTheme="majorEastAsia" w:cs="Calibri"/>
                <w:lang w:eastAsia="zh-CN"/>
              </w:rPr>
              <w:t>-26</w:t>
            </w:r>
            <w:r w:rsidR="00EE26A6" w:rsidRPr="00B84F42">
              <w:rPr>
                <w:rFonts w:eastAsiaTheme="majorEastAsia" w:cs="Calibri" w:hint="eastAsia"/>
                <w:lang w:eastAsia="zh-CN"/>
              </w:rPr>
              <w:t>）。</w:t>
            </w:r>
          </w:p>
          <w:p w14:paraId="423E5BAD" w14:textId="77777777" w:rsidR="00E24D59" w:rsidRPr="00DA2D30" w:rsidRDefault="00DA2D30" w:rsidP="00DA2D30">
            <w:r>
              <w:t>_______________</w:t>
            </w:r>
          </w:p>
          <w:p w14:paraId="6D4FE651" w14:textId="77777777" w:rsidR="00E24D59" w:rsidRPr="00477D57" w:rsidRDefault="00E24D59" w:rsidP="00555C29">
            <w:pPr>
              <w:rPr>
                <w:b/>
                <w:bCs/>
                <w:lang w:eastAsia="zh-CN"/>
              </w:rPr>
            </w:pPr>
            <w:r w:rsidRPr="00477D57">
              <w:rPr>
                <w:rFonts w:hint="eastAsia"/>
                <w:b/>
                <w:bCs/>
                <w:lang w:eastAsia="zh-CN"/>
              </w:rPr>
              <w:t>参考文件</w:t>
            </w:r>
          </w:p>
          <w:p w14:paraId="2D43B5E7" w14:textId="21F701C5" w:rsidR="00E24D59" w:rsidRPr="00EE7B8A" w:rsidRDefault="00EE26A6" w:rsidP="00FD32D7">
            <w:pPr>
              <w:spacing w:after="120"/>
              <w:ind w:firstLineChars="200" w:firstLine="480"/>
              <w:rPr>
                <w:rFonts w:eastAsiaTheme="majorEastAsia" w:cs="Calibri"/>
                <w:i/>
                <w:iCs/>
                <w:sz w:val="22"/>
                <w:szCs w:val="22"/>
              </w:rPr>
            </w:pPr>
            <w:r w:rsidRPr="009255C8">
              <w:rPr>
                <w:rFonts w:ascii="STKaiti" w:eastAsia="STKaiti" w:hAnsi="STKaiti" w:hint="eastAsia"/>
                <w:lang w:eastAsia="zh-CN"/>
              </w:rPr>
              <w:t>电信发展顾问组</w:t>
            </w:r>
            <w:hyperlink r:id="rId8" w:history="1">
              <w:proofErr w:type="spellStart"/>
              <w:r w:rsidR="00EE7B8A" w:rsidRPr="00EE26A6">
                <w:rPr>
                  <w:rStyle w:val="Hyperlink"/>
                  <w:rFonts w:eastAsiaTheme="majorEastAsia" w:cs="Calibri"/>
                  <w:noProof w:val="0"/>
                  <w:sz w:val="22"/>
                  <w:szCs w:val="22"/>
                </w:rPr>
                <w:t>TDAG</w:t>
              </w:r>
              <w:proofErr w:type="spellEnd"/>
              <w:r w:rsidR="00EE7B8A" w:rsidRPr="00EE26A6">
                <w:rPr>
                  <w:rStyle w:val="Hyperlink"/>
                  <w:rFonts w:eastAsiaTheme="majorEastAsia" w:cs="Calibri"/>
                  <w:noProof w:val="0"/>
                  <w:sz w:val="22"/>
                  <w:szCs w:val="22"/>
                </w:rPr>
                <w:t>-26/2</w:t>
              </w:r>
            </w:hyperlink>
            <w:r w:rsidRPr="00EE26A6">
              <w:rPr>
                <w:rFonts w:ascii="STKaiti" w:eastAsia="STKaiti" w:hAnsi="STKaiti" w:hint="eastAsia"/>
                <w:lang w:eastAsia="zh-CN"/>
              </w:rPr>
              <w:t>、</w:t>
            </w:r>
            <w:r w:rsidR="00EE7B8A">
              <w:fldChar w:fldCharType="begin"/>
            </w:r>
            <w:r w:rsidR="00EE7B8A">
              <w:instrText>HYPERLINK "https://ituint.sharepoint.com/:w:/r/sites/TDAG/_layouts/15/Doc.aspx?sourcedoc=%7BFB84FBC1-E446-4DE9-8F54-55C6908A27AC%7D&amp;file=002E_Add1_V_clean_TDAG26_Update%20on%20the%20Report%20on%20implementation%20of%20KAP_Feb%2025_FT.docx&amp;action=default&amp;mobileredirect=true"</w:instrText>
            </w:r>
            <w:r w:rsidR="00EE7B8A">
              <w:fldChar w:fldCharType="separate"/>
            </w:r>
            <w:proofErr w:type="spellStart"/>
            <w:r w:rsidR="00EE7B8A" w:rsidRPr="00EE26A6">
              <w:rPr>
                <w:rStyle w:val="Hyperlink"/>
                <w:rFonts w:eastAsiaTheme="majorEastAsia" w:cs="Calibri"/>
                <w:noProof w:val="0"/>
                <w:sz w:val="22"/>
                <w:szCs w:val="22"/>
              </w:rPr>
              <w:t>TDAG</w:t>
            </w:r>
            <w:proofErr w:type="spellEnd"/>
            <w:r w:rsidR="00EE7B8A" w:rsidRPr="00EE26A6">
              <w:rPr>
                <w:rStyle w:val="Hyperlink"/>
                <w:rFonts w:eastAsiaTheme="majorEastAsia" w:cs="Calibri"/>
                <w:noProof w:val="0"/>
                <w:sz w:val="22"/>
                <w:szCs w:val="22"/>
              </w:rPr>
              <w:t>-26/2(</w:t>
            </w:r>
            <w:proofErr w:type="spellStart"/>
            <w:r w:rsidR="00EE7B8A" w:rsidRPr="00EE26A6">
              <w:rPr>
                <w:rStyle w:val="Hyperlink"/>
                <w:rFonts w:eastAsiaTheme="majorEastAsia" w:cs="Calibri"/>
                <w:noProof w:val="0"/>
                <w:sz w:val="22"/>
                <w:szCs w:val="22"/>
              </w:rPr>
              <w:t>Add.1</w:t>
            </w:r>
            <w:proofErr w:type="spellEnd"/>
            <w:r w:rsidR="00EE7B8A" w:rsidRPr="00EE26A6">
              <w:rPr>
                <w:rStyle w:val="Hyperlink"/>
                <w:rFonts w:eastAsiaTheme="majorEastAsia" w:cs="Calibri"/>
                <w:noProof w:val="0"/>
                <w:sz w:val="22"/>
                <w:szCs w:val="22"/>
              </w:rPr>
              <w:t>)</w:t>
            </w:r>
            <w:r w:rsidR="00EE7B8A">
              <w:fldChar w:fldCharType="end"/>
            </w:r>
            <w:r w:rsidRPr="00EE26A6">
              <w:rPr>
                <w:rFonts w:ascii="STKaiti" w:eastAsia="STKaiti" w:hAnsi="STKaiti" w:hint="eastAsia"/>
                <w:lang w:eastAsia="zh-CN"/>
              </w:rPr>
              <w:t>、</w:t>
            </w:r>
            <w:r w:rsidR="00EE7B8A">
              <w:fldChar w:fldCharType="begin"/>
            </w:r>
            <w:r w:rsidR="00EE7B8A">
              <w:instrText>HYPERLINK "https://view.officeapps.live.com/op/view.aspx?src=https%3A%2F%2Fwww.itu.int%2Fdms_pub%2Fitu-d%2Fmd%2F26%2Ftdag33%2Fc%2FD26-TDAG33-C-0004!!MSW-C.docx&amp;wdOrigin=BROWSELINK"</w:instrText>
            </w:r>
            <w:r w:rsidR="00EE7B8A">
              <w:fldChar w:fldCharType="separate"/>
            </w:r>
            <w:proofErr w:type="spellStart"/>
            <w:r w:rsidR="00EE7B8A" w:rsidRPr="00EE26A6">
              <w:rPr>
                <w:rStyle w:val="Hyperlink"/>
                <w:rFonts w:eastAsiaTheme="majorEastAsia" w:cs="Calibri"/>
                <w:noProof w:val="0"/>
                <w:sz w:val="22"/>
                <w:szCs w:val="22"/>
              </w:rPr>
              <w:t>TDAG</w:t>
            </w:r>
            <w:proofErr w:type="spellEnd"/>
            <w:r w:rsidR="00EE7B8A" w:rsidRPr="00EE26A6">
              <w:rPr>
                <w:rStyle w:val="Hyperlink"/>
                <w:rFonts w:eastAsiaTheme="majorEastAsia" w:cs="Calibri"/>
                <w:noProof w:val="0"/>
                <w:sz w:val="22"/>
                <w:szCs w:val="22"/>
              </w:rPr>
              <w:t>-26/4</w:t>
            </w:r>
            <w:r w:rsidR="00EE7B8A">
              <w:fldChar w:fldCharType="end"/>
            </w:r>
            <w:r w:rsidRPr="009255C8">
              <w:rPr>
                <w:rFonts w:ascii="STKaiti" w:eastAsia="STKaiti" w:hAnsi="STKaiti" w:hint="eastAsia"/>
                <w:lang w:eastAsia="zh-CN"/>
              </w:rPr>
              <w:t>和</w:t>
            </w:r>
            <w:r w:rsidR="00EE7B8A">
              <w:fldChar w:fldCharType="begin"/>
            </w:r>
            <w:r w:rsidR="00EE7B8A">
              <w:instrText>HYPERLINK "https://ituint.sharepoint.com/:w:/r/sites/TDAG/_layouts/15/Doc.aspx?sourcedoc=%7B3D2F727B-39E6-47AB-BE23-8883DCE3C9AC%7D&amp;file=022E_V_revmarks_2_TDAG26_Repot%20LDCs.docx&amp;action=default&amp;mobileredirect=true"</w:instrText>
            </w:r>
            <w:r w:rsidR="00EE7B8A">
              <w:fldChar w:fldCharType="separate"/>
            </w:r>
            <w:proofErr w:type="spellStart"/>
            <w:r w:rsidR="00EE7B8A" w:rsidRPr="00EE26A6">
              <w:rPr>
                <w:rStyle w:val="Hyperlink"/>
                <w:rFonts w:eastAsiaTheme="majorEastAsia" w:cs="Calibri"/>
                <w:noProof w:val="0"/>
                <w:sz w:val="22"/>
                <w:szCs w:val="22"/>
              </w:rPr>
              <w:t>TDAG</w:t>
            </w:r>
            <w:proofErr w:type="spellEnd"/>
            <w:r w:rsidR="00EE7B8A" w:rsidRPr="00EE26A6">
              <w:rPr>
                <w:rStyle w:val="Hyperlink"/>
                <w:rFonts w:eastAsiaTheme="majorEastAsia" w:cs="Calibri"/>
                <w:noProof w:val="0"/>
                <w:sz w:val="22"/>
                <w:szCs w:val="22"/>
              </w:rPr>
              <w:t>-26/22</w:t>
            </w:r>
            <w:r w:rsidR="00EE7B8A">
              <w:fldChar w:fldCharType="end"/>
            </w:r>
            <w:r w:rsidRPr="009255C8">
              <w:rPr>
                <w:rFonts w:ascii="STKaiti" w:eastAsia="STKaiti" w:hAnsi="STKaiti" w:hint="eastAsia"/>
                <w:lang w:eastAsia="zh-CN"/>
              </w:rPr>
              <w:t>号文件</w:t>
            </w:r>
            <w:r>
              <w:rPr>
                <w:rFonts w:ascii="STKaiti" w:eastAsia="STKaiti" w:hAnsi="STKaiti" w:hint="eastAsia"/>
                <w:lang w:eastAsia="zh-CN"/>
              </w:rPr>
              <w:t>；</w:t>
            </w:r>
            <w:r w:rsidRPr="009255C8">
              <w:rPr>
                <w:rFonts w:ascii="STKaiti" w:eastAsia="STKaiti" w:hAnsi="STKaiti" w:hint="eastAsia"/>
                <w:lang w:eastAsia="zh-CN"/>
              </w:rPr>
              <w:t>世界电信发展大会</w:t>
            </w:r>
            <w:hyperlink r:id="rId9" w:history="1">
              <w:r w:rsidR="00EE7B8A" w:rsidRPr="00EE26A6">
                <w:rPr>
                  <w:rStyle w:val="Hyperlink"/>
                  <w:rFonts w:eastAsiaTheme="majorEastAsia" w:cs="Calibri"/>
                  <w:noProof w:val="0"/>
                  <w:sz w:val="22"/>
                  <w:szCs w:val="22"/>
                </w:rPr>
                <w:t>WTDC-25/2(</w:t>
              </w:r>
              <w:proofErr w:type="spellStart"/>
              <w:r w:rsidR="00EE7B8A" w:rsidRPr="00EE26A6">
                <w:rPr>
                  <w:rStyle w:val="Hyperlink"/>
                  <w:rFonts w:eastAsiaTheme="majorEastAsia" w:cs="Calibri"/>
                  <w:noProof w:val="0"/>
                  <w:sz w:val="22"/>
                  <w:szCs w:val="22"/>
                </w:rPr>
                <w:t>Ann.2</w:t>
              </w:r>
              <w:proofErr w:type="spellEnd"/>
              <w:r w:rsidR="00EE7B8A" w:rsidRPr="00EE26A6">
                <w:rPr>
                  <w:rStyle w:val="Hyperlink"/>
                  <w:rFonts w:eastAsiaTheme="majorEastAsia" w:cs="Calibri"/>
                  <w:noProof w:val="0"/>
                  <w:sz w:val="22"/>
                  <w:szCs w:val="22"/>
                </w:rPr>
                <w:t>)</w:t>
              </w:r>
            </w:hyperlink>
            <w:r w:rsidRPr="009255C8">
              <w:rPr>
                <w:rFonts w:ascii="STKaiti" w:eastAsia="STKaiti" w:hAnsi="STKaiti" w:hint="eastAsia"/>
                <w:lang w:eastAsia="zh-CN"/>
              </w:rPr>
              <w:t>和</w:t>
            </w:r>
            <w:r w:rsidR="00EE7B8A">
              <w:fldChar w:fldCharType="begin"/>
            </w:r>
            <w:r w:rsidR="00EE7B8A">
              <w:instrText>HYPERLINK "https://view.officeapps.live.com/op/view.aspx?src=https%3A%2F%2Fwww.itu.int%2Fdms_pub%2Fitu-d%2Fmd%2F22%2Fwtdc25%2Fc%2FD22-WTDC25-C-0016!R1!MSW-C.docx&amp;wdOrigin=BROWSELINK"</w:instrText>
            </w:r>
            <w:r w:rsidR="00EE7B8A">
              <w:fldChar w:fldCharType="separate"/>
            </w:r>
            <w:r w:rsidR="00EE7B8A" w:rsidRPr="00EE26A6">
              <w:rPr>
                <w:rStyle w:val="Hyperlink"/>
                <w:rFonts w:eastAsiaTheme="majorEastAsia" w:cs="Calibri"/>
                <w:noProof w:val="0"/>
                <w:sz w:val="22"/>
                <w:szCs w:val="22"/>
              </w:rPr>
              <w:t>WTDC-25/16</w:t>
            </w:r>
            <w:r w:rsidR="00EE7B8A">
              <w:fldChar w:fldCharType="end"/>
            </w:r>
            <w:r w:rsidRPr="009255C8">
              <w:rPr>
                <w:rFonts w:ascii="STKaiti" w:eastAsia="STKaiti" w:hAnsi="STKaiti" w:hint="eastAsia"/>
                <w:lang w:eastAsia="zh-CN"/>
              </w:rPr>
              <w:t>号</w:t>
            </w:r>
            <w:r w:rsidRPr="00B84F42">
              <w:rPr>
                <w:rFonts w:ascii="STKaiti" w:eastAsia="STKaiti" w:hAnsi="STKaiti" w:hint="eastAsia"/>
                <w:lang w:eastAsia="zh-CN"/>
              </w:rPr>
              <w:t>文件</w:t>
            </w:r>
          </w:p>
        </w:tc>
      </w:tr>
      <w:bookmarkEnd w:id="2"/>
      <w:bookmarkEnd w:id="6"/>
    </w:tbl>
    <w:p w14:paraId="4AF6574D"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6D4F1D4F" w14:textId="65C0E86E" w:rsidR="00EE7B8A" w:rsidRPr="00EE7B8A" w:rsidRDefault="009255C8" w:rsidP="00EE7B8A">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lang w:eastAsia="zh-CN"/>
        </w:rPr>
      </w:pPr>
      <w:r w:rsidRPr="009255C8">
        <w:rPr>
          <w:rFonts w:ascii="SimSun" w:hAnsi="SimSun" w:cs="SimSun" w:hint="eastAsia"/>
          <w:lang w:eastAsia="zh-CN"/>
        </w:rPr>
        <w:lastRenderedPageBreak/>
        <w:t>引言和</w:t>
      </w:r>
      <w:r w:rsidR="003026DC">
        <w:rPr>
          <w:rFonts w:ascii="SimSun" w:hAnsi="SimSun" w:cs="SimSun" w:hint="eastAsia"/>
          <w:lang w:eastAsia="zh-CN"/>
        </w:rPr>
        <w:t>制度</w:t>
      </w:r>
      <w:r w:rsidRPr="009255C8">
        <w:rPr>
          <w:rFonts w:ascii="SimSun" w:hAnsi="SimSun" w:cs="SimSun" w:hint="eastAsia"/>
          <w:lang w:eastAsia="zh-CN"/>
        </w:rPr>
        <w:t>框架</w:t>
      </w:r>
    </w:p>
    <w:p w14:paraId="0F244B99" w14:textId="4CF431D8" w:rsidR="00EE7B8A" w:rsidRPr="00EE7B8A" w:rsidRDefault="009255C8" w:rsidP="0026351A">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尽管</w:t>
      </w:r>
      <w:r w:rsidR="0014339D">
        <w:rPr>
          <w:rFonts w:hint="eastAsia"/>
          <w:lang w:eastAsia="zh-CN"/>
        </w:rPr>
        <w:t>如</w:t>
      </w:r>
      <w:hyperlink w:anchor="图1" w:history="1">
        <w:r w:rsidR="0014339D">
          <w:rPr>
            <w:rStyle w:val="Hyperlink"/>
            <w:rFonts w:eastAsia="SimSun" w:hint="eastAsia"/>
            <w:noProof w:val="0"/>
            <w:lang w:eastAsia="zh-CN"/>
          </w:rPr>
          <w:t>图</w:t>
        </w:r>
        <w:r w:rsidR="0014339D" w:rsidRPr="00EE7B8A">
          <w:rPr>
            <w:rStyle w:val="Hyperlink"/>
            <w:rFonts w:eastAsia="SimSun"/>
            <w:noProof w:val="0"/>
            <w:lang w:eastAsia="zh-CN"/>
          </w:rPr>
          <w:t>1</w:t>
        </w:r>
      </w:hyperlink>
      <w:r w:rsidR="0014339D">
        <w:rPr>
          <w:rFonts w:hint="eastAsia"/>
          <w:lang w:eastAsia="zh-CN"/>
        </w:rPr>
        <w:t>中</w:t>
      </w:r>
      <w:r w:rsidRPr="009255C8">
        <w:rPr>
          <w:rFonts w:hint="eastAsia"/>
          <w:lang w:eastAsia="zh-CN"/>
        </w:rPr>
        <w:t>最不发达国家</w:t>
      </w:r>
      <w:r w:rsidR="004C0F39">
        <w:rPr>
          <w:rFonts w:hint="eastAsia"/>
          <w:lang w:eastAsia="zh-CN"/>
        </w:rPr>
        <w:t>（</w:t>
      </w:r>
      <w:proofErr w:type="spellStart"/>
      <w:r w:rsidR="004C0F39" w:rsidRPr="00EE7B8A">
        <w:rPr>
          <w:lang w:eastAsia="zh-CN"/>
        </w:rPr>
        <w:t>LDC</w:t>
      </w:r>
      <w:proofErr w:type="spellEnd"/>
      <w:r w:rsidR="004C0F39">
        <w:rPr>
          <w:rFonts w:hint="eastAsia"/>
          <w:lang w:eastAsia="zh-CN"/>
        </w:rPr>
        <w:t>）、</w:t>
      </w:r>
      <w:r w:rsidRPr="009255C8">
        <w:rPr>
          <w:rFonts w:hint="eastAsia"/>
          <w:lang w:eastAsia="zh-CN"/>
        </w:rPr>
        <w:t>内陆发展中国家</w:t>
      </w:r>
      <w:r w:rsidR="004C0F39">
        <w:rPr>
          <w:rFonts w:hint="eastAsia"/>
          <w:lang w:eastAsia="zh-CN"/>
        </w:rPr>
        <w:t>（</w:t>
      </w:r>
      <w:proofErr w:type="spellStart"/>
      <w:r w:rsidR="004C0F39" w:rsidRPr="00EE7B8A">
        <w:rPr>
          <w:lang w:eastAsia="zh-CN"/>
        </w:rPr>
        <w:t>LLDC</w:t>
      </w:r>
      <w:proofErr w:type="spellEnd"/>
      <w:r w:rsidR="004C0F39">
        <w:rPr>
          <w:rFonts w:hint="eastAsia"/>
          <w:lang w:eastAsia="zh-CN"/>
        </w:rPr>
        <w:t>）</w:t>
      </w:r>
      <w:r w:rsidRPr="009255C8">
        <w:rPr>
          <w:rFonts w:hint="eastAsia"/>
          <w:lang w:eastAsia="zh-CN"/>
        </w:rPr>
        <w:t>和小岛屿发展中国家</w:t>
      </w:r>
      <w:r w:rsidR="004C0F39">
        <w:rPr>
          <w:rFonts w:hint="eastAsia"/>
          <w:lang w:eastAsia="zh-CN"/>
        </w:rPr>
        <w:t>（</w:t>
      </w:r>
      <w:r w:rsidR="004C0F39" w:rsidRPr="00EE7B8A">
        <w:rPr>
          <w:lang w:eastAsia="zh-CN"/>
        </w:rPr>
        <w:t>SIDS</w:t>
      </w:r>
      <w:r w:rsidR="004C0F39">
        <w:rPr>
          <w:rFonts w:hint="eastAsia"/>
          <w:lang w:eastAsia="zh-CN"/>
        </w:rPr>
        <w:t>）</w:t>
      </w:r>
      <w:r w:rsidR="0014339D">
        <w:rPr>
          <w:rFonts w:hint="eastAsia"/>
          <w:lang w:eastAsia="zh-CN"/>
        </w:rPr>
        <w:t>呈现出的</w:t>
      </w:r>
      <w:r w:rsidR="0014339D" w:rsidRPr="00CF0EBB">
        <w:rPr>
          <w:rFonts w:hint="eastAsia"/>
          <w:lang w:eastAsia="zh-CN"/>
        </w:rPr>
        <w:t>上升趋势</w:t>
      </w:r>
      <w:r w:rsidR="0014339D">
        <w:rPr>
          <w:rFonts w:hint="eastAsia"/>
          <w:lang w:eastAsia="zh-CN"/>
        </w:rPr>
        <w:t>所示，这些国家</w:t>
      </w:r>
      <w:r w:rsidR="00CF0EBB">
        <w:rPr>
          <w:rFonts w:hint="eastAsia"/>
          <w:lang w:eastAsia="zh-CN"/>
        </w:rPr>
        <w:t>在</w:t>
      </w:r>
      <w:r w:rsidR="00CF0EBB" w:rsidRPr="009255C8">
        <w:rPr>
          <w:rFonts w:hint="eastAsia"/>
          <w:lang w:eastAsia="zh-CN"/>
        </w:rPr>
        <w:t>互联网</w:t>
      </w:r>
      <w:r w:rsidR="00CF0EBB">
        <w:rPr>
          <w:rFonts w:hint="eastAsia"/>
          <w:lang w:eastAsia="zh-CN"/>
        </w:rPr>
        <w:t>使用方面</w:t>
      </w:r>
      <w:r w:rsidR="0014339D">
        <w:rPr>
          <w:rFonts w:hint="eastAsia"/>
          <w:lang w:eastAsia="zh-CN"/>
        </w:rPr>
        <w:t>正</w:t>
      </w:r>
      <w:r w:rsidR="00CF0EBB">
        <w:rPr>
          <w:rFonts w:hint="eastAsia"/>
          <w:lang w:eastAsia="zh-CN"/>
        </w:rPr>
        <w:t>取得</w:t>
      </w:r>
      <w:r w:rsidR="00CF0EBB" w:rsidRPr="009255C8">
        <w:rPr>
          <w:rFonts w:hint="eastAsia"/>
          <w:lang w:eastAsia="zh-CN"/>
        </w:rPr>
        <w:t>稳步进展</w:t>
      </w:r>
      <w:r w:rsidR="00CF0EBB">
        <w:rPr>
          <w:rFonts w:hint="eastAsia"/>
          <w:lang w:eastAsia="zh-CN"/>
        </w:rPr>
        <w:t>，</w:t>
      </w:r>
      <w:r w:rsidRPr="009255C8">
        <w:rPr>
          <w:rFonts w:hint="eastAsia"/>
          <w:lang w:eastAsia="zh-CN"/>
        </w:rPr>
        <w:t>但与全球平均水平相比</w:t>
      </w:r>
      <w:r w:rsidR="004C0F39">
        <w:rPr>
          <w:rFonts w:hint="eastAsia"/>
          <w:lang w:eastAsia="zh-CN"/>
        </w:rPr>
        <w:t>，这些国家的</w:t>
      </w:r>
      <w:r w:rsidRPr="009255C8">
        <w:rPr>
          <w:rFonts w:hint="eastAsia"/>
          <w:lang w:eastAsia="zh-CN"/>
        </w:rPr>
        <w:t>互联网使用率仍</w:t>
      </w:r>
      <w:r w:rsidR="0014339D">
        <w:rPr>
          <w:rFonts w:hint="eastAsia"/>
          <w:lang w:eastAsia="zh-CN"/>
        </w:rPr>
        <w:t>显著</w:t>
      </w:r>
      <w:r w:rsidR="004C0F39">
        <w:rPr>
          <w:rFonts w:hint="eastAsia"/>
          <w:lang w:eastAsia="zh-CN"/>
        </w:rPr>
        <w:t>偏低。</w:t>
      </w:r>
      <w:r w:rsidRPr="009255C8">
        <w:rPr>
          <w:rFonts w:hint="eastAsia"/>
          <w:lang w:eastAsia="zh-CN"/>
        </w:rPr>
        <w:t>到</w:t>
      </w:r>
      <w:r w:rsidR="004C0F39" w:rsidRPr="00EE7B8A">
        <w:rPr>
          <w:lang w:eastAsia="zh-CN"/>
        </w:rPr>
        <w:t>2025</w:t>
      </w:r>
      <w:r w:rsidRPr="009255C8">
        <w:rPr>
          <w:rFonts w:hint="eastAsia"/>
          <w:lang w:eastAsia="zh-CN"/>
        </w:rPr>
        <w:t>年</w:t>
      </w:r>
      <w:r w:rsidR="004C0F39">
        <w:rPr>
          <w:rFonts w:hint="eastAsia"/>
          <w:lang w:eastAsia="zh-CN"/>
        </w:rPr>
        <w:t>，</w:t>
      </w:r>
      <w:r w:rsidRPr="009255C8">
        <w:rPr>
          <w:rFonts w:hint="eastAsia"/>
          <w:lang w:eastAsia="zh-CN"/>
        </w:rPr>
        <w:t>全球互联网</w:t>
      </w:r>
      <w:r w:rsidR="00C72431">
        <w:rPr>
          <w:rFonts w:hint="eastAsia"/>
          <w:lang w:eastAsia="zh-CN"/>
        </w:rPr>
        <w:t>用户占比</w:t>
      </w:r>
      <w:r w:rsidR="003026DC">
        <w:rPr>
          <w:rFonts w:hint="eastAsia"/>
          <w:lang w:eastAsia="zh-CN"/>
        </w:rPr>
        <w:t>已</w:t>
      </w:r>
      <w:r w:rsidRPr="009255C8">
        <w:rPr>
          <w:rFonts w:hint="eastAsia"/>
          <w:lang w:eastAsia="zh-CN"/>
        </w:rPr>
        <w:t>达到</w:t>
      </w:r>
      <w:r w:rsidR="004C0F39" w:rsidRPr="00EE7B8A">
        <w:rPr>
          <w:lang w:eastAsia="zh-CN"/>
        </w:rPr>
        <w:t>73.6</w:t>
      </w:r>
      <w:r w:rsidR="004C0F39">
        <w:rPr>
          <w:rFonts w:hint="eastAsia"/>
          <w:lang w:eastAsia="zh-CN"/>
        </w:rPr>
        <w:t>%</w:t>
      </w:r>
      <w:r w:rsidR="004C0F39">
        <w:rPr>
          <w:rFonts w:hint="eastAsia"/>
          <w:lang w:eastAsia="zh-CN"/>
        </w:rPr>
        <w:t>。</w:t>
      </w:r>
      <w:r w:rsidRPr="009255C8">
        <w:rPr>
          <w:rFonts w:hint="eastAsia"/>
          <w:lang w:eastAsia="zh-CN"/>
        </w:rPr>
        <w:t>相比之下</w:t>
      </w:r>
      <w:r w:rsidR="004C0F39">
        <w:rPr>
          <w:rFonts w:hint="eastAsia"/>
          <w:lang w:eastAsia="zh-CN"/>
        </w:rPr>
        <w:t>，</w:t>
      </w:r>
      <w:proofErr w:type="spellStart"/>
      <w:r w:rsidR="004C0F39" w:rsidRPr="00EE7B8A">
        <w:rPr>
          <w:lang w:eastAsia="zh-CN"/>
        </w:rPr>
        <w:t>LDC</w:t>
      </w:r>
      <w:proofErr w:type="spellEnd"/>
      <w:r w:rsidRPr="009255C8">
        <w:rPr>
          <w:rFonts w:hint="eastAsia"/>
          <w:lang w:eastAsia="zh-CN"/>
        </w:rPr>
        <w:t>的</w:t>
      </w:r>
      <w:r w:rsidR="003026DC">
        <w:rPr>
          <w:rFonts w:hint="eastAsia"/>
          <w:lang w:eastAsia="zh-CN"/>
        </w:rPr>
        <w:t>互联网</w:t>
      </w:r>
      <w:r w:rsidRPr="009255C8">
        <w:rPr>
          <w:rFonts w:hint="eastAsia"/>
          <w:lang w:eastAsia="zh-CN"/>
        </w:rPr>
        <w:t>使用率最低</w:t>
      </w:r>
      <w:r w:rsidR="004C0F39">
        <w:rPr>
          <w:rFonts w:hint="eastAsia"/>
          <w:lang w:eastAsia="zh-CN"/>
        </w:rPr>
        <w:t>，</w:t>
      </w:r>
      <w:r w:rsidR="003026DC">
        <w:rPr>
          <w:rFonts w:hint="eastAsia"/>
          <w:lang w:eastAsia="zh-CN"/>
        </w:rPr>
        <w:t>仅为</w:t>
      </w:r>
      <w:r w:rsidR="004C0F39" w:rsidRPr="00EE7B8A">
        <w:rPr>
          <w:lang w:eastAsia="zh-CN"/>
        </w:rPr>
        <w:t>33.7</w:t>
      </w:r>
      <w:r w:rsidR="004C0F39">
        <w:rPr>
          <w:rFonts w:hint="eastAsia"/>
          <w:lang w:eastAsia="zh-CN"/>
        </w:rPr>
        <w:t>%</w:t>
      </w:r>
      <w:r w:rsidR="004C0F39">
        <w:rPr>
          <w:rFonts w:hint="eastAsia"/>
          <w:lang w:eastAsia="zh-CN"/>
        </w:rPr>
        <w:t>。</w:t>
      </w:r>
      <w:proofErr w:type="spellStart"/>
      <w:r w:rsidR="004C0F39" w:rsidRPr="00EE7B8A">
        <w:rPr>
          <w:lang w:eastAsia="zh-CN"/>
        </w:rPr>
        <w:t>LLDC</w:t>
      </w:r>
      <w:proofErr w:type="spellEnd"/>
      <w:r w:rsidRPr="009255C8">
        <w:rPr>
          <w:rFonts w:hint="eastAsia"/>
          <w:lang w:eastAsia="zh-CN"/>
        </w:rPr>
        <w:t>的普及率略高</w:t>
      </w:r>
      <w:r w:rsidR="004C0F39">
        <w:rPr>
          <w:rFonts w:hint="eastAsia"/>
          <w:lang w:eastAsia="zh-CN"/>
        </w:rPr>
        <w:t>，</w:t>
      </w:r>
      <w:r w:rsidRPr="009255C8">
        <w:rPr>
          <w:rFonts w:hint="eastAsia"/>
          <w:lang w:eastAsia="zh-CN"/>
        </w:rPr>
        <w:t>为</w:t>
      </w:r>
      <w:r w:rsidR="004C0F39" w:rsidRPr="00EE7B8A">
        <w:rPr>
          <w:lang w:eastAsia="zh-CN"/>
        </w:rPr>
        <w:t>37.6%</w:t>
      </w:r>
      <w:r w:rsidR="004C0F39">
        <w:rPr>
          <w:rFonts w:hint="eastAsia"/>
          <w:lang w:eastAsia="zh-CN"/>
        </w:rPr>
        <w:t>，</w:t>
      </w:r>
      <w:r w:rsidRPr="009255C8">
        <w:rPr>
          <w:rFonts w:hint="eastAsia"/>
          <w:lang w:eastAsia="zh-CN"/>
        </w:rPr>
        <w:t>而</w:t>
      </w:r>
      <w:r w:rsidR="00CF0EBB" w:rsidRPr="00EE7B8A">
        <w:rPr>
          <w:lang w:eastAsia="zh-CN"/>
        </w:rPr>
        <w:t>SIDS</w:t>
      </w:r>
      <w:r w:rsidRPr="009255C8">
        <w:rPr>
          <w:rFonts w:hint="eastAsia"/>
          <w:lang w:eastAsia="zh-CN"/>
        </w:rPr>
        <w:t>的</w:t>
      </w:r>
      <w:r w:rsidR="003026DC">
        <w:rPr>
          <w:rFonts w:hint="eastAsia"/>
          <w:lang w:eastAsia="zh-CN"/>
        </w:rPr>
        <w:t>表现</w:t>
      </w:r>
      <w:r w:rsidRPr="009255C8">
        <w:rPr>
          <w:rFonts w:hint="eastAsia"/>
          <w:lang w:eastAsia="zh-CN"/>
        </w:rPr>
        <w:t>相对较</w:t>
      </w:r>
      <w:r w:rsidR="003026DC">
        <w:rPr>
          <w:rFonts w:hint="eastAsia"/>
          <w:lang w:eastAsia="zh-CN"/>
        </w:rPr>
        <w:t>强</w:t>
      </w:r>
      <w:r w:rsidR="00CF0EBB">
        <w:rPr>
          <w:rFonts w:hint="eastAsia"/>
          <w:lang w:eastAsia="zh-CN"/>
        </w:rPr>
        <w:t>，</w:t>
      </w:r>
      <w:r w:rsidR="003026DC">
        <w:rPr>
          <w:rFonts w:hint="eastAsia"/>
          <w:lang w:eastAsia="zh-CN"/>
        </w:rPr>
        <w:t>达到</w:t>
      </w:r>
      <w:r w:rsidR="00CF0EBB" w:rsidRPr="00EE7B8A">
        <w:rPr>
          <w:lang w:eastAsia="zh-CN"/>
        </w:rPr>
        <w:t>64.1</w:t>
      </w:r>
      <w:r w:rsidR="00CF0EBB">
        <w:rPr>
          <w:rFonts w:hint="eastAsia"/>
          <w:lang w:eastAsia="zh-CN"/>
        </w:rPr>
        <w:t>%</w:t>
      </w:r>
      <w:r w:rsidR="00CF0EBB">
        <w:rPr>
          <w:rFonts w:hint="eastAsia"/>
          <w:lang w:eastAsia="zh-CN"/>
        </w:rPr>
        <w:t>。</w:t>
      </w:r>
      <w:r w:rsidR="003026DC">
        <w:rPr>
          <w:rFonts w:hint="eastAsia"/>
          <w:lang w:eastAsia="zh-CN"/>
        </w:rPr>
        <w:t>造成这种</w:t>
      </w:r>
      <w:r w:rsidR="003026DC" w:rsidRPr="009255C8">
        <w:rPr>
          <w:rFonts w:hint="eastAsia"/>
          <w:lang w:eastAsia="zh-CN"/>
        </w:rPr>
        <w:t>结果</w:t>
      </w:r>
      <w:r w:rsidR="003026DC">
        <w:rPr>
          <w:rFonts w:hint="eastAsia"/>
          <w:lang w:eastAsia="zh-CN"/>
        </w:rPr>
        <w:t>的原因是存在</w:t>
      </w:r>
      <w:r w:rsidR="00CF0EBB" w:rsidRPr="009255C8">
        <w:rPr>
          <w:rFonts w:hint="eastAsia"/>
          <w:lang w:eastAsia="zh-CN"/>
        </w:rPr>
        <w:t>多重障碍</w:t>
      </w:r>
      <w:r w:rsidR="00CF0EBB">
        <w:rPr>
          <w:rFonts w:hint="eastAsia"/>
          <w:lang w:eastAsia="zh-CN"/>
        </w:rPr>
        <w:t>，</w:t>
      </w:r>
      <w:r w:rsidRPr="00B06766">
        <w:rPr>
          <w:rFonts w:hint="eastAsia"/>
          <w:lang w:eastAsia="zh-CN"/>
        </w:rPr>
        <w:t>包括高昂的国际连接成本</w:t>
      </w:r>
      <w:r w:rsidR="00CF0EBB" w:rsidRPr="00B06766">
        <w:rPr>
          <w:rFonts w:hint="eastAsia"/>
          <w:lang w:eastAsia="zh-CN"/>
        </w:rPr>
        <w:t>、</w:t>
      </w:r>
      <w:r w:rsidRPr="00B06766">
        <w:rPr>
          <w:rFonts w:hint="eastAsia"/>
          <w:lang w:eastAsia="zh-CN"/>
        </w:rPr>
        <w:t>基础设施部署成本</w:t>
      </w:r>
      <w:r w:rsidR="00CF0EBB" w:rsidRPr="00B06766">
        <w:rPr>
          <w:rFonts w:hint="eastAsia"/>
          <w:lang w:eastAsia="zh-CN"/>
        </w:rPr>
        <w:t>、</w:t>
      </w:r>
      <w:r w:rsidRPr="00B06766">
        <w:rPr>
          <w:rFonts w:hint="eastAsia"/>
          <w:lang w:eastAsia="zh-CN"/>
        </w:rPr>
        <w:t>本地内容</w:t>
      </w:r>
      <w:r w:rsidR="003026DC" w:rsidRPr="00B06766">
        <w:rPr>
          <w:rFonts w:hint="eastAsia"/>
          <w:lang w:eastAsia="zh-CN"/>
        </w:rPr>
        <w:t>匮乏以及</w:t>
      </w:r>
      <w:r w:rsidRPr="00B06766">
        <w:rPr>
          <w:rFonts w:hint="eastAsia"/>
          <w:lang w:eastAsia="zh-CN"/>
        </w:rPr>
        <w:t>数字技能不足</w:t>
      </w:r>
      <w:r w:rsidR="00CF0EBB" w:rsidRPr="00B06766">
        <w:rPr>
          <w:rFonts w:hint="eastAsia"/>
          <w:lang w:eastAsia="zh-CN"/>
        </w:rPr>
        <w:t>，</w:t>
      </w:r>
      <w:r w:rsidRPr="00B06766">
        <w:rPr>
          <w:rFonts w:hint="eastAsia"/>
          <w:lang w:eastAsia="zh-CN"/>
        </w:rPr>
        <w:t>所有这些</w:t>
      </w:r>
      <w:r w:rsidR="003026DC" w:rsidRPr="00B06766">
        <w:rPr>
          <w:rFonts w:hint="eastAsia"/>
          <w:lang w:eastAsia="zh-CN"/>
        </w:rPr>
        <w:t>因素</w:t>
      </w:r>
      <w:r w:rsidRPr="00B06766">
        <w:rPr>
          <w:rFonts w:hint="eastAsia"/>
          <w:lang w:eastAsia="zh-CN"/>
        </w:rPr>
        <w:t>都直接影响</w:t>
      </w:r>
      <w:r w:rsidR="003026DC" w:rsidRPr="00B06766">
        <w:rPr>
          <w:rFonts w:hint="eastAsia"/>
          <w:lang w:eastAsia="zh-CN"/>
        </w:rPr>
        <w:t>着</w:t>
      </w:r>
      <w:r w:rsidRPr="00B06766">
        <w:rPr>
          <w:rFonts w:hint="eastAsia"/>
          <w:lang w:eastAsia="zh-CN"/>
        </w:rPr>
        <w:t>价格可承受性</w:t>
      </w:r>
      <w:r w:rsidR="00CF0EBB" w:rsidRPr="00B06766">
        <w:rPr>
          <w:rFonts w:hint="eastAsia"/>
          <w:lang w:eastAsia="zh-CN"/>
        </w:rPr>
        <w:t>、</w:t>
      </w:r>
      <w:r w:rsidRPr="00B06766">
        <w:rPr>
          <w:rFonts w:hint="eastAsia"/>
          <w:lang w:eastAsia="zh-CN"/>
        </w:rPr>
        <w:t>接入和使用</w:t>
      </w:r>
      <w:r w:rsidR="00CF0EBB" w:rsidRPr="00B06766">
        <w:rPr>
          <w:rFonts w:hint="eastAsia"/>
          <w:lang w:eastAsia="zh-CN"/>
        </w:rPr>
        <w:t>。</w:t>
      </w:r>
    </w:p>
    <w:p w14:paraId="7E74F5A2" w14:textId="279BEA8D" w:rsidR="00EE7B8A" w:rsidRPr="00EE7B8A" w:rsidRDefault="00CF0EBB" w:rsidP="0026351A">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消除这些障碍是国际电联和</w:t>
      </w:r>
      <w:r w:rsidRPr="00CF0EBB">
        <w:rPr>
          <w:rFonts w:hint="eastAsia"/>
          <w:lang w:eastAsia="zh-CN"/>
        </w:rPr>
        <w:t>电信发展局</w:t>
      </w:r>
      <w:r>
        <w:rPr>
          <w:rFonts w:hint="eastAsia"/>
          <w:lang w:eastAsia="zh-CN"/>
        </w:rPr>
        <w:t>（</w:t>
      </w:r>
      <w:r w:rsidRPr="00EE7B8A">
        <w:rPr>
          <w:lang w:eastAsia="zh-CN"/>
        </w:rPr>
        <w:t>BDT</w:t>
      </w:r>
      <w:r>
        <w:rPr>
          <w:rFonts w:hint="eastAsia"/>
          <w:lang w:eastAsia="zh-CN"/>
        </w:rPr>
        <w:t>）</w:t>
      </w:r>
      <w:r w:rsidR="008F5C87">
        <w:rPr>
          <w:rFonts w:hint="eastAsia"/>
          <w:lang w:eastAsia="zh-CN"/>
        </w:rPr>
        <w:t>工作</w:t>
      </w:r>
      <w:r w:rsidRPr="009255C8">
        <w:rPr>
          <w:rFonts w:hint="eastAsia"/>
          <w:lang w:eastAsia="zh-CN"/>
        </w:rPr>
        <w:t>的核心</w:t>
      </w:r>
      <w:r>
        <w:rPr>
          <w:rFonts w:hint="eastAsia"/>
          <w:lang w:eastAsia="zh-CN"/>
        </w:rPr>
        <w:t>，</w:t>
      </w:r>
      <w:r w:rsidR="00744118">
        <w:rPr>
          <w:rFonts w:hint="eastAsia"/>
          <w:lang w:eastAsia="zh-CN"/>
        </w:rPr>
        <w:t>这些</w:t>
      </w:r>
      <w:r w:rsidR="00723DCE">
        <w:rPr>
          <w:rFonts w:hint="eastAsia"/>
          <w:lang w:eastAsia="zh-CN"/>
        </w:rPr>
        <w:t>工作以</w:t>
      </w:r>
      <w:r w:rsidR="002A13F8">
        <w:rPr>
          <w:rFonts w:hint="eastAsia"/>
          <w:lang w:eastAsia="zh-CN"/>
        </w:rPr>
        <w:t>既定框架</w:t>
      </w:r>
      <w:r w:rsidR="00723DCE">
        <w:rPr>
          <w:rFonts w:hint="eastAsia"/>
          <w:lang w:eastAsia="zh-CN"/>
        </w:rPr>
        <w:t>为</w:t>
      </w:r>
      <w:r w:rsidR="002A13F8">
        <w:rPr>
          <w:rFonts w:hint="eastAsia"/>
          <w:lang w:eastAsia="zh-CN"/>
        </w:rPr>
        <w:t>指导</w:t>
      </w:r>
      <w:r w:rsidR="00723DCE">
        <w:rPr>
          <w:rFonts w:hint="eastAsia"/>
          <w:lang w:eastAsia="zh-CN"/>
        </w:rPr>
        <w:t>，</w:t>
      </w:r>
      <w:r w:rsidR="002A13F8">
        <w:rPr>
          <w:rFonts w:hint="eastAsia"/>
          <w:lang w:eastAsia="zh-CN"/>
        </w:rPr>
        <w:t>包括</w:t>
      </w:r>
      <w:r w:rsidR="009255C8" w:rsidRPr="009255C8">
        <w:rPr>
          <w:rFonts w:hint="eastAsia"/>
          <w:lang w:eastAsia="zh-CN"/>
        </w:rPr>
        <w:t>全权代表大会</w:t>
      </w:r>
      <w:r w:rsidR="002A13F8">
        <w:rPr>
          <w:rFonts w:hint="eastAsia"/>
          <w:lang w:eastAsia="zh-CN"/>
        </w:rPr>
        <w:t>（</w:t>
      </w:r>
      <w:r w:rsidR="002A13F8" w:rsidRPr="00EE7B8A">
        <w:rPr>
          <w:lang w:eastAsia="zh-CN"/>
        </w:rPr>
        <w:t>PP</w:t>
      </w:r>
      <w:r w:rsidR="002A13F8">
        <w:rPr>
          <w:rFonts w:hint="eastAsia"/>
          <w:lang w:eastAsia="zh-CN"/>
        </w:rPr>
        <w:t>）</w:t>
      </w:r>
      <w:r w:rsidR="002A13F8" w:rsidRPr="002A13F8">
        <w:rPr>
          <w:rFonts w:hint="eastAsia"/>
          <w:lang w:eastAsia="zh-CN"/>
        </w:rPr>
        <w:t>第</w:t>
      </w:r>
      <w:r w:rsidR="002A13F8" w:rsidRPr="00EE7B8A">
        <w:rPr>
          <w:lang w:eastAsia="zh-CN"/>
        </w:rPr>
        <w:t>30</w:t>
      </w:r>
      <w:r w:rsidR="002A13F8" w:rsidRPr="002A13F8">
        <w:rPr>
          <w:rFonts w:hint="eastAsia"/>
          <w:lang w:eastAsia="zh-CN"/>
        </w:rPr>
        <w:t>号决议</w:t>
      </w:r>
      <w:r w:rsidR="002A13F8">
        <w:rPr>
          <w:rFonts w:hint="eastAsia"/>
          <w:lang w:eastAsia="zh-CN"/>
        </w:rPr>
        <w:t>（</w:t>
      </w:r>
      <w:r w:rsidR="002A13F8" w:rsidRPr="00EE7B8A">
        <w:rPr>
          <w:lang w:eastAsia="zh-CN"/>
        </w:rPr>
        <w:t>2022</w:t>
      </w:r>
      <w:r w:rsidR="002A13F8" w:rsidRPr="002A13F8">
        <w:rPr>
          <w:rFonts w:hint="eastAsia"/>
          <w:lang w:eastAsia="zh-CN"/>
        </w:rPr>
        <w:t>年</w:t>
      </w:r>
      <w:r w:rsidR="002A13F8">
        <w:rPr>
          <w:rFonts w:hint="eastAsia"/>
          <w:lang w:eastAsia="zh-CN"/>
        </w:rPr>
        <w:t>，</w:t>
      </w:r>
      <w:r w:rsidR="002A13F8" w:rsidRPr="002A13F8">
        <w:rPr>
          <w:rFonts w:hint="eastAsia"/>
          <w:lang w:eastAsia="zh-CN"/>
        </w:rPr>
        <w:t>布加勒斯特</w:t>
      </w:r>
      <w:r w:rsidR="002A13F8">
        <w:rPr>
          <w:rFonts w:hint="eastAsia"/>
          <w:lang w:eastAsia="zh-CN"/>
        </w:rPr>
        <w:t>，</w:t>
      </w:r>
      <w:r w:rsidR="002A13F8" w:rsidRPr="002A13F8">
        <w:rPr>
          <w:rFonts w:hint="eastAsia"/>
          <w:lang w:eastAsia="zh-CN"/>
        </w:rPr>
        <w:t>修订版</w:t>
      </w:r>
      <w:r w:rsidR="002A13F8">
        <w:rPr>
          <w:rFonts w:hint="eastAsia"/>
          <w:lang w:eastAsia="zh-CN"/>
        </w:rPr>
        <w:t>）、</w:t>
      </w:r>
      <w:r w:rsidR="009255C8" w:rsidRPr="009255C8">
        <w:rPr>
          <w:rFonts w:hint="eastAsia"/>
          <w:lang w:eastAsia="zh-CN"/>
        </w:rPr>
        <w:t>世界电信发展大会</w:t>
      </w:r>
      <w:r w:rsidR="002A13F8">
        <w:rPr>
          <w:rFonts w:hint="eastAsia"/>
          <w:lang w:eastAsia="zh-CN"/>
        </w:rPr>
        <w:t>（</w:t>
      </w:r>
      <w:r w:rsidR="002A13F8" w:rsidRPr="00EE7B8A">
        <w:rPr>
          <w:lang w:eastAsia="zh-CN"/>
        </w:rPr>
        <w:t>WTDC</w:t>
      </w:r>
      <w:r w:rsidR="002A13F8">
        <w:rPr>
          <w:rFonts w:hint="eastAsia"/>
          <w:lang w:eastAsia="zh-CN"/>
        </w:rPr>
        <w:t>）</w:t>
      </w:r>
      <w:r w:rsidR="002A13F8" w:rsidRPr="002A13F8">
        <w:rPr>
          <w:rFonts w:hint="eastAsia"/>
          <w:lang w:eastAsia="zh-CN"/>
        </w:rPr>
        <w:t>第</w:t>
      </w:r>
      <w:r w:rsidR="002A13F8" w:rsidRPr="00EE7B8A">
        <w:rPr>
          <w:lang w:eastAsia="zh-CN"/>
        </w:rPr>
        <w:t>16</w:t>
      </w:r>
      <w:r w:rsidR="002A13F8" w:rsidRPr="002A13F8">
        <w:rPr>
          <w:rFonts w:hint="eastAsia"/>
          <w:lang w:eastAsia="zh-CN"/>
        </w:rPr>
        <w:t>号决议</w:t>
      </w:r>
      <w:r w:rsidR="002A13F8">
        <w:rPr>
          <w:rFonts w:hint="eastAsia"/>
          <w:lang w:eastAsia="zh-CN"/>
        </w:rPr>
        <w:t>（</w:t>
      </w:r>
      <w:r w:rsidR="002A13F8" w:rsidRPr="00EE7B8A">
        <w:rPr>
          <w:lang w:eastAsia="zh-CN"/>
        </w:rPr>
        <w:t>2025</w:t>
      </w:r>
      <w:r w:rsidR="002A13F8" w:rsidRPr="002A13F8">
        <w:rPr>
          <w:rFonts w:hint="eastAsia"/>
          <w:lang w:eastAsia="zh-CN"/>
        </w:rPr>
        <w:t>年</w:t>
      </w:r>
      <w:r w:rsidR="002A13F8">
        <w:rPr>
          <w:rFonts w:hint="eastAsia"/>
          <w:lang w:eastAsia="zh-CN"/>
        </w:rPr>
        <w:t>，</w:t>
      </w:r>
      <w:r w:rsidR="002A13F8" w:rsidRPr="002A13F8">
        <w:rPr>
          <w:rFonts w:hint="eastAsia"/>
          <w:lang w:eastAsia="zh-CN"/>
        </w:rPr>
        <w:t>巴库</w:t>
      </w:r>
      <w:r w:rsidR="002A13F8">
        <w:rPr>
          <w:rFonts w:hint="eastAsia"/>
          <w:lang w:eastAsia="zh-CN"/>
        </w:rPr>
        <w:t>，</w:t>
      </w:r>
      <w:r w:rsidR="002A13F8" w:rsidRPr="002A13F8">
        <w:rPr>
          <w:rFonts w:hint="eastAsia"/>
          <w:lang w:eastAsia="zh-CN"/>
        </w:rPr>
        <w:t>修订版</w:t>
      </w:r>
      <w:r w:rsidR="002A13F8">
        <w:rPr>
          <w:rFonts w:hint="eastAsia"/>
          <w:lang w:eastAsia="zh-CN"/>
        </w:rPr>
        <w:t>）、</w:t>
      </w:r>
      <w:r w:rsidR="002A13F8">
        <w:fldChar w:fldCharType="begin"/>
      </w:r>
      <w:r w:rsidR="002A13F8">
        <w:rPr>
          <w:lang w:eastAsia="zh-CN"/>
        </w:rPr>
        <w:instrText>HYPERLINK "https://www.itu.int/itu-d/meetings/wtdc25/wp-content/uploads/sites/29/2025/11/090-E.pdf"</w:instrText>
      </w:r>
      <w:r w:rsidR="002A13F8">
        <w:fldChar w:fldCharType="separate"/>
      </w:r>
      <w:r w:rsidR="002A13F8">
        <w:rPr>
          <w:rStyle w:val="Hyperlink"/>
          <w:rFonts w:eastAsia="SimSun" w:hint="eastAsia"/>
          <w:noProof w:val="0"/>
          <w:lang w:eastAsia="zh-CN"/>
        </w:rPr>
        <w:t>《</w:t>
      </w:r>
      <w:r w:rsidR="002A13F8" w:rsidRPr="002A13F8">
        <w:rPr>
          <w:rStyle w:val="Hyperlink"/>
          <w:rFonts w:eastAsia="SimSun" w:hint="eastAsia"/>
          <w:noProof w:val="0"/>
          <w:lang w:eastAsia="zh-CN"/>
        </w:rPr>
        <w:t>巴库行动计划</w:t>
      </w:r>
      <w:r w:rsidR="002A13F8">
        <w:rPr>
          <w:rStyle w:val="Hyperlink"/>
          <w:rFonts w:eastAsia="SimSun" w:hint="eastAsia"/>
          <w:noProof w:val="0"/>
          <w:lang w:eastAsia="zh-CN"/>
        </w:rPr>
        <w:t>》</w:t>
      </w:r>
      <w:r w:rsidR="002A13F8">
        <w:fldChar w:fldCharType="end"/>
      </w:r>
      <w:r w:rsidR="002A13F8">
        <w:rPr>
          <w:rFonts w:hint="eastAsia"/>
          <w:lang w:eastAsia="zh-CN"/>
        </w:rPr>
        <w:t>以及</w:t>
      </w:r>
      <w:r w:rsidR="002212E3">
        <w:rPr>
          <w:rFonts w:hint="eastAsia"/>
          <w:lang w:eastAsia="zh-CN"/>
        </w:rPr>
        <w:t>其他</w:t>
      </w:r>
      <w:r w:rsidR="009255C8" w:rsidRPr="009255C8">
        <w:rPr>
          <w:rFonts w:hint="eastAsia"/>
          <w:lang w:eastAsia="zh-CN"/>
        </w:rPr>
        <w:t>补充性全球议程</w:t>
      </w:r>
      <w:r w:rsidR="002A13F8">
        <w:rPr>
          <w:rFonts w:hint="eastAsia"/>
          <w:lang w:eastAsia="zh-CN"/>
        </w:rPr>
        <w:t>，</w:t>
      </w:r>
      <w:r w:rsidR="009255C8" w:rsidRPr="009255C8">
        <w:rPr>
          <w:rFonts w:hint="eastAsia"/>
          <w:lang w:eastAsia="zh-CN"/>
        </w:rPr>
        <w:t>例如</w:t>
      </w:r>
      <w:r w:rsidR="00744118">
        <w:rPr>
          <w:rFonts w:hint="eastAsia"/>
          <w:lang w:eastAsia="zh-CN"/>
        </w:rPr>
        <w:t>针对</w:t>
      </w:r>
      <w:proofErr w:type="spellStart"/>
      <w:r w:rsidR="00744118" w:rsidRPr="00744118">
        <w:rPr>
          <w:lang w:eastAsia="zh-CN"/>
        </w:rPr>
        <w:t>LDC</w:t>
      </w:r>
      <w:proofErr w:type="spellEnd"/>
      <w:r w:rsidR="00744118">
        <w:rPr>
          <w:rFonts w:hint="eastAsia"/>
          <w:lang w:eastAsia="zh-CN"/>
        </w:rPr>
        <w:t>的</w:t>
      </w:r>
      <w:r w:rsidR="002A13F8">
        <w:rPr>
          <w:rFonts w:hint="eastAsia"/>
          <w:lang w:eastAsia="zh-CN"/>
        </w:rPr>
        <w:t>《</w:t>
      </w:r>
      <w:r w:rsidR="00865A8D" w:rsidRPr="00865A8D">
        <w:rPr>
          <w:rFonts w:hint="eastAsia"/>
          <w:lang w:eastAsia="zh-CN"/>
        </w:rPr>
        <w:t>多哈行动纲领</w:t>
      </w:r>
      <w:r w:rsidR="002A13F8">
        <w:rPr>
          <w:rFonts w:hint="eastAsia"/>
          <w:lang w:eastAsia="zh-CN"/>
        </w:rPr>
        <w:t>》</w:t>
      </w:r>
      <w:r w:rsidR="00723DCE">
        <w:rPr>
          <w:rFonts w:hint="eastAsia"/>
          <w:lang w:eastAsia="zh-CN"/>
        </w:rPr>
        <w:t>（</w:t>
      </w:r>
      <w:proofErr w:type="spellStart"/>
      <w:r w:rsidR="00723DCE" w:rsidRPr="00EE7B8A">
        <w:rPr>
          <w:lang w:eastAsia="zh-CN"/>
        </w:rPr>
        <w:t>DPOA</w:t>
      </w:r>
      <w:proofErr w:type="spellEnd"/>
      <w:r w:rsidR="00723DCE">
        <w:rPr>
          <w:rFonts w:hint="eastAsia"/>
          <w:lang w:eastAsia="zh-CN"/>
        </w:rPr>
        <w:t>）</w:t>
      </w:r>
      <w:r w:rsidR="002A13F8">
        <w:rPr>
          <w:rFonts w:hint="eastAsia"/>
          <w:lang w:eastAsia="zh-CN"/>
        </w:rPr>
        <w:t>、</w:t>
      </w:r>
      <w:r w:rsidR="00744118">
        <w:rPr>
          <w:rFonts w:hint="eastAsia"/>
          <w:lang w:eastAsia="zh-CN"/>
        </w:rPr>
        <w:t>针对</w:t>
      </w:r>
      <w:proofErr w:type="spellStart"/>
      <w:r w:rsidR="00744118" w:rsidRPr="00744118">
        <w:rPr>
          <w:lang w:eastAsia="zh-CN"/>
        </w:rPr>
        <w:t>LLDC</w:t>
      </w:r>
      <w:proofErr w:type="spellEnd"/>
      <w:r w:rsidR="00744118">
        <w:rPr>
          <w:rFonts w:hint="eastAsia"/>
          <w:lang w:eastAsia="zh-CN"/>
        </w:rPr>
        <w:t>的</w:t>
      </w:r>
      <w:r w:rsidR="008F5C87">
        <w:rPr>
          <w:rFonts w:hint="eastAsia"/>
          <w:lang w:eastAsia="zh-CN"/>
        </w:rPr>
        <w:t>《</w:t>
      </w:r>
      <w:r w:rsidR="008F5C87" w:rsidRPr="008F5C87">
        <w:rPr>
          <w:rFonts w:hint="eastAsia"/>
          <w:lang w:eastAsia="zh-CN"/>
        </w:rPr>
        <w:t>阿瓦扎行动纲领</w:t>
      </w:r>
      <w:r w:rsidR="008F5C87">
        <w:rPr>
          <w:rFonts w:hint="eastAsia"/>
          <w:lang w:eastAsia="zh-CN"/>
        </w:rPr>
        <w:t>》</w:t>
      </w:r>
      <w:r w:rsidR="00723DCE">
        <w:rPr>
          <w:rFonts w:hint="eastAsia"/>
          <w:lang w:eastAsia="zh-CN"/>
        </w:rPr>
        <w:t>（</w:t>
      </w:r>
      <w:proofErr w:type="spellStart"/>
      <w:r w:rsidR="00723DCE" w:rsidRPr="00EE7B8A">
        <w:rPr>
          <w:lang w:eastAsia="zh-CN"/>
        </w:rPr>
        <w:t>APOA</w:t>
      </w:r>
      <w:proofErr w:type="spellEnd"/>
      <w:r w:rsidR="00723DCE">
        <w:rPr>
          <w:rFonts w:hint="eastAsia"/>
          <w:lang w:eastAsia="zh-CN"/>
        </w:rPr>
        <w:t>）</w:t>
      </w:r>
      <w:r w:rsidR="002A13F8">
        <w:rPr>
          <w:rFonts w:hint="eastAsia"/>
          <w:lang w:eastAsia="zh-CN"/>
        </w:rPr>
        <w:t>以及《</w:t>
      </w:r>
      <w:r w:rsidR="002A13F8" w:rsidRPr="002A13F8">
        <w:rPr>
          <w:rFonts w:hint="eastAsia"/>
          <w:lang w:eastAsia="zh-CN"/>
        </w:rPr>
        <w:t>安提瓜和巴布达小岛屿发展中国家议程</w:t>
      </w:r>
      <w:r w:rsidR="002A13F8">
        <w:rPr>
          <w:rFonts w:hint="eastAsia"/>
          <w:lang w:eastAsia="zh-CN"/>
        </w:rPr>
        <w:t>》（</w:t>
      </w:r>
      <w:r w:rsidR="002A13F8" w:rsidRPr="00EE7B8A">
        <w:rPr>
          <w:lang w:eastAsia="zh-CN"/>
        </w:rPr>
        <w:t>ABAS</w:t>
      </w:r>
      <w:r w:rsidR="002A13F8">
        <w:rPr>
          <w:rFonts w:hint="eastAsia"/>
          <w:lang w:eastAsia="zh-CN"/>
        </w:rPr>
        <w:t>）。</w:t>
      </w:r>
      <w:r w:rsidR="00723DCE" w:rsidRPr="00EE7B8A">
        <w:rPr>
          <w:lang w:eastAsia="zh-CN"/>
        </w:rPr>
        <w:t>BDT</w:t>
      </w:r>
      <w:r w:rsidR="009255C8" w:rsidRPr="009255C8">
        <w:rPr>
          <w:rFonts w:hint="eastAsia"/>
          <w:lang w:eastAsia="zh-CN"/>
        </w:rPr>
        <w:t>定期报告其在</w:t>
      </w:r>
      <w:r w:rsidR="00865A8D">
        <w:rPr>
          <w:rFonts w:hint="eastAsia"/>
          <w:lang w:eastAsia="zh-CN"/>
        </w:rPr>
        <w:t>此</w:t>
      </w:r>
      <w:r w:rsidR="009255C8" w:rsidRPr="009255C8">
        <w:rPr>
          <w:rFonts w:hint="eastAsia"/>
          <w:lang w:eastAsia="zh-CN"/>
        </w:rPr>
        <w:t>方面的工作</w:t>
      </w:r>
      <w:r w:rsidR="00723DCE">
        <w:rPr>
          <w:rFonts w:hint="eastAsia"/>
          <w:lang w:eastAsia="zh-CN"/>
        </w:rPr>
        <w:t>。</w:t>
      </w:r>
      <w:r w:rsidR="009255C8" w:rsidRPr="009255C8">
        <w:rPr>
          <w:rFonts w:hint="eastAsia"/>
          <w:lang w:eastAsia="zh-CN"/>
        </w:rPr>
        <w:t>请</w:t>
      </w:r>
      <w:r w:rsidR="002212E3">
        <w:rPr>
          <w:rFonts w:hint="eastAsia"/>
          <w:lang w:eastAsia="zh-CN"/>
        </w:rPr>
        <w:t>参阅</w:t>
      </w:r>
      <w:hyperlink r:id="rId10" w:history="1">
        <w:proofErr w:type="spellStart"/>
        <w:r w:rsidR="00723DCE" w:rsidRPr="00EE7B8A">
          <w:rPr>
            <w:rStyle w:val="Hyperlink"/>
            <w:rFonts w:eastAsia="SimSun"/>
            <w:noProof w:val="0"/>
            <w:lang w:eastAsia="zh-CN"/>
          </w:rPr>
          <w:t>TDAG</w:t>
        </w:r>
        <w:proofErr w:type="spellEnd"/>
        <w:r w:rsidR="00723DCE" w:rsidRPr="00EE7B8A">
          <w:rPr>
            <w:rStyle w:val="Hyperlink"/>
            <w:rFonts w:eastAsia="SimSun"/>
            <w:noProof w:val="0"/>
            <w:lang w:eastAsia="zh-CN"/>
          </w:rPr>
          <w:t>-26/2</w:t>
        </w:r>
      </w:hyperlink>
      <w:r w:rsidR="00723DCE">
        <w:rPr>
          <w:rFonts w:hint="eastAsia"/>
          <w:lang w:eastAsia="zh-CN"/>
        </w:rPr>
        <w:t>和</w:t>
      </w:r>
      <w:r w:rsidR="00723DCE">
        <w:fldChar w:fldCharType="begin"/>
      </w:r>
      <w:r w:rsidR="00723DCE">
        <w:rPr>
          <w:lang w:eastAsia="zh-CN"/>
        </w:rPr>
        <w:instrText>HYPERLINK "https://view.officeapps.live.com/op/view.aspx?src=https%3A%2F%2Fwww.itu.int%2Fdms_pub%2Fitu-d%2Fmd%2F22%2Fwtdc25%2Fc%2FD22-WTDC25-C-0002!R2!MSW-C.docx&amp;wdOrigin=BROWSELINK"</w:instrText>
      </w:r>
      <w:r w:rsidR="00723DCE">
        <w:fldChar w:fldCharType="separate"/>
      </w:r>
      <w:r w:rsidR="00723DCE" w:rsidRPr="00EE7B8A">
        <w:rPr>
          <w:rStyle w:val="Hyperlink"/>
          <w:rFonts w:eastAsia="SimSun"/>
          <w:noProof w:val="0"/>
          <w:lang w:eastAsia="zh-CN"/>
        </w:rPr>
        <w:t>WTDC-25/2</w:t>
      </w:r>
      <w:r w:rsidR="00723DCE">
        <w:fldChar w:fldCharType="end"/>
      </w:r>
      <w:r w:rsidR="009255C8" w:rsidRPr="009255C8">
        <w:rPr>
          <w:rFonts w:hint="eastAsia"/>
          <w:lang w:eastAsia="zh-CN"/>
        </w:rPr>
        <w:t>号文件</w:t>
      </w:r>
      <w:r w:rsidR="00723DCE">
        <w:rPr>
          <w:rFonts w:hint="eastAsia"/>
          <w:lang w:eastAsia="zh-CN"/>
        </w:rPr>
        <w:t>中</w:t>
      </w:r>
      <w:r w:rsidR="009255C8" w:rsidRPr="009255C8">
        <w:rPr>
          <w:rFonts w:hint="eastAsia"/>
          <w:lang w:eastAsia="zh-CN"/>
        </w:rPr>
        <w:t>所载</w:t>
      </w:r>
      <w:r w:rsidR="00723DCE">
        <w:rPr>
          <w:rFonts w:hint="eastAsia"/>
          <w:lang w:eastAsia="zh-CN"/>
        </w:rPr>
        <w:t>的</w:t>
      </w:r>
      <w:r w:rsidR="009255C8" w:rsidRPr="009255C8">
        <w:rPr>
          <w:rFonts w:hint="eastAsia"/>
          <w:lang w:eastAsia="zh-CN"/>
        </w:rPr>
        <w:t>提交</w:t>
      </w:r>
      <w:r w:rsidR="00723DCE">
        <w:rPr>
          <w:rFonts w:hint="eastAsia"/>
          <w:lang w:eastAsia="zh-CN"/>
        </w:rPr>
        <w:t>给</w:t>
      </w:r>
      <w:r w:rsidR="00723DCE" w:rsidRPr="00EE7B8A">
        <w:rPr>
          <w:lang w:eastAsia="zh-CN"/>
        </w:rPr>
        <w:t>WTDC-25</w:t>
      </w:r>
      <w:r w:rsidR="00723DCE">
        <w:rPr>
          <w:rFonts w:hint="eastAsia"/>
          <w:lang w:eastAsia="zh-CN"/>
        </w:rPr>
        <w:t>和</w:t>
      </w:r>
      <w:proofErr w:type="spellStart"/>
      <w:r w:rsidR="00723DCE" w:rsidRPr="00EE7B8A">
        <w:rPr>
          <w:lang w:eastAsia="zh-CN"/>
        </w:rPr>
        <w:t>TDAG</w:t>
      </w:r>
      <w:proofErr w:type="spellEnd"/>
      <w:r w:rsidR="00723DCE" w:rsidRPr="00EE7B8A">
        <w:rPr>
          <w:lang w:eastAsia="zh-CN"/>
        </w:rPr>
        <w:t>-26</w:t>
      </w:r>
      <w:r w:rsidR="009255C8" w:rsidRPr="009255C8">
        <w:rPr>
          <w:rFonts w:hint="eastAsia"/>
          <w:lang w:eastAsia="zh-CN"/>
        </w:rPr>
        <w:t>的报告</w:t>
      </w:r>
      <w:r w:rsidR="00723DCE" w:rsidRPr="00290703">
        <w:rPr>
          <w:rFonts w:hint="eastAsia"/>
          <w:lang w:eastAsia="zh-CN"/>
        </w:rPr>
        <w:t>。</w:t>
      </w:r>
    </w:p>
    <w:p w14:paraId="68004BE0" w14:textId="13E7A4ED" w:rsidR="00EE7B8A" w:rsidRPr="00EE7B8A" w:rsidRDefault="009255C8" w:rsidP="0026351A">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这些</w:t>
      </w:r>
      <w:r w:rsidR="00936016" w:rsidRPr="00936016">
        <w:rPr>
          <w:rFonts w:hint="eastAsia"/>
          <w:lang w:eastAsia="zh-CN"/>
        </w:rPr>
        <w:t>文书</w:t>
      </w:r>
      <w:r w:rsidR="009D38AA">
        <w:rPr>
          <w:rFonts w:hint="eastAsia"/>
          <w:lang w:eastAsia="zh-CN"/>
        </w:rPr>
        <w:t>共同</w:t>
      </w:r>
      <w:r w:rsidRPr="009255C8">
        <w:rPr>
          <w:rFonts w:hint="eastAsia"/>
          <w:lang w:eastAsia="zh-CN"/>
        </w:rPr>
        <w:t>呼吁采取特别措施</w:t>
      </w:r>
      <w:r w:rsidR="0052319C">
        <w:rPr>
          <w:rFonts w:hint="eastAsia"/>
          <w:lang w:eastAsia="zh-CN"/>
        </w:rPr>
        <w:t>，</w:t>
      </w:r>
      <w:r w:rsidRPr="009255C8">
        <w:rPr>
          <w:rFonts w:hint="eastAsia"/>
          <w:lang w:eastAsia="zh-CN"/>
        </w:rPr>
        <w:t>支持</w:t>
      </w:r>
      <w:proofErr w:type="spellStart"/>
      <w:r w:rsidR="009D38AA" w:rsidRPr="00EE7B8A">
        <w:rPr>
          <w:lang w:eastAsia="zh-CN"/>
        </w:rPr>
        <w:t>LDC</w:t>
      </w:r>
      <w:proofErr w:type="spellEnd"/>
      <w:r w:rsidR="009D38AA">
        <w:rPr>
          <w:rFonts w:hint="eastAsia"/>
          <w:lang w:eastAsia="zh-CN"/>
        </w:rPr>
        <w:t>、</w:t>
      </w:r>
      <w:proofErr w:type="spellStart"/>
      <w:r w:rsidR="009D38AA" w:rsidRPr="00EE7B8A">
        <w:rPr>
          <w:lang w:eastAsia="zh-CN"/>
        </w:rPr>
        <w:t>LLDC</w:t>
      </w:r>
      <w:proofErr w:type="spellEnd"/>
      <w:r w:rsidR="009D38AA">
        <w:rPr>
          <w:rFonts w:hint="eastAsia"/>
          <w:lang w:eastAsia="zh-CN"/>
        </w:rPr>
        <w:t>、</w:t>
      </w:r>
      <w:r w:rsidR="009D38AA" w:rsidRPr="00EE7B8A">
        <w:rPr>
          <w:lang w:eastAsia="zh-CN"/>
        </w:rPr>
        <w:t>SIDS</w:t>
      </w:r>
      <w:r w:rsidR="00923DA9">
        <w:rPr>
          <w:rFonts w:hint="eastAsia"/>
          <w:lang w:eastAsia="zh-CN"/>
        </w:rPr>
        <w:t>和</w:t>
      </w:r>
      <w:r w:rsidR="00923DA9" w:rsidRPr="00923DA9">
        <w:rPr>
          <w:rFonts w:hint="eastAsia"/>
          <w:lang w:eastAsia="zh-CN"/>
        </w:rPr>
        <w:t>特殊处境国家</w:t>
      </w:r>
      <w:r w:rsidR="009D38AA">
        <w:rPr>
          <w:rFonts w:hint="eastAsia"/>
          <w:lang w:eastAsia="zh-CN"/>
        </w:rPr>
        <w:t>，</w:t>
      </w:r>
      <w:r w:rsidRPr="009255C8">
        <w:rPr>
          <w:rFonts w:hint="eastAsia"/>
          <w:lang w:eastAsia="zh-CN"/>
        </w:rPr>
        <w:t>重点</w:t>
      </w:r>
      <w:r w:rsidR="009D38AA">
        <w:rPr>
          <w:rFonts w:hint="eastAsia"/>
          <w:lang w:eastAsia="zh-CN"/>
        </w:rPr>
        <w:t>关注</w:t>
      </w:r>
      <w:r w:rsidRPr="009255C8">
        <w:rPr>
          <w:rFonts w:hint="eastAsia"/>
          <w:lang w:eastAsia="zh-CN"/>
        </w:rPr>
        <w:t>能力建设</w:t>
      </w:r>
      <w:r w:rsidR="009D38AA">
        <w:rPr>
          <w:rFonts w:hint="eastAsia"/>
          <w:lang w:eastAsia="zh-CN"/>
        </w:rPr>
        <w:t>、</w:t>
      </w:r>
      <w:r w:rsidRPr="009255C8">
        <w:rPr>
          <w:rFonts w:hint="eastAsia"/>
          <w:lang w:eastAsia="zh-CN"/>
        </w:rPr>
        <w:t>基础设施发展</w:t>
      </w:r>
      <w:r w:rsidR="00923DA9">
        <w:rPr>
          <w:rFonts w:hint="eastAsia"/>
          <w:lang w:eastAsia="zh-CN"/>
        </w:rPr>
        <w:t>以及</w:t>
      </w:r>
      <w:r w:rsidRPr="009255C8">
        <w:rPr>
          <w:rFonts w:hint="eastAsia"/>
          <w:lang w:eastAsia="zh-CN"/>
        </w:rPr>
        <w:t>加强国际合作</w:t>
      </w:r>
      <w:r w:rsidR="009D38AA">
        <w:rPr>
          <w:rFonts w:hint="eastAsia"/>
          <w:lang w:eastAsia="zh-CN"/>
        </w:rPr>
        <w:t>。</w:t>
      </w:r>
      <w:r w:rsidRPr="00185387">
        <w:rPr>
          <w:rFonts w:hint="eastAsia"/>
          <w:lang w:eastAsia="zh-CN"/>
        </w:rPr>
        <w:t>根据</w:t>
      </w:r>
      <w:r w:rsidRPr="009255C8">
        <w:rPr>
          <w:rFonts w:hint="eastAsia"/>
          <w:lang w:eastAsia="zh-CN"/>
        </w:rPr>
        <w:t>这些</w:t>
      </w:r>
      <w:r w:rsidR="00B9407C">
        <w:rPr>
          <w:rFonts w:hint="eastAsia"/>
          <w:lang w:eastAsia="zh-CN"/>
        </w:rPr>
        <w:t>任务授权</w:t>
      </w:r>
      <w:r w:rsidR="009D38AA">
        <w:rPr>
          <w:rFonts w:hint="eastAsia"/>
          <w:lang w:eastAsia="zh-CN"/>
        </w:rPr>
        <w:t>，</w:t>
      </w:r>
      <w:r w:rsidR="009D38AA" w:rsidRPr="00EE7B8A">
        <w:rPr>
          <w:lang w:eastAsia="zh-CN"/>
        </w:rPr>
        <w:t>BDT</w:t>
      </w:r>
      <w:r w:rsidR="009D38AA">
        <w:rPr>
          <w:rFonts w:hint="eastAsia"/>
          <w:lang w:eastAsia="zh-CN"/>
        </w:rPr>
        <w:t>于</w:t>
      </w:r>
      <w:r w:rsidR="009D38AA" w:rsidRPr="00EE7B8A">
        <w:rPr>
          <w:lang w:eastAsia="zh-CN"/>
        </w:rPr>
        <w:t>2024</w:t>
      </w:r>
      <w:r w:rsidRPr="009255C8">
        <w:rPr>
          <w:rFonts w:hint="eastAsia"/>
          <w:lang w:eastAsia="zh-CN"/>
        </w:rPr>
        <w:t>年</w:t>
      </w:r>
      <w:r w:rsidR="009D38AA">
        <w:rPr>
          <w:rFonts w:hint="eastAsia"/>
          <w:lang w:eastAsia="zh-CN"/>
        </w:rPr>
        <w:t>进行</w:t>
      </w:r>
      <w:r w:rsidR="00936016">
        <w:rPr>
          <w:rFonts w:hint="eastAsia"/>
          <w:lang w:eastAsia="zh-CN"/>
        </w:rPr>
        <w:t>了</w:t>
      </w:r>
      <w:r w:rsidR="009D38AA" w:rsidRPr="009D38AA">
        <w:rPr>
          <w:rFonts w:hint="eastAsia"/>
          <w:lang w:eastAsia="zh-CN"/>
        </w:rPr>
        <w:t>结构调整</w:t>
      </w:r>
      <w:r w:rsidR="00936016">
        <w:rPr>
          <w:rFonts w:hint="eastAsia"/>
          <w:lang w:eastAsia="zh-CN"/>
        </w:rPr>
        <w:t>，</w:t>
      </w:r>
      <w:r w:rsidR="00C72431" w:rsidRPr="009255C8">
        <w:rPr>
          <w:rFonts w:hint="eastAsia"/>
          <w:lang w:eastAsia="zh-CN"/>
        </w:rPr>
        <w:t>加强了机构响应能力</w:t>
      </w:r>
      <w:r w:rsidR="009D38AA">
        <w:rPr>
          <w:rFonts w:hint="eastAsia"/>
          <w:lang w:eastAsia="zh-CN"/>
        </w:rPr>
        <w:t>，</w:t>
      </w:r>
      <w:r w:rsidR="009D38AA" w:rsidRPr="009255C8">
        <w:rPr>
          <w:rFonts w:hint="eastAsia"/>
          <w:lang w:eastAsia="zh-CN"/>
        </w:rPr>
        <w:t>特别是</w:t>
      </w:r>
      <w:r w:rsidR="00C72431" w:rsidRPr="00C72431">
        <w:rPr>
          <w:rFonts w:hint="eastAsia"/>
          <w:lang w:eastAsia="zh-CN"/>
        </w:rPr>
        <w:t>设立</w:t>
      </w:r>
      <w:r w:rsidR="00C72431">
        <w:rPr>
          <w:rFonts w:hint="eastAsia"/>
          <w:lang w:eastAsia="zh-CN"/>
        </w:rPr>
        <w:t>了</w:t>
      </w:r>
      <w:r w:rsidR="00C72431" w:rsidRPr="00C72431">
        <w:rPr>
          <w:rFonts w:hint="eastAsia"/>
          <w:lang w:eastAsia="zh-CN"/>
        </w:rPr>
        <w:t>专门负责</w:t>
      </w:r>
      <w:r w:rsidR="00C72431" w:rsidRPr="009D38AA">
        <w:rPr>
          <w:rFonts w:hint="eastAsia"/>
          <w:lang w:eastAsia="zh-CN"/>
        </w:rPr>
        <w:t>有</w:t>
      </w:r>
      <w:r w:rsidR="00797A5B" w:rsidRPr="00797A5B">
        <w:rPr>
          <w:rFonts w:hint="eastAsia"/>
          <w:lang w:eastAsia="zh-CN"/>
        </w:rPr>
        <w:t>具体需求国家</w:t>
      </w:r>
      <w:r w:rsidR="00C72431" w:rsidRPr="00C72431">
        <w:rPr>
          <w:rFonts w:hint="eastAsia"/>
          <w:lang w:eastAsia="zh-CN"/>
        </w:rPr>
        <w:t>的</w:t>
      </w:r>
      <w:r w:rsidR="00923DA9">
        <w:rPr>
          <w:rFonts w:hint="eastAsia"/>
          <w:lang w:eastAsia="zh-CN"/>
        </w:rPr>
        <w:t>处室</w:t>
      </w:r>
      <w:r w:rsidR="00C72431">
        <w:rPr>
          <w:rFonts w:hint="eastAsia"/>
          <w:lang w:eastAsia="zh-CN"/>
        </w:rPr>
        <w:t>，</w:t>
      </w:r>
      <w:r w:rsidR="009D38AA" w:rsidRPr="009255C8">
        <w:rPr>
          <w:rFonts w:hint="eastAsia"/>
          <w:lang w:eastAsia="zh-CN"/>
        </w:rPr>
        <w:t>改善</w:t>
      </w:r>
      <w:r w:rsidR="00923DA9">
        <w:rPr>
          <w:rFonts w:hint="eastAsia"/>
          <w:lang w:eastAsia="zh-CN"/>
        </w:rPr>
        <w:t>了</w:t>
      </w:r>
      <w:r w:rsidR="00312036">
        <w:rPr>
          <w:rFonts w:hint="eastAsia"/>
          <w:lang w:eastAsia="zh-CN"/>
        </w:rPr>
        <w:t>有</w:t>
      </w:r>
      <w:r w:rsidR="00C72431">
        <w:rPr>
          <w:rFonts w:hint="eastAsia"/>
          <w:lang w:eastAsia="zh-CN"/>
        </w:rPr>
        <w:t>针对性</w:t>
      </w:r>
      <w:r w:rsidR="00312036">
        <w:rPr>
          <w:rFonts w:hint="eastAsia"/>
          <w:lang w:eastAsia="zh-CN"/>
        </w:rPr>
        <w:t>的</w:t>
      </w:r>
      <w:r w:rsidR="009D38AA" w:rsidRPr="009255C8">
        <w:rPr>
          <w:rFonts w:hint="eastAsia"/>
          <w:lang w:eastAsia="zh-CN"/>
        </w:rPr>
        <w:t>技术援助和政策支持</w:t>
      </w:r>
      <w:r w:rsidR="00923DA9">
        <w:rPr>
          <w:rFonts w:hint="eastAsia"/>
          <w:lang w:eastAsia="zh-CN"/>
        </w:rPr>
        <w:t>的</w:t>
      </w:r>
      <w:r w:rsidR="00923DA9" w:rsidRPr="009255C8">
        <w:rPr>
          <w:rFonts w:hint="eastAsia"/>
          <w:lang w:eastAsia="zh-CN"/>
        </w:rPr>
        <w:t>协调</w:t>
      </w:r>
      <w:r w:rsidR="00923DA9">
        <w:rPr>
          <w:rFonts w:hint="eastAsia"/>
          <w:lang w:eastAsia="zh-CN"/>
        </w:rPr>
        <w:t>与实施</w:t>
      </w:r>
      <w:r w:rsidR="00C72431" w:rsidRPr="00953A08">
        <w:rPr>
          <w:rFonts w:hint="eastAsia"/>
          <w:lang w:eastAsia="zh-CN"/>
        </w:rPr>
        <w:t>。</w:t>
      </w:r>
    </w:p>
    <w:p w14:paraId="6E6BAC4F" w14:textId="644CF420" w:rsidR="00EE7B8A" w:rsidRPr="00EE7B8A" w:rsidRDefault="009255C8" w:rsidP="00360333">
      <w:pPr>
        <w:pStyle w:val="FigureNo"/>
        <w:rPr>
          <w:lang w:eastAsia="zh-CN"/>
        </w:rPr>
      </w:pPr>
      <w:bookmarkStart w:id="7" w:name="Fig_1"/>
      <w:bookmarkStart w:id="8" w:name="图1"/>
      <w:r w:rsidRPr="009255C8">
        <w:rPr>
          <w:rFonts w:ascii="SimSun" w:hAnsi="SimSun" w:cs="SimSun" w:hint="eastAsia"/>
          <w:lang w:eastAsia="zh-CN"/>
        </w:rPr>
        <w:t>图</w:t>
      </w:r>
      <w:r w:rsidR="00EE7B8A" w:rsidRPr="00EE7B8A">
        <w:rPr>
          <w:lang w:eastAsia="zh-CN"/>
        </w:rPr>
        <w:t>1</w:t>
      </w:r>
      <w:bookmarkEnd w:id="7"/>
      <w:bookmarkEnd w:id="8"/>
    </w:p>
    <w:p w14:paraId="33BE4E08" w14:textId="471DC5CE" w:rsidR="00EE7B8A" w:rsidRDefault="00C72431" w:rsidP="00EE7B8A">
      <w:pPr>
        <w:pStyle w:val="Figuretitle"/>
        <w:keepNext w:val="0"/>
        <w:keepLines w:val="0"/>
        <w:tabs>
          <w:tab w:val="clear" w:pos="794"/>
          <w:tab w:val="clear" w:pos="1191"/>
          <w:tab w:val="clear" w:pos="1588"/>
          <w:tab w:val="clear" w:pos="1985"/>
          <w:tab w:val="left" w:pos="2948"/>
          <w:tab w:val="left" w:pos="4082"/>
        </w:tabs>
        <w:spacing w:before="120" w:after="0"/>
        <w:rPr>
          <w:rFonts w:ascii="SimSun" w:hAnsi="SimSun" w:cs="SimSun"/>
          <w:lang w:val="en-US" w:eastAsia="zh-CN"/>
        </w:rPr>
      </w:pPr>
      <w:proofErr w:type="spellStart"/>
      <w:r w:rsidRPr="00EE7B8A">
        <w:rPr>
          <w:rFonts w:eastAsia="Times New Roman"/>
          <w:lang w:eastAsia="zh-CN"/>
        </w:rPr>
        <w:t>LDC</w:t>
      </w:r>
      <w:proofErr w:type="spellEnd"/>
      <w:r>
        <w:rPr>
          <w:rFonts w:ascii="SimSun" w:hAnsi="SimSun" w:cs="SimSun" w:hint="eastAsia"/>
          <w:lang w:eastAsia="zh-CN"/>
        </w:rPr>
        <w:t>、</w:t>
      </w:r>
      <w:proofErr w:type="spellStart"/>
      <w:r w:rsidRPr="00EE7B8A">
        <w:rPr>
          <w:rFonts w:eastAsia="Times New Roman"/>
          <w:lang w:eastAsia="zh-CN"/>
        </w:rPr>
        <w:t>LLDC</w:t>
      </w:r>
      <w:proofErr w:type="spellEnd"/>
      <w:r>
        <w:rPr>
          <w:rFonts w:ascii="SimSun" w:hAnsi="SimSun" w:cs="SimSun" w:hint="eastAsia"/>
          <w:lang w:eastAsia="zh-CN"/>
        </w:rPr>
        <w:t>和</w:t>
      </w:r>
      <w:r w:rsidRPr="00EE7B8A">
        <w:rPr>
          <w:rFonts w:eastAsia="Times New Roman"/>
          <w:lang w:eastAsia="zh-CN"/>
        </w:rPr>
        <w:t>SIDS</w:t>
      </w:r>
      <w:r w:rsidR="00312036">
        <w:rPr>
          <w:rFonts w:ascii="SimSun" w:hAnsi="SimSun" w:cs="SimSun" w:hint="eastAsia"/>
          <w:lang w:eastAsia="zh-CN"/>
        </w:rPr>
        <w:t>的</w:t>
      </w:r>
      <w:r w:rsidR="009255C8" w:rsidRPr="009255C8">
        <w:rPr>
          <w:rFonts w:ascii="SimSun" w:hAnsi="SimSun" w:cs="SimSun" w:hint="eastAsia"/>
          <w:lang w:eastAsia="zh-CN"/>
        </w:rPr>
        <w:t>互联网</w:t>
      </w:r>
      <w:r>
        <w:rPr>
          <w:rFonts w:ascii="SimSun" w:hAnsi="SimSun" w:cs="SimSun" w:hint="eastAsia"/>
          <w:lang w:eastAsia="zh-CN"/>
        </w:rPr>
        <w:t>用户（</w:t>
      </w:r>
      <w:r w:rsidRPr="009255C8">
        <w:rPr>
          <w:rFonts w:ascii="SimSun" w:hAnsi="SimSun" w:cs="SimSun" w:hint="eastAsia"/>
          <w:lang w:eastAsia="zh-CN"/>
        </w:rPr>
        <w:t>百分比</w:t>
      </w:r>
      <w:r>
        <w:rPr>
          <w:rFonts w:ascii="SimSun" w:hAnsi="SimSun" w:cs="SimSun" w:hint="eastAsia"/>
          <w:lang w:eastAsia="zh-CN"/>
        </w:rPr>
        <w:t>）</w:t>
      </w:r>
    </w:p>
    <w:p w14:paraId="044CFC49" w14:textId="68007397" w:rsidR="0032503E" w:rsidRDefault="0032503E" w:rsidP="0032503E">
      <w:pPr>
        <w:rPr>
          <w:lang w:val="en-US" w:eastAsia="zh-CN"/>
        </w:rPr>
      </w:pPr>
      <w:r w:rsidRPr="0032503E">
        <w:rPr>
          <w:noProof/>
          <w:lang w:eastAsia="zh-CN"/>
        </w:rPr>
        <w:drawing>
          <wp:inline distT="0" distB="0" distL="0" distR="0" wp14:anchorId="745F46A3" wp14:editId="66DDED54">
            <wp:extent cx="5760085" cy="3392170"/>
            <wp:effectExtent l="0" t="0" r="12065" b="17780"/>
            <wp:docPr id="291827526" name="Chart 1">
              <a:extLst xmlns:a="http://schemas.openxmlformats.org/drawingml/2006/main">
                <a:ext uri="{FF2B5EF4-FFF2-40B4-BE49-F238E27FC236}">
                  <a16:creationId xmlns:a16="http://schemas.microsoft.com/office/drawing/2014/main" id="{82C9F50B-639B-D6E3-A495-14A28FD53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F60C18" w14:textId="413AD9C4" w:rsidR="00EE7B8A" w:rsidRPr="00EE7B8A" w:rsidRDefault="009255C8" w:rsidP="00EE7B8A">
      <w:pPr>
        <w:pStyle w:val="Figurelegend"/>
        <w:tabs>
          <w:tab w:val="left" w:pos="567"/>
          <w:tab w:val="left" w:pos="1134"/>
          <w:tab w:val="left" w:pos="1701"/>
          <w:tab w:val="left" w:pos="2268"/>
          <w:tab w:val="left" w:pos="2835"/>
        </w:tabs>
        <w:rPr>
          <w:rFonts w:eastAsia="Times New Roman"/>
          <w:sz w:val="20"/>
          <w:lang w:eastAsia="zh-CN"/>
        </w:rPr>
      </w:pPr>
      <w:r w:rsidRPr="009255C8">
        <w:rPr>
          <w:rFonts w:ascii="SimSun" w:hAnsi="SimSun" w:cs="SimSun" w:hint="eastAsia"/>
          <w:sz w:val="20"/>
          <w:lang w:eastAsia="zh-CN"/>
        </w:rPr>
        <w:t>来源</w:t>
      </w:r>
      <w:r w:rsidR="00312036">
        <w:rPr>
          <w:rFonts w:ascii="SimSun" w:hAnsi="SimSun" w:cs="SimSun" w:hint="eastAsia"/>
          <w:sz w:val="20"/>
          <w:lang w:eastAsia="zh-CN"/>
        </w:rPr>
        <w:t>：</w:t>
      </w:r>
      <w:r w:rsidRPr="009255C8">
        <w:rPr>
          <w:rFonts w:ascii="SimSun" w:hAnsi="SimSun" w:cs="SimSun" w:hint="eastAsia"/>
          <w:sz w:val="20"/>
          <w:lang w:eastAsia="zh-CN"/>
        </w:rPr>
        <w:t>国际电联</w:t>
      </w:r>
      <w:r w:rsidR="0019056F">
        <w:rPr>
          <w:rFonts w:ascii="SimSun" w:hAnsi="SimSun" w:cs="SimSun" w:hint="eastAsia"/>
          <w:sz w:val="20"/>
          <w:lang w:eastAsia="zh-CN"/>
        </w:rPr>
        <w:t>估算。</w:t>
      </w:r>
    </w:p>
    <w:p w14:paraId="383AC8B7" w14:textId="2EE2C639" w:rsidR="00EE7B8A" w:rsidRPr="00EE7B8A" w:rsidRDefault="009255C8" w:rsidP="00312036">
      <w:pPr>
        <w:pStyle w:val="Headingb"/>
        <w:keepNext w:val="0"/>
        <w:keepLines w:val="0"/>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spacing w:before="720"/>
        <w:textAlignment w:val="baseline"/>
        <w:outlineLvl w:val="0"/>
        <w:rPr>
          <w:rFonts w:eastAsia="Times New Roman"/>
          <w:lang w:eastAsia="zh-CN"/>
        </w:rPr>
      </w:pPr>
      <w:r w:rsidRPr="009255C8">
        <w:rPr>
          <w:rFonts w:ascii="SimSun" w:hAnsi="SimSun" w:cs="SimSun" w:hint="eastAsia"/>
          <w:lang w:eastAsia="zh-CN"/>
        </w:rPr>
        <w:lastRenderedPageBreak/>
        <w:t>针对</w:t>
      </w:r>
      <w:proofErr w:type="spellStart"/>
      <w:r w:rsidR="0019056F" w:rsidRPr="00EE7B8A">
        <w:rPr>
          <w:rFonts w:eastAsia="Times New Roman"/>
          <w:lang w:eastAsia="zh-CN"/>
        </w:rPr>
        <w:t>LDC</w:t>
      </w:r>
      <w:proofErr w:type="spellEnd"/>
      <w:r w:rsidR="0019056F">
        <w:rPr>
          <w:rFonts w:ascii="SimSun" w:hAnsi="SimSun" w:cs="SimSun" w:hint="eastAsia"/>
          <w:lang w:eastAsia="zh-CN"/>
        </w:rPr>
        <w:t>、</w:t>
      </w:r>
      <w:proofErr w:type="spellStart"/>
      <w:r w:rsidR="0019056F" w:rsidRPr="00EE7B8A">
        <w:rPr>
          <w:rFonts w:eastAsia="Times New Roman"/>
          <w:lang w:eastAsia="zh-CN"/>
        </w:rPr>
        <w:t>LLDC</w:t>
      </w:r>
      <w:proofErr w:type="spellEnd"/>
      <w:r w:rsidR="0019056F">
        <w:rPr>
          <w:rFonts w:ascii="SimSun" w:hAnsi="SimSun" w:cs="SimSun" w:hint="eastAsia"/>
          <w:lang w:eastAsia="zh-CN"/>
        </w:rPr>
        <w:t>、</w:t>
      </w:r>
      <w:r w:rsidR="0019056F" w:rsidRPr="00EE7B8A">
        <w:rPr>
          <w:rFonts w:eastAsia="Times New Roman"/>
          <w:lang w:eastAsia="zh-CN"/>
        </w:rPr>
        <w:t>SIDS</w:t>
      </w:r>
      <w:r w:rsidRPr="009255C8">
        <w:rPr>
          <w:rFonts w:ascii="SimSun" w:hAnsi="SimSun" w:cs="SimSun" w:hint="eastAsia"/>
          <w:lang w:eastAsia="zh-CN"/>
        </w:rPr>
        <w:t>和经济转型国家实施特别措施</w:t>
      </w:r>
    </w:p>
    <w:p w14:paraId="4232DFB5" w14:textId="18606C98"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全权代表大会</w:t>
      </w:r>
      <w:r w:rsidR="003A73D5">
        <w:rPr>
          <w:rFonts w:hint="eastAsia"/>
          <w:lang w:eastAsia="zh-CN"/>
        </w:rPr>
        <w:t>（</w:t>
      </w:r>
      <w:r w:rsidR="003A73D5" w:rsidRPr="00EE7B8A">
        <w:rPr>
          <w:lang w:eastAsia="zh-CN"/>
        </w:rPr>
        <w:t>2022</w:t>
      </w:r>
      <w:r w:rsidR="003A73D5" w:rsidRPr="003A73D5">
        <w:rPr>
          <w:rFonts w:hint="eastAsia"/>
          <w:lang w:eastAsia="zh-CN"/>
        </w:rPr>
        <w:t>年</w:t>
      </w:r>
      <w:r w:rsidR="003A73D5">
        <w:rPr>
          <w:rFonts w:hint="eastAsia"/>
          <w:lang w:eastAsia="zh-CN"/>
        </w:rPr>
        <w:t>，</w:t>
      </w:r>
      <w:r w:rsidR="003A73D5" w:rsidRPr="003A73D5">
        <w:rPr>
          <w:rFonts w:hint="eastAsia"/>
          <w:lang w:eastAsia="zh-CN"/>
        </w:rPr>
        <w:t>布加勒斯特</w:t>
      </w:r>
      <w:r w:rsidR="003A73D5">
        <w:rPr>
          <w:rFonts w:hint="eastAsia"/>
          <w:lang w:eastAsia="zh-CN"/>
        </w:rPr>
        <w:t>）</w:t>
      </w:r>
      <w:r w:rsidRPr="009255C8">
        <w:rPr>
          <w:rFonts w:hint="eastAsia"/>
          <w:lang w:eastAsia="zh-CN"/>
        </w:rPr>
        <w:t>重申了</w:t>
      </w:r>
      <w:r w:rsidR="003A73D5" w:rsidRPr="003A73D5">
        <w:rPr>
          <w:rFonts w:hint="eastAsia"/>
          <w:lang w:eastAsia="zh-CN"/>
        </w:rPr>
        <w:t>第</w:t>
      </w:r>
      <w:r w:rsidR="003A73D5" w:rsidRPr="00EE7B8A">
        <w:rPr>
          <w:lang w:eastAsia="zh-CN"/>
        </w:rPr>
        <w:t>30</w:t>
      </w:r>
      <w:r w:rsidR="003A73D5" w:rsidRPr="003A73D5">
        <w:rPr>
          <w:rFonts w:hint="eastAsia"/>
          <w:lang w:eastAsia="zh-CN"/>
        </w:rPr>
        <w:t>号决议</w:t>
      </w:r>
      <w:r w:rsidR="003A73D5">
        <w:rPr>
          <w:rFonts w:hint="eastAsia"/>
          <w:lang w:eastAsia="zh-CN"/>
        </w:rPr>
        <w:t>（</w:t>
      </w:r>
      <w:r w:rsidR="003A73D5" w:rsidRPr="00EE7B8A">
        <w:rPr>
          <w:lang w:eastAsia="zh-CN"/>
        </w:rPr>
        <w:t>2022</w:t>
      </w:r>
      <w:r w:rsidR="003A73D5" w:rsidRPr="003A73D5">
        <w:rPr>
          <w:rFonts w:hint="eastAsia"/>
          <w:lang w:eastAsia="zh-CN"/>
        </w:rPr>
        <w:t>年</w:t>
      </w:r>
      <w:r w:rsidR="003A73D5">
        <w:rPr>
          <w:rFonts w:hint="eastAsia"/>
          <w:lang w:eastAsia="zh-CN"/>
        </w:rPr>
        <w:t>，</w:t>
      </w:r>
      <w:r w:rsidR="003A73D5" w:rsidRPr="003A73D5">
        <w:rPr>
          <w:rFonts w:hint="eastAsia"/>
          <w:lang w:eastAsia="zh-CN"/>
        </w:rPr>
        <w:t>布加勒斯特</w:t>
      </w:r>
      <w:r w:rsidR="003A73D5">
        <w:rPr>
          <w:rFonts w:hint="eastAsia"/>
          <w:lang w:eastAsia="zh-CN"/>
        </w:rPr>
        <w:t>，</w:t>
      </w:r>
      <w:r w:rsidR="003A73D5" w:rsidRPr="003A73D5">
        <w:rPr>
          <w:rFonts w:hint="eastAsia"/>
          <w:lang w:eastAsia="zh-CN"/>
        </w:rPr>
        <w:t>修订版</w:t>
      </w:r>
      <w:r w:rsidR="003A73D5">
        <w:rPr>
          <w:rFonts w:hint="eastAsia"/>
          <w:lang w:eastAsia="zh-CN"/>
        </w:rPr>
        <w:t>）</w:t>
      </w:r>
      <w:r w:rsidRPr="009255C8">
        <w:rPr>
          <w:rFonts w:hint="eastAsia"/>
          <w:lang w:eastAsia="zh-CN"/>
        </w:rPr>
        <w:t>的</w:t>
      </w:r>
      <w:r w:rsidR="00B83EF2" w:rsidRPr="00B83EF2">
        <w:rPr>
          <w:rFonts w:hint="eastAsia"/>
          <w:lang w:eastAsia="zh-CN"/>
        </w:rPr>
        <w:t>任务授权</w:t>
      </w:r>
      <w:r w:rsidR="003A73D5">
        <w:rPr>
          <w:rFonts w:hint="eastAsia"/>
          <w:lang w:eastAsia="zh-CN"/>
        </w:rPr>
        <w:t>，该决议</w:t>
      </w:r>
      <w:r w:rsidRPr="009255C8">
        <w:rPr>
          <w:rFonts w:hint="eastAsia"/>
          <w:lang w:eastAsia="zh-CN"/>
        </w:rPr>
        <w:t>责成秘书长和</w:t>
      </w:r>
      <w:r w:rsidR="003A73D5" w:rsidRPr="00EE7B8A">
        <w:rPr>
          <w:lang w:eastAsia="zh-CN"/>
        </w:rPr>
        <w:t>BDT</w:t>
      </w:r>
      <w:r w:rsidRPr="009255C8">
        <w:rPr>
          <w:rFonts w:hint="eastAsia"/>
          <w:lang w:eastAsia="zh-CN"/>
        </w:rPr>
        <w:t>主任</w:t>
      </w:r>
      <w:r w:rsidR="00F2712F">
        <w:rPr>
          <w:rFonts w:hint="eastAsia"/>
          <w:lang w:eastAsia="zh-CN"/>
        </w:rPr>
        <w:t>，</w:t>
      </w:r>
      <w:r w:rsidRPr="009255C8">
        <w:rPr>
          <w:rFonts w:hint="eastAsia"/>
          <w:lang w:eastAsia="zh-CN"/>
        </w:rPr>
        <w:t>针对</w:t>
      </w:r>
      <w:proofErr w:type="spellStart"/>
      <w:r w:rsidR="00F2712F" w:rsidRPr="00EE7B8A">
        <w:rPr>
          <w:lang w:eastAsia="zh-CN"/>
        </w:rPr>
        <w:t>LDC</w:t>
      </w:r>
      <w:proofErr w:type="spellEnd"/>
      <w:r w:rsidR="00F2712F">
        <w:rPr>
          <w:rFonts w:hint="eastAsia"/>
          <w:lang w:eastAsia="zh-CN"/>
        </w:rPr>
        <w:t>、</w:t>
      </w:r>
      <w:proofErr w:type="spellStart"/>
      <w:r w:rsidR="00F2712F" w:rsidRPr="00EE7B8A">
        <w:rPr>
          <w:lang w:eastAsia="zh-CN"/>
        </w:rPr>
        <w:t>LLDC</w:t>
      </w:r>
      <w:proofErr w:type="spellEnd"/>
      <w:r w:rsidR="00F2712F">
        <w:rPr>
          <w:rFonts w:hint="eastAsia"/>
          <w:lang w:eastAsia="zh-CN"/>
        </w:rPr>
        <w:t>、</w:t>
      </w:r>
      <w:r w:rsidR="00F2712F" w:rsidRPr="00EE7B8A">
        <w:rPr>
          <w:lang w:eastAsia="zh-CN"/>
        </w:rPr>
        <w:t>SIDS</w:t>
      </w:r>
      <w:r w:rsidR="00F2712F">
        <w:rPr>
          <w:rFonts w:hint="eastAsia"/>
          <w:lang w:eastAsia="zh-CN"/>
        </w:rPr>
        <w:t>和</w:t>
      </w:r>
      <w:r w:rsidRPr="009255C8">
        <w:rPr>
          <w:rFonts w:hint="eastAsia"/>
          <w:lang w:eastAsia="zh-CN"/>
        </w:rPr>
        <w:t>经济转型国家实施特别措施</w:t>
      </w:r>
      <w:r w:rsidR="00F2712F" w:rsidRPr="006157CE">
        <w:rPr>
          <w:rFonts w:hint="eastAsia"/>
          <w:lang w:eastAsia="zh-CN"/>
        </w:rPr>
        <w:t>。</w:t>
      </w:r>
    </w:p>
    <w:p w14:paraId="34BD0AAE" w14:textId="0E5391C9" w:rsidR="00EE7B8A" w:rsidRPr="00EE7B8A" w:rsidRDefault="009255C8" w:rsidP="00EE7B8A">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lang w:eastAsia="zh-CN"/>
        </w:rPr>
      </w:pPr>
      <w:r w:rsidRPr="009255C8">
        <w:rPr>
          <w:rFonts w:ascii="SimSun" w:hAnsi="SimSun" w:cs="SimSun" w:hint="eastAsia"/>
          <w:lang w:eastAsia="zh-CN"/>
        </w:rPr>
        <w:t>审</w:t>
      </w:r>
      <w:r w:rsidR="000B52C7">
        <w:rPr>
          <w:rFonts w:ascii="SimSun" w:hAnsi="SimSun" w:cs="SimSun" w:hint="eastAsia"/>
          <w:lang w:eastAsia="zh-CN"/>
        </w:rPr>
        <w:t>查</w:t>
      </w:r>
      <w:r w:rsidR="00F2712F" w:rsidRPr="00EE7B8A">
        <w:rPr>
          <w:rFonts w:eastAsia="Times New Roman"/>
          <w:lang w:eastAsia="zh-CN"/>
        </w:rPr>
        <w:t>ICT</w:t>
      </w:r>
      <w:r w:rsidR="00EA6689">
        <w:rPr>
          <w:rFonts w:ascii="SimSun" w:hAnsi="SimSun" w:cs="SimSun" w:hint="eastAsia"/>
          <w:lang w:eastAsia="zh-CN"/>
        </w:rPr>
        <w:t>发展状况</w:t>
      </w:r>
    </w:p>
    <w:p w14:paraId="534F8C94" w14:textId="5A4483D4"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国际电联通过其</w:t>
      </w:r>
      <w:r w:rsidR="00EA6689" w:rsidRPr="00EA6689">
        <w:rPr>
          <w:rFonts w:hint="eastAsia"/>
          <w:lang w:eastAsia="zh-CN"/>
        </w:rPr>
        <w:t>旗舰出版物</w:t>
      </w:r>
      <w:hyperlink r:id="rId12" w:history="1">
        <w:r w:rsidR="00181522" w:rsidRPr="00181522">
          <w:rPr>
            <w:rStyle w:val="Hyperlink"/>
            <w:rFonts w:ascii="STKaiti" w:eastAsia="STKaiti" w:hAnsi="STKaiti" w:hint="eastAsia"/>
            <w:noProof w:val="0"/>
            <w:lang w:eastAsia="zh-CN"/>
          </w:rPr>
          <w:t>《事实和数字》</w:t>
        </w:r>
      </w:hyperlink>
      <w:r w:rsidR="00F2712F" w:rsidRPr="009255C8">
        <w:rPr>
          <w:rFonts w:hint="eastAsia"/>
          <w:lang w:eastAsia="zh-CN"/>
        </w:rPr>
        <w:t>系列</w:t>
      </w:r>
      <w:r w:rsidR="00EA6689">
        <w:rPr>
          <w:rFonts w:hint="eastAsia"/>
          <w:lang w:eastAsia="zh-CN"/>
        </w:rPr>
        <w:t>，</w:t>
      </w:r>
      <w:r w:rsidR="00F2712F">
        <w:rPr>
          <w:rFonts w:hint="eastAsia"/>
          <w:lang w:eastAsia="zh-CN"/>
        </w:rPr>
        <w:t>持续</w:t>
      </w:r>
      <w:r w:rsidRPr="009255C8">
        <w:rPr>
          <w:rFonts w:hint="eastAsia"/>
          <w:lang w:eastAsia="zh-CN"/>
        </w:rPr>
        <w:t>评估</w:t>
      </w:r>
      <w:r w:rsidR="00F2712F" w:rsidRPr="00EE7B8A">
        <w:rPr>
          <w:lang w:eastAsia="zh-CN"/>
        </w:rPr>
        <w:t>ICT</w:t>
      </w:r>
      <w:r w:rsidRPr="009255C8">
        <w:rPr>
          <w:rFonts w:hint="eastAsia"/>
          <w:lang w:eastAsia="zh-CN"/>
        </w:rPr>
        <w:t>发展</w:t>
      </w:r>
      <w:r w:rsidR="00F2712F">
        <w:rPr>
          <w:rFonts w:hint="eastAsia"/>
          <w:lang w:eastAsia="zh-CN"/>
        </w:rPr>
        <w:t>状况</w:t>
      </w:r>
      <w:r w:rsidRPr="009255C8">
        <w:rPr>
          <w:rFonts w:hint="eastAsia"/>
          <w:lang w:eastAsia="zh-CN"/>
        </w:rPr>
        <w:t>并确定关键差距</w:t>
      </w:r>
      <w:r w:rsidR="00F2712F">
        <w:rPr>
          <w:rFonts w:hint="eastAsia"/>
          <w:lang w:eastAsia="zh-CN"/>
        </w:rPr>
        <w:t>，</w:t>
      </w:r>
      <w:r w:rsidRPr="009255C8">
        <w:rPr>
          <w:rFonts w:hint="eastAsia"/>
          <w:lang w:eastAsia="zh-CN"/>
        </w:rPr>
        <w:t>近年来</w:t>
      </w:r>
      <w:r w:rsidR="00EA6689">
        <w:rPr>
          <w:rFonts w:hint="eastAsia"/>
          <w:lang w:eastAsia="zh-CN"/>
        </w:rPr>
        <w:t>还</w:t>
      </w:r>
      <w:r w:rsidRPr="009255C8">
        <w:rPr>
          <w:rFonts w:hint="eastAsia"/>
          <w:lang w:eastAsia="zh-CN"/>
        </w:rPr>
        <w:t>推出了专门针对</w:t>
      </w:r>
      <w:hyperlink r:id="rId13" w:history="1">
        <w:proofErr w:type="spellStart"/>
        <w:r w:rsidR="00F2712F" w:rsidRPr="00EE7B8A">
          <w:rPr>
            <w:rStyle w:val="Hyperlink"/>
            <w:rFonts w:eastAsia="SimSun"/>
            <w:noProof w:val="0"/>
            <w:lang w:eastAsia="zh-CN"/>
          </w:rPr>
          <w:t>LDC</w:t>
        </w:r>
        <w:proofErr w:type="spellEnd"/>
      </w:hyperlink>
      <w:r w:rsidR="00F2712F">
        <w:rPr>
          <w:rFonts w:hint="eastAsia"/>
          <w:lang w:eastAsia="zh-CN"/>
        </w:rPr>
        <w:t>、</w:t>
      </w:r>
      <w:r w:rsidR="00F2712F">
        <w:fldChar w:fldCharType="begin"/>
      </w:r>
      <w:r w:rsidR="00F2712F">
        <w:rPr>
          <w:lang w:eastAsia="zh-CN"/>
        </w:rPr>
        <w:instrText>HYPERLINK "https://www.itu.int/itu-d/reports/statistics/facts-figures-for-lldc/"</w:instrText>
      </w:r>
      <w:r w:rsidR="00F2712F">
        <w:fldChar w:fldCharType="separate"/>
      </w:r>
      <w:proofErr w:type="spellStart"/>
      <w:r w:rsidR="00F2712F" w:rsidRPr="00EE7B8A">
        <w:rPr>
          <w:rStyle w:val="Hyperlink"/>
          <w:rFonts w:eastAsia="SimSun"/>
          <w:noProof w:val="0"/>
          <w:lang w:eastAsia="zh-CN"/>
        </w:rPr>
        <w:t>LLDC</w:t>
      </w:r>
      <w:proofErr w:type="spellEnd"/>
      <w:r w:rsidR="00F2712F">
        <w:fldChar w:fldCharType="end"/>
      </w:r>
      <w:r w:rsidR="00F2712F" w:rsidRPr="009255C8">
        <w:rPr>
          <w:rFonts w:hint="eastAsia"/>
          <w:lang w:eastAsia="zh-CN"/>
        </w:rPr>
        <w:t>和</w:t>
      </w:r>
      <w:r w:rsidR="00F2712F">
        <w:fldChar w:fldCharType="begin"/>
      </w:r>
      <w:r w:rsidR="00F2712F">
        <w:rPr>
          <w:lang w:eastAsia="zh-CN"/>
        </w:rPr>
        <w:instrText>HYPERLINK "https://www.itu.int/itu-d/reports/statistics/facts-figures-for-sids/"</w:instrText>
      </w:r>
      <w:r w:rsidR="00F2712F">
        <w:fldChar w:fldCharType="separate"/>
      </w:r>
      <w:r w:rsidR="00F2712F" w:rsidRPr="00EE7B8A">
        <w:rPr>
          <w:rStyle w:val="Hyperlink"/>
          <w:rFonts w:eastAsia="SimSun"/>
          <w:noProof w:val="0"/>
          <w:lang w:eastAsia="zh-CN"/>
        </w:rPr>
        <w:t>SIDS</w:t>
      </w:r>
      <w:r w:rsidR="00F2712F">
        <w:fldChar w:fldCharType="end"/>
      </w:r>
      <w:r w:rsidRPr="009255C8">
        <w:rPr>
          <w:rFonts w:hint="eastAsia"/>
          <w:lang w:eastAsia="zh-CN"/>
        </w:rPr>
        <w:t>的</w:t>
      </w:r>
      <w:r w:rsidR="00F2712F" w:rsidRPr="00F2712F">
        <w:rPr>
          <w:rFonts w:hint="eastAsia"/>
          <w:lang w:eastAsia="zh-CN"/>
        </w:rPr>
        <w:t>专刊</w:t>
      </w:r>
      <w:r w:rsidR="00F2712F">
        <w:rPr>
          <w:rFonts w:hint="eastAsia"/>
          <w:lang w:eastAsia="zh-CN"/>
        </w:rPr>
        <w:t>。</w:t>
      </w:r>
      <w:r w:rsidRPr="009255C8">
        <w:rPr>
          <w:rFonts w:hint="eastAsia"/>
          <w:lang w:eastAsia="zh-CN"/>
        </w:rPr>
        <w:t>这些</w:t>
      </w:r>
      <w:r w:rsidR="00F2712F" w:rsidRPr="00F2712F">
        <w:rPr>
          <w:rFonts w:hint="eastAsia"/>
          <w:lang w:eastAsia="zh-CN"/>
        </w:rPr>
        <w:t>专刊</w:t>
      </w:r>
      <w:r w:rsidRPr="009255C8">
        <w:rPr>
          <w:rFonts w:hint="eastAsia"/>
          <w:lang w:eastAsia="zh-CN"/>
        </w:rPr>
        <w:t>在战略上与联合国</w:t>
      </w:r>
      <w:r w:rsidR="00EA6689">
        <w:rPr>
          <w:rFonts w:hint="eastAsia"/>
          <w:lang w:eastAsia="zh-CN"/>
        </w:rPr>
        <w:t>的</w:t>
      </w:r>
      <w:r w:rsidRPr="009255C8">
        <w:rPr>
          <w:rFonts w:hint="eastAsia"/>
          <w:lang w:eastAsia="zh-CN"/>
        </w:rPr>
        <w:t>主要国际发展框架保持一致</w:t>
      </w:r>
      <w:r w:rsidR="00F2712F">
        <w:rPr>
          <w:rFonts w:hint="eastAsia"/>
          <w:lang w:eastAsia="zh-CN"/>
        </w:rPr>
        <w:t>，</w:t>
      </w:r>
      <w:r w:rsidRPr="009255C8">
        <w:rPr>
          <w:rFonts w:hint="eastAsia"/>
          <w:lang w:eastAsia="zh-CN"/>
        </w:rPr>
        <w:t>包括</w:t>
      </w:r>
      <w:proofErr w:type="spellStart"/>
      <w:r w:rsidR="00F2712F" w:rsidRPr="00EE7B8A">
        <w:rPr>
          <w:lang w:eastAsia="zh-CN"/>
        </w:rPr>
        <w:t>DPOA</w:t>
      </w:r>
      <w:proofErr w:type="spellEnd"/>
      <w:r w:rsidR="00F2712F">
        <w:rPr>
          <w:rFonts w:hint="eastAsia"/>
          <w:lang w:eastAsia="zh-CN"/>
        </w:rPr>
        <w:t>、</w:t>
      </w:r>
      <w:proofErr w:type="spellStart"/>
      <w:r w:rsidR="00F2712F" w:rsidRPr="00EE7B8A">
        <w:rPr>
          <w:lang w:eastAsia="zh-CN"/>
        </w:rPr>
        <w:t>APOA</w:t>
      </w:r>
      <w:proofErr w:type="spellEnd"/>
      <w:r w:rsidR="00F2712F">
        <w:rPr>
          <w:rFonts w:hint="eastAsia"/>
          <w:lang w:eastAsia="zh-CN"/>
        </w:rPr>
        <w:t>和</w:t>
      </w:r>
      <w:r w:rsidR="00F2712F" w:rsidRPr="00EE7B8A">
        <w:rPr>
          <w:lang w:eastAsia="zh-CN"/>
        </w:rPr>
        <w:t>ABAS</w:t>
      </w:r>
      <w:r w:rsidR="00F2712F">
        <w:rPr>
          <w:rFonts w:hint="eastAsia"/>
          <w:lang w:eastAsia="zh-CN"/>
        </w:rPr>
        <w:t>。</w:t>
      </w:r>
      <w:r w:rsidRPr="009255C8">
        <w:rPr>
          <w:rFonts w:hint="eastAsia"/>
          <w:lang w:eastAsia="zh-CN"/>
        </w:rPr>
        <w:t>这些文件共同提供了对全球</w:t>
      </w:r>
      <w:r w:rsidR="00F2712F">
        <w:rPr>
          <w:rFonts w:hint="eastAsia"/>
          <w:lang w:eastAsia="zh-CN"/>
        </w:rPr>
        <w:t>及上述特别</w:t>
      </w:r>
      <w:r w:rsidRPr="009255C8">
        <w:rPr>
          <w:rFonts w:hint="eastAsia"/>
          <w:lang w:eastAsia="zh-CN"/>
        </w:rPr>
        <w:t>群</w:t>
      </w:r>
      <w:r w:rsidR="000B52C7">
        <w:rPr>
          <w:rFonts w:hint="eastAsia"/>
          <w:lang w:eastAsia="zh-CN"/>
        </w:rPr>
        <w:t>组</w:t>
      </w:r>
      <w:r w:rsidRPr="009255C8">
        <w:rPr>
          <w:rFonts w:hint="eastAsia"/>
          <w:lang w:eastAsia="zh-CN"/>
        </w:rPr>
        <w:t>数字发展状况的全面</w:t>
      </w:r>
      <w:r w:rsidR="00F2712F">
        <w:rPr>
          <w:rFonts w:hint="eastAsia"/>
          <w:lang w:eastAsia="zh-CN"/>
        </w:rPr>
        <w:t>洞察。</w:t>
      </w:r>
      <w:r w:rsidRPr="009255C8">
        <w:rPr>
          <w:rFonts w:hint="eastAsia"/>
          <w:lang w:eastAsia="zh-CN"/>
        </w:rPr>
        <w:t>如</w:t>
      </w:r>
      <w:hyperlink w:anchor="图1" w:history="1">
        <w:r w:rsidR="00F2712F">
          <w:rPr>
            <w:rStyle w:val="Hyperlink"/>
            <w:rFonts w:eastAsia="SimSun" w:hint="eastAsia"/>
            <w:noProof w:val="0"/>
            <w:lang w:eastAsia="zh-CN"/>
          </w:rPr>
          <w:t>图</w:t>
        </w:r>
        <w:r w:rsidR="00F2712F" w:rsidRPr="00EE7B8A">
          <w:rPr>
            <w:rStyle w:val="Hyperlink"/>
            <w:rFonts w:eastAsia="SimSun"/>
            <w:noProof w:val="0"/>
            <w:lang w:eastAsia="zh-CN"/>
          </w:rPr>
          <w:t>1</w:t>
        </w:r>
      </w:hyperlink>
      <w:r w:rsidRPr="009255C8">
        <w:rPr>
          <w:rFonts w:hint="eastAsia"/>
          <w:lang w:eastAsia="zh-CN"/>
        </w:rPr>
        <w:t>所示</w:t>
      </w:r>
      <w:r w:rsidR="00F2712F">
        <w:rPr>
          <w:rFonts w:hint="eastAsia"/>
          <w:lang w:eastAsia="zh-CN"/>
        </w:rPr>
        <w:t>，</w:t>
      </w:r>
      <w:r w:rsidR="00EA6689">
        <w:rPr>
          <w:rFonts w:hint="eastAsia"/>
          <w:lang w:eastAsia="zh-CN"/>
        </w:rPr>
        <w:t>在此方面</w:t>
      </w:r>
      <w:r w:rsidR="0001004B">
        <w:rPr>
          <w:rFonts w:hint="eastAsia"/>
          <w:lang w:eastAsia="zh-CN"/>
        </w:rPr>
        <w:t>已</w:t>
      </w:r>
      <w:r w:rsidRPr="009255C8">
        <w:rPr>
          <w:rFonts w:hint="eastAsia"/>
          <w:lang w:eastAsia="zh-CN"/>
        </w:rPr>
        <w:t>取得稳步进展</w:t>
      </w:r>
      <w:r w:rsidR="00F2712F">
        <w:rPr>
          <w:rFonts w:hint="eastAsia"/>
          <w:lang w:eastAsia="zh-CN"/>
        </w:rPr>
        <w:t>。</w:t>
      </w:r>
      <w:r w:rsidRPr="009255C8">
        <w:rPr>
          <w:rFonts w:hint="eastAsia"/>
          <w:lang w:eastAsia="zh-CN"/>
        </w:rPr>
        <w:t>然而</w:t>
      </w:r>
      <w:r w:rsidR="00F2712F">
        <w:rPr>
          <w:rFonts w:hint="eastAsia"/>
          <w:lang w:eastAsia="zh-CN"/>
        </w:rPr>
        <w:t>，</w:t>
      </w:r>
      <w:r w:rsidRPr="009255C8">
        <w:rPr>
          <w:rFonts w:hint="eastAsia"/>
          <w:lang w:eastAsia="zh-CN"/>
        </w:rPr>
        <w:t>这些</w:t>
      </w:r>
      <w:r w:rsidR="00F2712F">
        <w:rPr>
          <w:rFonts w:hint="eastAsia"/>
          <w:lang w:eastAsia="zh-CN"/>
        </w:rPr>
        <w:t>特别</w:t>
      </w:r>
      <w:r w:rsidRPr="009255C8">
        <w:rPr>
          <w:rFonts w:hint="eastAsia"/>
          <w:lang w:eastAsia="zh-CN"/>
        </w:rPr>
        <w:t>群</w:t>
      </w:r>
      <w:r w:rsidR="00111575">
        <w:rPr>
          <w:rFonts w:hint="eastAsia"/>
          <w:lang w:eastAsia="zh-CN"/>
        </w:rPr>
        <w:t>组</w:t>
      </w:r>
      <w:r w:rsidRPr="009255C8">
        <w:rPr>
          <w:rFonts w:hint="eastAsia"/>
          <w:lang w:eastAsia="zh-CN"/>
        </w:rPr>
        <w:t>之间以及</w:t>
      </w:r>
      <w:r w:rsidR="00181522">
        <w:rPr>
          <w:rFonts w:hint="eastAsia"/>
          <w:lang w:eastAsia="zh-CN"/>
        </w:rPr>
        <w:t>这些群</w:t>
      </w:r>
      <w:r w:rsidR="00111575">
        <w:rPr>
          <w:rFonts w:hint="eastAsia"/>
          <w:lang w:eastAsia="zh-CN"/>
        </w:rPr>
        <w:t>组</w:t>
      </w:r>
      <w:r w:rsidRPr="009255C8">
        <w:rPr>
          <w:rFonts w:hint="eastAsia"/>
          <w:lang w:eastAsia="zh-CN"/>
        </w:rPr>
        <w:t>与世界其他</w:t>
      </w:r>
      <w:r w:rsidR="00181522">
        <w:rPr>
          <w:rFonts w:hint="eastAsia"/>
          <w:lang w:eastAsia="zh-CN"/>
        </w:rPr>
        <w:t>地区</w:t>
      </w:r>
      <w:r w:rsidRPr="009255C8">
        <w:rPr>
          <w:rFonts w:hint="eastAsia"/>
          <w:lang w:eastAsia="zh-CN"/>
        </w:rPr>
        <w:t>之间</w:t>
      </w:r>
      <w:r w:rsidR="00EA6689">
        <w:rPr>
          <w:rFonts w:hint="eastAsia"/>
          <w:lang w:eastAsia="zh-CN"/>
        </w:rPr>
        <w:t>仍</w:t>
      </w:r>
      <w:r w:rsidRPr="009255C8">
        <w:rPr>
          <w:rFonts w:hint="eastAsia"/>
          <w:lang w:eastAsia="zh-CN"/>
        </w:rPr>
        <w:t>存在</w:t>
      </w:r>
      <w:r w:rsidR="00181522">
        <w:rPr>
          <w:rFonts w:hint="eastAsia"/>
          <w:lang w:eastAsia="zh-CN"/>
        </w:rPr>
        <w:t>差距</w:t>
      </w:r>
      <w:r w:rsidR="00181522" w:rsidRPr="00111575">
        <w:rPr>
          <w:rFonts w:hint="eastAsia"/>
          <w:lang w:eastAsia="zh-CN"/>
        </w:rPr>
        <w:t>。</w:t>
      </w:r>
    </w:p>
    <w:p w14:paraId="2DD0DBAA" w14:textId="6823706A" w:rsidR="00EE7B8A" w:rsidRPr="00EE7B8A" w:rsidRDefault="009255C8" w:rsidP="00360333">
      <w:pPr>
        <w:pStyle w:val="TableNo"/>
      </w:pPr>
      <w:bookmarkStart w:id="9" w:name="Tab_1"/>
      <w:bookmarkStart w:id="10" w:name="表1"/>
      <w:r w:rsidRPr="009255C8">
        <w:rPr>
          <w:rFonts w:ascii="SimSun" w:hAnsi="SimSun" w:cs="SimSun" w:hint="eastAsia"/>
          <w:lang w:eastAsia="zh-CN"/>
        </w:rPr>
        <w:t>表</w:t>
      </w:r>
      <w:r w:rsidR="00EE7B8A" w:rsidRPr="00EE7B8A">
        <w:t>1</w:t>
      </w:r>
      <w:bookmarkEnd w:id="9"/>
      <w:bookmarkEnd w:id="10"/>
    </w:p>
    <w:p w14:paraId="4087D0B0" w14:textId="1C1CD9D3" w:rsidR="00EE7B8A" w:rsidRPr="00EE7B8A" w:rsidRDefault="00EE7B8A" w:rsidP="00EE7B8A">
      <w:pPr>
        <w:pStyle w:val="Tabletitle"/>
        <w:tabs>
          <w:tab w:val="clear" w:pos="794"/>
          <w:tab w:val="clear" w:pos="1191"/>
          <w:tab w:val="clear" w:pos="1588"/>
          <w:tab w:val="clear" w:pos="1985"/>
          <w:tab w:val="left" w:pos="2948"/>
          <w:tab w:val="left" w:pos="4082"/>
        </w:tabs>
        <w:rPr>
          <w:rFonts w:ascii="Calibri" w:eastAsia="Times New Roman" w:hAnsi="Calibri"/>
        </w:rPr>
      </w:pPr>
      <w:r w:rsidRPr="00EE7B8A">
        <w:rPr>
          <w:rFonts w:ascii="Calibri" w:eastAsia="Times New Roman" w:hAnsi="Calibri"/>
        </w:rPr>
        <w:t>2025</w:t>
      </w:r>
      <w:r w:rsidR="009255C8" w:rsidRPr="009255C8">
        <w:rPr>
          <w:rFonts w:ascii="SimSun" w:hAnsi="SimSun" w:cs="SimSun" w:hint="eastAsia"/>
          <w:lang w:eastAsia="zh-CN"/>
        </w:rPr>
        <w:t>年部分连通性指标</w:t>
      </w:r>
    </w:p>
    <w:tbl>
      <w:tblPr>
        <w:tblStyle w:val="TableGrid"/>
        <w:tblW w:w="5000" w:type="pct"/>
        <w:tblLook w:val="04A0" w:firstRow="1" w:lastRow="0" w:firstColumn="1" w:lastColumn="0" w:noHBand="0" w:noVBand="1"/>
      </w:tblPr>
      <w:tblGrid>
        <w:gridCol w:w="4556"/>
        <w:gridCol w:w="1136"/>
        <w:gridCol w:w="1624"/>
        <w:gridCol w:w="1745"/>
      </w:tblGrid>
      <w:tr w:rsidR="00EE7B8A" w:rsidRPr="00EE7B8A" w14:paraId="2B1981E2" w14:textId="77777777">
        <w:trPr>
          <w:tblHeader/>
        </w:trPr>
        <w:tc>
          <w:tcPr>
            <w:tcW w:w="2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5DD82A" w14:textId="118252A1" w:rsidR="00EE7B8A" w:rsidRPr="00EE7B8A" w:rsidRDefault="009255C8" w:rsidP="00EE7B8A">
            <w:pPr>
              <w:jc w:val="center"/>
              <w:rPr>
                <w:b/>
              </w:rPr>
            </w:pPr>
            <w:r w:rsidRPr="009255C8">
              <w:rPr>
                <w:rFonts w:ascii="SimSun" w:eastAsia="SimSun" w:hAnsi="SimSun" w:cs="SimSun" w:hint="eastAsia"/>
                <w:b/>
                <w:lang w:eastAsia="zh-CN"/>
              </w:rPr>
              <w:t>至少有</w:t>
            </w:r>
            <w:r w:rsidR="00122622" w:rsidRPr="00EE7B8A">
              <w:rPr>
                <w:b/>
              </w:rPr>
              <w:t>LTE/WiMAX</w:t>
            </w:r>
            <w:r w:rsidR="00122622">
              <w:rPr>
                <w:rFonts w:ascii="SimSun" w:eastAsia="SimSun" w:hAnsi="SimSun" w:cs="SimSun" w:hint="eastAsia"/>
                <w:b/>
                <w:lang w:eastAsia="zh-CN"/>
              </w:rPr>
              <w:t>（</w:t>
            </w:r>
            <w:proofErr w:type="spellStart"/>
            <w:r w:rsidR="00122622" w:rsidRPr="00EE7B8A">
              <w:rPr>
                <w:b/>
              </w:rPr>
              <w:t>4G</w:t>
            </w:r>
            <w:proofErr w:type="spellEnd"/>
            <w:r w:rsidR="00122622">
              <w:rPr>
                <w:rFonts w:ascii="SimSun" w:eastAsia="SimSun" w:hAnsi="SimSun" w:cs="SimSun" w:hint="eastAsia"/>
                <w:b/>
                <w:lang w:eastAsia="zh-CN"/>
              </w:rPr>
              <w:t>）</w:t>
            </w:r>
            <w:r w:rsidRPr="009255C8">
              <w:rPr>
                <w:rFonts w:ascii="SimSun" w:eastAsia="SimSun" w:hAnsi="SimSun" w:cs="SimSun" w:hint="eastAsia"/>
                <w:b/>
                <w:lang w:eastAsia="zh-CN"/>
              </w:rPr>
              <w:t>移动网络</w:t>
            </w:r>
            <w:r w:rsidR="0032503E">
              <w:rPr>
                <w:rFonts w:ascii="SimSun" w:eastAsia="SimSun" w:hAnsi="SimSun" w:cs="SimSun"/>
                <w:b/>
                <w:lang w:val="en-US" w:eastAsia="zh-CN"/>
              </w:rPr>
              <w:br/>
            </w:r>
            <w:r w:rsidRPr="009255C8">
              <w:rPr>
                <w:rFonts w:ascii="SimSun" w:eastAsia="SimSun" w:hAnsi="SimSun" w:cs="SimSun" w:hint="eastAsia"/>
                <w:b/>
                <w:lang w:eastAsia="zh-CN"/>
              </w:rPr>
              <w:t>覆盖的人口</w:t>
            </w:r>
            <w:r w:rsidR="00122622">
              <w:rPr>
                <w:rFonts w:ascii="SimSun" w:eastAsia="SimSun" w:hAnsi="SimSun" w:cs="SimSun" w:hint="eastAsia"/>
                <w:b/>
                <w:lang w:eastAsia="zh-CN"/>
              </w:rPr>
              <w:t>（</w:t>
            </w:r>
            <w:r w:rsidR="00122622" w:rsidRPr="00EE7B8A">
              <w:rPr>
                <w:b/>
              </w:rPr>
              <w:t>%</w:t>
            </w:r>
            <w:r w:rsidR="00122622">
              <w:rPr>
                <w:rFonts w:ascii="SimSun" w:eastAsia="SimSun" w:hAnsi="SimSun" w:cs="SimSun" w:hint="eastAsia"/>
                <w:b/>
                <w:lang w:eastAsia="zh-CN"/>
              </w:rPr>
              <w:t>）</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3A9022" w14:textId="7C64FE8A" w:rsidR="00EE7B8A" w:rsidRPr="00EE7B8A" w:rsidRDefault="00C77DB2" w:rsidP="00EE7B8A">
            <w:pPr>
              <w:jc w:val="center"/>
              <w:rPr>
                <w:b/>
              </w:rPr>
            </w:pPr>
            <w:r>
              <w:rPr>
                <w:rFonts w:ascii="SimSun" w:eastAsia="SimSun" w:hAnsi="SimSun" w:cs="SimSun" w:hint="eastAsia"/>
                <w:b/>
                <w:lang w:eastAsia="zh-CN"/>
              </w:rPr>
              <w:t>总计</w:t>
            </w:r>
          </w:p>
        </w:tc>
        <w:tc>
          <w:tcPr>
            <w:tcW w:w="8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B85021" w14:textId="0782D32B" w:rsidR="00EE7B8A" w:rsidRPr="00EE7B8A" w:rsidRDefault="00122622" w:rsidP="00EE7B8A">
            <w:pPr>
              <w:jc w:val="center"/>
              <w:rPr>
                <w:b/>
              </w:rPr>
            </w:pPr>
            <w:r>
              <w:rPr>
                <w:rFonts w:ascii="SimSun" w:eastAsia="SimSun" w:hAnsi="SimSun" w:cs="SimSun" w:hint="eastAsia"/>
                <w:b/>
                <w:lang w:eastAsia="zh-CN"/>
              </w:rPr>
              <w:t>城市地区</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6CB7E" w14:textId="295C4127" w:rsidR="00EE7B8A" w:rsidRPr="00EE7B8A" w:rsidRDefault="009255C8" w:rsidP="00EE7B8A">
            <w:pPr>
              <w:jc w:val="center"/>
              <w:rPr>
                <w:b/>
              </w:rPr>
            </w:pPr>
            <w:r w:rsidRPr="009255C8">
              <w:rPr>
                <w:rFonts w:ascii="SimSun" w:eastAsia="SimSun" w:hAnsi="SimSun" w:cs="SimSun" w:hint="eastAsia"/>
                <w:b/>
                <w:lang w:eastAsia="zh-CN"/>
              </w:rPr>
              <w:t>农村</w:t>
            </w:r>
            <w:r w:rsidR="00122622">
              <w:rPr>
                <w:rFonts w:ascii="SimSun" w:eastAsia="SimSun" w:hAnsi="SimSun" w:cs="SimSun" w:hint="eastAsia"/>
                <w:b/>
                <w:lang w:eastAsia="zh-CN"/>
              </w:rPr>
              <w:t>地区</w:t>
            </w:r>
          </w:p>
        </w:tc>
      </w:tr>
      <w:tr w:rsidR="00EE7B8A" w:rsidRPr="00EE7B8A" w14:paraId="1C731E48" w14:textId="77777777">
        <w:trPr>
          <w:trHeight w:val="91"/>
        </w:trPr>
        <w:tc>
          <w:tcPr>
            <w:tcW w:w="2514" w:type="pct"/>
            <w:tcBorders>
              <w:top w:val="single" w:sz="4" w:space="0" w:color="auto"/>
              <w:left w:val="single" w:sz="4" w:space="0" w:color="auto"/>
              <w:bottom w:val="single" w:sz="4" w:space="0" w:color="auto"/>
              <w:right w:val="single" w:sz="4" w:space="0" w:color="auto"/>
            </w:tcBorders>
            <w:hideMark/>
          </w:tcPr>
          <w:p w14:paraId="0C987E2A" w14:textId="533C4DCF" w:rsidR="00EE7B8A" w:rsidRPr="00EE7B8A" w:rsidRDefault="00EE7B8A" w:rsidP="00360333">
            <w:pPr>
              <w:spacing w:before="40" w:after="40"/>
            </w:pPr>
            <w:proofErr w:type="spellStart"/>
            <w:r w:rsidRPr="00EE7B8A">
              <w:t>LDC</w:t>
            </w:r>
            <w:proofErr w:type="spellEnd"/>
          </w:p>
        </w:tc>
        <w:tc>
          <w:tcPr>
            <w:tcW w:w="627" w:type="pct"/>
            <w:tcBorders>
              <w:top w:val="single" w:sz="4" w:space="0" w:color="auto"/>
              <w:left w:val="single" w:sz="4" w:space="0" w:color="auto"/>
              <w:bottom w:val="single" w:sz="4" w:space="0" w:color="auto"/>
              <w:right w:val="single" w:sz="4" w:space="0" w:color="auto"/>
            </w:tcBorders>
            <w:vAlign w:val="bottom"/>
            <w:hideMark/>
          </w:tcPr>
          <w:p w14:paraId="512CDA89" w14:textId="77777777" w:rsidR="00EE7B8A" w:rsidRPr="00EE7B8A" w:rsidRDefault="00EE7B8A" w:rsidP="00360333">
            <w:pPr>
              <w:spacing w:before="40" w:after="40"/>
              <w:jc w:val="right"/>
            </w:pPr>
            <w:r w:rsidRPr="00EE7B8A">
              <w:t xml:space="preserve">71.2 </w:t>
            </w:r>
          </w:p>
        </w:tc>
        <w:tc>
          <w:tcPr>
            <w:tcW w:w="896" w:type="pct"/>
            <w:tcBorders>
              <w:top w:val="single" w:sz="4" w:space="0" w:color="auto"/>
              <w:left w:val="single" w:sz="4" w:space="0" w:color="auto"/>
              <w:bottom w:val="single" w:sz="4" w:space="0" w:color="auto"/>
              <w:right w:val="single" w:sz="4" w:space="0" w:color="auto"/>
            </w:tcBorders>
            <w:vAlign w:val="bottom"/>
            <w:hideMark/>
          </w:tcPr>
          <w:p w14:paraId="40C8AC56" w14:textId="77777777" w:rsidR="00EE7B8A" w:rsidRPr="00EE7B8A" w:rsidRDefault="00EE7B8A" w:rsidP="00360333">
            <w:pPr>
              <w:spacing w:before="40" w:after="40"/>
              <w:jc w:val="right"/>
            </w:pPr>
            <w:r w:rsidRPr="00EE7B8A">
              <w:t xml:space="preserve">95.2 </w:t>
            </w:r>
          </w:p>
        </w:tc>
        <w:tc>
          <w:tcPr>
            <w:tcW w:w="0" w:type="auto"/>
            <w:tcBorders>
              <w:top w:val="single" w:sz="4" w:space="0" w:color="auto"/>
              <w:left w:val="single" w:sz="4" w:space="0" w:color="auto"/>
              <w:bottom w:val="single" w:sz="4" w:space="0" w:color="auto"/>
              <w:right w:val="single" w:sz="4" w:space="0" w:color="auto"/>
            </w:tcBorders>
            <w:vAlign w:val="bottom"/>
            <w:hideMark/>
          </w:tcPr>
          <w:p w14:paraId="6D882EAA" w14:textId="77777777" w:rsidR="00EE7B8A" w:rsidRPr="00EE7B8A" w:rsidRDefault="00EE7B8A" w:rsidP="00360333">
            <w:pPr>
              <w:spacing w:before="40" w:after="40"/>
              <w:jc w:val="right"/>
            </w:pPr>
            <w:r w:rsidRPr="00EE7B8A">
              <w:t xml:space="preserve">56.9 </w:t>
            </w:r>
          </w:p>
        </w:tc>
      </w:tr>
      <w:tr w:rsidR="00EE7B8A" w:rsidRPr="00EE7B8A" w14:paraId="22C72D33" w14:textId="77777777">
        <w:tc>
          <w:tcPr>
            <w:tcW w:w="2514" w:type="pct"/>
            <w:tcBorders>
              <w:top w:val="single" w:sz="4" w:space="0" w:color="auto"/>
              <w:left w:val="single" w:sz="4" w:space="0" w:color="auto"/>
              <w:bottom w:val="single" w:sz="4" w:space="0" w:color="auto"/>
              <w:right w:val="single" w:sz="4" w:space="0" w:color="auto"/>
            </w:tcBorders>
            <w:hideMark/>
          </w:tcPr>
          <w:p w14:paraId="075D60A3" w14:textId="4B81D378" w:rsidR="00EE7B8A" w:rsidRPr="00EE7B8A" w:rsidRDefault="00EE7B8A" w:rsidP="00360333">
            <w:pPr>
              <w:spacing w:before="40" w:after="40"/>
            </w:pPr>
            <w:proofErr w:type="spellStart"/>
            <w:r w:rsidRPr="00EE7B8A">
              <w:t>LLDC</w:t>
            </w:r>
            <w:proofErr w:type="spellEnd"/>
          </w:p>
        </w:tc>
        <w:tc>
          <w:tcPr>
            <w:tcW w:w="627" w:type="pct"/>
            <w:tcBorders>
              <w:top w:val="single" w:sz="4" w:space="0" w:color="auto"/>
              <w:left w:val="single" w:sz="4" w:space="0" w:color="auto"/>
              <w:bottom w:val="single" w:sz="4" w:space="0" w:color="auto"/>
              <w:right w:val="single" w:sz="4" w:space="0" w:color="auto"/>
            </w:tcBorders>
            <w:vAlign w:val="bottom"/>
            <w:hideMark/>
          </w:tcPr>
          <w:p w14:paraId="245114B3" w14:textId="77777777" w:rsidR="00EE7B8A" w:rsidRPr="00EE7B8A" w:rsidRDefault="00EE7B8A" w:rsidP="00360333">
            <w:pPr>
              <w:spacing w:before="40" w:after="40"/>
              <w:jc w:val="right"/>
            </w:pPr>
            <w:r w:rsidRPr="00EE7B8A">
              <w:t xml:space="preserve">66.1 </w:t>
            </w:r>
          </w:p>
        </w:tc>
        <w:tc>
          <w:tcPr>
            <w:tcW w:w="896" w:type="pct"/>
            <w:tcBorders>
              <w:top w:val="single" w:sz="4" w:space="0" w:color="auto"/>
              <w:left w:val="single" w:sz="4" w:space="0" w:color="auto"/>
              <w:bottom w:val="single" w:sz="4" w:space="0" w:color="auto"/>
              <w:right w:val="single" w:sz="4" w:space="0" w:color="auto"/>
            </w:tcBorders>
            <w:vAlign w:val="bottom"/>
            <w:hideMark/>
          </w:tcPr>
          <w:p w14:paraId="5593D571" w14:textId="77777777" w:rsidR="00EE7B8A" w:rsidRPr="00EE7B8A" w:rsidRDefault="00EE7B8A" w:rsidP="00360333">
            <w:pPr>
              <w:spacing w:before="40" w:after="40"/>
              <w:jc w:val="right"/>
            </w:pPr>
            <w:r w:rsidRPr="00EE7B8A">
              <w:t xml:space="preserve">92.4 </w:t>
            </w:r>
          </w:p>
        </w:tc>
        <w:tc>
          <w:tcPr>
            <w:tcW w:w="0" w:type="auto"/>
            <w:tcBorders>
              <w:top w:val="single" w:sz="4" w:space="0" w:color="auto"/>
              <w:left w:val="single" w:sz="4" w:space="0" w:color="auto"/>
              <w:bottom w:val="single" w:sz="4" w:space="0" w:color="auto"/>
              <w:right w:val="single" w:sz="4" w:space="0" w:color="auto"/>
            </w:tcBorders>
            <w:vAlign w:val="bottom"/>
            <w:hideMark/>
          </w:tcPr>
          <w:p w14:paraId="237035A8" w14:textId="77777777" w:rsidR="00EE7B8A" w:rsidRPr="00EE7B8A" w:rsidRDefault="00EE7B8A" w:rsidP="00360333">
            <w:pPr>
              <w:spacing w:before="40" w:after="40"/>
              <w:jc w:val="right"/>
            </w:pPr>
            <w:r w:rsidRPr="00EE7B8A">
              <w:t xml:space="preserve">53.2 </w:t>
            </w:r>
          </w:p>
        </w:tc>
      </w:tr>
      <w:tr w:rsidR="00EE7B8A" w:rsidRPr="00EE7B8A" w14:paraId="32FE37C3" w14:textId="77777777">
        <w:tc>
          <w:tcPr>
            <w:tcW w:w="2514" w:type="pct"/>
            <w:tcBorders>
              <w:top w:val="single" w:sz="4" w:space="0" w:color="auto"/>
              <w:left w:val="single" w:sz="4" w:space="0" w:color="auto"/>
              <w:bottom w:val="single" w:sz="4" w:space="0" w:color="auto"/>
              <w:right w:val="single" w:sz="4" w:space="0" w:color="auto"/>
            </w:tcBorders>
            <w:hideMark/>
          </w:tcPr>
          <w:p w14:paraId="4E1DB5B9" w14:textId="77777777" w:rsidR="00EE7B8A" w:rsidRPr="00EE7B8A" w:rsidRDefault="00EE7B8A" w:rsidP="00360333">
            <w:pPr>
              <w:spacing w:before="40" w:after="40"/>
            </w:pPr>
            <w:r w:rsidRPr="00EE7B8A">
              <w:t>SIDS</w:t>
            </w:r>
          </w:p>
        </w:tc>
        <w:tc>
          <w:tcPr>
            <w:tcW w:w="627" w:type="pct"/>
            <w:tcBorders>
              <w:top w:val="single" w:sz="4" w:space="0" w:color="auto"/>
              <w:left w:val="single" w:sz="4" w:space="0" w:color="auto"/>
              <w:bottom w:val="single" w:sz="4" w:space="0" w:color="auto"/>
              <w:right w:val="single" w:sz="4" w:space="0" w:color="auto"/>
            </w:tcBorders>
            <w:vAlign w:val="bottom"/>
            <w:hideMark/>
          </w:tcPr>
          <w:p w14:paraId="64D15CE3" w14:textId="77777777" w:rsidR="00EE7B8A" w:rsidRPr="00EE7B8A" w:rsidRDefault="00EE7B8A" w:rsidP="00360333">
            <w:pPr>
              <w:spacing w:before="40" w:after="40"/>
              <w:jc w:val="right"/>
            </w:pPr>
            <w:r w:rsidRPr="00EE7B8A">
              <w:t xml:space="preserve">73.4 </w:t>
            </w:r>
          </w:p>
        </w:tc>
        <w:tc>
          <w:tcPr>
            <w:tcW w:w="896" w:type="pct"/>
            <w:tcBorders>
              <w:top w:val="single" w:sz="4" w:space="0" w:color="auto"/>
              <w:left w:val="single" w:sz="4" w:space="0" w:color="auto"/>
              <w:bottom w:val="single" w:sz="4" w:space="0" w:color="auto"/>
              <w:right w:val="single" w:sz="4" w:space="0" w:color="auto"/>
            </w:tcBorders>
            <w:vAlign w:val="bottom"/>
            <w:hideMark/>
          </w:tcPr>
          <w:p w14:paraId="4EE552C5" w14:textId="77777777" w:rsidR="00EE7B8A" w:rsidRPr="00EE7B8A" w:rsidRDefault="00EE7B8A" w:rsidP="00360333">
            <w:pPr>
              <w:spacing w:before="40" w:after="40"/>
              <w:jc w:val="right"/>
            </w:pPr>
            <w:r w:rsidRPr="00EE7B8A">
              <w:t xml:space="preserve">86.0 </w:t>
            </w:r>
          </w:p>
        </w:tc>
        <w:tc>
          <w:tcPr>
            <w:tcW w:w="0" w:type="auto"/>
            <w:tcBorders>
              <w:top w:val="single" w:sz="4" w:space="0" w:color="auto"/>
              <w:left w:val="single" w:sz="4" w:space="0" w:color="auto"/>
              <w:bottom w:val="single" w:sz="4" w:space="0" w:color="auto"/>
              <w:right w:val="single" w:sz="4" w:space="0" w:color="auto"/>
            </w:tcBorders>
            <w:vAlign w:val="bottom"/>
            <w:hideMark/>
          </w:tcPr>
          <w:p w14:paraId="4EA53565" w14:textId="77777777" w:rsidR="00EE7B8A" w:rsidRPr="00EE7B8A" w:rsidRDefault="00EE7B8A" w:rsidP="00360333">
            <w:pPr>
              <w:spacing w:before="40" w:after="40"/>
              <w:jc w:val="right"/>
            </w:pPr>
            <w:r w:rsidRPr="00EE7B8A">
              <w:t xml:space="preserve">52.9 </w:t>
            </w:r>
          </w:p>
        </w:tc>
      </w:tr>
      <w:tr w:rsidR="00EE7B8A" w:rsidRPr="00EE7B8A" w14:paraId="5B9B8BFC" w14:textId="77777777">
        <w:tc>
          <w:tcPr>
            <w:tcW w:w="2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AE0609" w14:textId="0A8D5452" w:rsidR="00EE7B8A" w:rsidRPr="00EE7B8A" w:rsidRDefault="009255C8" w:rsidP="00360333">
            <w:pPr>
              <w:spacing w:before="40" w:after="40"/>
              <w:rPr>
                <w:b/>
                <w:bCs/>
              </w:rPr>
            </w:pPr>
            <w:r w:rsidRPr="009255C8">
              <w:rPr>
                <w:rFonts w:ascii="SimSun" w:eastAsia="SimSun" w:hAnsi="SimSun" w:cs="SimSun" w:hint="eastAsia"/>
                <w:b/>
                <w:bCs/>
                <w:lang w:eastAsia="zh-CN"/>
              </w:rPr>
              <w:t>互联网</w:t>
            </w:r>
            <w:r w:rsidR="00122622">
              <w:rPr>
                <w:rFonts w:ascii="SimSun" w:eastAsia="SimSun" w:hAnsi="SimSun" w:cs="SimSun" w:hint="eastAsia"/>
                <w:b/>
                <w:bCs/>
                <w:lang w:eastAsia="zh-CN"/>
              </w:rPr>
              <w:t>用户（</w:t>
            </w:r>
            <w:r w:rsidR="00122622" w:rsidRPr="00EE7B8A">
              <w:rPr>
                <w:b/>
                <w:bCs/>
              </w:rPr>
              <w:t>%</w:t>
            </w:r>
            <w:r w:rsidR="00122622">
              <w:rPr>
                <w:rFonts w:ascii="SimSun" w:eastAsia="SimSun" w:hAnsi="SimSun" w:cs="SimSun" w:hint="eastAsia"/>
                <w:b/>
                <w:bCs/>
                <w:lang w:eastAsia="zh-CN"/>
              </w:rPr>
              <w:t>）</w:t>
            </w:r>
          </w:p>
        </w:tc>
        <w:tc>
          <w:tcPr>
            <w:tcW w:w="6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2A6B12" w14:textId="0B2E5FAF" w:rsidR="00EE7B8A" w:rsidRPr="00EE7B8A" w:rsidRDefault="00C77DB2" w:rsidP="00360333">
            <w:pPr>
              <w:spacing w:before="40" w:after="40"/>
              <w:jc w:val="center"/>
              <w:rPr>
                <w:b/>
                <w:bCs/>
              </w:rPr>
            </w:pPr>
            <w:r>
              <w:rPr>
                <w:rFonts w:ascii="SimSun" w:eastAsia="SimSun" w:hAnsi="SimSun" w:cs="SimSun" w:hint="eastAsia"/>
                <w:b/>
                <w:bCs/>
                <w:lang w:eastAsia="zh-CN"/>
              </w:rPr>
              <w:t>总计</w:t>
            </w:r>
          </w:p>
        </w:tc>
        <w:tc>
          <w:tcPr>
            <w:tcW w:w="8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5A8FA6" w14:textId="66AB0F67" w:rsidR="00EE7B8A" w:rsidRPr="00EE7B8A" w:rsidRDefault="009255C8" w:rsidP="00360333">
            <w:pPr>
              <w:spacing w:before="40" w:after="40"/>
              <w:jc w:val="center"/>
              <w:rPr>
                <w:b/>
                <w:bCs/>
              </w:rPr>
            </w:pPr>
            <w:r w:rsidRPr="009255C8">
              <w:rPr>
                <w:rFonts w:ascii="SimSun" w:eastAsia="SimSun" w:hAnsi="SimSun" w:cs="SimSun" w:hint="eastAsia"/>
                <w:b/>
                <w:bCs/>
                <w:lang w:eastAsia="zh-CN"/>
              </w:rPr>
              <w:t>男性</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457B64" w14:textId="1F8EBAD2" w:rsidR="00EE7B8A" w:rsidRPr="00EE7B8A" w:rsidRDefault="00C77DB2" w:rsidP="00360333">
            <w:pPr>
              <w:spacing w:before="40" w:after="40"/>
              <w:jc w:val="center"/>
              <w:rPr>
                <w:b/>
                <w:bCs/>
              </w:rPr>
            </w:pPr>
            <w:r>
              <w:rPr>
                <w:rFonts w:ascii="SimSun" w:eastAsia="SimSun" w:hAnsi="SimSun" w:cs="SimSun" w:hint="eastAsia"/>
                <w:b/>
                <w:bCs/>
                <w:lang w:eastAsia="zh-CN"/>
              </w:rPr>
              <w:t>女性</w:t>
            </w:r>
          </w:p>
        </w:tc>
      </w:tr>
      <w:tr w:rsidR="00EE7B8A" w:rsidRPr="00EE7B8A" w14:paraId="0CB87A2C" w14:textId="77777777">
        <w:tc>
          <w:tcPr>
            <w:tcW w:w="2514" w:type="pct"/>
            <w:tcBorders>
              <w:top w:val="single" w:sz="4" w:space="0" w:color="auto"/>
              <w:left w:val="single" w:sz="4" w:space="0" w:color="auto"/>
              <w:bottom w:val="single" w:sz="4" w:space="0" w:color="auto"/>
              <w:right w:val="single" w:sz="4" w:space="0" w:color="auto"/>
            </w:tcBorders>
            <w:hideMark/>
          </w:tcPr>
          <w:p w14:paraId="79562885" w14:textId="6AE883F6" w:rsidR="00EE7B8A" w:rsidRPr="00EE7B8A" w:rsidRDefault="00EE7B8A" w:rsidP="00360333">
            <w:pPr>
              <w:spacing w:before="40" w:after="40"/>
            </w:pPr>
            <w:proofErr w:type="spellStart"/>
            <w:r w:rsidRPr="00EE7B8A">
              <w:t>LDC</w:t>
            </w:r>
            <w:proofErr w:type="spellEnd"/>
          </w:p>
        </w:tc>
        <w:tc>
          <w:tcPr>
            <w:tcW w:w="627" w:type="pct"/>
            <w:tcBorders>
              <w:top w:val="single" w:sz="4" w:space="0" w:color="auto"/>
              <w:left w:val="single" w:sz="4" w:space="0" w:color="auto"/>
              <w:bottom w:val="single" w:sz="4" w:space="0" w:color="auto"/>
              <w:right w:val="single" w:sz="4" w:space="0" w:color="auto"/>
            </w:tcBorders>
            <w:vAlign w:val="center"/>
            <w:hideMark/>
          </w:tcPr>
          <w:p w14:paraId="795D7EAF" w14:textId="77777777" w:rsidR="00EE7B8A" w:rsidRPr="00EE7B8A" w:rsidRDefault="00EE7B8A" w:rsidP="00360333">
            <w:pPr>
              <w:spacing w:before="40" w:after="40"/>
              <w:jc w:val="right"/>
            </w:pPr>
            <w:r w:rsidRPr="00EE7B8A">
              <w:t>33.7</w:t>
            </w:r>
          </w:p>
        </w:tc>
        <w:tc>
          <w:tcPr>
            <w:tcW w:w="896" w:type="pct"/>
            <w:tcBorders>
              <w:top w:val="single" w:sz="4" w:space="0" w:color="auto"/>
              <w:left w:val="single" w:sz="4" w:space="0" w:color="auto"/>
              <w:bottom w:val="single" w:sz="4" w:space="0" w:color="auto"/>
              <w:right w:val="single" w:sz="4" w:space="0" w:color="auto"/>
            </w:tcBorders>
            <w:vAlign w:val="bottom"/>
            <w:hideMark/>
          </w:tcPr>
          <w:p w14:paraId="12D1EFE5" w14:textId="77777777" w:rsidR="00EE7B8A" w:rsidRPr="00EE7B8A" w:rsidRDefault="00EE7B8A" w:rsidP="00360333">
            <w:pPr>
              <w:spacing w:before="40" w:after="40"/>
              <w:jc w:val="right"/>
            </w:pPr>
            <w:r w:rsidRPr="00EE7B8A">
              <w:t xml:space="preserve">39.1 </w:t>
            </w:r>
          </w:p>
        </w:tc>
        <w:tc>
          <w:tcPr>
            <w:tcW w:w="0" w:type="auto"/>
            <w:tcBorders>
              <w:top w:val="single" w:sz="4" w:space="0" w:color="auto"/>
              <w:left w:val="single" w:sz="4" w:space="0" w:color="auto"/>
              <w:bottom w:val="single" w:sz="4" w:space="0" w:color="auto"/>
              <w:right w:val="single" w:sz="4" w:space="0" w:color="auto"/>
            </w:tcBorders>
            <w:vAlign w:val="bottom"/>
            <w:hideMark/>
          </w:tcPr>
          <w:p w14:paraId="1AECE276" w14:textId="77777777" w:rsidR="00EE7B8A" w:rsidRPr="00EE7B8A" w:rsidRDefault="00EE7B8A" w:rsidP="00360333">
            <w:pPr>
              <w:spacing w:before="40" w:after="40"/>
              <w:jc w:val="right"/>
            </w:pPr>
            <w:r w:rsidRPr="00EE7B8A">
              <w:t xml:space="preserve">28.4 </w:t>
            </w:r>
          </w:p>
        </w:tc>
      </w:tr>
      <w:tr w:rsidR="00EE7B8A" w:rsidRPr="00EE7B8A" w14:paraId="47B21E56" w14:textId="77777777">
        <w:tc>
          <w:tcPr>
            <w:tcW w:w="2514" w:type="pct"/>
            <w:tcBorders>
              <w:top w:val="single" w:sz="4" w:space="0" w:color="auto"/>
              <w:left w:val="single" w:sz="4" w:space="0" w:color="auto"/>
              <w:bottom w:val="single" w:sz="4" w:space="0" w:color="auto"/>
              <w:right w:val="single" w:sz="4" w:space="0" w:color="auto"/>
            </w:tcBorders>
            <w:hideMark/>
          </w:tcPr>
          <w:p w14:paraId="1C33B165" w14:textId="751B5AB7" w:rsidR="00EE7B8A" w:rsidRPr="00EE7B8A" w:rsidRDefault="00EE7B8A" w:rsidP="00360333">
            <w:pPr>
              <w:spacing w:before="40" w:after="40"/>
            </w:pPr>
            <w:proofErr w:type="spellStart"/>
            <w:r w:rsidRPr="00EE7B8A">
              <w:t>LLDC</w:t>
            </w:r>
            <w:proofErr w:type="spellEnd"/>
          </w:p>
        </w:tc>
        <w:tc>
          <w:tcPr>
            <w:tcW w:w="627" w:type="pct"/>
            <w:tcBorders>
              <w:top w:val="single" w:sz="4" w:space="0" w:color="auto"/>
              <w:left w:val="single" w:sz="4" w:space="0" w:color="auto"/>
              <w:bottom w:val="single" w:sz="4" w:space="0" w:color="auto"/>
              <w:right w:val="single" w:sz="4" w:space="0" w:color="auto"/>
            </w:tcBorders>
            <w:vAlign w:val="center"/>
            <w:hideMark/>
          </w:tcPr>
          <w:p w14:paraId="06292724" w14:textId="77777777" w:rsidR="00EE7B8A" w:rsidRPr="00EE7B8A" w:rsidRDefault="00EE7B8A" w:rsidP="00360333">
            <w:pPr>
              <w:spacing w:before="40" w:after="40"/>
              <w:jc w:val="right"/>
            </w:pPr>
            <w:r w:rsidRPr="00EE7B8A">
              <w:t>37.6</w:t>
            </w:r>
          </w:p>
        </w:tc>
        <w:tc>
          <w:tcPr>
            <w:tcW w:w="896" w:type="pct"/>
            <w:tcBorders>
              <w:top w:val="single" w:sz="4" w:space="0" w:color="auto"/>
              <w:left w:val="single" w:sz="4" w:space="0" w:color="auto"/>
              <w:bottom w:val="single" w:sz="4" w:space="0" w:color="auto"/>
              <w:right w:val="single" w:sz="4" w:space="0" w:color="auto"/>
            </w:tcBorders>
            <w:vAlign w:val="bottom"/>
            <w:hideMark/>
          </w:tcPr>
          <w:p w14:paraId="73CF5370" w14:textId="77777777" w:rsidR="00EE7B8A" w:rsidRPr="00EE7B8A" w:rsidRDefault="00EE7B8A" w:rsidP="00360333">
            <w:pPr>
              <w:spacing w:before="40" w:after="40"/>
              <w:jc w:val="right"/>
            </w:pPr>
            <w:r w:rsidRPr="00EE7B8A">
              <w:t xml:space="preserve">41.0 </w:t>
            </w:r>
          </w:p>
        </w:tc>
        <w:tc>
          <w:tcPr>
            <w:tcW w:w="0" w:type="auto"/>
            <w:tcBorders>
              <w:top w:val="single" w:sz="4" w:space="0" w:color="auto"/>
              <w:left w:val="single" w:sz="4" w:space="0" w:color="auto"/>
              <w:bottom w:val="single" w:sz="4" w:space="0" w:color="auto"/>
              <w:right w:val="single" w:sz="4" w:space="0" w:color="auto"/>
            </w:tcBorders>
            <w:vAlign w:val="bottom"/>
            <w:hideMark/>
          </w:tcPr>
          <w:p w14:paraId="73C0D4D6" w14:textId="77777777" w:rsidR="00EE7B8A" w:rsidRPr="00EE7B8A" w:rsidRDefault="00EE7B8A" w:rsidP="00360333">
            <w:pPr>
              <w:spacing w:before="40" w:after="40"/>
              <w:jc w:val="right"/>
            </w:pPr>
            <w:r w:rsidRPr="00EE7B8A">
              <w:t xml:space="preserve">34.1 </w:t>
            </w:r>
          </w:p>
        </w:tc>
      </w:tr>
      <w:tr w:rsidR="00EE7B8A" w:rsidRPr="00EE7B8A" w14:paraId="1534FACF" w14:textId="77777777">
        <w:tc>
          <w:tcPr>
            <w:tcW w:w="2514" w:type="pct"/>
            <w:tcBorders>
              <w:top w:val="single" w:sz="4" w:space="0" w:color="auto"/>
              <w:left w:val="single" w:sz="4" w:space="0" w:color="auto"/>
              <w:bottom w:val="single" w:sz="4" w:space="0" w:color="auto"/>
              <w:right w:val="single" w:sz="4" w:space="0" w:color="auto"/>
            </w:tcBorders>
            <w:hideMark/>
          </w:tcPr>
          <w:p w14:paraId="1742A82E" w14:textId="77777777" w:rsidR="00EE7B8A" w:rsidRPr="00EE7B8A" w:rsidRDefault="00EE7B8A" w:rsidP="00360333">
            <w:pPr>
              <w:spacing w:before="40" w:after="40"/>
            </w:pPr>
            <w:r w:rsidRPr="00EE7B8A">
              <w:t>SIDS</w:t>
            </w:r>
          </w:p>
        </w:tc>
        <w:tc>
          <w:tcPr>
            <w:tcW w:w="627" w:type="pct"/>
            <w:tcBorders>
              <w:top w:val="single" w:sz="4" w:space="0" w:color="auto"/>
              <w:left w:val="single" w:sz="4" w:space="0" w:color="auto"/>
              <w:bottom w:val="single" w:sz="4" w:space="0" w:color="auto"/>
              <w:right w:val="single" w:sz="4" w:space="0" w:color="auto"/>
            </w:tcBorders>
            <w:vAlign w:val="center"/>
            <w:hideMark/>
          </w:tcPr>
          <w:p w14:paraId="733AA581" w14:textId="77777777" w:rsidR="00EE7B8A" w:rsidRPr="00EE7B8A" w:rsidRDefault="00EE7B8A" w:rsidP="00360333">
            <w:pPr>
              <w:spacing w:before="40" w:after="40"/>
              <w:jc w:val="right"/>
            </w:pPr>
            <w:r w:rsidRPr="00EE7B8A">
              <w:t>64.1</w:t>
            </w:r>
          </w:p>
        </w:tc>
        <w:tc>
          <w:tcPr>
            <w:tcW w:w="896" w:type="pct"/>
            <w:tcBorders>
              <w:top w:val="single" w:sz="4" w:space="0" w:color="auto"/>
              <w:left w:val="single" w:sz="4" w:space="0" w:color="auto"/>
              <w:bottom w:val="single" w:sz="4" w:space="0" w:color="auto"/>
              <w:right w:val="single" w:sz="4" w:space="0" w:color="auto"/>
            </w:tcBorders>
            <w:vAlign w:val="bottom"/>
            <w:hideMark/>
          </w:tcPr>
          <w:p w14:paraId="2BEC39EE" w14:textId="77777777" w:rsidR="00EE7B8A" w:rsidRPr="00EE7B8A" w:rsidRDefault="00EE7B8A" w:rsidP="00360333">
            <w:pPr>
              <w:spacing w:before="40" w:after="40"/>
              <w:jc w:val="right"/>
            </w:pPr>
            <w:r w:rsidRPr="00EE7B8A">
              <w:t xml:space="preserve">64.0 </w:t>
            </w:r>
          </w:p>
        </w:tc>
        <w:tc>
          <w:tcPr>
            <w:tcW w:w="0" w:type="auto"/>
            <w:tcBorders>
              <w:top w:val="single" w:sz="4" w:space="0" w:color="auto"/>
              <w:left w:val="single" w:sz="4" w:space="0" w:color="auto"/>
              <w:bottom w:val="single" w:sz="4" w:space="0" w:color="auto"/>
              <w:right w:val="single" w:sz="4" w:space="0" w:color="auto"/>
            </w:tcBorders>
            <w:vAlign w:val="bottom"/>
            <w:hideMark/>
          </w:tcPr>
          <w:p w14:paraId="207720E0" w14:textId="77777777" w:rsidR="00EE7B8A" w:rsidRPr="00EE7B8A" w:rsidRDefault="00EE7B8A" w:rsidP="00360333">
            <w:pPr>
              <w:spacing w:before="40" w:after="40"/>
              <w:jc w:val="right"/>
            </w:pPr>
            <w:r w:rsidRPr="00EE7B8A">
              <w:t xml:space="preserve">64.2 </w:t>
            </w:r>
          </w:p>
        </w:tc>
      </w:tr>
      <w:tr w:rsidR="00EE7B8A" w:rsidRPr="00EE7B8A" w14:paraId="408E6001" w14:textId="77777777">
        <w:tc>
          <w:tcPr>
            <w:tcW w:w="5000" w:type="pct"/>
            <w:gridSpan w:val="4"/>
            <w:tcBorders>
              <w:top w:val="single" w:sz="4" w:space="0" w:color="auto"/>
              <w:left w:val="nil"/>
              <w:bottom w:val="nil"/>
              <w:right w:val="nil"/>
            </w:tcBorders>
            <w:hideMark/>
          </w:tcPr>
          <w:p w14:paraId="2C868AFA" w14:textId="58B93BDC" w:rsidR="00EE7B8A" w:rsidRPr="0032503E" w:rsidRDefault="009255C8" w:rsidP="00360333">
            <w:pPr>
              <w:spacing w:before="40" w:after="40"/>
              <w:rPr>
                <w:sz w:val="20"/>
                <w:lang w:eastAsia="zh-CN"/>
              </w:rPr>
            </w:pPr>
            <w:r w:rsidRPr="0032503E">
              <w:rPr>
                <w:rFonts w:ascii="SimSun" w:eastAsia="SimSun" w:hAnsi="SimSun" w:cs="SimSun" w:hint="eastAsia"/>
                <w:sz w:val="20"/>
                <w:lang w:eastAsia="zh-CN"/>
              </w:rPr>
              <w:t>来源</w:t>
            </w:r>
            <w:r w:rsidR="00122622" w:rsidRPr="0032503E">
              <w:rPr>
                <w:rFonts w:ascii="SimSun" w:eastAsia="SimSun" w:hAnsi="SimSun" w:cs="SimSun" w:hint="eastAsia"/>
                <w:sz w:val="20"/>
                <w:lang w:eastAsia="zh-CN"/>
              </w:rPr>
              <w:t>：</w:t>
            </w:r>
            <w:r w:rsidRPr="0032503E">
              <w:rPr>
                <w:rFonts w:ascii="SimSun" w:eastAsia="SimSun" w:hAnsi="SimSun" w:cs="SimSun" w:hint="eastAsia"/>
                <w:sz w:val="20"/>
                <w:lang w:eastAsia="zh-CN"/>
              </w:rPr>
              <w:t>国际电联</w:t>
            </w:r>
            <w:r w:rsidR="00122622" w:rsidRPr="0032503E">
              <w:rPr>
                <w:rFonts w:ascii="SimSun" w:eastAsia="SimSun" w:hAnsi="SimSun" w:cs="SimSun" w:hint="eastAsia"/>
                <w:sz w:val="20"/>
                <w:lang w:eastAsia="zh-CN"/>
              </w:rPr>
              <w:t>估算。</w:t>
            </w:r>
          </w:p>
        </w:tc>
      </w:tr>
    </w:tbl>
    <w:p w14:paraId="027420F5" w14:textId="77777777" w:rsidR="0032503E" w:rsidRPr="00D36FD5" w:rsidRDefault="0032503E" w:rsidP="0032503E">
      <w:pPr>
        <w:pStyle w:val="Tablefin"/>
        <w:rPr>
          <w:lang w:eastAsia="zh-CN"/>
        </w:rPr>
      </w:pPr>
    </w:p>
    <w:p w14:paraId="46ED59CA" w14:textId="73B0C0FD"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关于数字发展</w:t>
      </w:r>
      <w:r w:rsidR="00EA0F39">
        <w:rPr>
          <w:rFonts w:hint="eastAsia"/>
          <w:lang w:eastAsia="zh-CN"/>
        </w:rPr>
        <w:t>状况</w:t>
      </w:r>
      <w:r w:rsidRPr="009255C8">
        <w:rPr>
          <w:rFonts w:hint="eastAsia"/>
          <w:lang w:eastAsia="zh-CN"/>
        </w:rPr>
        <w:t>的全民统计数据往往掩盖</w:t>
      </w:r>
      <w:r w:rsidR="00EA0F39">
        <w:rPr>
          <w:rFonts w:hint="eastAsia"/>
          <w:lang w:eastAsia="zh-CN"/>
        </w:rPr>
        <w:t>了各国</w:t>
      </w:r>
      <w:r w:rsidRPr="009255C8">
        <w:rPr>
          <w:rFonts w:hint="eastAsia"/>
          <w:lang w:eastAsia="zh-CN"/>
        </w:rPr>
        <w:t>国内</w:t>
      </w:r>
      <w:r w:rsidR="00EA0F39">
        <w:rPr>
          <w:rFonts w:hint="eastAsia"/>
          <w:lang w:eastAsia="zh-CN"/>
        </w:rPr>
        <w:t>存在</w:t>
      </w:r>
      <w:r w:rsidRPr="009255C8">
        <w:rPr>
          <w:rFonts w:hint="eastAsia"/>
          <w:lang w:eastAsia="zh-CN"/>
        </w:rPr>
        <w:t>的</w:t>
      </w:r>
      <w:r w:rsidR="00EA0F39">
        <w:rPr>
          <w:rFonts w:hint="eastAsia"/>
          <w:lang w:eastAsia="zh-CN"/>
        </w:rPr>
        <w:t>显著</w:t>
      </w:r>
      <w:r w:rsidR="00122622">
        <w:rPr>
          <w:rFonts w:hint="eastAsia"/>
          <w:lang w:eastAsia="zh-CN"/>
        </w:rPr>
        <w:t>差距，</w:t>
      </w:r>
      <w:r w:rsidRPr="009255C8">
        <w:rPr>
          <w:rFonts w:hint="eastAsia"/>
          <w:lang w:eastAsia="zh-CN"/>
        </w:rPr>
        <w:t>例如</w:t>
      </w:r>
      <w:r w:rsidR="00122622">
        <w:rPr>
          <w:rFonts w:hint="eastAsia"/>
          <w:lang w:eastAsia="zh-CN"/>
        </w:rPr>
        <w:t>，城乡之间、</w:t>
      </w:r>
      <w:r w:rsidRPr="009255C8">
        <w:rPr>
          <w:rFonts w:hint="eastAsia"/>
          <w:lang w:eastAsia="zh-CN"/>
        </w:rPr>
        <w:t>男女之间或不同年龄组之间</w:t>
      </w:r>
      <w:r w:rsidR="00122622">
        <w:rPr>
          <w:rFonts w:hint="eastAsia"/>
          <w:lang w:eastAsia="zh-CN"/>
        </w:rPr>
        <w:t>的差距。</w:t>
      </w:r>
      <w:r w:rsidR="00AF0200" w:rsidRPr="00AF0200">
        <w:rPr>
          <w:rFonts w:hint="eastAsia"/>
          <w:lang w:eastAsia="zh-CN"/>
        </w:rPr>
        <w:t>分解数据</w:t>
      </w:r>
      <w:r w:rsidR="00AF0200">
        <w:rPr>
          <w:rFonts w:hint="eastAsia"/>
          <w:lang w:eastAsia="zh-CN"/>
        </w:rPr>
        <w:t>有助于</w:t>
      </w:r>
      <w:r w:rsidRPr="009255C8">
        <w:rPr>
          <w:rFonts w:hint="eastAsia"/>
          <w:lang w:eastAsia="zh-CN"/>
        </w:rPr>
        <w:t>针对</w:t>
      </w:r>
      <w:r w:rsidR="00EA0F39">
        <w:rPr>
          <w:rFonts w:hint="eastAsia"/>
          <w:lang w:eastAsia="zh-CN"/>
        </w:rPr>
        <w:t>具体</w:t>
      </w:r>
      <w:r w:rsidRPr="009255C8">
        <w:rPr>
          <w:rFonts w:hint="eastAsia"/>
          <w:lang w:eastAsia="zh-CN"/>
        </w:rPr>
        <w:t>人口群体或地理区域</w:t>
      </w:r>
      <w:r w:rsidR="00AF0200">
        <w:rPr>
          <w:rFonts w:hint="eastAsia"/>
          <w:lang w:eastAsia="zh-CN"/>
        </w:rPr>
        <w:t>设计</w:t>
      </w:r>
      <w:r w:rsidRPr="009255C8">
        <w:rPr>
          <w:rFonts w:hint="eastAsia"/>
          <w:lang w:eastAsia="zh-CN"/>
        </w:rPr>
        <w:t>更</w:t>
      </w:r>
      <w:r w:rsidR="00122622">
        <w:rPr>
          <w:rFonts w:hint="eastAsia"/>
          <w:lang w:eastAsia="zh-CN"/>
        </w:rPr>
        <w:t>为</w:t>
      </w:r>
      <w:r w:rsidRPr="009255C8">
        <w:rPr>
          <w:rFonts w:hint="eastAsia"/>
          <w:lang w:eastAsia="zh-CN"/>
        </w:rPr>
        <w:t>有效的干预措施</w:t>
      </w:r>
      <w:r w:rsidR="00122622">
        <w:rPr>
          <w:rFonts w:hint="eastAsia"/>
          <w:lang w:eastAsia="zh-CN"/>
        </w:rPr>
        <w:t>。</w:t>
      </w:r>
      <w:hyperlink w:anchor="表1" w:history="1">
        <w:r w:rsidR="00122622">
          <w:rPr>
            <w:rStyle w:val="Hyperlink"/>
            <w:rFonts w:eastAsia="SimSun" w:hint="eastAsia"/>
            <w:noProof w:val="0"/>
            <w:lang w:eastAsia="zh-CN"/>
          </w:rPr>
          <w:t>表</w:t>
        </w:r>
        <w:r w:rsidR="00122622" w:rsidRPr="00EE7B8A">
          <w:rPr>
            <w:rStyle w:val="Hyperlink"/>
            <w:rFonts w:eastAsia="SimSun"/>
            <w:noProof w:val="0"/>
            <w:lang w:eastAsia="zh-CN"/>
          </w:rPr>
          <w:t>1</w:t>
        </w:r>
      </w:hyperlink>
      <w:r w:rsidRPr="009255C8">
        <w:rPr>
          <w:rFonts w:hint="eastAsia"/>
          <w:lang w:eastAsia="zh-CN"/>
        </w:rPr>
        <w:t>显示</w:t>
      </w:r>
      <w:r w:rsidR="00122622">
        <w:rPr>
          <w:rFonts w:hint="eastAsia"/>
          <w:lang w:eastAsia="zh-CN"/>
        </w:rPr>
        <w:t>，</w:t>
      </w:r>
      <w:r w:rsidRPr="009255C8">
        <w:rPr>
          <w:rFonts w:hint="eastAsia"/>
          <w:lang w:eastAsia="zh-CN"/>
        </w:rPr>
        <w:t>这些</w:t>
      </w:r>
      <w:r w:rsidR="00122622">
        <w:rPr>
          <w:rFonts w:hint="eastAsia"/>
          <w:lang w:eastAsia="zh-CN"/>
        </w:rPr>
        <w:t>差距</w:t>
      </w:r>
      <w:r w:rsidRPr="009255C8">
        <w:rPr>
          <w:rFonts w:hint="eastAsia"/>
          <w:lang w:eastAsia="zh-CN"/>
        </w:rPr>
        <w:t>可能非常</w:t>
      </w:r>
      <w:r w:rsidR="00EA0F39">
        <w:rPr>
          <w:rFonts w:hint="eastAsia"/>
          <w:lang w:eastAsia="zh-CN"/>
        </w:rPr>
        <w:t>巨大</w:t>
      </w:r>
      <w:r w:rsidR="00122622">
        <w:rPr>
          <w:rFonts w:hint="eastAsia"/>
          <w:lang w:eastAsia="zh-CN"/>
        </w:rPr>
        <w:t>。</w:t>
      </w:r>
      <w:r w:rsidRPr="009255C8">
        <w:rPr>
          <w:rFonts w:hint="eastAsia"/>
          <w:lang w:eastAsia="zh-CN"/>
        </w:rPr>
        <w:t>例如</w:t>
      </w:r>
      <w:r w:rsidR="00122622">
        <w:rPr>
          <w:rFonts w:hint="eastAsia"/>
          <w:lang w:eastAsia="zh-CN"/>
        </w:rPr>
        <w:t>，</w:t>
      </w:r>
      <w:r w:rsidRPr="009255C8">
        <w:rPr>
          <w:rFonts w:hint="eastAsia"/>
          <w:lang w:eastAsia="zh-CN"/>
        </w:rPr>
        <w:t>在</w:t>
      </w:r>
      <w:proofErr w:type="spellStart"/>
      <w:r w:rsidR="00122622" w:rsidRPr="00EE7B8A">
        <w:rPr>
          <w:lang w:eastAsia="zh-CN"/>
        </w:rPr>
        <w:t>LLDC</w:t>
      </w:r>
      <w:proofErr w:type="spellEnd"/>
      <w:r w:rsidR="00122622" w:rsidRPr="00EA0F39">
        <w:rPr>
          <w:rFonts w:hint="eastAsia"/>
          <w:lang w:eastAsia="zh-CN"/>
        </w:rPr>
        <w:t>，</w:t>
      </w:r>
      <w:r w:rsidR="001E501F" w:rsidRPr="009255C8">
        <w:rPr>
          <w:rFonts w:hint="eastAsia"/>
          <w:lang w:eastAsia="zh-CN"/>
        </w:rPr>
        <w:t>城市人口平均</w:t>
      </w:r>
      <w:r w:rsidR="001E501F">
        <w:rPr>
          <w:rFonts w:hint="eastAsia"/>
          <w:lang w:eastAsia="zh-CN"/>
        </w:rPr>
        <w:t>有</w:t>
      </w:r>
      <w:r w:rsidR="001E501F" w:rsidRPr="00EE7B8A">
        <w:rPr>
          <w:lang w:eastAsia="zh-CN"/>
        </w:rPr>
        <w:t>92</w:t>
      </w:r>
      <w:r w:rsidR="001E501F">
        <w:rPr>
          <w:rFonts w:hint="eastAsia"/>
          <w:lang w:eastAsia="zh-CN"/>
        </w:rPr>
        <w:t>%</w:t>
      </w:r>
      <w:r w:rsidR="001E501F">
        <w:rPr>
          <w:rFonts w:hint="eastAsia"/>
          <w:lang w:eastAsia="zh-CN"/>
        </w:rPr>
        <w:t>有</w:t>
      </w:r>
      <w:proofErr w:type="spellStart"/>
      <w:r w:rsidR="00122622" w:rsidRPr="00EE7B8A">
        <w:rPr>
          <w:lang w:eastAsia="zh-CN"/>
        </w:rPr>
        <w:t>4G</w:t>
      </w:r>
      <w:proofErr w:type="spellEnd"/>
      <w:r w:rsidRPr="009255C8">
        <w:rPr>
          <w:rFonts w:hint="eastAsia"/>
          <w:lang w:eastAsia="zh-CN"/>
        </w:rPr>
        <w:t>移动网络覆盖</w:t>
      </w:r>
      <w:r w:rsidR="001E501F">
        <w:rPr>
          <w:rFonts w:hint="eastAsia"/>
          <w:lang w:eastAsia="zh-CN"/>
        </w:rPr>
        <w:t>，</w:t>
      </w:r>
      <w:r w:rsidRPr="009255C8">
        <w:rPr>
          <w:rFonts w:hint="eastAsia"/>
          <w:lang w:eastAsia="zh-CN"/>
        </w:rPr>
        <w:t>而农村人口</w:t>
      </w:r>
      <w:r w:rsidR="001E501F">
        <w:rPr>
          <w:rFonts w:hint="eastAsia"/>
          <w:lang w:eastAsia="zh-CN"/>
        </w:rPr>
        <w:t>仅为</w:t>
      </w:r>
      <w:r w:rsidR="00FA4574" w:rsidRPr="00EE7B8A">
        <w:rPr>
          <w:lang w:eastAsia="zh-CN"/>
        </w:rPr>
        <w:t>53</w:t>
      </w:r>
      <w:r w:rsidR="00FA4574">
        <w:rPr>
          <w:rFonts w:hint="eastAsia"/>
          <w:lang w:eastAsia="zh-CN"/>
        </w:rPr>
        <w:t>%</w:t>
      </w:r>
      <w:r w:rsidR="00FA4574">
        <w:rPr>
          <w:rFonts w:hint="eastAsia"/>
          <w:lang w:eastAsia="zh-CN"/>
        </w:rPr>
        <w:t>，</w:t>
      </w:r>
      <w:r w:rsidRPr="009255C8">
        <w:rPr>
          <w:rFonts w:hint="eastAsia"/>
          <w:lang w:eastAsia="zh-CN"/>
        </w:rPr>
        <w:t>差距近</w:t>
      </w:r>
      <w:r w:rsidR="00FA4574" w:rsidRPr="00EE7B8A">
        <w:rPr>
          <w:lang w:eastAsia="zh-CN"/>
        </w:rPr>
        <w:t>40</w:t>
      </w:r>
      <w:r w:rsidRPr="009255C8">
        <w:rPr>
          <w:rFonts w:hint="eastAsia"/>
          <w:lang w:eastAsia="zh-CN"/>
        </w:rPr>
        <w:t>个百分点</w:t>
      </w:r>
      <w:r w:rsidR="00FA4574">
        <w:rPr>
          <w:rFonts w:hint="eastAsia"/>
          <w:lang w:eastAsia="zh-CN"/>
        </w:rPr>
        <w:t>。</w:t>
      </w:r>
      <w:r w:rsidRPr="009255C8">
        <w:rPr>
          <w:rFonts w:hint="eastAsia"/>
          <w:lang w:eastAsia="zh-CN"/>
        </w:rPr>
        <w:t>同样</w:t>
      </w:r>
      <w:r w:rsidR="00FA4574">
        <w:rPr>
          <w:rFonts w:hint="eastAsia"/>
          <w:lang w:eastAsia="zh-CN"/>
        </w:rPr>
        <w:t>，</w:t>
      </w:r>
      <w:r w:rsidR="00AF0200">
        <w:rPr>
          <w:rFonts w:hint="eastAsia"/>
          <w:lang w:eastAsia="zh-CN"/>
        </w:rPr>
        <w:t>虽然</w:t>
      </w:r>
      <w:r w:rsidR="00FA4574" w:rsidRPr="00EE7B8A">
        <w:rPr>
          <w:lang w:eastAsia="zh-CN"/>
        </w:rPr>
        <w:t>SIDS</w:t>
      </w:r>
      <w:r w:rsidRPr="009255C8">
        <w:rPr>
          <w:rFonts w:hint="eastAsia"/>
          <w:lang w:eastAsia="zh-CN"/>
        </w:rPr>
        <w:t>在互联网使用方面的性别差距已</w:t>
      </w:r>
      <w:r w:rsidR="001E501F">
        <w:rPr>
          <w:rFonts w:hint="eastAsia"/>
          <w:lang w:eastAsia="zh-CN"/>
        </w:rPr>
        <w:t>基本消除</w:t>
      </w:r>
      <w:r w:rsidR="00AF0200">
        <w:rPr>
          <w:rFonts w:hint="eastAsia"/>
          <w:lang w:eastAsia="zh-CN"/>
        </w:rPr>
        <w:t>，但</w:t>
      </w:r>
      <w:r w:rsidRPr="009255C8">
        <w:rPr>
          <w:rFonts w:hint="eastAsia"/>
          <w:lang w:eastAsia="zh-CN"/>
        </w:rPr>
        <w:t>在</w:t>
      </w:r>
      <w:proofErr w:type="spellStart"/>
      <w:r w:rsidR="00FA4574" w:rsidRPr="00EE7B8A">
        <w:rPr>
          <w:lang w:eastAsia="zh-CN"/>
        </w:rPr>
        <w:t>LDC</w:t>
      </w:r>
      <w:proofErr w:type="spellEnd"/>
      <w:r w:rsidR="00FA4574">
        <w:rPr>
          <w:rFonts w:hint="eastAsia"/>
          <w:lang w:eastAsia="zh-CN"/>
        </w:rPr>
        <w:t>，</w:t>
      </w:r>
      <w:r w:rsidRPr="009255C8">
        <w:rPr>
          <w:rFonts w:hint="eastAsia"/>
          <w:lang w:eastAsia="zh-CN"/>
        </w:rPr>
        <w:t>男性上网的可能性比女性高</w:t>
      </w:r>
      <w:r w:rsidR="001E501F">
        <w:rPr>
          <w:rFonts w:hint="eastAsia"/>
          <w:lang w:eastAsia="zh-CN"/>
        </w:rPr>
        <w:t>出约</w:t>
      </w:r>
      <w:r w:rsidR="00FA4574" w:rsidRPr="00EE7B8A">
        <w:rPr>
          <w:lang w:eastAsia="zh-CN"/>
        </w:rPr>
        <w:t>40</w:t>
      </w:r>
      <w:r w:rsidR="00FA4574">
        <w:rPr>
          <w:rFonts w:hint="eastAsia"/>
          <w:lang w:eastAsia="zh-CN"/>
        </w:rPr>
        <w:t>%</w:t>
      </w:r>
      <w:r w:rsidR="00FA4574">
        <w:rPr>
          <w:rFonts w:hint="eastAsia"/>
          <w:lang w:eastAsia="zh-CN"/>
        </w:rPr>
        <w:t>，</w:t>
      </w:r>
      <w:r w:rsidR="001E501F">
        <w:rPr>
          <w:rFonts w:hint="eastAsia"/>
          <w:lang w:eastAsia="zh-CN"/>
        </w:rPr>
        <w:t>两者的</w:t>
      </w:r>
      <w:r w:rsidRPr="009255C8">
        <w:rPr>
          <w:rFonts w:hint="eastAsia"/>
          <w:lang w:eastAsia="zh-CN"/>
        </w:rPr>
        <w:t>使用率分别为</w:t>
      </w:r>
      <w:r w:rsidR="00FA4574" w:rsidRPr="00EE7B8A">
        <w:rPr>
          <w:lang w:eastAsia="zh-CN"/>
        </w:rPr>
        <w:t>39</w:t>
      </w:r>
      <w:r w:rsidR="00FA4574">
        <w:rPr>
          <w:rFonts w:hint="eastAsia"/>
          <w:lang w:eastAsia="zh-CN"/>
        </w:rPr>
        <w:t>%</w:t>
      </w:r>
      <w:r w:rsidRPr="009255C8">
        <w:rPr>
          <w:rFonts w:hint="eastAsia"/>
          <w:lang w:eastAsia="zh-CN"/>
        </w:rPr>
        <w:t>和</w:t>
      </w:r>
      <w:r w:rsidR="00FA4574" w:rsidRPr="00EE7B8A">
        <w:rPr>
          <w:lang w:eastAsia="zh-CN"/>
        </w:rPr>
        <w:t>28</w:t>
      </w:r>
      <w:r w:rsidR="00FA4574">
        <w:rPr>
          <w:rFonts w:hint="eastAsia"/>
          <w:lang w:eastAsia="zh-CN"/>
        </w:rPr>
        <w:t>%</w:t>
      </w:r>
      <w:r w:rsidR="00FA4574">
        <w:rPr>
          <w:rFonts w:hint="eastAsia"/>
          <w:lang w:eastAsia="zh-CN"/>
        </w:rPr>
        <w:t>。</w:t>
      </w:r>
      <w:r w:rsidRPr="009255C8">
        <w:rPr>
          <w:rFonts w:hint="eastAsia"/>
          <w:lang w:eastAsia="zh-CN"/>
        </w:rPr>
        <w:t>这些</w:t>
      </w:r>
      <w:r w:rsidR="00FA4574">
        <w:rPr>
          <w:rFonts w:hint="eastAsia"/>
          <w:lang w:eastAsia="zh-CN"/>
        </w:rPr>
        <w:t>结果</w:t>
      </w:r>
      <w:r w:rsidRPr="009255C8">
        <w:rPr>
          <w:rFonts w:hint="eastAsia"/>
          <w:lang w:eastAsia="zh-CN"/>
        </w:rPr>
        <w:t>具有明确的政策</w:t>
      </w:r>
      <w:r w:rsidR="001E501F">
        <w:rPr>
          <w:rFonts w:hint="eastAsia"/>
          <w:lang w:eastAsia="zh-CN"/>
        </w:rPr>
        <w:t>意义</w:t>
      </w:r>
      <w:r w:rsidR="00FA4574">
        <w:rPr>
          <w:rFonts w:hint="eastAsia"/>
          <w:lang w:eastAsia="zh-CN"/>
        </w:rPr>
        <w:t>，</w:t>
      </w:r>
      <w:r w:rsidRPr="009255C8">
        <w:rPr>
          <w:rFonts w:hint="eastAsia"/>
          <w:lang w:eastAsia="zh-CN"/>
        </w:rPr>
        <w:t>有助于将工作重点放在最需要</w:t>
      </w:r>
      <w:r w:rsidR="00FA4574">
        <w:rPr>
          <w:rFonts w:hint="eastAsia"/>
          <w:lang w:eastAsia="zh-CN"/>
        </w:rPr>
        <w:t>帮助</w:t>
      </w:r>
      <w:r w:rsidRPr="009255C8">
        <w:rPr>
          <w:rFonts w:hint="eastAsia"/>
          <w:lang w:eastAsia="zh-CN"/>
        </w:rPr>
        <w:t>的人</w:t>
      </w:r>
      <w:r w:rsidR="00FA4574">
        <w:rPr>
          <w:rFonts w:hint="eastAsia"/>
          <w:lang w:eastAsia="zh-CN"/>
        </w:rPr>
        <w:t>群</w:t>
      </w:r>
      <w:r w:rsidRPr="009255C8">
        <w:rPr>
          <w:rFonts w:hint="eastAsia"/>
          <w:lang w:eastAsia="zh-CN"/>
        </w:rPr>
        <w:t>身上</w:t>
      </w:r>
      <w:r w:rsidR="00FA4574" w:rsidRPr="00D64EC8">
        <w:rPr>
          <w:rFonts w:hint="eastAsia"/>
          <w:lang w:eastAsia="zh-CN"/>
        </w:rPr>
        <w:t>。</w:t>
      </w:r>
    </w:p>
    <w:p w14:paraId="1A9A7E6A" w14:textId="6AE69C16" w:rsidR="00EE7B8A" w:rsidRPr="00EE7B8A" w:rsidRDefault="00C329E7"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Pr>
          <w:rFonts w:hint="eastAsia"/>
          <w:lang w:eastAsia="zh-CN"/>
        </w:rPr>
        <w:t>尽管</w:t>
      </w:r>
      <w:r w:rsidR="009255C8" w:rsidRPr="009255C8">
        <w:rPr>
          <w:rFonts w:hint="eastAsia"/>
          <w:lang w:eastAsia="zh-CN"/>
        </w:rPr>
        <w:t>统计</w:t>
      </w:r>
      <w:r w:rsidR="00FA4574">
        <w:rPr>
          <w:rFonts w:hint="eastAsia"/>
          <w:lang w:eastAsia="zh-CN"/>
        </w:rPr>
        <w:t>数据</w:t>
      </w:r>
      <w:r>
        <w:rPr>
          <w:rFonts w:hint="eastAsia"/>
          <w:lang w:eastAsia="zh-CN"/>
        </w:rPr>
        <w:t>非常重要</w:t>
      </w:r>
      <w:r w:rsidR="00FA4574">
        <w:rPr>
          <w:rFonts w:hint="eastAsia"/>
          <w:lang w:eastAsia="zh-CN"/>
        </w:rPr>
        <w:t>，</w:t>
      </w:r>
      <w:r w:rsidR="009255C8" w:rsidRPr="009255C8">
        <w:rPr>
          <w:rFonts w:hint="eastAsia"/>
          <w:lang w:eastAsia="zh-CN"/>
        </w:rPr>
        <w:t>但数据差距依然</w:t>
      </w:r>
      <w:r>
        <w:rPr>
          <w:rFonts w:hint="eastAsia"/>
          <w:lang w:eastAsia="zh-CN"/>
        </w:rPr>
        <w:t>显著</w:t>
      </w:r>
      <w:r w:rsidR="00FA4574">
        <w:rPr>
          <w:rFonts w:hint="eastAsia"/>
          <w:lang w:eastAsia="zh-CN"/>
        </w:rPr>
        <w:t>，</w:t>
      </w:r>
      <w:r w:rsidR="009255C8" w:rsidRPr="009255C8">
        <w:rPr>
          <w:rFonts w:hint="eastAsia"/>
          <w:lang w:eastAsia="zh-CN"/>
        </w:rPr>
        <w:t>特别是在</w:t>
      </w:r>
      <w:proofErr w:type="spellStart"/>
      <w:r w:rsidR="00FA4574" w:rsidRPr="00EE7B8A">
        <w:rPr>
          <w:lang w:eastAsia="zh-CN"/>
        </w:rPr>
        <w:t>LDC</w:t>
      </w:r>
      <w:proofErr w:type="spellEnd"/>
      <w:r w:rsidR="00FA4574">
        <w:rPr>
          <w:rFonts w:hint="eastAsia"/>
          <w:lang w:eastAsia="zh-CN"/>
        </w:rPr>
        <w:t>、</w:t>
      </w:r>
      <w:proofErr w:type="spellStart"/>
      <w:r w:rsidR="00FA4574" w:rsidRPr="00EE7B8A">
        <w:rPr>
          <w:lang w:eastAsia="zh-CN"/>
        </w:rPr>
        <w:t>LLDC</w:t>
      </w:r>
      <w:proofErr w:type="spellEnd"/>
      <w:r w:rsidR="00FA4574">
        <w:rPr>
          <w:rFonts w:hint="eastAsia"/>
          <w:lang w:eastAsia="zh-CN"/>
        </w:rPr>
        <w:t>和</w:t>
      </w:r>
      <w:r w:rsidR="00FA4574" w:rsidRPr="00EE7B8A">
        <w:rPr>
          <w:lang w:eastAsia="zh-CN"/>
        </w:rPr>
        <w:t>SIDS</w:t>
      </w:r>
      <w:r w:rsidR="00FA4574">
        <w:rPr>
          <w:rFonts w:hint="eastAsia"/>
          <w:lang w:eastAsia="zh-CN"/>
        </w:rPr>
        <w:t>，</w:t>
      </w:r>
      <w:r w:rsidR="009255C8" w:rsidRPr="009255C8">
        <w:rPr>
          <w:rFonts w:hint="eastAsia"/>
          <w:lang w:eastAsia="zh-CN"/>
        </w:rPr>
        <w:t>这些国家中只有少数</w:t>
      </w:r>
      <w:r>
        <w:rPr>
          <w:rFonts w:hint="eastAsia"/>
          <w:lang w:eastAsia="zh-CN"/>
        </w:rPr>
        <w:t>会</w:t>
      </w:r>
      <w:r w:rsidR="009255C8" w:rsidRPr="009255C8">
        <w:rPr>
          <w:rFonts w:hint="eastAsia"/>
          <w:lang w:eastAsia="zh-CN"/>
        </w:rPr>
        <w:t>定期收集</w:t>
      </w:r>
      <w:r w:rsidR="00FA4574" w:rsidRPr="00EE7B8A">
        <w:rPr>
          <w:lang w:eastAsia="zh-CN"/>
        </w:rPr>
        <w:t>ICT</w:t>
      </w:r>
      <w:r w:rsidR="009255C8" w:rsidRPr="009255C8">
        <w:rPr>
          <w:rFonts w:hint="eastAsia"/>
          <w:lang w:eastAsia="zh-CN"/>
        </w:rPr>
        <w:t>统计数据</w:t>
      </w:r>
      <w:r w:rsidR="00FA4574">
        <w:rPr>
          <w:rFonts w:hint="eastAsia"/>
          <w:lang w:eastAsia="zh-CN"/>
        </w:rPr>
        <w:t>，</w:t>
      </w:r>
      <w:r w:rsidRPr="00397923">
        <w:rPr>
          <w:rFonts w:hint="eastAsia"/>
          <w:lang w:eastAsia="zh-CN"/>
        </w:rPr>
        <w:t>而</w:t>
      </w:r>
      <w:r w:rsidR="009255C8" w:rsidRPr="00397923">
        <w:rPr>
          <w:rFonts w:hint="eastAsia"/>
          <w:lang w:eastAsia="zh-CN"/>
        </w:rPr>
        <w:t>收集</w:t>
      </w:r>
      <w:r w:rsidRPr="00397923">
        <w:rPr>
          <w:rFonts w:hint="eastAsia"/>
          <w:lang w:eastAsia="zh-CN"/>
        </w:rPr>
        <w:t>分解数据</w:t>
      </w:r>
      <w:r w:rsidR="009255C8" w:rsidRPr="00397923">
        <w:rPr>
          <w:rFonts w:hint="eastAsia"/>
          <w:lang w:eastAsia="zh-CN"/>
        </w:rPr>
        <w:t>的国家</w:t>
      </w:r>
      <w:r w:rsidRPr="00397923">
        <w:rPr>
          <w:rFonts w:hint="eastAsia"/>
          <w:lang w:eastAsia="zh-CN"/>
        </w:rPr>
        <w:t>比例则更低</w:t>
      </w:r>
      <w:r w:rsidR="00FA4574" w:rsidRPr="00397923">
        <w:rPr>
          <w:rFonts w:hint="eastAsia"/>
          <w:lang w:eastAsia="zh-CN"/>
        </w:rPr>
        <w:t>。</w:t>
      </w:r>
    </w:p>
    <w:p w14:paraId="33F06ECB" w14:textId="1B86DFCA" w:rsidR="00EE7B8A" w:rsidRPr="00EE7B8A" w:rsidRDefault="00EE7B8A"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EE7B8A">
        <w:rPr>
          <w:lang w:eastAsia="zh-CN"/>
        </w:rPr>
        <w:t>BDT</w:t>
      </w:r>
      <w:r w:rsidR="00AE0BC6">
        <w:rPr>
          <w:rFonts w:hint="eastAsia"/>
          <w:lang w:eastAsia="zh-CN"/>
        </w:rPr>
        <w:t>为</w:t>
      </w:r>
      <w:r w:rsidR="00C329E7">
        <w:rPr>
          <w:rFonts w:hint="eastAsia"/>
          <w:lang w:eastAsia="zh-CN"/>
        </w:rPr>
        <w:t>希望加强自身能力、</w:t>
      </w:r>
      <w:r w:rsidR="00841DFE">
        <w:rPr>
          <w:rFonts w:hint="eastAsia"/>
          <w:lang w:eastAsia="zh-CN"/>
        </w:rPr>
        <w:t>能</w:t>
      </w:r>
      <w:r w:rsidR="00C329E7" w:rsidRPr="009255C8">
        <w:rPr>
          <w:rFonts w:hint="eastAsia"/>
          <w:lang w:eastAsia="zh-CN"/>
        </w:rPr>
        <w:t>以更高的</w:t>
      </w:r>
      <w:r w:rsidR="00C329E7">
        <w:rPr>
          <w:rFonts w:hint="eastAsia"/>
          <w:lang w:eastAsia="zh-CN"/>
        </w:rPr>
        <w:t>准确</w:t>
      </w:r>
      <w:r w:rsidR="00C329E7" w:rsidRPr="009255C8">
        <w:rPr>
          <w:rFonts w:hint="eastAsia"/>
          <w:lang w:eastAsia="zh-CN"/>
        </w:rPr>
        <w:t>性</w:t>
      </w:r>
      <w:r w:rsidR="00C329E7">
        <w:rPr>
          <w:rFonts w:hint="eastAsia"/>
          <w:lang w:eastAsia="zh-CN"/>
        </w:rPr>
        <w:t>、</w:t>
      </w:r>
      <w:r w:rsidR="00C329E7" w:rsidRPr="009255C8">
        <w:rPr>
          <w:rFonts w:hint="eastAsia"/>
          <w:lang w:eastAsia="zh-CN"/>
        </w:rPr>
        <w:t>及时性和</w:t>
      </w:r>
      <w:r w:rsidR="00C329E7" w:rsidRPr="00FA4574">
        <w:rPr>
          <w:rFonts w:hint="eastAsia"/>
          <w:lang w:eastAsia="zh-CN"/>
        </w:rPr>
        <w:t>粒度</w:t>
      </w:r>
      <w:r w:rsidR="00C329E7" w:rsidRPr="009255C8">
        <w:rPr>
          <w:rFonts w:hint="eastAsia"/>
          <w:lang w:eastAsia="zh-CN"/>
        </w:rPr>
        <w:t>衡量数字发展</w:t>
      </w:r>
      <w:r w:rsidR="00C329E7">
        <w:rPr>
          <w:rFonts w:hint="eastAsia"/>
          <w:lang w:eastAsia="zh-CN"/>
        </w:rPr>
        <w:t>状况的</w:t>
      </w:r>
      <w:r w:rsidR="009255C8" w:rsidRPr="009255C8">
        <w:rPr>
          <w:rFonts w:hint="eastAsia"/>
          <w:lang w:eastAsia="zh-CN"/>
        </w:rPr>
        <w:t>成员国提供</w:t>
      </w:r>
      <w:hyperlink r:id="rId14" w:history="1">
        <w:r w:rsidR="00FA4574" w:rsidRPr="00FA4574">
          <w:rPr>
            <w:rStyle w:val="Hyperlink"/>
            <w:rFonts w:eastAsia="SimSun" w:hint="eastAsia"/>
            <w:noProof w:val="0"/>
            <w:lang w:eastAsia="zh-CN"/>
          </w:rPr>
          <w:t>能力</w:t>
        </w:r>
        <w:r w:rsidR="00FA4574">
          <w:rPr>
            <w:rStyle w:val="Hyperlink"/>
            <w:rFonts w:eastAsia="SimSun" w:hint="eastAsia"/>
            <w:noProof w:val="0"/>
            <w:lang w:eastAsia="zh-CN"/>
          </w:rPr>
          <w:t>建设</w:t>
        </w:r>
        <w:r w:rsidR="00FA4574" w:rsidRPr="00FA4574">
          <w:rPr>
            <w:rStyle w:val="Hyperlink"/>
            <w:rFonts w:eastAsia="SimSun" w:hint="eastAsia"/>
            <w:noProof w:val="0"/>
            <w:lang w:eastAsia="zh-CN"/>
          </w:rPr>
          <w:t>活动和技术援助</w:t>
        </w:r>
      </w:hyperlink>
      <w:r w:rsidR="00FA4574" w:rsidRPr="00841DFE">
        <w:rPr>
          <w:rFonts w:hint="eastAsia"/>
          <w:lang w:eastAsia="zh-CN"/>
        </w:rPr>
        <w:t>。</w:t>
      </w:r>
    </w:p>
    <w:p w14:paraId="29D723C2" w14:textId="2C6062BC"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统计数据有助于</w:t>
      </w:r>
      <w:r w:rsidR="00AE0BC6">
        <w:rPr>
          <w:rFonts w:hint="eastAsia"/>
          <w:lang w:eastAsia="zh-CN"/>
        </w:rPr>
        <w:t>实现</w:t>
      </w:r>
      <w:r w:rsidR="006666A3" w:rsidRPr="006666A3">
        <w:rPr>
          <w:rFonts w:hint="eastAsia"/>
          <w:lang w:eastAsia="zh-CN"/>
        </w:rPr>
        <w:t>循证决策</w:t>
      </w:r>
      <w:r w:rsidR="006666A3">
        <w:rPr>
          <w:rFonts w:hint="eastAsia"/>
          <w:lang w:eastAsia="zh-CN"/>
        </w:rPr>
        <w:t>，</w:t>
      </w:r>
      <w:r w:rsidRPr="009255C8">
        <w:rPr>
          <w:rFonts w:hint="eastAsia"/>
          <w:lang w:eastAsia="zh-CN"/>
        </w:rPr>
        <w:t>从而加速数字发展并最终改善经济前景</w:t>
      </w:r>
      <w:r w:rsidR="006666A3">
        <w:rPr>
          <w:rFonts w:hint="eastAsia"/>
          <w:lang w:eastAsia="zh-CN"/>
        </w:rPr>
        <w:t>。</w:t>
      </w:r>
      <w:r w:rsidR="00AE0BC6" w:rsidRPr="009255C8">
        <w:rPr>
          <w:rFonts w:hint="eastAsia"/>
          <w:lang w:eastAsia="zh-CN"/>
        </w:rPr>
        <w:t>投资</w:t>
      </w:r>
      <w:r w:rsidR="00812947">
        <w:rPr>
          <w:rFonts w:hint="eastAsia"/>
          <w:lang w:eastAsia="zh-CN"/>
        </w:rPr>
        <w:t>于</w:t>
      </w:r>
      <w:r w:rsidRPr="009255C8">
        <w:rPr>
          <w:rFonts w:hint="eastAsia"/>
          <w:lang w:eastAsia="zh-CN"/>
        </w:rPr>
        <w:t>数据收集</w:t>
      </w:r>
      <w:r w:rsidR="00812947">
        <w:rPr>
          <w:rFonts w:hint="eastAsia"/>
          <w:lang w:eastAsia="zh-CN"/>
        </w:rPr>
        <w:t>工作</w:t>
      </w:r>
      <w:r w:rsidRPr="009255C8">
        <w:rPr>
          <w:rFonts w:hint="eastAsia"/>
          <w:lang w:eastAsia="zh-CN"/>
        </w:rPr>
        <w:t>至关重要</w:t>
      </w:r>
      <w:r w:rsidR="006666A3">
        <w:rPr>
          <w:rFonts w:hint="eastAsia"/>
          <w:lang w:eastAsia="zh-CN"/>
        </w:rPr>
        <w:t>，</w:t>
      </w:r>
      <w:r w:rsidR="00AE0BC6">
        <w:rPr>
          <w:rFonts w:hint="eastAsia"/>
          <w:lang w:eastAsia="zh-CN"/>
        </w:rPr>
        <w:t>且能带来</w:t>
      </w:r>
      <w:r w:rsidR="00CE18EF">
        <w:rPr>
          <w:rFonts w:hint="eastAsia"/>
          <w:lang w:eastAsia="zh-CN"/>
        </w:rPr>
        <w:t>丰厚</w:t>
      </w:r>
      <w:r w:rsidR="005E2914">
        <w:rPr>
          <w:rFonts w:hint="eastAsia"/>
          <w:lang w:eastAsia="zh-CN"/>
        </w:rPr>
        <w:t>的</w:t>
      </w:r>
      <w:r w:rsidRPr="009255C8">
        <w:rPr>
          <w:rFonts w:hint="eastAsia"/>
          <w:lang w:eastAsia="zh-CN"/>
        </w:rPr>
        <w:t>回报</w:t>
      </w:r>
      <w:r w:rsidR="006666A3" w:rsidRPr="005E2914">
        <w:rPr>
          <w:rFonts w:hint="eastAsia"/>
          <w:lang w:eastAsia="zh-CN"/>
        </w:rPr>
        <w:t>。</w:t>
      </w:r>
    </w:p>
    <w:p w14:paraId="3D83A44A" w14:textId="329E52B0" w:rsidR="00EE7B8A" w:rsidRPr="00EE7B8A" w:rsidRDefault="009255C8" w:rsidP="00EE7B8A">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lang w:eastAsia="zh-CN"/>
        </w:rPr>
      </w:pPr>
      <w:r w:rsidRPr="009255C8">
        <w:rPr>
          <w:rFonts w:ascii="SimSun" w:hAnsi="SimSun" w:cs="SimSun" w:hint="eastAsia"/>
          <w:lang w:eastAsia="zh-CN"/>
        </w:rPr>
        <w:lastRenderedPageBreak/>
        <w:t>提</w:t>
      </w:r>
      <w:r w:rsidR="00160746">
        <w:rPr>
          <w:rFonts w:ascii="SimSun" w:hAnsi="SimSun" w:cs="SimSun" w:hint="eastAsia"/>
          <w:lang w:eastAsia="zh-CN"/>
        </w:rPr>
        <w:t>升</w:t>
      </w:r>
      <w:r w:rsidRPr="009255C8">
        <w:rPr>
          <w:rFonts w:ascii="SimSun" w:hAnsi="SimSun" w:cs="SimSun" w:hint="eastAsia"/>
          <w:lang w:eastAsia="zh-CN"/>
        </w:rPr>
        <w:t>数字能力</w:t>
      </w:r>
      <w:r w:rsidR="00160746">
        <w:rPr>
          <w:rFonts w:ascii="SimSun" w:hAnsi="SimSun" w:cs="SimSun" w:hint="eastAsia"/>
          <w:lang w:eastAsia="zh-CN"/>
        </w:rPr>
        <w:t>与</w:t>
      </w:r>
      <w:r w:rsidRPr="009255C8">
        <w:rPr>
          <w:rFonts w:ascii="SimSun" w:hAnsi="SimSun" w:cs="SimSun" w:hint="eastAsia"/>
          <w:lang w:eastAsia="zh-CN"/>
        </w:rPr>
        <w:t>技能</w:t>
      </w:r>
    </w:p>
    <w:p w14:paraId="7E428A6A" w14:textId="3A845512" w:rsidR="00EE7B8A" w:rsidRPr="00EE7B8A" w:rsidRDefault="00CB64F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CB64F8">
        <w:rPr>
          <w:rFonts w:hint="eastAsia"/>
          <w:lang w:eastAsia="zh-CN"/>
        </w:rPr>
        <w:t>国际电联学院</w:t>
      </w:r>
      <w:r>
        <w:rPr>
          <w:rFonts w:hint="eastAsia"/>
          <w:lang w:eastAsia="zh-CN"/>
        </w:rPr>
        <w:t>是</w:t>
      </w:r>
      <w:r w:rsidR="009255C8" w:rsidRPr="009255C8">
        <w:rPr>
          <w:rFonts w:hint="eastAsia"/>
          <w:lang w:eastAsia="zh-CN"/>
        </w:rPr>
        <w:t>一个综合平台</w:t>
      </w:r>
      <w:r>
        <w:rPr>
          <w:rFonts w:hint="eastAsia"/>
          <w:lang w:eastAsia="zh-CN"/>
        </w:rPr>
        <w:t>，</w:t>
      </w:r>
      <w:r w:rsidR="0063050E">
        <w:rPr>
          <w:rFonts w:hint="eastAsia"/>
          <w:lang w:eastAsia="zh-CN"/>
        </w:rPr>
        <w:t>整合</w:t>
      </w:r>
      <w:r w:rsidR="009255C8" w:rsidRPr="009255C8">
        <w:rPr>
          <w:rFonts w:hint="eastAsia"/>
          <w:lang w:eastAsia="zh-CN"/>
        </w:rPr>
        <w:t>了</w:t>
      </w:r>
      <w:r w:rsidRPr="00EE7B8A">
        <w:rPr>
          <w:lang w:eastAsia="zh-CN"/>
        </w:rPr>
        <w:t>ICT</w:t>
      </w:r>
      <w:r w:rsidR="009255C8" w:rsidRPr="009255C8">
        <w:rPr>
          <w:rFonts w:hint="eastAsia"/>
          <w:lang w:eastAsia="zh-CN"/>
        </w:rPr>
        <w:t>和数字发展领域的各</w:t>
      </w:r>
      <w:r w:rsidR="00160746">
        <w:rPr>
          <w:rFonts w:hint="eastAsia"/>
          <w:lang w:eastAsia="zh-CN"/>
        </w:rPr>
        <w:t>类</w:t>
      </w:r>
      <w:r w:rsidR="009255C8" w:rsidRPr="009255C8">
        <w:rPr>
          <w:rFonts w:hint="eastAsia"/>
          <w:lang w:eastAsia="zh-CN"/>
        </w:rPr>
        <w:t>培训活动和知识资源</w:t>
      </w:r>
      <w:r>
        <w:rPr>
          <w:rFonts w:hint="eastAsia"/>
          <w:lang w:eastAsia="zh-CN"/>
        </w:rPr>
        <w:t>。</w:t>
      </w:r>
      <w:r w:rsidR="003907DE" w:rsidRPr="00CB64F8">
        <w:rPr>
          <w:rFonts w:hint="eastAsia"/>
          <w:lang w:eastAsia="zh-CN"/>
        </w:rPr>
        <w:t>国际电联学院</w:t>
      </w:r>
      <w:r w:rsidR="009255C8" w:rsidRPr="009255C8">
        <w:rPr>
          <w:rFonts w:hint="eastAsia"/>
          <w:lang w:eastAsia="zh-CN"/>
        </w:rPr>
        <w:t>通过其工作</w:t>
      </w:r>
      <w:r w:rsidR="003907DE">
        <w:rPr>
          <w:rFonts w:hint="eastAsia"/>
          <w:lang w:eastAsia="zh-CN"/>
        </w:rPr>
        <w:t>，致力于</w:t>
      </w:r>
      <w:r w:rsidR="00160746">
        <w:rPr>
          <w:rFonts w:hint="eastAsia"/>
          <w:lang w:eastAsia="zh-CN"/>
        </w:rPr>
        <w:t>增强各</w:t>
      </w:r>
      <w:r w:rsidR="009255C8" w:rsidRPr="009255C8">
        <w:rPr>
          <w:rFonts w:hint="eastAsia"/>
          <w:lang w:eastAsia="zh-CN"/>
        </w:rPr>
        <w:t>成员国的人员</w:t>
      </w:r>
      <w:r w:rsidR="00160746">
        <w:rPr>
          <w:rFonts w:hint="eastAsia"/>
          <w:lang w:eastAsia="zh-CN"/>
        </w:rPr>
        <w:t>与</w:t>
      </w:r>
      <w:r w:rsidR="009255C8" w:rsidRPr="009255C8">
        <w:rPr>
          <w:rFonts w:hint="eastAsia"/>
          <w:lang w:eastAsia="zh-CN"/>
        </w:rPr>
        <w:t>机构能力</w:t>
      </w:r>
      <w:r w:rsidR="003907DE">
        <w:rPr>
          <w:rFonts w:hint="eastAsia"/>
          <w:lang w:eastAsia="zh-CN"/>
        </w:rPr>
        <w:t>。</w:t>
      </w:r>
      <w:r w:rsidR="009255C8" w:rsidRPr="009255C8">
        <w:rPr>
          <w:rFonts w:hint="eastAsia"/>
          <w:lang w:eastAsia="zh-CN"/>
        </w:rPr>
        <w:t>自</w:t>
      </w:r>
      <w:r w:rsidR="003907DE" w:rsidRPr="00EE7B8A">
        <w:rPr>
          <w:lang w:eastAsia="zh-CN"/>
        </w:rPr>
        <w:t>2022</w:t>
      </w:r>
      <w:r w:rsidR="009255C8" w:rsidRPr="009255C8">
        <w:rPr>
          <w:rFonts w:hint="eastAsia"/>
          <w:lang w:eastAsia="zh-CN"/>
        </w:rPr>
        <w:t>年以来</w:t>
      </w:r>
      <w:r w:rsidR="003907DE">
        <w:rPr>
          <w:rFonts w:hint="eastAsia"/>
          <w:lang w:eastAsia="zh-CN"/>
        </w:rPr>
        <w:t>，</w:t>
      </w:r>
      <w:r w:rsidR="003907DE" w:rsidRPr="003907DE">
        <w:rPr>
          <w:rFonts w:hint="eastAsia"/>
          <w:lang w:eastAsia="zh-CN"/>
        </w:rPr>
        <w:t>国际电联学院</w:t>
      </w:r>
      <w:r w:rsidR="009255C8" w:rsidRPr="009255C8">
        <w:rPr>
          <w:rFonts w:hint="eastAsia"/>
          <w:lang w:eastAsia="zh-CN"/>
        </w:rPr>
        <w:t>通过量身定制的培</w:t>
      </w:r>
      <w:r w:rsidR="009255C8" w:rsidRPr="0063050E">
        <w:rPr>
          <w:rFonts w:hint="eastAsia"/>
          <w:lang w:eastAsia="zh-CN"/>
        </w:rPr>
        <w:t>训</w:t>
      </w:r>
      <w:r w:rsidR="00812947">
        <w:rPr>
          <w:rFonts w:hint="eastAsia"/>
          <w:lang w:eastAsia="zh-CN"/>
        </w:rPr>
        <w:t>项目</w:t>
      </w:r>
      <w:r w:rsidR="003907DE">
        <w:rPr>
          <w:rFonts w:hint="eastAsia"/>
          <w:lang w:eastAsia="zh-CN"/>
        </w:rPr>
        <w:t>、</w:t>
      </w:r>
      <w:r w:rsidR="009255C8" w:rsidRPr="009255C8">
        <w:rPr>
          <w:rFonts w:hint="eastAsia"/>
          <w:lang w:eastAsia="zh-CN"/>
        </w:rPr>
        <w:t>能力建设举措</w:t>
      </w:r>
      <w:r w:rsidR="00160746">
        <w:rPr>
          <w:rFonts w:hint="eastAsia"/>
          <w:lang w:eastAsia="zh-CN"/>
        </w:rPr>
        <w:t>以及</w:t>
      </w:r>
      <w:r w:rsidR="0063050E" w:rsidRPr="0063050E">
        <w:rPr>
          <w:rFonts w:hint="eastAsia"/>
          <w:lang w:eastAsia="zh-CN"/>
        </w:rPr>
        <w:t>获取专业学习资源的机会</w:t>
      </w:r>
      <w:r w:rsidR="003907DE">
        <w:rPr>
          <w:rFonts w:hint="eastAsia"/>
          <w:lang w:eastAsia="zh-CN"/>
        </w:rPr>
        <w:t>，</w:t>
      </w:r>
      <w:r w:rsidR="009255C8" w:rsidRPr="009255C8">
        <w:rPr>
          <w:rFonts w:hint="eastAsia"/>
          <w:lang w:eastAsia="zh-CN"/>
        </w:rPr>
        <w:t>向</w:t>
      </w:r>
      <w:proofErr w:type="spellStart"/>
      <w:r w:rsidR="003907DE" w:rsidRPr="00EE7B8A">
        <w:rPr>
          <w:lang w:eastAsia="zh-CN"/>
        </w:rPr>
        <w:t>LDC</w:t>
      </w:r>
      <w:proofErr w:type="spellEnd"/>
      <w:r w:rsidR="003907DE">
        <w:rPr>
          <w:rFonts w:hint="eastAsia"/>
          <w:lang w:eastAsia="zh-CN"/>
        </w:rPr>
        <w:t>、</w:t>
      </w:r>
      <w:proofErr w:type="spellStart"/>
      <w:r w:rsidR="003907DE" w:rsidRPr="00EE7B8A">
        <w:rPr>
          <w:lang w:eastAsia="zh-CN"/>
        </w:rPr>
        <w:t>LLDC</w:t>
      </w:r>
      <w:proofErr w:type="spellEnd"/>
      <w:r w:rsidR="003907DE">
        <w:rPr>
          <w:rFonts w:hint="eastAsia"/>
          <w:lang w:eastAsia="zh-CN"/>
        </w:rPr>
        <w:t>和</w:t>
      </w:r>
      <w:r w:rsidR="003907DE" w:rsidRPr="00EE7B8A">
        <w:rPr>
          <w:lang w:eastAsia="zh-CN"/>
        </w:rPr>
        <w:t>SIDS</w:t>
      </w:r>
      <w:r w:rsidR="009255C8" w:rsidRPr="009255C8">
        <w:rPr>
          <w:rFonts w:hint="eastAsia"/>
          <w:lang w:eastAsia="zh-CN"/>
        </w:rPr>
        <w:t>以及其他</w:t>
      </w:r>
      <w:r w:rsidR="00160746" w:rsidRPr="00160746">
        <w:rPr>
          <w:rFonts w:hint="eastAsia"/>
          <w:lang w:eastAsia="zh-CN"/>
        </w:rPr>
        <w:t>特殊处境国家</w:t>
      </w:r>
      <w:r w:rsidR="009255C8" w:rsidRPr="009255C8">
        <w:rPr>
          <w:rFonts w:hint="eastAsia"/>
          <w:lang w:eastAsia="zh-CN"/>
        </w:rPr>
        <w:t>提</w:t>
      </w:r>
      <w:r w:rsidR="009255C8" w:rsidRPr="00812947">
        <w:rPr>
          <w:rFonts w:hint="eastAsia"/>
          <w:lang w:eastAsia="zh-CN"/>
        </w:rPr>
        <w:t>供</w:t>
      </w:r>
      <w:r w:rsidR="00812947" w:rsidRPr="00812947">
        <w:rPr>
          <w:rFonts w:hint="eastAsia"/>
          <w:lang w:eastAsia="zh-CN"/>
        </w:rPr>
        <w:t>了</w:t>
      </w:r>
      <w:r w:rsidR="009255C8" w:rsidRPr="009255C8">
        <w:rPr>
          <w:rFonts w:hint="eastAsia"/>
          <w:lang w:eastAsia="zh-CN"/>
        </w:rPr>
        <w:t>有针对性的支持</w:t>
      </w:r>
      <w:r w:rsidR="003907DE">
        <w:rPr>
          <w:rFonts w:hint="eastAsia"/>
          <w:lang w:eastAsia="zh-CN"/>
        </w:rPr>
        <w:t>。</w:t>
      </w:r>
      <w:r w:rsidR="003907DE" w:rsidRPr="00EE7B8A">
        <w:rPr>
          <w:lang w:eastAsia="zh-CN"/>
        </w:rPr>
        <w:t>2022</w:t>
      </w:r>
      <w:r w:rsidR="009D7D57">
        <w:rPr>
          <w:lang w:val="en-US" w:eastAsia="zh-CN"/>
        </w:rPr>
        <w:t>-</w:t>
      </w:r>
      <w:r w:rsidR="003907DE" w:rsidRPr="00EE7B8A">
        <w:rPr>
          <w:lang w:eastAsia="zh-CN"/>
        </w:rPr>
        <w:t>2025</w:t>
      </w:r>
      <w:r w:rsidR="003907DE">
        <w:rPr>
          <w:rFonts w:hint="eastAsia"/>
          <w:lang w:eastAsia="zh-CN"/>
        </w:rPr>
        <w:t>年</w:t>
      </w:r>
      <w:r w:rsidR="009255C8" w:rsidRPr="009255C8">
        <w:rPr>
          <w:rFonts w:hint="eastAsia"/>
          <w:lang w:eastAsia="zh-CN"/>
        </w:rPr>
        <w:t>间</w:t>
      </w:r>
      <w:r w:rsidR="003907DE">
        <w:rPr>
          <w:rFonts w:hint="eastAsia"/>
          <w:lang w:eastAsia="zh-CN"/>
        </w:rPr>
        <w:t>，</w:t>
      </w:r>
      <w:r w:rsidR="009255C8" w:rsidRPr="00812947">
        <w:rPr>
          <w:rFonts w:hint="eastAsia"/>
          <w:lang w:eastAsia="zh-CN"/>
        </w:rPr>
        <w:t>该平台</w:t>
      </w:r>
      <w:r w:rsidR="00812947" w:rsidRPr="00812947">
        <w:rPr>
          <w:rFonts w:hint="eastAsia"/>
          <w:lang w:eastAsia="zh-CN"/>
        </w:rPr>
        <w:t>为</w:t>
      </w:r>
      <w:r w:rsidR="009255C8" w:rsidRPr="00812947">
        <w:rPr>
          <w:rFonts w:hint="eastAsia"/>
          <w:lang w:eastAsia="zh-CN"/>
        </w:rPr>
        <w:t>来自</w:t>
      </w:r>
      <w:r w:rsidR="0063050E" w:rsidRPr="00812947">
        <w:rPr>
          <w:rFonts w:hint="eastAsia"/>
          <w:lang w:eastAsia="zh-CN"/>
        </w:rPr>
        <w:t>上</w:t>
      </w:r>
      <w:r w:rsidR="0063050E">
        <w:rPr>
          <w:rFonts w:hint="eastAsia"/>
          <w:lang w:eastAsia="zh-CN"/>
        </w:rPr>
        <w:t>述国家</w:t>
      </w:r>
      <w:r w:rsidR="009255C8" w:rsidRPr="009255C8">
        <w:rPr>
          <w:rFonts w:hint="eastAsia"/>
          <w:lang w:eastAsia="zh-CN"/>
        </w:rPr>
        <w:t>的近</w:t>
      </w:r>
      <w:r w:rsidR="003907DE" w:rsidRPr="00EE7B8A">
        <w:rPr>
          <w:lang w:eastAsia="zh-CN"/>
        </w:rPr>
        <w:t>28 000</w:t>
      </w:r>
      <w:r w:rsidR="009255C8" w:rsidRPr="009255C8">
        <w:rPr>
          <w:rFonts w:hint="eastAsia"/>
          <w:lang w:eastAsia="zh-CN"/>
        </w:rPr>
        <w:t>名课程参与者</w:t>
      </w:r>
      <w:r w:rsidR="00812947">
        <w:rPr>
          <w:rFonts w:hint="eastAsia"/>
          <w:lang w:eastAsia="zh-CN"/>
        </w:rPr>
        <w:t>提供了培训</w:t>
      </w:r>
      <w:r w:rsidR="003907DE">
        <w:rPr>
          <w:rFonts w:hint="eastAsia"/>
          <w:lang w:eastAsia="zh-CN"/>
        </w:rPr>
        <w:t>：</w:t>
      </w:r>
      <w:r w:rsidR="0063050E">
        <w:rPr>
          <w:rFonts w:hint="eastAsia"/>
          <w:lang w:eastAsia="zh-CN"/>
        </w:rPr>
        <w:t>其中</w:t>
      </w:r>
      <w:r w:rsidR="00B16A39" w:rsidRPr="00EE7B8A">
        <w:rPr>
          <w:lang w:eastAsia="zh-CN"/>
        </w:rPr>
        <w:t>12 718</w:t>
      </w:r>
      <w:r w:rsidR="009255C8" w:rsidRPr="009255C8">
        <w:rPr>
          <w:rFonts w:hint="eastAsia"/>
          <w:lang w:eastAsia="zh-CN"/>
        </w:rPr>
        <w:t>名来自</w:t>
      </w:r>
      <w:proofErr w:type="spellStart"/>
      <w:r w:rsidR="00B16A39" w:rsidRPr="00EE7B8A">
        <w:rPr>
          <w:lang w:eastAsia="zh-CN"/>
        </w:rPr>
        <w:t>LDC</w:t>
      </w:r>
      <w:proofErr w:type="spellEnd"/>
      <w:r w:rsidR="00B16A39">
        <w:rPr>
          <w:rFonts w:hint="eastAsia"/>
          <w:lang w:eastAsia="zh-CN"/>
        </w:rPr>
        <w:t>（</w:t>
      </w:r>
      <w:r w:rsidR="00B16A39" w:rsidRPr="00EE7B8A">
        <w:rPr>
          <w:lang w:eastAsia="zh-CN"/>
        </w:rPr>
        <w:t>29.7</w:t>
      </w:r>
      <w:r w:rsidR="00B16A39">
        <w:rPr>
          <w:rFonts w:hint="eastAsia"/>
          <w:lang w:eastAsia="zh-CN"/>
        </w:rPr>
        <w:t>%</w:t>
      </w:r>
      <w:r w:rsidR="00B16A39" w:rsidRPr="009255C8">
        <w:rPr>
          <w:rFonts w:hint="eastAsia"/>
          <w:lang w:eastAsia="zh-CN"/>
        </w:rPr>
        <w:t>为女性</w:t>
      </w:r>
      <w:r w:rsidR="00160746">
        <w:rPr>
          <w:rFonts w:hint="eastAsia"/>
          <w:lang w:eastAsia="zh-CN"/>
        </w:rPr>
        <w:t>）</w:t>
      </w:r>
      <w:r w:rsidR="00B16A39">
        <w:rPr>
          <w:rFonts w:hint="eastAsia"/>
          <w:lang w:eastAsia="zh-CN"/>
        </w:rPr>
        <w:t>，</w:t>
      </w:r>
      <w:r w:rsidR="00B16A39" w:rsidRPr="00EE7B8A">
        <w:rPr>
          <w:lang w:eastAsia="zh-CN"/>
        </w:rPr>
        <w:t>3 154</w:t>
      </w:r>
      <w:r w:rsidR="00B16A39">
        <w:rPr>
          <w:rFonts w:hint="eastAsia"/>
          <w:lang w:eastAsia="zh-CN"/>
        </w:rPr>
        <w:t>人</w:t>
      </w:r>
      <w:r w:rsidR="009255C8" w:rsidRPr="009255C8">
        <w:rPr>
          <w:rFonts w:hint="eastAsia"/>
          <w:lang w:eastAsia="zh-CN"/>
        </w:rPr>
        <w:t>获得</w:t>
      </w:r>
      <w:r w:rsidR="00B16A39">
        <w:rPr>
          <w:rFonts w:hint="eastAsia"/>
          <w:lang w:eastAsia="zh-CN"/>
        </w:rPr>
        <w:t>证书；</w:t>
      </w:r>
      <w:r w:rsidR="00B16A39" w:rsidRPr="00EE7B8A">
        <w:rPr>
          <w:lang w:eastAsia="zh-CN"/>
        </w:rPr>
        <w:t>9 061</w:t>
      </w:r>
      <w:r w:rsidR="009255C8" w:rsidRPr="009255C8">
        <w:rPr>
          <w:rFonts w:hint="eastAsia"/>
          <w:lang w:eastAsia="zh-CN"/>
        </w:rPr>
        <w:t>名来自</w:t>
      </w:r>
      <w:proofErr w:type="spellStart"/>
      <w:r w:rsidR="00B16A39" w:rsidRPr="00EE7B8A">
        <w:rPr>
          <w:lang w:eastAsia="zh-CN"/>
        </w:rPr>
        <w:t>LLDC</w:t>
      </w:r>
      <w:proofErr w:type="spellEnd"/>
      <w:r w:rsidR="00B16A39">
        <w:rPr>
          <w:rFonts w:hint="eastAsia"/>
          <w:lang w:eastAsia="zh-CN"/>
        </w:rPr>
        <w:t>（</w:t>
      </w:r>
      <w:r w:rsidR="00B16A39" w:rsidRPr="00EE7B8A">
        <w:rPr>
          <w:lang w:eastAsia="zh-CN"/>
        </w:rPr>
        <w:t>43</w:t>
      </w:r>
      <w:r w:rsidR="00B16A39">
        <w:rPr>
          <w:rFonts w:hint="eastAsia"/>
          <w:lang w:eastAsia="zh-CN"/>
        </w:rPr>
        <w:t>%</w:t>
      </w:r>
      <w:r w:rsidR="00B16A39" w:rsidRPr="009255C8">
        <w:rPr>
          <w:rFonts w:hint="eastAsia"/>
          <w:lang w:eastAsia="zh-CN"/>
        </w:rPr>
        <w:t>为女性</w:t>
      </w:r>
      <w:r w:rsidR="00B16A39">
        <w:rPr>
          <w:rFonts w:hint="eastAsia"/>
          <w:lang w:eastAsia="zh-CN"/>
        </w:rPr>
        <w:t>），</w:t>
      </w:r>
      <w:r w:rsidR="00B16A39" w:rsidRPr="00EE7B8A">
        <w:rPr>
          <w:lang w:eastAsia="zh-CN"/>
        </w:rPr>
        <w:t>2 503</w:t>
      </w:r>
      <w:r w:rsidR="00B16A39">
        <w:rPr>
          <w:rFonts w:hint="eastAsia"/>
          <w:lang w:eastAsia="zh-CN"/>
        </w:rPr>
        <w:t>人获得</w:t>
      </w:r>
      <w:r w:rsidR="009255C8" w:rsidRPr="009255C8">
        <w:rPr>
          <w:rFonts w:hint="eastAsia"/>
          <w:lang w:eastAsia="zh-CN"/>
        </w:rPr>
        <w:t>证书</w:t>
      </w:r>
      <w:r w:rsidR="00B16A39">
        <w:rPr>
          <w:rFonts w:hint="eastAsia"/>
          <w:lang w:eastAsia="zh-CN"/>
        </w:rPr>
        <w:t>；</w:t>
      </w:r>
      <w:r w:rsidR="00B16A39" w:rsidRPr="00EE7B8A">
        <w:rPr>
          <w:lang w:eastAsia="zh-CN"/>
        </w:rPr>
        <w:t>4 912</w:t>
      </w:r>
      <w:r w:rsidR="00B16A39">
        <w:rPr>
          <w:rFonts w:hint="eastAsia"/>
          <w:lang w:eastAsia="zh-CN"/>
        </w:rPr>
        <w:t>名</w:t>
      </w:r>
      <w:r w:rsidR="009255C8" w:rsidRPr="009255C8">
        <w:rPr>
          <w:rFonts w:hint="eastAsia"/>
          <w:lang w:eastAsia="zh-CN"/>
        </w:rPr>
        <w:t>来自</w:t>
      </w:r>
      <w:r w:rsidR="00B16A39" w:rsidRPr="00EE7B8A">
        <w:rPr>
          <w:lang w:eastAsia="zh-CN"/>
        </w:rPr>
        <w:t>SIDS</w:t>
      </w:r>
      <w:r w:rsidR="00B16A39">
        <w:rPr>
          <w:rFonts w:hint="eastAsia"/>
          <w:lang w:eastAsia="zh-CN"/>
        </w:rPr>
        <w:t>（</w:t>
      </w:r>
      <w:r w:rsidR="00B16A39" w:rsidRPr="00EE7B8A">
        <w:rPr>
          <w:lang w:eastAsia="zh-CN"/>
        </w:rPr>
        <w:t>40</w:t>
      </w:r>
      <w:r w:rsidR="00B16A39">
        <w:rPr>
          <w:rFonts w:hint="eastAsia"/>
          <w:lang w:eastAsia="zh-CN"/>
        </w:rPr>
        <w:t>%</w:t>
      </w:r>
      <w:r w:rsidR="00B16A39" w:rsidRPr="009255C8">
        <w:rPr>
          <w:rFonts w:hint="eastAsia"/>
          <w:lang w:eastAsia="zh-CN"/>
        </w:rPr>
        <w:t>为女性</w:t>
      </w:r>
      <w:r w:rsidR="00B16A39">
        <w:rPr>
          <w:rFonts w:hint="eastAsia"/>
          <w:lang w:eastAsia="zh-CN"/>
        </w:rPr>
        <w:t>），</w:t>
      </w:r>
      <w:r w:rsidR="00B16A39" w:rsidRPr="00EE7B8A">
        <w:rPr>
          <w:lang w:eastAsia="zh-CN"/>
        </w:rPr>
        <w:t>1 361</w:t>
      </w:r>
      <w:r w:rsidR="00B16A39" w:rsidRPr="00835F8D">
        <w:rPr>
          <w:rFonts w:hint="eastAsia"/>
          <w:lang w:eastAsia="zh-CN"/>
        </w:rPr>
        <w:t>人获得</w:t>
      </w:r>
      <w:r w:rsidR="009255C8" w:rsidRPr="00835F8D">
        <w:rPr>
          <w:rFonts w:hint="eastAsia"/>
          <w:lang w:eastAsia="zh-CN"/>
        </w:rPr>
        <w:t>证书</w:t>
      </w:r>
      <w:r w:rsidR="00B16A39" w:rsidRPr="00835F8D">
        <w:rPr>
          <w:rFonts w:hint="eastAsia"/>
          <w:lang w:eastAsia="zh-CN"/>
        </w:rPr>
        <w:t>。</w:t>
      </w:r>
    </w:p>
    <w:p w14:paraId="59C4F50D" w14:textId="232A85F6" w:rsidR="00EE7B8A" w:rsidRPr="00EE7B8A" w:rsidRDefault="003E5E2D"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Pr>
          <w:rFonts w:hint="eastAsia"/>
          <w:lang w:eastAsia="zh-CN"/>
        </w:rPr>
        <w:t>由</w:t>
      </w:r>
      <w:r w:rsidR="000611C4" w:rsidRPr="009255C8">
        <w:rPr>
          <w:rFonts w:hint="eastAsia"/>
          <w:lang w:eastAsia="zh-CN"/>
        </w:rPr>
        <w:t>国际电联与思科公司</w:t>
      </w:r>
      <w:r w:rsidR="000611C4">
        <w:rPr>
          <w:rFonts w:hint="eastAsia"/>
          <w:lang w:eastAsia="zh-CN"/>
        </w:rPr>
        <w:t>（</w:t>
      </w:r>
      <w:r w:rsidR="000611C4" w:rsidRPr="00EE7B8A">
        <w:rPr>
          <w:lang w:eastAsia="zh-CN"/>
        </w:rPr>
        <w:t>Cisco</w:t>
      </w:r>
      <w:r w:rsidR="000611C4">
        <w:rPr>
          <w:rFonts w:hint="eastAsia"/>
          <w:lang w:eastAsia="zh-CN"/>
        </w:rPr>
        <w:t>）</w:t>
      </w:r>
      <w:r w:rsidR="000611C4" w:rsidRPr="009255C8">
        <w:rPr>
          <w:rFonts w:hint="eastAsia"/>
          <w:lang w:eastAsia="zh-CN"/>
        </w:rPr>
        <w:t>于</w:t>
      </w:r>
      <w:r w:rsidR="000611C4" w:rsidRPr="00EE7B8A">
        <w:rPr>
          <w:lang w:eastAsia="zh-CN"/>
        </w:rPr>
        <w:t>2019</w:t>
      </w:r>
      <w:r w:rsidR="000611C4" w:rsidRPr="009255C8">
        <w:rPr>
          <w:rFonts w:hint="eastAsia"/>
          <w:lang w:eastAsia="zh-CN"/>
        </w:rPr>
        <w:t>年</w:t>
      </w:r>
      <w:r w:rsidR="000611C4" w:rsidRPr="00EE7B8A">
        <w:rPr>
          <w:lang w:eastAsia="zh-CN"/>
        </w:rPr>
        <w:t>9</w:t>
      </w:r>
      <w:r w:rsidR="000611C4" w:rsidRPr="009255C8">
        <w:rPr>
          <w:rFonts w:hint="eastAsia"/>
          <w:lang w:eastAsia="zh-CN"/>
        </w:rPr>
        <w:t>月联合发起</w:t>
      </w:r>
      <w:r w:rsidR="000611C4">
        <w:rPr>
          <w:rFonts w:hint="eastAsia"/>
          <w:lang w:eastAsia="zh-CN"/>
        </w:rPr>
        <w:t>的</w:t>
      </w:r>
      <w:hyperlink r:id="rId15" w:history="1">
        <w:r w:rsidR="001508D5">
          <w:rPr>
            <w:rStyle w:val="Hyperlink"/>
            <w:rFonts w:eastAsia="SimSun" w:hint="eastAsia"/>
            <w:noProof w:val="0"/>
            <w:lang w:eastAsia="zh-CN"/>
          </w:rPr>
          <w:t>“</w:t>
        </w:r>
        <w:r w:rsidR="001508D5" w:rsidRPr="001508D5">
          <w:rPr>
            <w:rStyle w:val="Hyperlink"/>
            <w:rFonts w:eastAsia="SimSun" w:hint="eastAsia"/>
            <w:noProof w:val="0"/>
            <w:lang w:eastAsia="zh-CN"/>
          </w:rPr>
          <w:t>数字化转型中心（</w:t>
        </w:r>
        <w:r w:rsidR="001508D5" w:rsidRPr="001508D5">
          <w:rPr>
            <w:rStyle w:val="Hyperlink"/>
            <w:rFonts w:eastAsia="SimSun"/>
            <w:noProof w:val="0"/>
            <w:lang w:eastAsia="zh-CN"/>
          </w:rPr>
          <w:t>DTC</w:t>
        </w:r>
        <w:r w:rsidR="001508D5" w:rsidRPr="001508D5">
          <w:rPr>
            <w:rStyle w:val="Hyperlink"/>
            <w:rFonts w:eastAsia="SimSun" w:hint="eastAsia"/>
            <w:noProof w:val="0"/>
            <w:lang w:eastAsia="zh-CN"/>
          </w:rPr>
          <w:t>）举措</w:t>
        </w:r>
        <w:r w:rsidR="001508D5">
          <w:rPr>
            <w:rStyle w:val="Hyperlink"/>
            <w:rFonts w:eastAsia="SimSun" w:hint="eastAsia"/>
            <w:noProof w:val="0"/>
            <w:lang w:eastAsia="zh-CN"/>
          </w:rPr>
          <w:t>”</w:t>
        </w:r>
      </w:hyperlink>
      <w:r w:rsidR="009255C8" w:rsidRPr="009255C8">
        <w:rPr>
          <w:rFonts w:hint="eastAsia"/>
          <w:lang w:eastAsia="zh-CN"/>
        </w:rPr>
        <w:t>旨在</w:t>
      </w:r>
      <w:r>
        <w:rPr>
          <w:rFonts w:hint="eastAsia"/>
          <w:lang w:eastAsia="zh-CN"/>
        </w:rPr>
        <w:t>提升</w:t>
      </w:r>
      <w:r w:rsidR="009255C8" w:rsidRPr="009255C8">
        <w:rPr>
          <w:rFonts w:hint="eastAsia"/>
          <w:lang w:eastAsia="zh-CN"/>
        </w:rPr>
        <w:t>公民</w:t>
      </w:r>
      <w:r w:rsidR="00B16A39" w:rsidRPr="009255C8">
        <w:rPr>
          <w:rFonts w:hint="eastAsia"/>
          <w:lang w:eastAsia="zh-CN"/>
        </w:rPr>
        <w:t>的数字能力</w:t>
      </w:r>
      <w:r w:rsidR="00B16A39">
        <w:rPr>
          <w:rFonts w:hint="eastAsia"/>
          <w:lang w:eastAsia="zh-CN"/>
        </w:rPr>
        <w:t>，特别是</w:t>
      </w:r>
      <w:r w:rsidR="009255C8" w:rsidRPr="009255C8">
        <w:rPr>
          <w:rFonts w:hint="eastAsia"/>
          <w:lang w:eastAsia="zh-CN"/>
        </w:rPr>
        <w:t>农村和</w:t>
      </w:r>
      <w:r w:rsidR="00B16A39" w:rsidRPr="00B16A39">
        <w:rPr>
          <w:rFonts w:hint="eastAsia"/>
          <w:lang w:eastAsia="zh-CN"/>
        </w:rPr>
        <w:t>服务欠缺</w:t>
      </w:r>
      <w:r w:rsidR="009255C8" w:rsidRPr="009255C8">
        <w:rPr>
          <w:rFonts w:hint="eastAsia"/>
          <w:lang w:eastAsia="zh-CN"/>
        </w:rPr>
        <w:t>社区</w:t>
      </w:r>
      <w:r w:rsidR="00B16A39">
        <w:rPr>
          <w:rFonts w:hint="eastAsia"/>
          <w:lang w:eastAsia="zh-CN"/>
        </w:rPr>
        <w:t>居民的数字能力。</w:t>
      </w:r>
      <w:r w:rsidR="009255C8" w:rsidRPr="009255C8">
        <w:rPr>
          <w:rFonts w:hint="eastAsia"/>
          <w:lang w:eastAsia="zh-CN"/>
        </w:rPr>
        <w:t>该举措通过由各国机构</w:t>
      </w:r>
      <w:r w:rsidR="00B16A39">
        <w:rPr>
          <w:rFonts w:hint="eastAsia"/>
          <w:lang w:eastAsia="zh-CN"/>
        </w:rPr>
        <w:t>，即</w:t>
      </w:r>
      <w:r w:rsidR="00B16A39" w:rsidRPr="009255C8">
        <w:rPr>
          <w:rFonts w:hint="eastAsia"/>
          <w:lang w:eastAsia="zh-CN"/>
        </w:rPr>
        <w:t>数字化转型中心</w:t>
      </w:r>
      <w:r w:rsidR="00B16A39">
        <w:rPr>
          <w:rFonts w:hint="eastAsia"/>
          <w:lang w:eastAsia="zh-CN"/>
        </w:rPr>
        <w:t>（</w:t>
      </w:r>
      <w:r w:rsidR="00B16A39" w:rsidRPr="00EE7B8A">
        <w:rPr>
          <w:lang w:eastAsia="zh-CN"/>
        </w:rPr>
        <w:t>DTC</w:t>
      </w:r>
      <w:r w:rsidR="00B16A39">
        <w:rPr>
          <w:rFonts w:hint="eastAsia"/>
          <w:lang w:eastAsia="zh-CN"/>
        </w:rPr>
        <w:t>）</w:t>
      </w:r>
      <w:r w:rsidR="009255C8" w:rsidRPr="009255C8">
        <w:rPr>
          <w:rFonts w:hint="eastAsia"/>
          <w:lang w:eastAsia="zh-CN"/>
        </w:rPr>
        <w:t>组成的全球网络</w:t>
      </w:r>
      <w:r w:rsidR="00B16A39">
        <w:rPr>
          <w:rFonts w:hint="eastAsia"/>
          <w:lang w:eastAsia="zh-CN"/>
        </w:rPr>
        <w:t>开展工作，</w:t>
      </w:r>
      <w:r w:rsidR="009255C8" w:rsidRPr="009255C8">
        <w:rPr>
          <w:rFonts w:hint="eastAsia"/>
          <w:lang w:eastAsia="zh-CN"/>
        </w:rPr>
        <w:t>这些中心肩负着在</w:t>
      </w:r>
      <w:r w:rsidR="00B30740">
        <w:rPr>
          <w:rFonts w:hint="eastAsia"/>
          <w:lang w:eastAsia="zh-CN"/>
        </w:rPr>
        <w:t>国家层面提供</w:t>
      </w:r>
      <w:r w:rsidR="009255C8" w:rsidRPr="009255C8">
        <w:rPr>
          <w:rFonts w:hint="eastAsia"/>
          <w:lang w:eastAsia="zh-CN"/>
        </w:rPr>
        <w:t>数字技能培训</w:t>
      </w:r>
      <w:r w:rsidR="00B30740">
        <w:rPr>
          <w:rFonts w:hint="eastAsia"/>
          <w:lang w:eastAsia="zh-CN"/>
        </w:rPr>
        <w:t>项目</w:t>
      </w:r>
      <w:r w:rsidR="009255C8" w:rsidRPr="009255C8">
        <w:rPr>
          <w:rFonts w:hint="eastAsia"/>
          <w:lang w:eastAsia="zh-CN"/>
        </w:rPr>
        <w:t>的</w:t>
      </w:r>
      <w:r w:rsidR="000611C4">
        <w:rPr>
          <w:rFonts w:hint="eastAsia"/>
          <w:lang w:eastAsia="zh-CN"/>
        </w:rPr>
        <w:t>任务</w:t>
      </w:r>
      <w:r w:rsidR="00B30740">
        <w:rPr>
          <w:rFonts w:hint="eastAsia"/>
          <w:lang w:eastAsia="zh-CN"/>
        </w:rPr>
        <w:t>。这些中心</w:t>
      </w:r>
      <w:r w:rsidR="009255C8" w:rsidRPr="009255C8">
        <w:rPr>
          <w:rFonts w:hint="eastAsia"/>
          <w:lang w:eastAsia="zh-CN"/>
        </w:rPr>
        <w:t>在开展基础和中级培训方面</w:t>
      </w:r>
      <w:r w:rsidR="00B30740">
        <w:rPr>
          <w:rFonts w:hint="eastAsia"/>
          <w:lang w:eastAsia="zh-CN"/>
        </w:rPr>
        <w:t>具备</w:t>
      </w:r>
      <w:r w:rsidR="009255C8" w:rsidRPr="009255C8">
        <w:rPr>
          <w:rFonts w:hint="eastAsia"/>
          <w:lang w:eastAsia="zh-CN"/>
        </w:rPr>
        <w:t>经</w:t>
      </w:r>
      <w:r w:rsidR="00B30740">
        <w:rPr>
          <w:rFonts w:hint="eastAsia"/>
          <w:lang w:eastAsia="zh-CN"/>
        </w:rPr>
        <w:t>实践</w:t>
      </w:r>
      <w:r w:rsidR="009255C8" w:rsidRPr="009255C8">
        <w:rPr>
          <w:rFonts w:hint="eastAsia"/>
          <w:lang w:eastAsia="zh-CN"/>
        </w:rPr>
        <w:t>验证的能力</w:t>
      </w:r>
      <w:r w:rsidR="00B30740">
        <w:rPr>
          <w:rFonts w:hint="eastAsia"/>
          <w:lang w:eastAsia="zh-CN"/>
        </w:rPr>
        <w:t>、</w:t>
      </w:r>
      <w:r w:rsidR="009255C8" w:rsidRPr="00310FAA">
        <w:rPr>
          <w:rFonts w:hint="eastAsia"/>
          <w:lang w:eastAsia="zh-CN"/>
        </w:rPr>
        <w:t>基础设施和经验</w:t>
      </w:r>
      <w:r w:rsidR="00B30740" w:rsidRPr="00310FAA">
        <w:rPr>
          <w:rFonts w:hint="eastAsia"/>
          <w:lang w:eastAsia="zh-CN"/>
        </w:rPr>
        <w:t>。</w:t>
      </w:r>
    </w:p>
    <w:p w14:paraId="73F9C6F7" w14:textId="4C65089A"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目前</w:t>
      </w:r>
      <w:r w:rsidR="00B30740">
        <w:rPr>
          <w:rFonts w:hint="eastAsia"/>
          <w:lang w:eastAsia="zh-CN"/>
        </w:rPr>
        <w:t>，</w:t>
      </w:r>
      <w:r w:rsidRPr="009255C8">
        <w:rPr>
          <w:rFonts w:hint="eastAsia"/>
          <w:lang w:eastAsia="zh-CN"/>
        </w:rPr>
        <w:t>全球</w:t>
      </w:r>
      <w:r w:rsidR="00CE19C7">
        <w:rPr>
          <w:rFonts w:hint="eastAsia"/>
          <w:lang w:eastAsia="zh-CN"/>
        </w:rPr>
        <w:t>共</w:t>
      </w:r>
      <w:r w:rsidRPr="009255C8">
        <w:rPr>
          <w:rFonts w:hint="eastAsia"/>
          <w:lang w:eastAsia="zh-CN"/>
        </w:rPr>
        <w:t>有</w:t>
      </w:r>
      <w:r w:rsidR="00B30740" w:rsidRPr="00EE7B8A">
        <w:rPr>
          <w:lang w:eastAsia="zh-CN"/>
        </w:rPr>
        <w:t>16</w:t>
      </w:r>
      <w:r w:rsidRPr="009255C8">
        <w:rPr>
          <w:rFonts w:hint="eastAsia"/>
          <w:lang w:eastAsia="zh-CN"/>
        </w:rPr>
        <w:t>个</w:t>
      </w:r>
      <w:r w:rsidR="00B30740" w:rsidRPr="00EE7B8A">
        <w:rPr>
          <w:lang w:eastAsia="zh-CN"/>
        </w:rPr>
        <w:t>DTC</w:t>
      </w:r>
      <w:r w:rsidR="00B30740">
        <w:rPr>
          <w:rFonts w:hint="eastAsia"/>
          <w:lang w:eastAsia="zh-CN"/>
        </w:rPr>
        <w:t>，</w:t>
      </w:r>
      <w:r w:rsidRPr="009255C8">
        <w:rPr>
          <w:rFonts w:hint="eastAsia"/>
          <w:lang w:eastAsia="zh-CN"/>
        </w:rPr>
        <w:t>其中</w:t>
      </w:r>
      <w:r w:rsidR="00B30740">
        <w:rPr>
          <w:rFonts w:hint="eastAsia"/>
          <w:lang w:eastAsia="zh-CN"/>
        </w:rPr>
        <w:t>八个</w:t>
      </w:r>
      <w:r w:rsidR="00B85C4B">
        <w:rPr>
          <w:rFonts w:hint="eastAsia"/>
          <w:lang w:eastAsia="zh-CN"/>
        </w:rPr>
        <w:t>设</w:t>
      </w:r>
      <w:r w:rsidRPr="009255C8">
        <w:rPr>
          <w:rFonts w:hint="eastAsia"/>
          <w:lang w:eastAsia="zh-CN"/>
        </w:rPr>
        <w:t>在</w:t>
      </w:r>
      <w:proofErr w:type="spellStart"/>
      <w:r w:rsidR="00B30740" w:rsidRPr="00EE7B8A">
        <w:rPr>
          <w:lang w:eastAsia="zh-CN"/>
        </w:rPr>
        <w:t>LDC</w:t>
      </w:r>
      <w:proofErr w:type="spellEnd"/>
      <w:r w:rsidR="00B30740">
        <w:rPr>
          <w:rFonts w:hint="eastAsia"/>
          <w:lang w:eastAsia="zh-CN"/>
        </w:rPr>
        <w:t>、</w:t>
      </w:r>
      <w:proofErr w:type="spellStart"/>
      <w:r w:rsidR="00B30740" w:rsidRPr="00EE7B8A">
        <w:rPr>
          <w:lang w:eastAsia="zh-CN"/>
        </w:rPr>
        <w:t>LLDC</w:t>
      </w:r>
      <w:proofErr w:type="spellEnd"/>
      <w:r w:rsidR="00B30740">
        <w:rPr>
          <w:rFonts w:hint="eastAsia"/>
          <w:lang w:eastAsia="zh-CN"/>
        </w:rPr>
        <w:t>、</w:t>
      </w:r>
      <w:r w:rsidR="00B30740" w:rsidRPr="00EE7B8A">
        <w:rPr>
          <w:lang w:eastAsia="zh-CN"/>
        </w:rPr>
        <w:t>SIDS</w:t>
      </w:r>
      <w:r w:rsidRPr="009255C8">
        <w:rPr>
          <w:rFonts w:hint="eastAsia"/>
          <w:lang w:eastAsia="zh-CN"/>
        </w:rPr>
        <w:t>和经济转型国家</w:t>
      </w:r>
      <w:r w:rsidR="00B30740">
        <w:rPr>
          <w:rFonts w:hint="eastAsia"/>
          <w:lang w:eastAsia="zh-CN"/>
        </w:rPr>
        <w:t>，</w:t>
      </w:r>
      <w:r w:rsidR="00CE19C7" w:rsidRPr="00B40D68">
        <w:rPr>
          <w:rFonts w:hint="eastAsia"/>
          <w:lang w:eastAsia="zh-CN"/>
        </w:rPr>
        <w:t>分别</w:t>
      </w:r>
      <w:r w:rsidRPr="00B40D68">
        <w:rPr>
          <w:rFonts w:hint="eastAsia"/>
          <w:lang w:eastAsia="zh-CN"/>
        </w:rPr>
        <w:t>是</w:t>
      </w:r>
      <w:r w:rsidR="00B30740" w:rsidRPr="00B40D68">
        <w:rPr>
          <w:rFonts w:hint="eastAsia"/>
          <w:lang w:eastAsia="zh-CN"/>
        </w:rPr>
        <w:t>多米尼加共和国、巴布亚新几内亚、卢旺达、塞内加尔、塞拉利昂、特立尼达和多巴哥、乌干达和赞比亚。</w:t>
      </w:r>
      <w:r w:rsidRPr="00B40D68">
        <w:rPr>
          <w:rFonts w:hint="eastAsia"/>
          <w:lang w:eastAsia="zh-CN"/>
        </w:rPr>
        <w:t>截至</w:t>
      </w:r>
      <w:r w:rsidR="00B30740" w:rsidRPr="00B40D68">
        <w:rPr>
          <w:lang w:eastAsia="zh-CN"/>
        </w:rPr>
        <w:t>2025</w:t>
      </w:r>
      <w:r w:rsidRPr="00B40D68">
        <w:rPr>
          <w:rFonts w:hint="eastAsia"/>
          <w:lang w:eastAsia="zh-CN"/>
        </w:rPr>
        <w:t>年底</w:t>
      </w:r>
      <w:r w:rsidR="00B30740" w:rsidRPr="00B40D68">
        <w:rPr>
          <w:rFonts w:hint="eastAsia"/>
          <w:lang w:eastAsia="zh-CN"/>
        </w:rPr>
        <w:t>，</w:t>
      </w:r>
      <w:r w:rsidRPr="00B40D68">
        <w:rPr>
          <w:rFonts w:hint="eastAsia"/>
          <w:lang w:eastAsia="zh-CN"/>
        </w:rPr>
        <w:t>这八个</w:t>
      </w:r>
      <w:r w:rsidR="00B30740" w:rsidRPr="00B40D68">
        <w:rPr>
          <w:lang w:eastAsia="zh-CN"/>
        </w:rPr>
        <w:t>D</w:t>
      </w:r>
      <w:r w:rsidR="00B30740" w:rsidRPr="00EE7B8A">
        <w:rPr>
          <w:lang w:eastAsia="zh-CN"/>
        </w:rPr>
        <w:t>TC</w:t>
      </w:r>
      <w:r w:rsidR="00B30740">
        <w:rPr>
          <w:rFonts w:hint="eastAsia"/>
          <w:lang w:eastAsia="zh-CN"/>
        </w:rPr>
        <w:t>已为近</w:t>
      </w:r>
      <w:r w:rsidR="00B30740" w:rsidRPr="00EE7B8A">
        <w:rPr>
          <w:lang w:eastAsia="zh-CN"/>
        </w:rPr>
        <w:t>227 000</w:t>
      </w:r>
      <w:r w:rsidR="00B30740">
        <w:rPr>
          <w:rFonts w:hint="eastAsia"/>
          <w:lang w:eastAsia="zh-CN"/>
        </w:rPr>
        <w:t>名参与者（其中</w:t>
      </w:r>
      <w:r w:rsidR="00B30740" w:rsidRPr="00EE7B8A">
        <w:rPr>
          <w:lang w:eastAsia="zh-CN"/>
        </w:rPr>
        <w:t>54</w:t>
      </w:r>
      <w:r w:rsidR="00B30740">
        <w:rPr>
          <w:rFonts w:hint="eastAsia"/>
          <w:lang w:eastAsia="zh-CN"/>
        </w:rPr>
        <w:t>%</w:t>
      </w:r>
      <w:r w:rsidR="00B30740" w:rsidRPr="009255C8">
        <w:rPr>
          <w:rFonts w:hint="eastAsia"/>
          <w:lang w:eastAsia="zh-CN"/>
        </w:rPr>
        <w:t>为女性</w:t>
      </w:r>
      <w:r w:rsidR="00B30740">
        <w:rPr>
          <w:rFonts w:hint="eastAsia"/>
          <w:lang w:eastAsia="zh-CN"/>
        </w:rPr>
        <w:t>）提供</w:t>
      </w:r>
      <w:r w:rsidRPr="009255C8">
        <w:rPr>
          <w:rFonts w:hint="eastAsia"/>
          <w:lang w:eastAsia="zh-CN"/>
        </w:rPr>
        <w:t>了基础和中级数字技能培训</w:t>
      </w:r>
      <w:r w:rsidR="00B30740">
        <w:rPr>
          <w:rFonts w:hint="eastAsia"/>
          <w:lang w:eastAsia="zh-CN"/>
        </w:rPr>
        <w:t>。</w:t>
      </w:r>
      <w:r w:rsidRPr="009255C8">
        <w:rPr>
          <w:rFonts w:hint="eastAsia"/>
          <w:lang w:eastAsia="zh-CN"/>
        </w:rPr>
        <w:t>总体而言</w:t>
      </w:r>
      <w:r w:rsidR="00B30740">
        <w:rPr>
          <w:rFonts w:hint="eastAsia"/>
          <w:lang w:eastAsia="zh-CN"/>
        </w:rPr>
        <w:t>，</w:t>
      </w:r>
      <w:r w:rsidR="00B30740" w:rsidRPr="00EE7B8A">
        <w:rPr>
          <w:lang w:eastAsia="zh-CN"/>
        </w:rPr>
        <w:t>2022</w:t>
      </w:r>
      <w:r w:rsidR="009D7D57">
        <w:rPr>
          <w:lang w:val="en-US" w:eastAsia="zh-CN"/>
        </w:rPr>
        <w:t>-</w:t>
      </w:r>
      <w:r w:rsidR="00B30740" w:rsidRPr="00EE7B8A">
        <w:rPr>
          <w:lang w:eastAsia="zh-CN"/>
        </w:rPr>
        <w:t>2025</w:t>
      </w:r>
      <w:r w:rsidR="00B30740">
        <w:rPr>
          <w:rFonts w:hint="eastAsia"/>
          <w:lang w:eastAsia="zh-CN"/>
        </w:rPr>
        <w:t>年</w:t>
      </w:r>
      <w:r w:rsidR="00CE19C7">
        <w:rPr>
          <w:rFonts w:hint="eastAsia"/>
          <w:lang w:eastAsia="zh-CN"/>
        </w:rPr>
        <w:t>期间</w:t>
      </w:r>
      <w:r w:rsidR="00B30740">
        <w:rPr>
          <w:rFonts w:hint="eastAsia"/>
          <w:lang w:eastAsia="zh-CN"/>
        </w:rPr>
        <w:t>，培训</w:t>
      </w:r>
      <w:r w:rsidR="00CE19C7">
        <w:rPr>
          <w:rFonts w:hint="eastAsia"/>
          <w:lang w:eastAsia="zh-CN"/>
        </w:rPr>
        <w:t>覆盖</w:t>
      </w:r>
      <w:r w:rsidR="00B30740">
        <w:rPr>
          <w:rFonts w:hint="eastAsia"/>
          <w:lang w:eastAsia="zh-CN"/>
        </w:rPr>
        <w:t>人数</w:t>
      </w:r>
      <w:r w:rsidRPr="009255C8">
        <w:rPr>
          <w:rFonts w:hint="eastAsia"/>
          <w:lang w:eastAsia="zh-CN"/>
        </w:rPr>
        <w:t>超过</w:t>
      </w:r>
      <w:r w:rsidR="00B30740" w:rsidRPr="00EE7B8A">
        <w:rPr>
          <w:lang w:eastAsia="zh-CN"/>
        </w:rPr>
        <w:t>42</w:t>
      </w:r>
      <w:r w:rsidR="00B30740">
        <w:rPr>
          <w:rFonts w:hint="eastAsia"/>
          <w:lang w:eastAsia="zh-CN"/>
        </w:rPr>
        <w:t>.</w:t>
      </w:r>
      <w:r w:rsidR="00B30740" w:rsidRPr="00EE7B8A">
        <w:rPr>
          <w:lang w:eastAsia="zh-CN"/>
        </w:rPr>
        <w:t>2</w:t>
      </w:r>
      <w:r w:rsidR="00B30740">
        <w:rPr>
          <w:rFonts w:hint="eastAsia"/>
          <w:lang w:eastAsia="zh-CN"/>
        </w:rPr>
        <w:t>万（</w:t>
      </w:r>
      <w:r w:rsidR="00B30740" w:rsidRPr="009255C8">
        <w:rPr>
          <w:rFonts w:hint="eastAsia"/>
          <w:lang w:eastAsia="zh-CN"/>
        </w:rPr>
        <w:t>其中</w:t>
      </w:r>
      <w:r w:rsidR="00B30740" w:rsidRPr="00EE7B8A">
        <w:rPr>
          <w:lang w:eastAsia="zh-CN"/>
        </w:rPr>
        <w:t>54</w:t>
      </w:r>
      <w:r w:rsidR="00B30740">
        <w:rPr>
          <w:rFonts w:hint="eastAsia"/>
          <w:lang w:eastAsia="zh-CN"/>
        </w:rPr>
        <w:t>%</w:t>
      </w:r>
      <w:r w:rsidR="00B30740" w:rsidRPr="009255C8">
        <w:rPr>
          <w:rFonts w:hint="eastAsia"/>
          <w:lang w:eastAsia="zh-CN"/>
        </w:rPr>
        <w:t>为女性</w:t>
      </w:r>
      <w:r w:rsidR="00B30740">
        <w:rPr>
          <w:rFonts w:hint="eastAsia"/>
          <w:lang w:eastAsia="zh-CN"/>
        </w:rPr>
        <w:t>）（</w:t>
      </w:r>
      <w:r w:rsidR="002E5F6A">
        <w:rPr>
          <w:rFonts w:hint="eastAsia"/>
          <w:lang w:eastAsia="zh-CN"/>
        </w:rPr>
        <w:t>详</w:t>
      </w:r>
      <w:r w:rsidR="00B30740" w:rsidRPr="009255C8">
        <w:rPr>
          <w:rFonts w:hint="eastAsia"/>
          <w:lang w:eastAsia="zh-CN"/>
        </w:rPr>
        <w:t>见下</w:t>
      </w:r>
      <w:r w:rsidR="00B30740">
        <w:rPr>
          <w:rFonts w:hint="eastAsia"/>
          <w:lang w:eastAsia="zh-CN"/>
        </w:rPr>
        <w:t>文</w:t>
      </w:r>
      <w:r w:rsidR="00B30740" w:rsidRPr="009255C8">
        <w:rPr>
          <w:rFonts w:hint="eastAsia"/>
          <w:lang w:eastAsia="zh-CN"/>
        </w:rPr>
        <w:t>表</w:t>
      </w:r>
      <w:r w:rsidR="00B30740" w:rsidRPr="00EE7B8A">
        <w:rPr>
          <w:iCs/>
          <w:lang w:eastAsia="zh-CN"/>
        </w:rPr>
        <w:t>2</w:t>
      </w:r>
      <w:r w:rsidR="00B30740" w:rsidRPr="003D5E80">
        <w:rPr>
          <w:rFonts w:hint="eastAsia"/>
          <w:lang w:eastAsia="zh-CN"/>
        </w:rPr>
        <w:t>）。</w:t>
      </w:r>
    </w:p>
    <w:p w14:paraId="5052EA5D" w14:textId="292349C3" w:rsidR="00EE7B8A" w:rsidRPr="00EE7B8A" w:rsidRDefault="009255C8" w:rsidP="00360333">
      <w:pPr>
        <w:pStyle w:val="TableNo"/>
      </w:pPr>
      <w:r w:rsidRPr="009255C8">
        <w:rPr>
          <w:rFonts w:ascii="SimSun" w:hAnsi="SimSun" w:cs="SimSun" w:hint="eastAsia"/>
          <w:lang w:eastAsia="zh-CN"/>
        </w:rPr>
        <w:t>表</w:t>
      </w:r>
      <w:r w:rsidR="00EE7B8A" w:rsidRPr="00EE7B8A">
        <w:t>2</w:t>
      </w:r>
    </w:p>
    <w:p w14:paraId="17F5DCB6" w14:textId="75ED20DA" w:rsidR="00EE7B8A" w:rsidRPr="00EE7B8A" w:rsidRDefault="00EE7B8A" w:rsidP="00EE7B8A">
      <w:pPr>
        <w:pStyle w:val="Tabletitle"/>
        <w:tabs>
          <w:tab w:val="clear" w:pos="794"/>
          <w:tab w:val="clear" w:pos="1191"/>
          <w:tab w:val="clear" w:pos="1588"/>
          <w:tab w:val="clear" w:pos="1985"/>
          <w:tab w:val="left" w:pos="2948"/>
          <w:tab w:val="left" w:pos="4082"/>
        </w:tabs>
        <w:rPr>
          <w:rFonts w:ascii="Calibri" w:eastAsia="Times New Roman" w:hAnsi="Calibri"/>
        </w:rPr>
      </w:pPr>
      <w:r w:rsidRPr="00EE7B8A">
        <w:rPr>
          <w:rFonts w:ascii="Calibri" w:eastAsia="Times New Roman" w:hAnsi="Calibri"/>
        </w:rPr>
        <w:t>2022-2025</w:t>
      </w:r>
      <w:r w:rsidR="009255C8" w:rsidRPr="009255C8">
        <w:rPr>
          <w:rFonts w:ascii="SimSun" w:hAnsi="SimSun" w:cs="SimSun" w:hint="eastAsia"/>
          <w:lang w:eastAsia="zh-CN"/>
        </w:rPr>
        <w:t>年</w:t>
      </w:r>
      <w:r w:rsidR="006E7A5E" w:rsidRPr="00EE7B8A">
        <w:rPr>
          <w:rFonts w:ascii="Calibri" w:eastAsia="Times New Roman" w:hAnsi="Calibri"/>
        </w:rPr>
        <w:t>DTC</w:t>
      </w:r>
      <w:r w:rsidR="009255C8" w:rsidRPr="009255C8">
        <w:rPr>
          <w:rFonts w:ascii="SimSun" w:hAnsi="SimSun" w:cs="SimSun" w:hint="eastAsia"/>
          <w:lang w:eastAsia="zh-CN"/>
        </w:rPr>
        <w:t>课程</w:t>
      </w:r>
      <w:r w:rsidR="009255C8" w:rsidRPr="003D5E80">
        <w:rPr>
          <w:rFonts w:ascii="SimSun" w:hAnsi="SimSun" w:cs="SimSun" w:hint="eastAsia"/>
          <w:lang w:eastAsia="zh-CN"/>
        </w:rPr>
        <w:t>参与者</w:t>
      </w:r>
    </w:p>
    <w:tbl>
      <w:tblPr>
        <w:tblW w:w="9209" w:type="dxa"/>
        <w:tblLook w:val="04A0" w:firstRow="1" w:lastRow="0" w:firstColumn="1" w:lastColumn="0" w:noHBand="0" w:noVBand="1"/>
      </w:tblPr>
      <w:tblGrid>
        <w:gridCol w:w="810"/>
        <w:gridCol w:w="885"/>
        <w:gridCol w:w="1185"/>
        <w:gridCol w:w="945"/>
        <w:gridCol w:w="1110"/>
        <w:gridCol w:w="885"/>
        <w:gridCol w:w="1170"/>
        <w:gridCol w:w="1085"/>
        <w:gridCol w:w="1134"/>
      </w:tblGrid>
      <w:tr w:rsidR="00EE7B8A" w:rsidRPr="00EE7B8A" w14:paraId="20E10E17" w14:textId="77777777" w:rsidTr="00854F05">
        <w:trPr>
          <w:trHeight w:val="300"/>
        </w:trPr>
        <w:tc>
          <w:tcPr>
            <w:tcW w:w="810" w:type="dxa"/>
            <w:vMerge w:val="restart"/>
            <w:tcBorders>
              <w:top w:val="single" w:sz="4" w:space="0" w:color="auto"/>
              <w:left w:val="single" w:sz="4" w:space="0" w:color="auto"/>
              <w:bottom w:val="single" w:sz="4" w:space="0" w:color="auto"/>
              <w:right w:val="single" w:sz="8" w:space="0" w:color="auto"/>
            </w:tcBorders>
            <w:vAlign w:val="center"/>
          </w:tcPr>
          <w:p w14:paraId="4E20ED4F" w14:textId="77777777" w:rsidR="00EE7B8A" w:rsidRPr="00EE7B8A" w:rsidRDefault="00EE7B8A" w:rsidP="00EE7B8A">
            <w:pPr>
              <w:rPr>
                <w:b/>
              </w:rPr>
            </w:pPr>
          </w:p>
        </w:tc>
        <w:tc>
          <w:tcPr>
            <w:tcW w:w="2070" w:type="dxa"/>
            <w:gridSpan w:val="2"/>
            <w:tcBorders>
              <w:top w:val="single" w:sz="8" w:space="0" w:color="auto"/>
              <w:left w:val="single" w:sz="8" w:space="0" w:color="auto"/>
              <w:bottom w:val="single" w:sz="8" w:space="0" w:color="auto"/>
              <w:right w:val="single" w:sz="8" w:space="0" w:color="auto"/>
            </w:tcBorders>
            <w:shd w:val="clear" w:color="auto" w:fill="A6C9EC"/>
            <w:vAlign w:val="center"/>
            <w:hideMark/>
          </w:tcPr>
          <w:p w14:paraId="603CDC92" w14:textId="2512439B" w:rsidR="00EE7B8A" w:rsidRPr="00EE7B8A" w:rsidRDefault="00EE7B8A" w:rsidP="00854F05">
            <w:pPr>
              <w:spacing w:before="80" w:after="80"/>
              <w:jc w:val="center"/>
              <w:rPr>
                <w:b/>
              </w:rPr>
            </w:pPr>
            <w:r w:rsidRPr="00EE7B8A">
              <w:rPr>
                <w:b/>
              </w:rPr>
              <w:t>2022</w:t>
            </w:r>
            <w:r w:rsidR="006E7A5E">
              <w:rPr>
                <w:rFonts w:hint="eastAsia"/>
                <w:b/>
                <w:lang w:eastAsia="zh-CN"/>
              </w:rPr>
              <w:t>年</w:t>
            </w:r>
          </w:p>
        </w:tc>
        <w:tc>
          <w:tcPr>
            <w:tcW w:w="2055" w:type="dxa"/>
            <w:gridSpan w:val="2"/>
            <w:tcBorders>
              <w:top w:val="single" w:sz="8" w:space="0" w:color="auto"/>
              <w:left w:val="nil"/>
              <w:bottom w:val="single" w:sz="8" w:space="0" w:color="auto"/>
              <w:right w:val="single" w:sz="8" w:space="0" w:color="auto"/>
            </w:tcBorders>
            <w:shd w:val="clear" w:color="auto" w:fill="A6C9EC"/>
            <w:vAlign w:val="center"/>
            <w:hideMark/>
          </w:tcPr>
          <w:p w14:paraId="19E6A3F5" w14:textId="48B86740" w:rsidR="00EE7B8A" w:rsidRPr="00EE7B8A" w:rsidRDefault="00EE7B8A" w:rsidP="00854F05">
            <w:pPr>
              <w:spacing w:before="80" w:after="80"/>
              <w:jc w:val="center"/>
              <w:rPr>
                <w:b/>
              </w:rPr>
            </w:pPr>
            <w:r w:rsidRPr="00EE7B8A">
              <w:rPr>
                <w:b/>
              </w:rPr>
              <w:t>2023</w:t>
            </w:r>
            <w:r w:rsidR="006E7A5E">
              <w:rPr>
                <w:rFonts w:hint="eastAsia"/>
                <w:b/>
                <w:lang w:eastAsia="zh-CN"/>
              </w:rPr>
              <w:t>年</w:t>
            </w:r>
          </w:p>
        </w:tc>
        <w:tc>
          <w:tcPr>
            <w:tcW w:w="2055" w:type="dxa"/>
            <w:gridSpan w:val="2"/>
            <w:tcBorders>
              <w:top w:val="single" w:sz="8" w:space="0" w:color="auto"/>
              <w:left w:val="nil"/>
              <w:bottom w:val="single" w:sz="8" w:space="0" w:color="auto"/>
              <w:right w:val="single" w:sz="8" w:space="0" w:color="auto"/>
            </w:tcBorders>
            <w:shd w:val="clear" w:color="auto" w:fill="A6C9EC"/>
            <w:vAlign w:val="center"/>
            <w:hideMark/>
          </w:tcPr>
          <w:p w14:paraId="402CBC74" w14:textId="655DE933" w:rsidR="00EE7B8A" w:rsidRPr="00EE7B8A" w:rsidRDefault="00EE7B8A" w:rsidP="00854F05">
            <w:pPr>
              <w:spacing w:before="80" w:after="80"/>
              <w:jc w:val="center"/>
              <w:rPr>
                <w:b/>
              </w:rPr>
            </w:pPr>
            <w:r w:rsidRPr="00EE7B8A">
              <w:rPr>
                <w:b/>
              </w:rPr>
              <w:t>2024</w:t>
            </w:r>
            <w:r w:rsidR="006E7A5E">
              <w:rPr>
                <w:rFonts w:hint="eastAsia"/>
                <w:b/>
                <w:lang w:eastAsia="zh-CN"/>
              </w:rPr>
              <w:t>年</w:t>
            </w:r>
          </w:p>
        </w:tc>
        <w:tc>
          <w:tcPr>
            <w:tcW w:w="2219" w:type="dxa"/>
            <w:gridSpan w:val="2"/>
            <w:tcBorders>
              <w:top w:val="single" w:sz="8" w:space="0" w:color="auto"/>
              <w:left w:val="nil"/>
              <w:bottom w:val="single" w:sz="8" w:space="0" w:color="auto"/>
              <w:right w:val="single" w:sz="8" w:space="0" w:color="auto"/>
            </w:tcBorders>
            <w:shd w:val="clear" w:color="auto" w:fill="A6C9EC"/>
            <w:vAlign w:val="center"/>
            <w:hideMark/>
          </w:tcPr>
          <w:p w14:paraId="0F468ECD" w14:textId="5EC83965" w:rsidR="00EE7B8A" w:rsidRPr="00EE7B8A" w:rsidRDefault="00EE7B8A" w:rsidP="00854F05">
            <w:pPr>
              <w:spacing w:before="80" w:after="80"/>
              <w:jc w:val="center"/>
              <w:rPr>
                <w:b/>
              </w:rPr>
            </w:pPr>
            <w:r w:rsidRPr="00EE7B8A">
              <w:rPr>
                <w:b/>
              </w:rPr>
              <w:t>2025</w:t>
            </w:r>
            <w:r w:rsidR="006E7A5E">
              <w:rPr>
                <w:rFonts w:hint="eastAsia"/>
                <w:b/>
                <w:lang w:eastAsia="zh-CN"/>
              </w:rPr>
              <w:t>年</w:t>
            </w:r>
          </w:p>
        </w:tc>
      </w:tr>
      <w:tr w:rsidR="00EE7B8A" w:rsidRPr="00EE7B8A" w14:paraId="649CC06C" w14:textId="77777777" w:rsidTr="00854F05">
        <w:trPr>
          <w:trHeight w:val="300"/>
        </w:trPr>
        <w:tc>
          <w:tcPr>
            <w:tcW w:w="0" w:type="auto"/>
            <w:vMerge/>
            <w:tcBorders>
              <w:top w:val="single" w:sz="4" w:space="0" w:color="auto"/>
              <w:left w:val="single" w:sz="4" w:space="0" w:color="auto"/>
              <w:bottom w:val="single" w:sz="4" w:space="0" w:color="auto"/>
              <w:right w:val="single" w:sz="8" w:space="0" w:color="auto"/>
            </w:tcBorders>
            <w:vAlign w:val="center"/>
            <w:hideMark/>
          </w:tcPr>
          <w:p w14:paraId="74E643FF" w14:textId="77777777" w:rsidR="00EE7B8A" w:rsidRPr="00EE7B8A" w:rsidRDefault="00EE7B8A" w:rsidP="00EE7B8A">
            <w:pPr>
              <w:rPr>
                <w:b/>
              </w:rPr>
            </w:pPr>
          </w:p>
        </w:tc>
        <w:tc>
          <w:tcPr>
            <w:tcW w:w="885" w:type="dxa"/>
            <w:tcBorders>
              <w:top w:val="single" w:sz="8" w:space="0" w:color="auto"/>
              <w:left w:val="single" w:sz="4" w:space="0" w:color="auto"/>
              <w:bottom w:val="single" w:sz="4" w:space="0" w:color="auto"/>
              <w:right w:val="single" w:sz="8" w:space="0" w:color="auto"/>
            </w:tcBorders>
            <w:shd w:val="clear" w:color="auto" w:fill="A6C9EC"/>
            <w:vAlign w:val="center"/>
            <w:hideMark/>
          </w:tcPr>
          <w:p w14:paraId="40CB7DF4" w14:textId="1BE0E2A9" w:rsidR="00EE7B8A" w:rsidRPr="00EE7B8A" w:rsidRDefault="00B40D68" w:rsidP="00854F05">
            <w:pPr>
              <w:spacing w:before="80" w:after="80"/>
              <w:jc w:val="center"/>
              <w:rPr>
                <w:b/>
              </w:rPr>
            </w:pPr>
            <w:r>
              <w:rPr>
                <w:rFonts w:hint="eastAsia"/>
                <w:b/>
                <w:lang w:eastAsia="zh-CN"/>
              </w:rPr>
              <w:t>总</w:t>
            </w:r>
            <w:r w:rsidR="009255C8" w:rsidRPr="009255C8">
              <w:rPr>
                <w:rFonts w:hint="eastAsia"/>
                <w:b/>
                <w:lang w:eastAsia="zh-CN"/>
              </w:rPr>
              <w:t>计</w:t>
            </w:r>
          </w:p>
        </w:tc>
        <w:tc>
          <w:tcPr>
            <w:tcW w:w="1185" w:type="dxa"/>
            <w:tcBorders>
              <w:top w:val="nil"/>
              <w:left w:val="single" w:sz="8" w:space="0" w:color="auto"/>
              <w:bottom w:val="single" w:sz="4" w:space="0" w:color="auto"/>
              <w:right w:val="single" w:sz="8" w:space="0" w:color="auto"/>
            </w:tcBorders>
            <w:shd w:val="clear" w:color="auto" w:fill="A6C9EC"/>
            <w:vAlign w:val="center"/>
            <w:hideMark/>
          </w:tcPr>
          <w:p w14:paraId="59ABDE45" w14:textId="487330A6" w:rsidR="00EE7B8A" w:rsidRPr="00EE7B8A" w:rsidRDefault="009255C8" w:rsidP="00854F05">
            <w:pPr>
              <w:spacing w:before="80" w:after="80"/>
              <w:jc w:val="center"/>
              <w:rPr>
                <w:b/>
              </w:rPr>
            </w:pPr>
            <w:r w:rsidRPr="009255C8">
              <w:rPr>
                <w:rFonts w:hint="eastAsia"/>
                <w:b/>
                <w:lang w:eastAsia="zh-CN"/>
              </w:rPr>
              <w:t>女性</w:t>
            </w:r>
            <w:r w:rsidR="006E7A5E" w:rsidRPr="00EE7B8A">
              <w:rPr>
                <w:b/>
              </w:rPr>
              <w:t>%</w:t>
            </w:r>
          </w:p>
        </w:tc>
        <w:tc>
          <w:tcPr>
            <w:tcW w:w="945" w:type="dxa"/>
            <w:tcBorders>
              <w:top w:val="single" w:sz="8" w:space="0" w:color="auto"/>
              <w:left w:val="single" w:sz="8" w:space="0" w:color="auto"/>
              <w:bottom w:val="single" w:sz="4" w:space="0" w:color="auto"/>
              <w:right w:val="single" w:sz="8" w:space="0" w:color="auto"/>
            </w:tcBorders>
            <w:shd w:val="clear" w:color="auto" w:fill="A6C9EC"/>
            <w:vAlign w:val="center"/>
            <w:hideMark/>
          </w:tcPr>
          <w:p w14:paraId="317AD4BC" w14:textId="055BAD72" w:rsidR="00EE7B8A" w:rsidRPr="00EE7B8A" w:rsidRDefault="00B40D68" w:rsidP="00854F05">
            <w:pPr>
              <w:spacing w:before="80" w:after="80"/>
              <w:jc w:val="center"/>
              <w:rPr>
                <w:b/>
              </w:rPr>
            </w:pPr>
            <w:r>
              <w:rPr>
                <w:rFonts w:hint="eastAsia"/>
                <w:b/>
                <w:lang w:eastAsia="zh-CN"/>
              </w:rPr>
              <w:t>总计</w:t>
            </w:r>
          </w:p>
        </w:tc>
        <w:tc>
          <w:tcPr>
            <w:tcW w:w="1110" w:type="dxa"/>
            <w:tcBorders>
              <w:top w:val="nil"/>
              <w:left w:val="single" w:sz="8" w:space="0" w:color="auto"/>
              <w:bottom w:val="single" w:sz="4" w:space="0" w:color="auto"/>
              <w:right w:val="single" w:sz="8" w:space="0" w:color="auto"/>
            </w:tcBorders>
            <w:shd w:val="clear" w:color="auto" w:fill="A6C9EC"/>
            <w:vAlign w:val="center"/>
            <w:hideMark/>
          </w:tcPr>
          <w:p w14:paraId="503FF7B4" w14:textId="0230D839" w:rsidR="00EE7B8A" w:rsidRPr="00EE7B8A" w:rsidRDefault="009255C8" w:rsidP="00854F05">
            <w:pPr>
              <w:spacing w:before="80" w:after="80"/>
              <w:jc w:val="center"/>
              <w:rPr>
                <w:b/>
              </w:rPr>
            </w:pPr>
            <w:r w:rsidRPr="009255C8">
              <w:rPr>
                <w:rFonts w:hint="eastAsia"/>
                <w:b/>
                <w:lang w:eastAsia="zh-CN"/>
              </w:rPr>
              <w:t>女性</w:t>
            </w:r>
            <w:r w:rsidR="006E7A5E" w:rsidRPr="00EE7B8A">
              <w:rPr>
                <w:b/>
              </w:rPr>
              <w:t>%</w:t>
            </w:r>
          </w:p>
        </w:tc>
        <w:tc>
          <w:tcPr>
            <w:tcW w:w="885" w:type="dxa"/>
            <w:tcBorders>
              <w:top w:val="single" w:sz="8" w:space="0" w:color="auto"/>
              <w:left w:val="single" w:sz="8" w:space="0" w:color="auto"/>
              <w:bottom w:val="single" w:sz="4" w:space="0" w:color="auto"/>
              <w:right w:val="single" w:sz="8" w:space="0" w:color="auto"/>
            </w:tcBorders>
            <w:shd w:val="clear" w:color="auto" w:fill="A6C9EC"/>
            <w:vAlign w:val="center"/>
            <w:hideMark/>
          </w:tcPr>
          <w:p w14:paraId="410E9233" w14:textId="6D9EB831" w:rsidR="00EE7B8A" w:rsidRPr="00EE7B8A" w:rsidRDefault="00B40D68" w:rsidP="00854F05">
            <w:pPr>
              <w:spacing w:before="80" w:after="80"/>
              <w:jc w:val="center"/>
              <w:rPr>
                <w:b/>
              </w:rPr>
            </w:pPr>
            <w:r>
              <w:rPr>
                <w:rFonts w:hint="eastAsia"/>
                <w:b/>
                <w:lang w:eastAsia="zh-CN"/>
              </w:rPr>
              <w:t>总计</w:t>
            </w:r>
          </w:p>
        </w:tc>
        <w:tc>
          <w:tcPr>
            <w:tcW w:w="1170" w:type="dxa"/>
            <w:tcBorders>
              <w:top w:val="nil"/>
              <w:left w:val="single" w:sz="8" w:space="0" w:color="auto"/>
              <w:bottom w:val="single" w:sz="4" w:space="0" w:color="auto"/>
              <w:right w:val="single" w:sz="8" w:space="0" w:color="auto"/>
            </w:tcBorders>
            <w:shd w:val="clear" w:color="auto" w:fill="A6C9EC"/>
            <w:vAlign w:val="center"/>
            <w:hideMark/>
          </w:tcPr>
          <w:p w14:paraId="670B9840" w14:textId="0C7E8951" w:rsidR="00EE7B8A" w:rsidRPr="00EE7B8A" w:rsidRDefault="009255C8" w:rsidP="00854F05">
            <w:pPr>
              <w:spacing w:before="80" w:after="80"/>
              <w:jc w:val="center"/>
              <w:rPr>
                <w:b/>
              </w:rPr>
            </w:pPr>
            <w:r w:rsidRPr="009255C8">
              <w:rPr>
                <w:rFonts w:hint="eastAsia"/>
                <w:b/>
                <w:lang w:eastAsia="zh-CN"/>
              </w:rPr>
              <w:t>女性</w:t>
            </w:r>
            <w:r w:rsidR="006E7A5E" w:rsidRPr="00EE7B8A">
              <w:rPr>
                <w:b/>
              </w:rPr>
              <w:t>%</w:t>
            </w:r>
          </w:p>
        </w:tc>
        <w:tc>
          <w:tcPr>
            <w:tcW w:w="1085" w:type="dxa"/>
            <w:tcBorders>
              <w:top w:val="single" w:sz="8" w:space="0" w:color="auto"/>
              <w:left w:val="single" w:sz="8" w:space="0" w:color="auto"/>
              <w:bottom w:val="single" w:sz="4" w:space="0" w:color="auto"/>
              <w:right w:val="single" w:sz="8" w:space="0" w:color="auto"/>
            </w:tcBorders>
            <w:shd w:val="clear" w:color="auto" w:fill="A6C9EC"/>
            <w:vAlign w:val="center"/>
            <w:hideMark/>
          </w:tcPr>
          <w:p w14:paraId="42DCB467" w14:textId="0643D609" w:rsidR="00EE7B8A" w:rsidRPr="00EE7B8A" w:rsidRDefault="00B40D68" w:rsidP="00854F05">
            <w:pPr>
              <w:spacing w:before="80" w:after="80"/>
              <w:jc w:val="center"/>
              <w:rPr>
                <w:b/>
              </w:rPr>
            </w:pPr>
            <w:r>
              <w:rPr>
                <w:rFonts w:hint="eastAsia"/>
                <w:b/>
                <w:lang w:eastAsia="zh-CN"/>
              </w:rPr>
              <w:t>总计</w:t>
            </w:r>
          </w:p>
        </w:tc>
        <w:tc>
          <w:tcPr>
            <w:tcW w:w="1134" w:type="dxa"/>
            <w:tcBorders>
              <w:top w:val="nil"/>
              <w:left w:val="single" w:sz="8" w:space="0" w:color="auto"/>
              <w:bottom w:val="single" w:sz="4" w:space="0" w:color="auto"/>
              <w:right w:val="single" w:sz="8" w:space="0" w:color="auto"/>
            </w:tcBorders>
            <w:shd w:val="clear" w:color="auto" w:fill="A6C9EC"/>
            <w:vAlign w:val="center"/>
            <w:hideMark/>
          </w:tcPr>
          <w:p w14:paraId="2801B580" w14:textId="37A40C21" w:rsidR="00EE7B8A" w:rsidRPr="00EE7B8A" w:rsidRDefault="009255C8" w:rsidP="00854F05">
            <w:pPr>
              <w:spacing w:before="80" w:after="80"/>
              <w:jc w:val="center"/>
              <w:rPr>
                <w:b/>
              </w:rPr>
            </w:pPr>
            <w:r w:rsidRPr="009255C8">
              <w:rPr>
                <w:rFonts w:hint="eastAsia"/>
                <w:b/>
                <w:lang w:eastAsia="zh-CN"/>
              </w:rPr>
              <w:t>女性</w:t>
            </w:r>
            <w:r w:rsidR="006E7A5E" w:rsidRPr="00EE7B8A">
              <w:rPr>
                <w:b/>
              </w:rPr>
              <w:t>%</w:t>
            </w:r>
          </w:p>
        </w:tc>
      </w:tr>
      <w:tr w:rsidR="00EE7B8A" w:rsidRPr="00EE7B8A" w14:paraId="0DF86EA4" w14:textId="77777777" w:rsidTr="00854F05">
        <w:trPr>
          <w:trHeight w:val="411"/>
        </w:trPr>
        <w:tc>
          <w:tcPr>
            <w:tcW w:w="810" w:type="dxa"/>
            <w:tcBorders>
              <w:top w:val="single" w:sz="4" w:space="0" w:color="auto"/>
              <w:left w:val="single" w:sz="4" w:space="0" w:color="auto"/>
              <w:bottom w:val="single" w:sz="8" w:space="0" w:color="auto"/>
              <w:right w:val="single" w:sz="8" w:space="0" w:color="auto"/>
            </w:tcBorders>
            <w:vAlign w:val="center"/>
            <w:hideMark/>
          </w:tcPr>
          <w:p w14:paraId="6C8ECFAA" w14:textId="5FF82C3C" w:rsidR="00EE7B8A" w:rsidRPr="00EE7B8A" w:rsidRDefault="00EE7B8A" w:rsidP="00360333">
            <w:pPr>
              <w:spacing w:before="40" w:after="40"/>
              <w:rPr>
                <w:lang w:val="en-US"/>
              </w:rPr>
            </w:pPr>
            <w:proofErr w:type="spellStart"/>
            <w:r w:rsidRPr="00EE7B8A">
              <w:t>LDC</w:t>
            </w:r>
            <w:proofErr w:type="spellEnd"/>
          </w:p>
        </w:tc>
        <w:tc>
          <w:tcPr>
            <w:tcW w:w="885" w:type="dxa"/>
            <w:tcBorders>
              <w:top w:val="single" w:sz="4" w:space="0" w:color="auto"/>
              <w:left w:val="single" w:sz="8" w:space="0" w:color="auto"/>
              <w:bottom w:val="single" w:sz="8" w:space="0" w:color="auto"/>
              <w:right w:val="single" w:sz="8" w:space="0" w:color="auto"/>
            </w:tcBorders>
            <w:vAlign w:val="center"/>
            <w:hideMark/>
          </w:tcPr>
          <w:p w14:paraId="3DC1A432" w14:textId="77777777" w:rsidR="00EE7B8A" w:rsidRPr="00EE7B8A" w:rsidRDefault="00EE7B8A" w:rsidP="00360333">
            <w:pPr>
              <w:spacing w:before="40" w:after="40"/>
              <w:jc w:val="right"/>
              <w:rPr>
                <w:lang w:val="en-US"/>
              </w:rPr>
            </w:pPr>
            <w:r w:rsidRPr="00EE7B8A">
              <w:t>1 912</w:t>
            </w:r>
          </w:p>
        </w:tc>
        <w:tc>
          <w:tcPr>
            <w:tcW w:w="1185" w:type="dxa"/>
            <w:tcBorders>
              <w:top w:val="single" w:sz="4" w:space="0" w:color="auto"/>
              <w:left w:val="single" w:sz="8" w:space="0" w:color="auto"/>
              <w:bottom w:val="single" w:sz="8" w:space="0" w:color="auto"/>
              <w:right w:val="single" w:sz="8" w:space="0" w:color="auto"/>
            </w:tcBorders>
            <w:vAlign w:val="center"/>
            <w:hideMark/>
          </w:tcPr>
          <w:p w14:paraId="48C4DA52" w14:textId="77777777" w:rsidR="00EE7B8A" w:rsidRPr="00EE7B8A" w:rsidRDefault="00EE7B8A" w:rsidP="00360333">
            <w:pPr>
              <w:spacing w:before="40" w:after="40"/>
              <w:jc w:val="right"/>
              <w:rPr>
                <w:lang w:val="en-US"/>
              </w:rPr>
            </w:pPr>
            <w:r w:rsidRPr="00EE7B8A">
              <w:t>23%</w:t>
            </w:r>
          </w:p>
        </w:tc>
        <w:tc>
          <w:tcPr>
            <w:tcW w:w="945" w:type="dxa"/>
            <w:tcBorders>
              <w:top w:val="single" w:sz="4" w:space="0" w:color="auto"/>
              <w:left w:val="single" w:sz="8" w:space="0" w:color="auto"/>
              <w:bottom w:val="single" w:sz="8" w:space="0" w:color="auto"/>
              <w:right w:val="single" w:sz="8" w:space="0" w:color="auto"/>
            </w:tcBorders>
            <w:vAlign w:val="center"/>
            <w:hideMark/>
          </w:tcPr>
          <w:p w14:paraId="42F8528E" w14:textId="77777777" w:rsidR="00EE7B8A" w:rsidRPr="00EE7B8A" w:rsidRDefault="00EE7B8A" w:rsidP="00360333">
            <w:pPr>
              <w:spacing w:before="40" w:after="40"/>
              <w:jc w:val="right"/>
              <w:rPr>
                <w:lang w:val="en-US"/>
              </w:rPr>
            </w:pPr>
            <w:r w:rsidRPr="00EE7B8A">
              <w:t>10 462</w:t>
            </w:r>
          </w:p>
        </w:tc>
        <w:tc>
          <w:tcPr>
            <w:tcW w:w="1110" w:type="dxa"/>
            <w:tcBorders>
              <w:top w:val="single" w:sz="4" w:space="0" w:color="auto"/>
              <w:left w:val="single" w:sz="8" w:space="0" w:color="auto"/>
              <w:bottom w:val="single" w:sz="8" w:space="0" w:color="auto"/>
              <w:right w:val="single" w:sz="8" w:space="0" w:color="auto"/>
            </w:tcBorders>
            <w:vAlign w:val="center"/>
            <w:hideMark/>
          </w:tcPr>
          <w:p w14:paraId="4B83F876" w14:textId="77777777" w:rsidR="00EE7B8A" w:rsidRPr="00EE7B8A" w:rsidRDefault="00EE7B8A" w:rsidP="00360333">
            <w:pPr>
              <w:spacing w:before="40" w:after="40"/>
              <w:jc w:val="right"/>
              <w:rPr>
                <w:lang w:val="en-US"/>
              </w:rPr>
            </w:pPr>
            <w:r w:rsidRPr="00EE7B8A">
              <w:t>28%</w:t>
            </w:r>
          </w:p>
        </w:tc>
        <w:tc>
          <w:tcPr>
            <w:tcW w:w="885" w:type="dxa"/>
            <w:tcBorders>
              <w:top w:val="single" w:sz="4" w:space="0" w:color="auto"/>
              <w:left w:val="single" w:sz="8" w:space="0" w:color="auto"/>
              <w:bottom w:val="single" w:sz="8" w:space="0" w:color="auto"/>
              <w:right w:val="single" w:sz="8" w:space="0" w:color="auto"/>
            </w:tcBorders>
            <w:vAlign w:val="center"/>
            <w:hideMark/>
          </w:tcPr>
          <w:p w14:paraId="20DFAFC5" w14:textId="77777777" w:rsidR="00EE7B8A" w:rsidRPr="00EE7B8A" w:rsidRDefault="00EE7B8A" w:rsidP="00360333">
            <w:pPr>
              <w:spacing w:before="40" w:after="40"/>
              <w:jc w:val="right"/>
              <w:rPr>
                <w:lang w:val="en-US"/>
              </w:rPr>
            </w:pPr>
            <w:r w:rsidRPr="00EE7B8A">
              <w:t>70 482</w:t>
            </w:r>
          </w:p>
        </w:tc>
        <w:tc>
          <w:tcPr>
            <w:tcW w:w="1170" w:type="dxa"/>
            <w:tcBorders>
              <w:top w:val="single" w:sz="4" w:space="0" w:color="auto"/>
              <w:left w:val="single" w:sz="8" w:space="0" w:color="auto"/>
              <w:bottom w:val="single" w:sz="8" w:space="0" w:color="auto"/>
              <w:right w:val="single" w:sz="8" w:space="0" w:color="auto"/>
            </w:tcBorders>
            <w:vAlign w:val="center"/>
            <w:hideMark/>
          </w:tcPr>
          <w:p w14:paraId="4066D76E" w14:textId="77777777" w:rsidR="00EE7B8A" w:rsidRPr="00EE7B8A" w:rsidRDefault="00EE7B8A" w:rsidP="00360333">
            <w:pPr>
              <w:spacing w:before="40" w:after="40"/>
              <w:jc w:val="right"/>
              <w:rPr>
                <w:lang w:val="en-US"/>
              </w:rPr>
            </w:pPr>
            <w:r w:rsidRPr="00EE7B8A">
              <w:t>53%</w:t>
            </w:r>
          </w:p>
        </w:tc>
        <w:tc>
          <w:tcPr>
            <w:tcW w:w="1085" w:type="dxa"/>
            <w:tcBorders>
              <w:top w:val="single" w:sz="4" w:space="0" w:color="auto"/>
              <w:left w:val="single" w:sz="8" w:space="0" w:color="auto"/>
              <w:bottom w:val="single" w:sz="8" w:space="0" w:color="auto"/>
              <w:right w:val="single" w:sz="8" w:space="0" w:color="auto"/>
            </w:tcBorders>
            <w:vAlign w:val="center"/>
            <w:hideMark/>
          </w:tcPr>
          <w:p w14:paraId="44638003" w14:textId="77777777" w:rsidR="00EE7B8A" w:rsidRPr="00EE7B8A" w:rsidRDefault="00EE7B8A" w:rsidP="00360333">
            <w:pPr>
              <w:spacing w:before="40" w:after="40"/>
              <w:jc w:val="right"/>
              <w:rPr>
                <w:lang w:val="en-US"/>
              </w:rPr>
            </w:pPr>
            <w:r w:rsidRPr="00EE7B8A">
              <w:t>140 251</w:t>
            </w:r>
          </w:p>
        </w:tc>
        <w:tc>
          <w:tcPr>
            <w:tcW w:w="1134" w:type="dxa"/>
            <w:tcBorders>
              <w:top w:val="single" w:sz="4" w:space="0" w:color="auto"/>
              <w:left w:val="single" w:sz="8" w:space="0" w:color="auto"/>
              <w:bottom w:val="single" w:sz="8" w:space="0" w:color="auto"/>
              <w:right w:val="single" w:sz="8" w:space="0" w:color="auto"/>
            </w:tcBorders>
            <w:vAlign w:val="center"/>
            <w:hideMark/>
          </w:tcPr>
          <w:p w14:paraId="3832BFE4" w14:textId="77777777" w:rsidR="00EE7B8A" w:rsidRPr="00EE7B8A" w:rsidRDefault="00EE7B8A" w:rsidP="00360333">
            <w:pPr>
              <w:spacing w:before="40" w:after="40"/>
              <w:jc w:val="right"/>
              <w:rPr>
                <w:lang w:val="en-US"/>
              </w:rPr>
            </w:pPr>
            <w:r w:rsidRPr="00EE7B8A">
              <w:t>50%</w:t>
            </w:r>
          </w:p>
        </w:tc>
      </w:tr>
      <w:tr w:rsidR="00EE7B8A" w:rsidRPr="00EE7B8A" w14:paraId="653136B2" w14:textId="77777777" w:rsidTr="00854F05">
        <w:trPr>
          <w:trHeight w:val="300"/>
        </w:trPr>
        <w:tc>
          <w:tcPr>
            <w:tcW w:w="810" w:type="dxa"/>
            <w:tcBorders>
              <w:top w:val="single" w:sz="8" w:space="0" w:color="auto"/>
              <w:left w:val="single" w:sz="4" w:space="0" w:color="auto"/>
              <w:bottom w:val="single" w:sz="8" w:space="0" w:color="auto"/>
              <w:right w:val="single" w:sz="8" w:space="0" w:color="auto"/>
            </w:tcBorders>
            <w:vAlign w:val="center"/>
            <w:hideMark/>
          </w:tcPr>
          <w:p w14:paraId="0EB930C5" w14:textId="4EC5D595" w:rsidR="00EE7B8A" w:rsidRPr="00EE7B8A" w:rsidRDefault="00EE7B8A" w:rsidP="00360333">
            <w:pPr>
              <w:spacing w:before="40" w:after="40"/>
              <w:rPr>
                <w:lang w:val="en-US"/>
              </w:rPr>
            </w:pPr>
            <w:proofErr w:type="spellStart"/>
            <w:r w:rsidRPr="00EE7B8A">
              <w:t>LLDC</w:t>
            </w:r>
            <w:proofErr w:type="spellEnd"/>
          </w:p>
        </w:tc>
        <w:tc>
          <w:tcPr>
            <w:tcW w:w="885" w:type="dxa"/>
            <w:tcBorders>
              <w:top w:val="single" w:sz="8" w:space="0" w:color="auto"/>
              <w:left w:val="single" w:sz="8" w:space="0" w:color="auto"/>
              <w:bottom w:val="single" w:sz="8" w:space="0" w:color="auto"/>
              <w:right w:val="single" w:sz="8" w:space="0" w:color="auto"/>
            </w:tcBorders>
            <w:vAlign w:val="center"/>
            <w:hideMark/>
          </w:tcPr>
          <w:p w14:paraId="7190A8F7" w14:textId="77777777" w:rsidR="00EE7B8A" w:rsidRPr="00EE7B8A" w:rsidRDefault="00EE7B8A" w:rsidP="00360333">
            <w:pPr>
              <w:spacing w:before="40" w:after="40"/>
              <w:jc w:val="right"/>
              <w:rPr>
                <w:lang w:val="en-US"/>
              </w:rPr>
            </w:pPr>
            <w:r w:rsidRPr="00EE7B8A">
              <w:t>1 912</w:t>
            </w:r>
          </w:p>
        </w:tc>
        <w:tc>
          <w:tcPr>
            <w:tcW w:w="1185" w:type="dxa"/>
            <w:tcBorders>
              <w:top w:val="single" w:sz="8" w:space="0" w:color="auto"/>
              <w:left w:val="single" w:sz="8" w:space="0" w:color="auto"/>
              <w:bottom w:val="single" w:sz="8" w:space="0" w:color="auto"/>
              <w:right w:val="single" w:sz="8" w:space="0" w:color="auto"/>
            </w:tcBorders>
            <w:vAlign w:val="center"/>
            <w:hideMark/>
          </w:tcPr>
          <w:p w14:paraId="55AEFCCC" w14:textId="77777777" w:rsidR="00EE7B8A" w:rsidRPr="00EE7B8A" w:rsidRDefault="00EE7B8A" w:rsidP="00360333">
            <w:pPr>
              <w:spacing w:before="40" w:after="40"/>
              <w:jc w:val="right"/>
              <w:rPr>
                <w:lang w:val="en-US"/>
              </w:rPr>
            </w:pPr>
            <w:r w:rsidRPr="00EE7B8A">
              <w:t>23%</w:t>
            </w:r>
          </w:p>
        </w:tc>
        <w:tc>
          <w:tcPr>
            <w:tcW w:w="945" w:type="dxa"/>
            <w:tcBorders>
              <w:top w:val="single" w:sz="8" w:space="0" w:color="auto"/>
              <w:left w:val="single" w:sz="8" w:space="0" w:color="auto"/>
              <w:bottom w:val="single" w:sz="8" w:space="0" w:color="auto"/>
              <w:right w:val="single" w:sz="8" w:space="0" w:color="auto"/>
            </w:tcBorders>
            <w:vAlign w:val="center"/>
            <w:hideMark/>
          </w:tcPr>
          <w:p w14:paraId="3524FBB2" w14:textId="77777777" w:rsidR="00EE7B8A" w:rsidRPr="00EE7B8A" w:rsidRDefault="00EE7B8A" w:rsidP="00360333">
            <w:pPr>
              <w:spacing w:before="40" w:after="40"/>
              <w:jc w:val="right"/>
              <w:rPr>
                <w:lang w:val="en-US"/>
              </w:rPr>
            </w:pPr>
            <w:r w:rsidRPr="00EE7B8A">
              <w:t>10 462</w:t>
            </w:r>
          </w:p>
        </w:tc>
        <w:tc>
          <w:tcPr>
            <w:tcW w:w="1110" w:type="dxa"/>
            <w:tcBorders>
              <w:top w:val="single" w:sz="8" w:space="0" w:color="auto"/>
              <w:left w:val="single" w:sz="8" w:space="0" w:color="auto"/>
              <w:bottom w:val="single" w:sz="8" w:space="0" w:color="auto"/>
              <w:right w:val="single" w:sz="8" w:space="0" w:color="auto"/>
            </w:tcBorders>
            <w:vAlign w:val="center"/>
            <w:hideMark/>
          </w:tcPr>
          <w:p w14:paraId="66D8B07B" w14:textId="77777777" w:rsidR="00EE7B8A" w:rsidRPr="00EE7B8A" w:rsidRDefault="00EE7B8A" w:rsidP="00360333">
            <w:pPr>
              <w:spacing w:before="40" w:after="40"/>
              <w:jc w:val="right"/>
              <w:rPr>
                <w:lang w:val="en-US"/>
              </w:rPr>
            </w:pPr>
            <w:r w:rsidRPr="00EE7B8A">
              <w:t>28%</w:t>
            </w:r>
          </w:p>
        </w:tc>
        <w:tc>
          <w:tcPr>
            <w:tcW w:w="885" w:type="dxa"/>
            <w:tcBorders>
              <w:top w:val="single" w:sz="8" w:space="0" w:color="auto"/>
              <w:left w:val="single" w:sz="8" w:space="0" w:color="auto"/>
              <w:bottom w:val="single" w:sz="8" w:space="0" w:color="auto"/>
              <w:right w:val="single" w:sz="8" w:space="0" w:color="auto"/>
            </w:tcBorders>
            <w:vAlign w:val="center"/>
            <w:hideMark/>
          </w:tcPr>
          <w:p w14:paraId="21F75034" w14:textId="77777777" w:rsidR="00EE7B8A" w:rsidRPr="00EE7B8A" w:rsidRDefault="00EE7B8A" w:rsidP="00360333">
            <w:pPr>
              <w:spacing w:before="40" w:after="40"/>
              <w:jc w:val="right"/>
              <w:rPr>
                <w:lang w:val="en-US"/>
              </w:rPr>
            </w:pPr>
            <w:r w:rsidRPr="00EE7B8A">
              <w:t>12 825</w:t>
            </w:r>
          </w:p>
        </w:tc>
        <w:tc>
          <w:tcPr>
            <w:tcW w:w="1170" w:type="dxa"/>
            <w:tcBorders>
              <w:top w:val="single" w:sz="8" w:space="0" w:color="auto"/>
              <w:left w:val="single" w:sz="8" w:space="0" w:color="auto"/>
              <w:bottom w:val="single" w:sz="8" w:space="0" w:color="auto"/>
              <w:right w:val="single" w:sz="8" w:space="0" w:color="auto"/>
            </w:tcBorders>
            <w:vAlign w:val="center"/>
            <w:hideMark/>
          </w:tcPr>
          <w:p w14:paraId="27CC957D" w14:textId="77777777" w:rsidR="00EE7B8A" w:rsidRPr="00EE7B8A" w:rsidRDefault="00EE7B8A" w:rsidP="00360333">
            <w:pPr>
              <w:spacing w:before="40" w:after="40"/>
              <w:jc w:val="right"/>
              <w:rPr>
                <w:lang w:val="en-US"/>
              </w:rPr>
            </w:pPr>
            <w:r w:rsidRPr="00EE7B8A">
              <w:t>31%</w:t>
            </w:r>
          </w:p>
        </w:tc>
        <w:tc>
          <w:tcPr>
            <w:tcW w:w="1085" w:type="dxa"/>
            <w:tcBorders>
              <w:top w:val="single" w:sz="8" w:space="0" w:color="auto"/>
              <w:left w:val="single" w:sz="8" w:space="0" w:color="auto"/>
              <w:bottom w:val="single" w:sz="8" w:space="0" w:color="auto"/>
              <w:right w:val="single" w:sz="8" w:space="0" w:color="auto"/>
            </w:tcBorders>
            <w:vAlign w:val="center"/>
            <w:hideMark/>
          </w:tcPr>
          <w:p w14:paraId="6E8F9188" w14:textId="77777777" w:rsidR="00EE7B8A" w:rsidRPr="00EE7B8A" w:rsidRDefault="00EE7B8A" w:rsidP="00360333">
            <w:pPr>
              <w:spacing w:before="40" w:after="40"/>
              <w:jc w:val="right"/>
              <w:rPr>
                <w:lang w:val="en-US"/>
              </w:rPr>
            </w:pPr>
            <w:r w:rsidRPr="00EE7B8A">
              <w:t>42 846</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4CF064B" w14:textId="77777777" w:rsidR="00EE7B8A" w:rsidRPr="00EE7B8A" w:rsidRDefault="00EE7B8A" w:rsidP="00360333">
            <w:pPr>
              <w:spacing w:before="40" w:after="40"/>
              <w:jc w:val="right"/>
              <w:rPr>
                <w:lang w:val="en-US"/>
              </w:rPr>
            </w:pPr>
            <w:r w:rsidRPr="00EE7B8A">
              <w:t>28%</w:t>
            </w:r>
          </w:p>
        </w:tc>
      </w:tr>
      <w:tr w:rsidR="00EE7B8A" w:rsidRPr="00EE7B8A" w14:paraId="7E4611E1" w14:textId="77777777" w:rsidTr="00854F05">
        <w:trPr>
          <w:trHeight w:val="300"/>
        </w:trPr>
        <w:tc>
          <w:tcPr>
            <w:tcW w:w="810" w:type="dxa"/>
            <w:tcBorders>
              <w:top w:val="single" w:sz="8" w:space="0" w:color="auto"/>
              <w:left w:val="single" w:sz="4" w:space="0" w:color="auto"/>
              <w:bottom w:val="single" w:sz="8" w:space="0" w:color="auto"/>
              <w:right w:val="single" w:sz="8" w:space="0" w:color="auto"/>
            </w:tcBorders>
            <w:vAlign w:val="center"/>
            <w:hideMark/>
          </w:tcPr>
          <w:p w14:paraId="2C0C477F" w14:textId="169FA287" w:rsidR="00EE7B8A" w:rsidRPr="00EE7B8A" w:rsidRDefault="00EE7B8A" w:rsidP="00360333">
            <w:pPr>
              <w:spacing w:before="40" w:after="40"/>
              <w:rPr>
                <w:lang w:val="en-US"/>
              </w:rPr>
            </w:pPr>
            <w:r w:rsidRPr="00EE7B8A">
              <w:t>SIDS</w:t>
            </w:r>
          </w:p>
        </w:tc>
        <w:tc>
          <w:tcPr>
            <w:tcW w:w="885" w:type="dxa"/>
            <w:tcBorders>
              <w:top w:val="single" w:sz="8" w:space="0" w:color="auto"/>
              <w:left w:val="single" w:sz="8" w:space="0" w:color="auto"/>
              <w:bottom w:val="single" w:sz="8" w:space="0" w:color="auto"/>
              <w:right w:val="single" w:sz="8" w:space="0" w:color="auto"/>
            </w:tcBorders>
            <w:vAlign w:val="center"/>
            <w:hideMark/>
          </w:tcPr>
          <w:p w14:paraId="6E1F9E23" w14:textId="77777777" w:rsidR="00EE7B8A" w:rsidRPr="00EE7B8A" w:rsidRDefault="00EE7B8A" w:rsidP="00360333">
            <w:pPr>
              <w:spacing w:before="40" w:after="40"/>
              <w:jc w:val="right"/>
              <w:rPr>
                <w:lang w:val="en-US"/>
              </w:rPr>
            </w:pPr>
            <w:r w:rsidRPr="00EE7B8A">
              <w:t>16 742</w:t>
            </w:r>
          </w:p>
        </w:tc>
        <w:tc>
          <w:tcPr>
            <w:tcW w:w="1185" w:type="dxa"/>
            <w:tcBorders>
              <w:top w:val="single" w:sz="8" w:space="0" w:color="auto"/>
              <w:left w:val="single" w:sz="8" w:space="0" w:color="auto"/>
              <w:bottom w:val="single" w:sz="8" w:space="0" w:color="auto"/>
              <w:right w:val="single" w:sz="8" w:space="0" w:color="auto"/>
            </w:tcBorders>
            <w:vAlign w:val="center"/>
            <w:hideMark/>
          </w:tcPr>
          <w:p w14:paraId="4E029E19" w14:textId="77777777" w:rsidR="00EE7B8A" w:rsidRPr="00EE7B8A" w:rsidRDefault="00EE7B8A" w:rsidP="00360333">
            <w:pPr>
              <w:spacing w:before="40" w:after="40"/>
              <w:jc w:val="right"/>
              <w:rPr>
                <w:lang w:val="en-US"/>
              </w:rPr>
            </w:pPr>
            <w:r w:rsidRPr="00EE7B8A">
              <w:t>53%</w:t>
            </w:r>
          </w:p>
        </w:tc>
        <w:tc>
          <w:tcPr>
            <w:tcW w:w="945" w:type="dxa"/>
            <w:tcBorders>
              <w:top w:val="single" w:sz="8" w:space="0" w:color="auto"/>
              <w:left w:val="single" w:sz="8" w:space="0" w:color="auto"/>
              <w:bottom w:val="single" w:sz="8" w:space="0" w:color="auto"/>
              <w:right w:val="single" w:sz="8" w:space="0" w:color="auto"/>
            </w:tcBorders>
            <w:vAlign w:val="center"/>
            <w:hideMark/>
          </w:tcPr>
          <w:p w14:paraId="557808D0" w14:textId="77777777" w:rsidR="00EE7B8A" w:rsidRPr="00EE7B8A" w:rsidRDefault="00EE7B8A" w:rsidP="00360333">
            <w:pPr>
              <w:spacing w:before="40" w:after="40"/>
              <w:jc w:val="right"/>
              <w:rPr>
                <w:lang w:val="en-US"/>
              </w:rPr>
            </w:pPr>
            <w:r w:rsidRPr="00EE7B8A">
              <w:t>50 995</w:t>
            </w:r>
          </w:p>
        </w:tc>
        <w:tc>
          <w:tcPr>
            <w:tcW w:w="1110" w:type="dxa"/>
            <w:tcBorders>
              <w:top w:val="single" w:sz="8" w:space="0" w:color="auto"/>
              <w:left w:val="single" w:sz="8" w:space="0" w:color="auto"/>
              <w:bottom w:val="single" w:sz="8" w:space="0" w:color="auto"/>
              <w:right w:val="single" w:sz="8" w:space="0" w:color="auto"/>
            </w:tcBorders>
            <w:vAlign w:val="center"/>
            <w:hideMark/>
          </w:tcPr>
          <w:p w14:paraId="78F6E455" w14:textId="77777777" w:rsidR="00EE7B8A" w:rsidRPr="00EE7B8A" w:rsidRDefault="00EE7B8A" w:rsidP="00360333">
            <w:pPr>
              <w:spacing w:before="40" w:after="40"/>
              <w:jc w:val="right"/>
              <w:rPr>
                <w:lang w:val="en-US"/>
              </w:rPr>
            </w:pPr>
            <w:r w:rsidRPr="00EE7B8A">
              <w:t>57%</w:t>
            </w:r>
          </w:p>
        </w:tc>
        <w:tc>
          <w:tcPr>
            <w:tcW w:w="885" w:type="dxa"/>
            <w:tcBorders>
              <w:top w:val="single" w:sz="8" w:space="0" w:color="auto"/>
              <w:left w:val="single" w:sz="8" w:space="0" w:color="auto"/>
              <w:bottom w:val="single" w:sz="8" w:space="0" w:color="auto"/>
              <w:right w:val="single" w:sz="8" w:space="0" w:color="auto"/>
            </w:tcBorders>
            <w:vAlign w:val="center"/>
            <w:hideMark/>
          </w:tcPr>
          <w:p w14:paraId="32A289BD" w14:textId="77777777" w:rsidR="00EE7B8A" w:rsidRPr="00EE7B8A" w:rsidRDefault="00EE7B8A" w:rsidP="00360333">
            <w:pPr>
              <w:spacing w:before="40" w:after="40"/>
              <w:jc w:val="right"/>
              <w:rPr>
                <w:lang w:val="en-US"/>
              </w:rPr>
            </w:pPr>
            <w:r w:rsidRPr="00EE7B8A">
              <w:t>44 494</w:t>
            </w:r>
          </w:p>
        </w:tc>
        <w:tc>
          <w:tcPr>
            <w:tcW w:w="1170" w:type="dxa"/>
            <w:tcBorders>
              <w:top w:val="single" w:sz="8" w:space="0" w:color="auto"/>
              <w:left w:val="single" w:sz="8" w:space="0" w:color="auto"/>
              <w:bottom w:val="single" w:sz="8" w:space="0" w:color="auto"/>
              <w:right w:val="single" w:sz="8" w:space="0" w:color="auto"/>
            </w:tcBorders>
            <w:vAlign w:val="center"/>
            <w:hideMark/>
          </w:tcPr>
          <w:p w14:paraId="208AF10D" w14:textId="77777777" w:rsidR="00EE7B8A" w:rsidRPr="00EE7B8A" w:rsidRDefault="00EE7B8A" w:rsidP="00360333">
            <w:pPr>
              <w:spacing w:before="40" w:after="40"/>
              <w:jc w:val="right"/>
              <w:rPr>
                <w:lang w:val="en-US"/>
              </w:rPr>
            </w:pPr>
            <w:r w:rsidRPr="00EE7B8A">
              <w:t>61%</w:t>
            </w:r>
          </w:p>
        </w:tc>
        <w:tc>
          <w:tcPr>
            <w:tcW w:w="1085" w:type="dxa"/>
            <w:tcBorders>
              <w:top w:val="single" w:sz="8" w:space="0" w:color="auto"/>
              <w:left w:val="single" w:sz="8" w:space="0" w:color="auto"/>
              <w:bottom w:val="single" w:sz="8" w:space="0" w:color="auto"/>
              <w:right w:val="single" w:sz="8" w:space="0" w:color="auto"/>
            </w:tcBorders>
            <w:vAlign w:val="center"/>
            <w:hideMark/>
          </w:tcPr>
          <w:p w14:paraId="0D4E4DF4" w14:textId="77777777" w:rsidR="00EE7B8A" w:rsidRPr="00EE7B8A" w:rsidRDefault="00EE7B8A" w:rsidP="00360333">
            <w:pPr>
              <w:spacing w:before="40" w:after="40"/>
              <w:jc w:val="right"/>
              <w:rPr>
                <w:lang w:val="en-US"/>
              </w:rPr>
            </w:pPr>
            <w:r w:rsidRPr="00EE7B8A">
              <w:t>86 691</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0112F08" w14:textId="77777777" w:rsidR="00EE7B8A" w:rsidRPr="00EE7B8A" w:rsidRDefault="00EE7B8A" w:rsidP="00360333">
            <w:pPr>
              <w:spacing w:before="40" w:after="40"/>
              <w:jc w:val="right"/>
              <w:rPr>
                <w:lang w:val="en-US"/>
              </w:rPr>
            </w:pPr>
            <w:r w:rsidRPr="00EE7B8A">
              <w:t>59%</w:t>
            </w:r>
          </w:p>
        </w:tc>
      </w:tr>
    </w:tbl>
    <w:p w14:paraId="778F5C9E" w14:textId="77777777" w:rsidR="00237E31" w:rsidRDefault="00237E31" w:rsidP="00237E31">
      <w:pPr>
        <w:pStyle w:val="Tablefin"/>
      </w:pPr>
    </w:p>
    <w:p w14:paraId="79F1F723" w14:textId="3AA5E103" w:rsidR="00EE7B8A" w:rsidRPr="00EE7B8A" w:rsidRDefault="00EE7B8A" w:rsidP="0032503E">
      <w:pPr>
        <w:keepNext/>
        <w:keepLines/>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B20E96">
        <w:rPr>
          <w:lang w:eastAsia="zh-CN"/>
        </w:rPr>
        <w:t>2023</w:t>
      </w:r>
      <w:r w:rsidR="009255C8" w:rsidRPr="00B20E96">
        <w:rPr>
          <w:rFonts w:hint="eastAsia"/>
          <w:lang w:eastAsia="zh-CN"/>
        </w:rPr>
        <w:t>年启动的</w:t>
      </w:r>
      <w:r w:rsidR="00B85C4B">
        <w:fldChar w:fldCharType="begin"/>
      </w:r>
      <w:r w:rsidR="00B85C4B">
        <w:rPr>
          <w:lang w:eastAsia="zh-CN"/>
        </w:rPr>
        <w:instrText>HYPERLINK "https://academy.itu.int/digital-capacity-governments/itu-academy-training-centres" \l "/zh"</w:instrText>
      </w:r>
      <w:r w:rsidR="00B85C4B">
        <w:fldChar w:fldCharType="separate"/>
      </w:r>
      <w:r w:rsidR="00B85C4B" w:rsidRPr="00B20E96">
        <w:rPr>
          <w:rStyle w:val="Hyperlink"/>
          <w:rFonts w:eastAsia="SimSun" w:hint="eastAsia"/>
          <w:noProof w:val="0"/>
          <w:lang w:eastAsia="zh-CN"/>
        </w:rPr>
        <w:t>国际电联学院培训中心（</w:t>
      </w:r>
      <w:r w:rsidR="00B85C4B" w:rsidRPr="00B20E96">
        <w:rPr>
          <w:rStyle w:val="Hyperlink"/>
          <w:rFonts w:eastAsia="SimSun"/>
          <w:noProof w:val="0"/>
          <w:lang w:eastAsia="zh-CN"/>
        </w:rPr>
        <w:t>ATC</w:t>
      </w:r>
      <w:r w:rsidR="00B85C4B" w:rsidRPr="00B20E96">
        <w:rPr>
          <w:rStyle w:val="Hyperlink"/>
          <w:rFonts w:eastAsia="SimSun" w:hint="eastAsia"/>
          <w:noProof w:val="0"/>
          <w:lang w:eastAsia="zh-CN"/>
        </w:rPr>
        <w:t>）计划</w:t>
      </w:r>
      <w:r w:rsidR="00B85C4B">
        <w:fldChar w:fldCharType="end"/>
      </w:r>
      <w:r w:rsidR="00B20E96">
        <w:rPr>
          <w:rFonts w:hint="eastAsia"/>
          <w:lang w:eastAsia="zh-CN"/>
        </w:rPr>
        <w:t>致力于提升</w:t>
      </w:r>
      <w:r w:rsidR="00B85C4B" w:rsidRPr="00EE7B8A">
        <w:rPr>
          <w:lang w:eastAsia="zh-CN"/>
        </w:rPr>
        <w:t>ICT</w:t>
      </w:r>
      <w:r w:rsidR="009255C8" w:rsidRPr="009255C8">
        <w:rPr>
          <w:rFonts w:hint="eastAsia"/>
          <w:lang w:eastAsia="zh-CN"/>
        </w:rPr>
        <w:t>领域专业</w:t>
      </w:r>
      <w:r w:rsidR="00B85C4B">
        <w:rPr>
          <w:rFonts w:hint="eastAsia"/>
          <w:lang w:eastAsia="zh-CN"/>
        </w:rPr>
        <w:t>人士、</w:t>
      </w:r>
      <w:r w:rsidR="009255C8" w:rsidRPr="009255C8">
        <w:rPr>
          <w:rFonts w:hint="eastAsia"/>
          <w:lang w:eastAsia="zh-CN"/>
        </w:rPr>
        <w:t>电信运营商</w:t>
      </w:r>
      <w:r w:rsidR="00B85C4B">
        <w:rPr>
          <w:rFonts w:hint="eastAsia"/>
          <w:lang w:eastAsia="zh-CN"/>
        </w:rPr>
        <w:t>、</w:t>
      </w:r>
      <w:r w:rsidR="009255C8" w:rsidRPr="009255C8">
        <w:rPr>
          <w:rFonts w:hint="eastAsia"/>
          <w:lang w:eastAsia="zh-CN"/>
        </w:rPr>
        <w:t>监管机构</w:t>
      </w:r>
      <w:r w:rsidR="00B85C4B">
        <w:rPr>
          <w:rFonts w:hint="eastAsia"/>
          <w:lang w:eastAsia="zh-CN"/>
        </w:rPr>
        <w:t>、</w:t>
      </w:r>
      <w:r w:rsidR="009255C8" w:rsidRPr="009255C8">
        <w:rPr>
          <w:rFonts w:hint="eastAsia"/>
          <w:lang w:eastAsia="zh-CN"/>
        </w:rPr>
        <w:t>政府官员</w:t>
      </w:r>
      <w:r w:rsidR="00B20E96">
        <w:rPr>
          <w:rFonts w:hint="eastAsia"/>
          <w:lang w:eastAsia="zh-CN"/>
        </w:rPr>
        <w:t>和</w:t>
      </w:r>
      <w:r w:rsidR="009255C8" w:rsidRPr="009255C8">
        <w:rPr>
          <w:rFonts w:hint="eastAsia"/>
          <w:lang w:eastAsia="zh-CN"/>
        </w:rPr>
        <w:t>学术界</w:t>
      </w:r>
      <w:r w:rsidR="00B85C4B">
        <w:rPr>
          <w:rFonts w:hint="eastAsia"/>
          <w:lang w:eastAsia="zh-CN"/>
        </w:rPr>
        <w:t>人士</w:t>
      </w:r>
      <w:r w:rsidR="00B20E96">
        <w:rPr>
          <w:rFonts w:hint="eastAsia"/>
          <w:lang w:eastAsia="zh-CN"/>
        </w:rPr>
        <w:t>的</w:t>
      </w:r>
      <w:r w:rsidR="009255C8" w:rsidRPr="009255C8">
        <w:rPr>
          <w:rFonts w:hint="eastAsia"/>
          <w:lang w:eastAsia="zh-CN"/>
        </w:rPr>
        <w:t>知识和技能</w:t>
      </w:r>
      <w:r w:rsidR="00B85C4B">
        <w:rPr>
          <w:rFonts w:hint="eastAsia"/>
          <w:lang w:eastAsia="zh-CN"/>
        </w:rPr>
        <w:t>，</w:t>
      </w:r>
      <w:r w:rsidR="00B20E96">
        <w:rPr>
          <w:rFonts w:hint="eastAsia"/>
          <w:lang w:eastAsia="zh-CN"/>
        </w:rPr>
        <w:t>从而</w:t>
      </w:r>
      <w:r w:rsidR="009255C8" w:rsidRPr="009255C8">
        <w:rPr>
          <w:rFonts w:hint="eastAsia"/>
          <w:lang w:eastAsia="zh-CN"/>
        </w:rPr>
        <w:t>使</w:t>
      </w:r>
      <w:r w:rsidR="00B20E96">
        <w:rPr>
          <w:rFonts w:hint="eastAsia"/>
          <w:lang w:eastAsia="zh-CN"/>
        </w:rPr>
        <w:t>他们</w:t>
      </w:r>
      <w:r w:rsidR="009255C8" w:rsidRPr="009255C8">
        <w:rPr>
          <w:rFonts w:hint="eastAsia"/>
          <w:lang w:eastAsia="zh-CN"/>
        </w:rPr>
        <w:t>能够为数字化转型做出贡献并充分参与</w:t>
      </w:r>
      <w:r w:rsidR="00B85C4B">
        <w:rPr>
          <w:rFonts w:hint="eastAsia"/>
          <w:lang w:eastAsia="zh-CN"/>
        </w:rPr>
        <w:t>其中。</w:t>
      </w:r>
      <w:r w:rsidR="009255C8" w:rsidRPr="009255C8">
        <w:rPr>
          <w:rFonts w:hint="eastAsia"/>
          <w:lang w:eastAsia="zh-CN"/>
        </w:rPr>
        <w:t>该计划</w:t>
      </w:r>
      <w:r w:rsidR="00B85C4B">
        <w:rPr>
          <w:rFonts w:hint="eastAsia"/>
          <w:lang w:eastAsia="zh-CN"/>
        </w:rPr>
        <w:t>汇聚</w:t>
      </w:r>
      <w:r w:rsidR="009255C8" w:rsidRPr="009255C8">
        <w:rPr>
          <w:rFonts w:hint="eastAsia"/>
          <w:lang w:eastAsia="zh-CN"/>
        </w:rPr>
        <w:t>了</w:t>
      </w:r>
      <w:r w:rsidR="00B20E96">
        <w:rPr>
          <w:rFonts w:hint="eastAsia"/>
          <w:lang w:eastAsia="zh-CN"/>
        </w:rPr>
        <w:t>一个</w:t>
      </w:r>
      <w:r w:rsidR="00BB0E0B">
        <w:rPr>
          <w:rFonts w:hint="eastAsia"/>
          <w:lang w:eastAsia="zh-CN"/>
        </w:rPr>
        <w:t>涵盖</w:t>
      </w:r>
      <w:r w:rsidR="009255C8" w:rsidRPr="009255C8">
        <w:rPr>
          <w:rFonts w:hint="eastAsia"/>
          <w:lang w:eastAsia="zh-CN"/>
        </w:rPr>
        <w:t>政府培训机构</w:t>
      </w:r>
      <w:r w:rsidR="00B85C4B">
        <w:rPr>
          <w:rFonts w:hint="eastAsia"/>
          <w:lang w:eastAsia="zh-CN"/>
        </w:rPr>
        <w:t>、</w:t>
      </w:r>
      <w:r w:rsidR="009255C8" w:rsidRPr="009255C8">
        <w:rPr>
          <w:rFonts w:hint="eastAsia"/>
          <w:lang w:eastAsia="zh-CN"/>
        </w:rPr>
        <w:t>学术</w:t>
      </w:r>
      <w:r w:rsidR="00B85C4B">
        <w:rPr>
          <w:rFonts w:hint="eastAsia"/>
          <w:lang w:eastAsia="zh-CN"/>
        </w:rPr>
        <w:t>机构和</w:t>
      </w:r>
      <w:r w:rsidR="009255C8" w:rsidRPr="009255C8">
        <w:rPr>
          <w:rFonts w:hint="eastAsia"/>
          <w:lang w:eastAsia="zh-CN"/>
        </w:rPr>
        <w:t>私营部门的全球能力</w:t>
      </w:r>
      <w:r w:rsidR="00B85C4B">
        <w:rPr>
          <w:rFonts w:hint="eastAsia"/>
          <w:lang w:eastAsia="zh-CN"/>
        </w:rPr>
        <w:t>建设</w:t>
      </w:r>
      <w:r w:rsidR="009255C8" w:rsidRPr="009255C8">
        <w:rPr>
          <w:rFonts w:hint="eastAsia"/>
          <w:lang w:eastAsia="zh-CN"/>
        </w:rPr>
        <w:t>合作伙伴网络</w:t>
      </w:r>
      <w:r w:rsidR="00B85C4B">
        <w:rPr>
          <w:rFonts w:hint="eastAsia"/>
          <w:lang w:eastAsia="zh-CN"/>
        </w:rPr>
        <w:t>。</w:t>
      </w:r>
      <w:r w:rsidR="009255C8" w:rsidRPr="009255C8">
        <w:rPr>
          <w:rFonts w:hint="eastAsia"/>
          <w:lang w:eastAsia="zh-CN"/>
        </w:rPr>
        <w:t>在</w:t>
      </w:r>
      <w:r w:rsidR="00B85C4B" w:rsidRPr="00EE7B8A">
        <w:rPr>
          <w:lang w:eastAsia="zh-CN"/>
        </w:rPr>
        <w:t>14</w:t>
      </w:r>
      <w:r w:rsidR="00B85C4B">
        <w:rPr>
          <w:rFonts w:hint="eastAsia"/>
          <w:lang w:eastAsia="zh-CN"/>
        </w:rPr>
        <w:t>家</w:t>
      </w:r>
      <w:r w:rsidR="009255C8" w:rsidRPr="009255C8">
        <w:rPr>
          <w:rFonts w:hint="eastAsia"/>
          <w:lang w:eastAsia="zh-CN"/>
        </w:rPr>
        <w:t>参与机构中</w:t>
      </w:r>
      <w:r w:rsidR="00B85C4B">
        <w:rPr>
          <w:rFonts w:hint="eastAsia"/>
          <w:lang w:eastAsia="zh-CN"/>
        </w:rPr>
        <w:t>，</w:t>
      </w:r>
      <w:r w:rsidR="009255C8" w:rsidRPr="009255C8">
        <w:rPr>
          <w:rFonts w:hint="eastAsia"/>
          <w:lang w:eastAsia="zh-CN"/>
        </w:rPr>
        <w:t>以下两</w:t>
      </w:r>
      <w:r w:rsidR="00B85C4B">
        <w:rPr>
          <w:rFonts w:hint="eastAsia"/>
          <w:lang w:eastAsia="zh-CN"/>
        </w:rPr>
        <w:t>家</w:t>
      </w:r>
      <w:r w:rsidR="00060F48">
        <w:rPr>
          <w:rFonts w:hint="eastAsia"/>
          <w:lang w:eastAsia="zh-CN"/>
        </w:rPr>
        <w:t>位于</w:t>
      </w:r>
      <w:proofErr w:type="spellStart"/>
      <w:r w:rsidR="00B85C4B" w:rsidRPr="00EE7B8A">
        <w:rPr>
          <w:lang w:eastAsia="zh-CN"/>
        </w:rPr>
        <w:t>LDC</w:t>
      </w:r>
      <w:proofErr w:type="spellEnd"/>
      <w:r w:rsidR="00B85C4B">
        <w:rPr>
          <w:rFonts w:hint="eastAsia"/>
          <w:lang w:eastAsia="zh-CN"/>
        </w:rPr>
        <w:t>、</w:t>
      </w:r>
      <w:proofErr w:type="spellStart"/>
      <w:r w:rsidR="00B85C4B" w:rsidRPr="00EE7B8A">
        <w:rPr>
          <w:lang w:eastAsia="zh-CN"/>
        </w:rPr>
        <w:t>LLDC</w:t>
      </w:r>
      <w:proofErr w:type="spellEnd"/>
      <w:r w:rsidR="00B85C4B">
        <w:rPr>
          <w:rFonts w:hint="eastAsia"/>
          <w:lang w:eastAsia="zh-CN"/>
        </w:rPr>
        <w:t>、</w:t>
      </w:r>
      <w:r w:rsidR="00B85C4B" w:rsidRPr="00EE7B8A">
        <w:rPr>
          <w:lang w:eastAsia="zh-CN"/>
        </w:rPr>
        <w:t>SIDS</w:t>
      </w:r>
      <w:r w:rsidR="009255C8" w:rsidRPr="009255C8">
        <w:rPr>
          <w:rFonts w:hint="eastAsia"/>
          <w:lang w:eastAsia="zh-CN"/>
        </w:rPr>
        <w:t>和经济转型国家</w:t>
      </w:r>
      <w:r w:rsidR="00B85C4B">
        <w:rPr>
          <w:rFonts w:hint="eastAsia"/>
          <w:lang w:eastAsia="zh-CN"/>
        </w:rPr>
        <w:t>：</w:t>
      </w:r>
      <w:r w:rsidR="00B85C4B" w:rsidRPr="00B85C4B">
        <w:rPr>
          <w:rFonts w:hint="eastAsia"/>
          <w:lang w:eastAsia="zh-CN"/>
        </w:rPr>
        <w:t>毛里求斯</w:t>
      </w:r>
      <w:r w:rsidR="00B85C4B">
        <w:rPr>
          <w:rFonts w:hint="eastAsia"/>
          <w:lang w:eastAsia="zh-CN"/>
        </w:rPr>
        <w:t>的</w:t>
      </w:r>
      <w:r w:rsidR="00B85C4B" w:rsidRPr="00B85C4B">
        <w:rPr>
          <w:rFonts w:hint="eastAsia"/>
          <w:lang w:eastAsia="zh-CN"/>
        </w:rPr>
        <w:t>计算机应急响应团队</w:t>
      </w:r>
      <w:r w:rsidR="00B85C4B">
        <w:rPr>
          <w:rFonts w:hint="eastAsia"/>
          <w:lang w:eastAsia="zh-CN"/>
        </w:rPr>
        <w:t>；</w:t>
      </w:r>
      <w:r w:rsidR="009255C8" w:rsidRPr="009255C8">
        <w:rPr>
          <w:rFonts w:hint="eastAsia"/>
          <w:lang w:eastAsia="zh-CN"/>
        </w:rPr>
        <w:t>以及西印度群岛大学</w:t>
      </w:r>
      <w:r w:rsidR="00B85C4B">
        <w:rPr>
          <w:rFonts w:hint="eastAsia"/>
          <w:lang w:eastAsia="zh-CN"/>
        </w:rPr>
        <w:t>，该大学拥有多个</w:t>
      </w:r>
      <w:r w:rsidR="00B85C4B" w:rsidRPr="009255C8">
        <w:rPr>
          <w:rFonts w:hint="eastAsia"/>
          <w:lang w:eastAsia="zh-CN"/>
        </w:rPr>
        <w:t>校区</w:t>
      </w:r>
      <w:r w:rsidR="00B85C4B">
        <w:rPr>
          <w:rFonts w:hint="eastAsia"/>
          <w:lang w:eastAsia="zh-CN"/>
        </w:rPr>
        <w:t>，</w:t>
      </w:r>
      <w:r w:rsidR="00B85C4B" w:rsidRPr="008958D2">
        <w:rPr>
          <w:rFonts w:hint="eastAsia"/>
          <w:lang w:eastAsia="zh-CN"/>
        </w:rPr>
        <w:t>服务于</w:t>
      </w:r>
      <w:r w:rsidR="00B85C4B" w:rsidRPr="00B85C4B">
        <w:rPr>
          <w:rFonts w:hint="eastAsia"/>
          <w:lang w:eastAsia="zh-CN"/>
        </w:rPr>
        <w:t>牙买加</w:t>
      </w:r>
      <w:r w:rsidR="00B85C4B">
        <w:rPr>
          <w:rFonts w:hint="eastAsia"/>
          <w:lang w:eastAsia="zh-CN"/>
        </w:rPr>
        <w:t>、</w:t>
      </w:r>
      <w:r w:rsidR="00B85C4B" w:rsidRPr="00B85C4B">
        <w:rPr>
          <w:rFonts w:hint="eastAsia"/>
          <w:lang w:eastAsia="zh-CN"/>
        </w:rPr>
        <w:t>特立尼达和多巴哥</w:t>
      </w:r>
      <w:r w:rsidR="00B85C4B">
        <w:rPr>
          <w:rFonts w:hint="eastAsia"/>
          <w:lang w:eastAsia="zh-CN"/>
        </w:rPr>
        <w:t>以及</w:t>
      </w:r>
      <w:r w:rsidR="00B85C4B" w:rsidRPr="00B85C4B">
        <w:rPr>
          <w:rFonts w:hint="eastAsia"/>
          <w:lang w:eastAsia="zh-CN"/>
        </w:rPr>
        <w:t>巴巴多斯</w:t>
      </w:r>
      <w:r w:rsidR="00B85C4B">
        <w:rPr>
          <w:rFonts w:hint="eastAsia"/>
          <w:lang w:eastAsia="zh-CN"/>
        </w:rPr>
        <w:t>。</w:t>
      </w:r>
      <w:r w:rsidR="009255C8" w:rsidRPr="009255C8">
        <w:rPr>
          <w:rFonts w:hint="eastAsia"/>
          <w:lang w:eastAsia="zh-CN"/>
        </w:rPr>
        <w:t>到</w:t>
      </w:r>
      <w:r w:rsidR="00844082" w:rsidRPr="00EE7B8A">
        <w:rPr>
          <w:lang w:eastAsia="zh-CN"/>
        </w:rPr>
        <w:t>2025</w:t>
      </w:r>
      <w:r w:rsidR="009255C8" w:rsidRPr="009255C8">
        <w:rPr>
          <w:rFonts w:hint="eastAsia"/>
          <w:lang w:eastAsia="zh-CN"/>
        </w:rPr>
        <w:t>年底</w:t>
      </w:r>
      <w:r w:rsidR="00844082">
        <w:rPr>
          <w:rFonts w:hint="eastAsia"/>
          <w:lang w:eastAsia="zh-CN"/>
        </w:rPr>
        <w:t>，</w:t>
      </w:r>
      <w:r w:rsidR="009255C8" w:rsidRPr="009255C8">
        <w:rPr>
          <w:rFonts w:hint="eastAsia"/>
          <w:lang w:eastAsia="zh-CN"/>
        </w:rPr>
        <w:t>这两个</w:t>
      </w:r>
      <w:r w:rsidR="00844082" w:rsidRPr="00EE7B8A">
        <w:rPr>
          <w:lang w:eastAsia="zh-CN"/>
        </w:rPr>
        <w:t>ATC</w:t>
      </w:r>
      <w:r w:rsidR="00B20E96">
        <w:rPr>
          <w:rFonts w:hint="eastAsia"/>
          <w:lang w:eastAsia="zh-CN"/>
        </w:rPr>
        <w:t>为</w:t>
      </w:r>
      <w:r w:rsidR="00844082" w:rsidRPr="00EE7B8A">
        <w:rPr>
          <w:lang w:eastAsia="zh-CN"/>
        </w:rPr>
        <w:t>2 288</w:t>
      </w:r>
      <w:r w:rsidR="00B20E96">
        <w:rPr>
          <w:rFonts w:hint="eastAsia"/>
          <w:lang w:eastAsia="zh-CN"/>
        </w:rPr>
        <w:t>名参与者</w:t>
      </w:r>
      <w:r w:rsidR="00844082">
        <w:rPr>
          <w:rFonts w:hint="eastAsia"/>
          <w:lang w:eastAsia="zh-CN"/>
        </w:rPr>
        <w:t>（其中</w:t>
      </w:r>
      <w:r w:rsidR="00844082" w:rsidRPr="00EE7B8A">
        <w:rPr>
          <w:lang w:eastAsia="zh-CN"/>
        </w:rPr>
        <w:t>23</w:t>
      </w:r>
      <w:r w:rsidR="00844082">
        <w:rPr>
          <w:rFonts w:hint="eastAsia"/>
          <w:lang w:eastAsia="zh-CN"/>
        </w:rPr>
        <w:t>%</w:t>
      </w:r>
      <w:r w:rsidR="00844082" w:rsidRPr="009255C8">
        <w:rPr>
          <w:rFonts w:hint="eastAsia"/>
          <w:lang w:eastAsia="zh-CN"/>
        </w:rPr>
        <w:t>为女性</w:t>
      </w:r>
      <w:r w:rsidR="00844082">
        <w:rPr>
          <w:rFonts w:hint="eastAsia"/>
          <w:lang w:eastAsia="zh-CN"/>
        </w:rPr>
        <w:t>）</w:t>
      </w:r>
      <w:r w:rsidR="00B20E96">
        <w:rPr>
          <w:rFonts w:hint="eastAsia"/>
          <w:lang w:eastAsia="zh-CN"/>
        </w:rPr>
        <w:t>提供了培训</w:t>
      </w:r>
      <w:r w:rsidR="00844082">
        <w:rPr>
          <w:rFonts w:hint="eastAsia"/>
          <w:lang w:eastAsia="zh-CN"/>
        </w:rPr>
        <w:t>，</w:t>
      </w:r>
      <w:r w:rsidR="009255C8" w:rsidRPr="009255C8">
        <w:rPr>
          <w:rFonts w:hint="eastAsia"/>
          <w:lang w:eastAsia="zh-CN"/>
        </w:rPr>
        <w:t>共</w:t>
      </w:r>
      <w:r w:rsidR="00B20E96">
        <w:rPr>
          <w:rFonts w:hint="eastAsia"/>
          <w:lang w:eastAsia="zh-CN"/>
        </w:rPr>
        <w:t>颁发</w:t>
      </w:r>
      <w:r w:rsidR="00844082" w:rsidRPr="00EE7B8A">
        <w:rPr>
          <w:lang w:eastAsia="zh-CN"/>
        </w:rPr>
        <w:t>659</w:t>
      </w:r>
      <w:r w:rsidR="00B20E96">
        <w:rPr>
          <w:rFonts w:hint="eastAsia"/>
          <w:lang w:eastAsia="zh-CN"/>
        </w:rPr>
        <w:t>份</w:t>
      </w:r>
      <w:r w:rsidR="00844082">
        <w:rPr>
          <w:rFonts w:hint="eastAsia"/>
          <w:lang w:eastAsia="zh-CN"/>
        </w:rPr>
        <w:t>证书。</w:t>
      </w:r>
      <w:r w:rsidR="009255C8" w:rsidRPr="009255C8">
        <w:rPr>
          <w:rFonts w:hint="eastAsia"/>
          <w:lang w:eastAsia="zh-CN"/>
        </w:rPr>
        <w:t>培训</w:t>
      </w:r>
      <w:r w:rsidR="00B20E96">
        <w:rPr>
          <w:rFonts w:hint="eastAsia"/>
          <w:lang w:eastAsia="zh-CN"/>
        </w:rPr>
        <w:t>重点涵盖</w:t>
      </w:r>
      <w:r w:rsidR="009255C8" w:rsidRPr="009255C8">
        <w:rPr>
          <w:rFonts w:hint="eastAsia"/>
          <w:lang w:eastAsia="zh-CN"/>
        </w:rPr>
        <w:t>智慧城市</w:t>
      </w:r>
      <w:r w:rsidR="00844082">
        <w:rPr>
          <w:rFonts w:hint="eastAsia"/>
          <w:lang w:eastAsia="zh-CN"/>
        </w:rPr>
        <w:t>、</w:t>
      </w:r>
      <w:r w:rsidR="009255C8" w:rsidRPr="009255C8">
        <w:rPr>
          <w:rFonts w:hint="eastAsia"/>
          <w:lang w:eastAsia="zh-CN"/>
        </w:rPr>
        <w:t>数字包容性</w:t>
      </w:r>
      <w:r w:rsidR="00060F48">
        <w:rPr>
          <w:rFonts w:hint="eastAsia"/>
          <w:lang w:eastAsia="zh-CN"/>
        </w:rPr>
        <w:t>以及</w:t>
      </w:r>
      <w:r w:rsidR="009255C8" w:rsidRPr="009255C8">
        <w:rPr>
          <w:rFonts w:hint="eastAsia"/>
          <w:lang w:eastAsia="zh-CN"/>
        </w:rPr>
        <w:t>网络安全等</w:t>
      </w:r>
      <w:r w:rsidR="00844082">
        <w:rPr>
          <w:rFonts w:hint="eastAsia"/>
          <w:lang w:eastAsia="zh-CN"/>
        </w:rPr>
        <w:t>议题</w:t>
      </w:r>
      <w:r w:rsidR="00844082" w:rsidRPr="00B24C4C">
        <w:rPr>
          <w:rFonts w:hint="eastAsia"/>
          <w:lang w:eastAsia="zh-CN"/>
        </w:rPr>
        <w:t>。</w:t>
      </w:r>
    </w:p>
    <w:p w14:paraId="52A2FCB0" w14:textId="4B614C14" w:rsidR="00EE7B8A" w:rsidRPr="00EE7B8A" w:rsidRDefault="009255C8" w:rsidP="00EE7B8A">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lang w:eastAsia="zh-CN"/>
        </w:rPr>
      </w:pPr>
      <w:r w:rsidRPr="009255C8">
        <w:rPr>
          <w:rFonts w:ascii="SimSun" w:hAnsi="SimSun" w:cs="SimSun" w:hint="eastAsia"/>
          <w:lang w:eastAsia="zh-CN"/>
        </w:rPr>
        <w:t>项目和活动</w:t>
      </w:r>
    </w:p>
    <w:p w14:paraId="51C4D942" w14:textId="43400340"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根据第</w:t>
      </w:r>
      <w:r w:rsidR="00227A0F" w:rsidRPr="00EE7B8A">
        <w:rPr>
          <w:lang w:eastAsia="zh-CN"/>
        </w:rPr>
        <w:t>30</w:t>
      </w:r>
      <w:r w:rsidRPr="009255C8">
        <w:rPr>
          <w:rFonts w:hint="eastAsia"/>
          <w:lang w:eastAsia="zh-CN"/>
        </w:rPr>
        <w:t>号决议</w:t>
      </w:r>
      <w:r w:rsidR="00227A0F">
        <w:rPr>
          <w:rFonts w:hint="eastAsia"/>
          <w:lang w:eastAsia="zh-CN"/>
        </w:rPr>
        <w:t>中所</w:t>
      </w:r>
      <w:r w:rsidRPr="009255C8">
        <w:rPr>
          <w:rFonts w:hint="eastAsia"/>
          <w:lang w:eastAsia="zh-CN"/>
        </w:rPr>
        <w:t>述的</w:t>
      </w:r>
      <w:r w:rsidR="00227A0F">
        <w:rPr>
          <w:rFonts w:hint="eastAsia"/>
          <w:lang w:eastAsia="zh-CN"/>
        </w:rPr>
        <w:t>关于</w:t>
      </w:r>
      <w:r w:rsidRPr="009255C8">
        <w:rPr>
          <w:rFonts w:hint="eastAsia"/>
          <w:lang w:eastAsia="zh-CN"/>
        </w:rPr>
        <w:t>项目实施和资源筹措的</w:t>
      </w:r>
      <w:r w:rsidR="00445888">
        <w:rPr>
          <w:rFonts w:hint="eastAsia"/>
          <w:lang w:eastAsia="zh-CN"/>
        </w:rPr>
        <w:t>运作</w:t>
      </w:r>
      <w:r w:rsidRPr="009255C8">
        <w:rPr>
          <w:rFonts w:hint="eastAsia"/>
          <w:lang w:eastAsia="zh-CN"/>
        </w:rPr>
        <w:t>要求</w:t>
      </w:r>
      <w:r w:rsidR="00227A0F">
        <w:rPr>
          <w:rFonts w:hint="eastAsia"/>
          <w:lang w:eastAsia="zh-CN"/>
        </w:rPr>
        <w:t>，</w:t>
      </w:r>
      <w:r w:rsidR="00227A0F" w:rsidRPr="00227A0F">
        <w:rPr>
          <w:rFonts w:hint="eastAsia"/>
          <w:lang w:eastAsia="zh-CN"/>
        </w:rPr>
        <w:t>电信发展局</w:t>
      </w:r>
      <w:r w:rsidRPr="009255C8">
        <w:rPr>
          <w:rFonts w:hint="eastAsia"/>
          <w:lang w:eastAsia="zh-CN"/>
        </w:rPr>
        <w:t>的执行能力仍是其战略的核心</w:t>
      </w:r>
      <w:r w:rsidR="00227A0F">
        <w:rPr>
          <w:rFonts w:hint="eastAsia"/>
          <w:lang w:eastAsia="zh-CN"/>
        </w:rPr>
        <w:t>。</w:t>
      </w:r>
      <w:r w:rsidRPr="009255C8">
        <w:rPr>
          <w:rFonts w:hint="eastAsia"/>
          <w:lang w:eastAsia="zh-CN"/>
        </w:rPr>
        <w:t>国际电联</w:t>
      </w:r>
      <w:r w:rsidR="00445888">
        <w:rPr>
          <w:rFonts w:hint="eastAsia"/>
          <w:lang w:eastAsia="zh-CN"/>
        </w:rPr>
        <w:t>作为</w:t>
      </w:r>
      <w:r w:rsidR="00445888" w:rsidRPr="009255C8">
        <w:rPr>
          <w:rFonts w:hint="eastAsia"/>
          <w:lang w:eastAsia="zh-CN"/>
        </w:rPr>
        <w:t>联合国专门机构</w:t>
      </w:r>
      <w:r w:rsidR="00445888">
        <w:rPr>
          <w:rFonts w:hint="eastAsia"/>
          <w:lang w:eastAsia="zh-CN"/>
        </w:rPr>
        <w:t>和</w:t>
      </w:r>
      <w:r w:rsidR="00445888" w:rsidRPr="009255C8">
        <w:rPr>
          <w:rFonts w:hint="eastAsia"/>
          <w:lang w:eastAsia="zh-CN"/>
        </w:rPr>
        <w:t>执行机构</w:t>
      </w:r>
      <w:r w:rsidR="00445888">
        <w:rPr>
          <w:rFonts w:hint="eastAsia"/>
          <w:lang w:eastAsia="zh-CN"/>
        </w:rPr>
        <w:t>，肩负着</w:t>
      </w:r>
      <w:r w:rsidRPr="009255C8">
        <w:rPr>
          <w:rFonts w:hint="eastAsia"/>
          <w:lang w:eastAsia="zh-CN"/>
        </w:rPr>
        <w:t>双重</w:t>
      </w:r>
      <w:r w:rsidR="00445888">
        <w:rPr>
          <w:rFonts w:hint="eastAsia"/>
          <w:lang w:eastAsia="zh-CN"/>
        </w:rPr>
        <w:t>责任。</w:t>
      </w:r>
      <w:r w:rsidR="00227A0F" w:rsidRPr="009255C8">
        <w:rPr>
          <w:rFonts w:hint="eastAsia"/>
          <w:lang w:eastAsia="zh-CN"/>
        </w:rPr>
        <w:t>国际电联</w:t>
      </w:r>
      <w:r w:rsidR="00227A0F" w:rsidRPr="00227A0F">
        <w:rPr>
          <w:rFonts w:hint="eastAsia"/>
          <w:lang w:eastAsia="zh-CN"/>
        </w:rPr>
        <w:t>电信发展局</w:t>
      </w:r>
      <w:r w:rsidRPr="009255C8">
        <w:rPr>
          <w:rFonts w:hint="eastAsia"/>
          <w:lang w:eastAsia="zh-CN"/>
        </w:rPr>
        <w:t>在</w:t>
      </w:r>
      <w:r w:rsidR="00227A0F" w:rsidRPr="00EE7B8A">
        <w:rPr>
          <w:lang w:eastAsia="zh-CN"/>
        </w:rPr>
        <w:t>ICT</w:t>
      </w:r>
      <w:r w:rsidR="00227A0F" w:rsidRPr="009255C8">
        <w:rPr>
          <w:rFonts w:hint="eastAsia"/>
          <w:lang w:eastAsia="zh-CN"/>
        </w:rPr>
        <w:t>促发展项目</w:t>
      </w:r>
      <w:r w:rsidR="00227A0F">
        <w:rPr>
          <w:rFonts w:hint="eastAsia"/>
          <w:lang w:eastAsia="zh-CN"/>
        </w:rPr>
        <w:t>的</w:t>
      </w:r>
      <w:r w:rsidRPr="009255C8">
        <w:rPr>
          <w:rFonts w:hint="eastAsia"/>
          <w:lang w:eastAsia="zh-CN"/>
        </w:rPr>
        <w:t>执行和实施方面拥有</w:t>
      </w:r>
      <w:r w:rsidR="00445888">
        <w:rPr>
          <w:rFonts w:hint="eastAsia"/>
          <w:lang w:eastAsia="zh-CN"/>
        </w:rPr>
        <w:t>丰富的</w:t>
      </w:r>
      <w:r w:rsidRPr="009255C8">
        <w:rPr>
          <w:rFonts w:hint="eastAsia"/>
          <w:lang w:eastAsia="zh-CN"/>
        </w:rPr>
        <w:t>经验</w:t>
      </w:r>
      <w:r w:rsidR="00227A0F">
        <w:rPr>
          <w:rFonts w:hint="eastAsia"/>
          <w:lang w:eastAsia="zh-CN"/>
        </w:rPr>
        <w:t>，</w:t>
      </w:r>
      <w:r w:rsidRPr="009255C8">
        <w:rPr>
          <w:rFonts w:hint="eastAsia"/>
          <w:lang w:eastAsia="zh-CN"/>
        </w:rPr>
        <w:t>在资源</w:t>
      </w:r>
      <w:r w:rsidRPr="009255C8">
        <w:rPr>
          <w:rFonts w:hint="eastAsia"/>
          <w:lang w:eastAsia="zh-CN"/>
        </w:rPr>
        <w:lastRenderedPageBreak/>
        <w:t>筹措</w:t>
      </w:r>
      <w:r w:rsidR="00227A0F">
        <w:rPr>
          <w:rFonts w:hint="eastAsia"/>
          <w:lang w:eastAsia="zh-CN"/>
        </w:rPr>
        <w:t>、</w:t>
      </w:r>
      <w:r w:rsidRPr="009255C8">
        <w:rPr>
          <w:rFonts w:hint="eastAsia"/>
          <w:lang w:eastAsia="zh-CN"/>
        </w:rPr>
        <w:t>项目开发</w:t>
      </w:r>
      <w:r w:rsidR="00227A0F">
        <w:rPr>
          <w:rFonts w:hint="eastAsia"/>
          <w:lang w:eastAsia="zh-CN"/>
        </w:rPr>
        <w:t>、</w:t>
      </w:r>
      <w:r w:rsidRPr="00BF6A2C">
        <w:rPr>
          <w:rFonts w:hint="eastAsia"/>
          <w:lang w:eastAsia="zh-CN"/>
        </w:rPr>
        <w:t>管理和实施以及监测和评估方面</w:t>
      </w:r>
      <w:r w:rsidR="00227A0F" w:rsidRPr="00BF6A2C">
        <w:rPr>
          <w:rFonts w:hint="eastAsia"/>
          <w:lang w:eastAsia="zh-CN"/>
        </w:rPr>
        <w:t>具备</w:t>
      </w:r>
      <w:r w:rsidRPr="00BF6A2C">
        <w:rPr>
          <w:rFonts w:hint="eastAsia"/>
          <w:lang w:eastAsia="zh-CN"/>
        </w:rPr>
        <w:t>知识</w:t>
      </w:r>
      <w:r w:rsidR="00736141" w:rsidRPr="00BF6A2C">
        <w:rPr>
          <w:rFonts w:hint="eastAsia"/>
          <w:lang w:eastAsia="zh-CN"/>
        </w:rPr>
        <w:t>专长</w:t>
      </w:r>
      <w:r w:rsidR="00227A0F" w:rsidRPr="00BF6A2C">
        <w:rPr>
          <w:rFonts w:hint="eastAsia"/>
          <w:lang w:eastAsia="zh-CN"/>
        </w:rPr>
        <w:t>。如需进一</w:t>
      </w:r>
      <w:r w:rsidR="00227A0F">
        <w:rPr>
          <w:rFonts w:hint="eastAsia"/>
          <w:lang w:eastAsia="zh-CN"/>
        </w:rPr>
        <w:t>步了解</w:t>
      </w:r>
      <w:r w:rsidR="00227A0F" w:rsidRPr="00EE7B8A">
        <w:rPr>
          <w:lang w:eastAsia="zh-CN"/>
        </w:rPr>
        <w:t>ITU-D</w:t>
      </w:r>
      <w:r w:rsidRPr="009255C8">
        <w:rPr>
          <w:rFonts w:hint="eastAsia"/>
          <w:lang w:eastAsia="zh-CN"/>
        </w:rPr>
        <w:t>项目</w:t>
      </w:r>
      <w:r w:rsidR="00736141">
        <w:rPr>
          <w:rFonts w:hint="eastAsia"/>
          <w:lang w:eastAsia="zh-CN"/>
        </w:rPr>
        <w:t>中</w:t>
      </w:r>
      <w:r w:rsidRPr="009255C8">
        <w:rPr>
          <w:rFonts w:hint="eastAsia"/>
          <w:lang w:eastAsia="zh-CN"/>
        </w:rPr>
        <w:t>所开展</w:t>
      </w:r>
      <w:r w:rsidR="00227A0F">
        <w:rPr>
          <w:rFonts w:hint="eastAsia"/>
          <w:lang w:eastAsia="zh-CN"/>
        </w:rPr>
        <w:t>的</w:t>
      </w:r>
      <w:r w:rsidRPr="009255C8">
        <w:rPr>
          <w:rFonts w:hint="eastAsia"/>
          <w:lang w:eastAsia="zh-CN"/>
        </w:rPr>
        <w:t>工作</w:t>
      </w:r>
      <w:r w:rsidR="00227A0F">
        <w:rPr>
          <w:rFonts w:hint="eastAsia"/>
          <w:lang w:eastAsia="zh-CN"/>
        </w:rPr>
        <w:t>，请参阅以下文件：</w:t>
      </w:r>
      <w:hyperlink r:id="rId16" w:history="1">
        <w:proofErr w:type="spellStart"/>
        <w:r w:rsidR="00227A0F" w:rsidRPr="00EE7B8A">
          <w:rPr>
            <w:rStyle w:val="Hyperlink"/>
            <w:rFonts w:eastAsia="SimSun"/>
            <w:noProof w:val="0"/>
            <w:lang w:eastAsia="zh-CN"/>
          </w:rPr>
          <w:t>TDAG</w:t>
        </w:r>
        <w:proofErr w:type="spellEnd"/>
        <w:r w:rsidR="00227A0F" w:rsidRPr="00EE7B8A">
          <w:rPr>
            <w:rStyle w:val="Hyperlink"/>
            <w:rFonts w:eastAsia="SimSun"/>
            <w:noProof w:val="0"/>
            <w:lang w:eastAsia="zh-CN"/>
          </w:rPr>
          <w:t>-26/2</w:t>
        </w:r>
      </w:hyperlink>
      <w:r w:rsidR="00227A0F" w:rsidRPr="009255C8">
        <w:rPr>
          <w:rFonts w:hint="eastAsia"/>
          <w:lang w:eastAsia="zh-CN"/>
        </w:rPr>
        <w:t>号文件和</w:t>
      </w:r>
      <w:r w:rsidR="00227A0F">
        <w:fldChar w:fldCharType="begin"/>
      </w:r>
      <w:r w:rsidR="00227A0F">
        <w:rPr>
          <w:lang w:eastAsia="zh-CN"/>
        </w:rPr>
        <w:instrText>HYPERLINK "https://view.officeapps.live.com/op/view.aspx?src=https%3A%2F%2Fwww.itu.int%2Fdms_pub%2Fitu-d%2Fmd%2F22%2Fwtdc25%2Fc%2FD22-WTDC25-C-0002!R2!MSW-C.docx&amp;wdOrigin=BROWSELINK"</w:instrText>
      </w:r>
      <w:r w:rsidR="00227A0F">
        <w:fldChar w:fldCharType="separate"/>
      </w:r>
      <w:r w:rsidR="00227A0F" w:rsidRPr="00EE7B8A">
        <w:rPr>
          <w:rStyle w:val="Hyperlink"/>
          <w:rFonts w:eastAsia="SimSun"/>
          <w:noProof w:val="0"/>
          <w:lang w:eastAsia="zh-CN"/>
        </w:rPr>
        <w:t>WTDC-25/2</w:t>
      </w:r>
      <w:r w:rsidR="00227A0F">
        <w:fldChar w:fldCharType="end"/>
      </w:r>
      <w:r w:rsidR="00227A0F" w:rsidRPr="009255C8">
        <w:rPr>
          <w:rFonts w:hint="eastAsia"/>
          <w:lang w:eastAsia="zh-CN"/>
        </w:rPr>
        <w:t>号文件</w:t>
      </w:r>
      <w:r w:rsidR="00227A0F" w:rsidRPr="0007316B">
        <w:rPr>
          <w:rFonts w:hint="eastAsia"/>
          <w:lang w:eastAsia="zh-CN"/>
        </w:rPr>
        <w:t>。</w:t>
      </w:r>
    </w:p>
    <w:p w14:paraId="07CF9358" w14:textId="52AA5D3B"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国际电联的项目组合</w:t>
      </w:r>
      <w:r w:rsidR="00AA64AA">
        <w:rPr>
          <w:rFonts w:hint="eastAsia"/>
          <w:lang w:eastAsia="zh-CN"/>
        </w:rPr>
        <w:t>涵盖了</w:t>
      </w:r>
      <w:r w:rsidRPr="009255C8">
        <w:rPr>
          <w:rFonts w:hint="eastAsia"/>
          <w:lang w:eastAsia="zh-CN"/>
        </w:rPr>
        <w:t>在国际电联</w:t>
      </w:r>
      <w:r w:rsidR="00AA64AA">
        <w:rPr>
          <w:rFonts w:hint="eastAsia"/>
          <w:lang w:eastAsia="zh-CN"/>
        </w:rPr>
        <w:t>所有</w:t>
      </w:r>
      <w:r w:rsidRPr="009255C8">
        <w:rPr>
          <w:rFonts w:hint="eastAsia"/>
          <w:lang w:eastAsia="zh-CN"/>
        </w:rPr>
        <w:t>区域实施的项目</w:t>
      </w:r>
      <w:r w:rsidR="00DB70C6">
        <w:rPr>
          <w:rFonts w:hint="eastAsia"/>
          <w:lang w:eastAsia="zh-CN"/>
        </w:rPr>
        <w:t>，</w:t>
      </w:r>
      <w:r w:rsidR="003C7257">
        <w:rPr>
          <w:rFonts w:hint="eastAsia"/>
          <w:lang w:eastAsia="zh-CN"/>
        </w:rPr>
        <w:t>并</w:t>
      </w:r>
      <w:r w:rsidR="00AA64AA">
        <w:rPr>
          <w:rFonts w:hint="eastAsia"/>
          <w:lang w:eastAsia="zh-CN"/>
        </w:rPr>
        <w:t>涉及</w:t>
      </w:r>
      <w:r w:rsidRPr="009255C8">
        <w:rPr>
          <w:rFonts w:hint="eastAsia"/>
          <w:lang w:eastAsia="zh-CN"/>
        </w:rPr>
        <w:t>国际电联</w:t>
      </w:r>
      <w:r w:rsidR="00AA64AA">
        <w:rPr>
          <w:rFonts w:hint="eastAsia"/>
          <w:lang w:eastAsia="zh-CN"/>
        </w:rPr>
        <w:t>广泛的</w:t>
      </w:r>
      <w:r w:rsidRPr="009255C8">
        <w:rPr>
          <w:rFonts w:hint="eastAsia"/>
          <w:lang w:eastAsia="zh-CN"/>
        </w:rPr>
        <w:t>专</w:t>
      </w:r>
      <w:r w:rsidR="00DB70C6">
        <w:rPr>
          <w:rFonts w:hint="eastAsia"/>
          <w:lang w:eastAsia="zh-CN"/>
        </w:rPr>
        <w:t>长</w:t>
      </w:r>
      <w:r w:rsidRPr="009255C8">
        <w:rPr>
          <w:rFonts w:hint="eastAsia"/>
          <w:lang w:eastAsia="zh-CN"/>
        </w:rPr>
        <w:t>领域</w:t>
      </w:r>
      <w:r w:rsidR="00DB70C6">
        <w:rPr>
          <w:rFonts w:hint="eastAsia"/>
          <w:lang w:eastAsia="zh-CN"/>
        </w:rPr>
        <w:t>。</w:t>
      </w:r>
      <w:r w:rsidR="00DB70C6" w:rsidRPr="00EE7B8A">
        <w:rPr>
          <w:lang w:eastAsia="zh-CN"/>
        </w:rPr>
        <w:t>ITU-D</w:t>
      </w:r>
      <w:r w:rsidR="00BF6A2C">
        <w:rPr>
          <w:rFonts w:hint="eastAsia"/>
          <w:lang w:eastAsia="zh-CN"/>
        </w:rPr>
        <w:t>的</w:t>
      </w:r>
      <w:r w:rsidRPr="009255C8">
        <w:rPr>
          <w:rFonts w:hint="eastAsia"/>
          <w:lang w:eastAsia="zh-CN"/>
        </w:rPr>
        <w:t>项目主要通过</w:t>
      </w:r>
      <w:r w:rsidR="003C7257" w:rsidRPr="003C7257">
        <w:rPr>
          <w:rFonts w:hint="eastAsia"/>
          <w:lang w:eastAsia="zh-CN"/>
        </w:rPr>
        <w:t>出资伙伴</w:t>
      </w:r>
      <w:r w:rsidRPr="009255C8">
        <w:rPr>
          <w:rFonts w:hint="eastAsia"/>
          <w:lang w:eastAsia="zh-CN"/>
        </w:rPr>
        <w:t>的</w:t>
      </w:r>
      <w:r w:rsidR="004849D3" w:rsidRPr="004849D3">
        <w:rPr>
          <w:rFonts w:hint="eastAsia"/>
          <w:lang w:eastAsia="zh-CN"/>
        </w:rPr>
        <w:t>捐助</w:t>
      </w:r>
      <w:r w:rsidR="00797A5B">
        <w:rPr>
          <w:rFonts w:hint="eastAsia"/>
          <w:lang w:eastAsia="zh-CN"/>
        </w:rPr>
        <w:t>获得</w:t>
      </w:r>
      <w:r w:rsidRPr="009255C8">
        <w:rPr>
          <w:rFonts w:hint="eastAsia"/>
          <w:lang w:eastAsia="zh-CN"/>
        </w:rPr>
        <w:t>资金</w:t>
      </w:r>
      <w:r w:rsidR="00797A5B">
        <w:rPr>
          <w:rFonts w:hint="eastAsia"/>
          <w:lang w:eastAsia="zh-CN"/>
        </w:rPr>
        <w:t>，</w:t>
      </w:r>
      <w:r w:rsidRPr="009255C8">
        <w:rPr>
          <w:rFonts w:hint="eastAsia"/>
          <w:lang w:eastAsia="zh-CN"/>
        </w:rPr>
        <w:t>在某些情况下</w:t>
      </w:r>
      <w:r w:rsidR="00797A5B">
        <w:rPr>
          <w:rFonts w:hint="eastAsia"/>
          <w:lang w:eastAsia="zh-CN"/>
        </w:rPr>
        <w:t>，若符合</w:t>
      </w:r>
      <w:r w:rsidRPr="009255C8">
        <w:rPr>
          <w:rFonts w:hint="eastAsia"/>
          <w:lang w:eastAsia="zh-CN"/>
        </w:rPr>
        <w:t>资格标准</w:t>
      </w:r>
      <w:r w:rsidR="00797A5B">
        <w:rPr>
          <w:rFonts w:hint="eastAsia"/>
          <w:lang w:eastAsia="zh-CN"/>
        </w:rPr>
        <w:t>，</w:t>
      </w:r>
      <w:r w:rsidRPr="009255C8">
        <w:rPr>
          <w:rFonts w:hint="eastAsia"/>
          <w:lang w:eastAsia="zh-CN"/>
        </w:rPr>
        <w:t>也可</w:t>
      </w:r>
      <w:r w:rsidR="004849D3">
        <w:rPr>
          <w:rFonts w:hint="eastAsia"/>
          <w:lang w:eastAsia="zh-CN"/>
        </w:rPr>
        <w:t>通过</w:t>
      </w:r>
      <w:r w:rsidR="00797A5B" w:rsidRPr="00797A5B">
        <w:rPr>
          <w:rFonts w:hint="eastAsia"/>
          <w:lang w:eastAsia="zh-CN"/>
        </w:rPr>
        <w:t>信息通信技术发展基金</w:t>
      </w:r>
      <w:r w:rsidR="00797A5B">
        <w:rPr>
          <w:rFonts w:hint="eastAsia"/>
          <w:lang w:eastAsia="zh-CN"/>
        </w:rPr>
        <w:t>（</w:t>
      </w:r>
      <w:r w:rsidR="00797A5B" w:rsidRPr="00EE7B8A">
        <w:rPr>
          <w:lang w:eastAsia="zh-CN"/>
        </w:rPr>
        <w:t>ICT-DF</w:t>
      </w:r>
      <w:r w:rsidR="00797A5B">
        <w:rPr>
          <w:rFonts w:hint="eastAsia"/>
          <w:lang w:eastAsia="zh-CN"/>
        </w:rPr>
        <w:t>）</w:t>
      </w:r>
      <w:r w:rsidR="00AA64AA">
        <w:rPr>
          <w:rFonts w:hint="eastAsia"/>
          <w:lang w:eastAsia="zh-CN"/>
        </w:rPr>
        <w:t>获得</w:t>
      </w:r>
      <w:r w:rsidR="004849D3">
        <w:rPr>
          <w:rFonts w:hint="eastAsia"/>
          <w:lang w:eastAsia="zh-CN"/>
        </w:rPr>
        <w:t>资助</w:t>
      </w:r>
      <w:r w:rsidR="00797A5B">
        <w:rPr>
          <w:rFonts w:hint="eastAsia"/>
          <w:lang w:eastAsia="zh-CN"/>
        </w:rPr>
        <w:t>。</w:t>
      </w:r>
      <w:r w:rsidR="00797A5B" w:rsidRPr="00EE7B8A">
        <w:rPr>
          <w:lang w:eastAsia="zh-CN"/>
        </w:rPr>
        <w:t>ICT-DF</w:t>
      </w:r>
      <w:r w:rsidRPr="009255C8">
        <w:rPr>
          <w:rFonts w:hint="eastAsia"/>
          <w:lang w:eastAsia="zh-CN"/>
        </w:rPr>
        <w:t>于</w:t>
      </w:r>
      <w:r w:rsidR="00797A5B" w:rsidRPr="00EE7B8A">
        <w:rPr>
          <w:lang w:eastAsia="zh-CN"/>
        </w:rPr>
        <w:t>1997</w:t>
      </w:r>
      <w:r w:rsidRPr="009255C8">
        <w:rPr>
          <w:rFonts w:hint="eastAsia"/>
          <w:lang w:eastAsia="zh-CN"/>
        </w:rPr>
        <w:t>年</w:t>
      </w:r>
      <w:r w:rsidR="004849D3">
        <w:rPr>
          <w:rFonts w:hint="eastAsia"/>
          <w:lang w:eastAsia="zh-CN"/>
        </w:rPr>
        <w:t>设立</w:t>
      </w:r>
      <w:r w:rsidR="00797A5B">
        <w:rPr>
          <w:rFonts w:hint="eastAsia"/>
          <w:lang w:eastAsia="zh-CN"/>
        </w:rPr>
        <w:t>，</w:t>
      </w:r>
      <w:r w:rsidR="004849D3">
        <w:rPr>
          <w:rFonts w:hint="eastAsia"/>
          <w:lang w:eastAsia="zh-CN"/>
        </w:rPr>
        <w:t>旨在</w:t>
      </w:r>
      <w:r w:rsidR="00797A5B">
        <w:rPr>
          <w:rFonts w:hint="eastAsia"/>
          <w:lang w:eastAsia="zh-CN"/>
        </w:rPr>
        <w:t>通过</w:t>
      </w:r>
      <w:r w:rsidRPr="009255C8">
        <w:rPr>
          <w:rFonts w:hint="eastAsia"/>
          <w:lang w:eastAsia="zh-CN"/>
        </w:rPr>
        <w:t>与国际电联</w:t>
      </w:r>
      <w:r w:rsidR="00797A5B">
        <w:rPr>
          <w:rFonts w:hint="eastAsia"/>
          <w:lang w:eastAsia="zh-CN"/>
        </w:rPr>
        <w:t>各</w:t>
      </w:r>
      <w:r w:rsidRPr="009255C8">
        <w:rPr>
          <w:rFonts w:hint="eastAsia"/>
          <w:lang w:eastAsia="zh-CN"/>
        </w:rPr>
        <w:t>成员国</w:t>
      </w:r>
      <w:r w:rsidR="00797A5B">
        <w:rPr>
          <w:rFonts w:hint="eastAsia"/>
          <w:lang w:eastAsia="zh-CN"/>
        </w:rPr>
        <w:t>、</w:t>
      </w:r>
      <w:r w:rsidRPr="009255C8">
        <w:rPr>
          <w:rFonts w:hint="eastAsia"/>
          <w:lang w:eastAsia="zh-CN"/>
        </w:rPr>
        <w:t>部门成员</w:t>
      </w:r>
      <w:r w:rsidR="00797A5B">
        <w:rPr>
          <w:rFonts w:hint="eastAsia"/>
          <w:lang w:eastAsia="zh-CN"/>
        </w:rPr>
        <w:t>、公共</w:t>
      </w:r>
      <w:r w:rsidRPr="009255C8">
        <w:rPr>
          <w:rFonts w:hint="eastAsia"/>
          <w:lang w:eastAsia="zh-CN"/>
        </w:rPr>
        <w:t>和私营部门</w:t>
      </w:r>
      <w:r w:rsidR="00797A5B">
        <w:rPr>
          <w:rFonts w:hint="eastAsia"/>
          <w:lang w:eastAsia="zh-CN"/>
        </w:rPr>
        <w:t>、</w:t>
      </w:r>
      <w:r w:rsidRPr="009255C8">
        <w:rPr>
          <w:rFonts w:hint="eastAsia"/>
          <w:lang w:eastAsia="zh-CN"/>
        </w:rPr>
        <w:t>多边组织</w:t>
      </w:r>
      <w:r w:rsidR="00797A5B">
        <w:rPr>
          <w:rFonts w:hint="eastAsia"/>
          <w:lang w:eastAsia="zh-CN"/>
        </w:rPr>
        <w:t>、</w:t>
      </w:r>
      <w:r w:rsidRPr="009255C8">
        <w:rPr>
          <w:rFonts w:hint="eastAsia"/>
          <w:lang w:eastAsia="zh-CN"/>
        </w:rPr>
        <w:t>基金会</w:t>
      </w:r>
      <w:r w:rsidR="00797A5B">
        <w:rPr>
          <w:rFonts w:hint="eastAsia"/>
          <w:lang w:eastAsia="zh-CN"/>
        </w:rPr>
        <w:t>、</w:t>
      </w:r>
      <w:r w:rsidRPr="009255C8">
        <w:rPr>
          <w:rFonts w:hint="eastAsia"/>
          <w:lang w:eastAsia="zh-CN"/>
        </w:rPr>
        <w:t>金融机构和发展机构的利益攸关多方伙伴关系</w:t>
      </w:r>
      <w:r w:rsidR="00797A5B">
        <w:rPr>
          <w:rFonts w:hint="eastAsia"/>
          <w:lang w:eastAsia="zh-CN"/>
        </w:rPr>
        <w:t>，</w:t>
      </w:r>
      <w:r w:rsidRPr="009255C8">
        <w:rPr>
          <w:rFonts w:hint="eastAsia"/>
          <w:lang w:eastAsia="zh-CN"/>
        </w:rPr>
        <w:t>支持项目实施</w:t>
      </w:r>
      <w:r w:rsidR="00797A5B">
        <w:rPr>
          <w:rFonts w:hint="eastAsia"/>
          <w:lang w:eastAsia="zh-CN"/>
        </w:rPr>
        <w:t>。</w:t>
      </w:r>
      <w:r w:rsidRPr="009255C8">
        <w:rPr>
          <w:rFonts w:hint="eastAsia"/>
          <w:lang w:eastAsia="zh-CN"/>
        </w:rPr>
        <w:t>该基金</w:t>
      </w:r>
      <w:r w:rsidR="00797A5B">
        <w:rPr>
          <w:rFonts w:hint="eastAsia"/>
          <w:lang w:eastAsia="zh-CN"/>
        </w:rPr>
        <w:t>专门致力于</w:t>
      </w:r>
      <w:r w:rsidRPr="009255C8">
        <w:rPr>
          <w:rFonts w:hint="eastAsia"/>
          <w:lang w:eastAsia="zh-CN"/>
        </w:rPr>
        <w:t>支持</w:t>
      </w:r>
      <w:proofErr w:type="spellStart"/>
      <w:r w:rsidR="00797A5B" w:rsidRPr="00EE7B8A">
        <w:rPr>
          <w:lang w:eastAsia="zh-CN"/>
        </w:rPr>
        <w:t>LDC</w:t>
      </w:r>
      <w:proofErr w:type="spellEnd"/>
      <w:r w:rsidR="00797A5B">
        <w:rPr>
          <w:rFonts w:hint="eastAsia"/>
          <w:lang w:eastAsia="zh-CN"/>
        </w:rPr>
        <w:t>、</w:t>
      </w:r>
      <w:proofErr w:type="spellStart"/>
      <w:r w:rsidR="00797A5B" w:rsidRPr="00EE7B8A">
        <w:rPr>
          <w:lang w:eastAsia="zh-CN"/>
        </w:rPr>
        <w:t>LLDC</w:t>
      </w:r>
      <w:proofErr w:type="spellEnd"/>
      <w:r w:rsidR="00797A5B">
        <w:rPr>
          <w:rFonts w:hint="eastAsia"/>
          <w:lang w:eastAsia="zh-CN"/>
        </w:rPr>
        <w:t>、</w:t>
      </w:r>
      <w:r w:rsidR="00797A5B" w:rsidRPr="00EE7B8A">
        <w:rPr>
          <w:lang w:eastAsia="zh-CN"/>
        </w:rPr>
        <w:t>SIDS</w:t>
      </w:r>
      <w:r w:rsidRPr="009255C8">
        <w:rPr>
          <w:rFonts w:hint="eastAsia"/>
          <w:lang w:eastAsia="zh-CN"/>
        </w:rPr>
        <w:t>和经济转型国家</w:t>
      </w:r>
      <w:r w:rsidR="00797A5B">
        <w:rPr>
          <w:rFonts w:hint="eastAsia"/>
          <w:lang w:eastAsia="zh-CN"/>
        </w:rPr>
        <w:t>以及</w:t>
      </w:r>
      <w:r w:rsidR="00797A5B" w:rsidRPr="00EE7B8A">
        <w:rPr>
          <w:lang w:eastAsia="zh-CN"/>
        </w:rPr>
        <w:t>/</w:t>
      </w:r>
      <w:r w:rsidRPr="009255C8">
        <w:rPr>
          <w:rFonts w:hint="eastAsia"/>
          <w:lang w:eastAsia="zh-CN"/>
        </w:rPr>
        <w:t>或</w:t>
      </w:r>
      <w:r w:rsidR="00797A5B" w:rsidRPr="00797A5B">
        <w:rPr>
          <w:rFonts w:hint="eastAsia"/>
          <w:lang w:eastAsia="zh-CN"/>
        </w:rPr>
        <w:t>有具体需求的国家</w:t>
      </w:r>
      <w:r w:rsidR="001D6DB7">
        <w:rPr>
          <w:rFonts w:hint="eastAsia"/>
          <w:lang w:eastAsia="zh-CN"/>
        </w:rPr>
        <w:t>。</w:t>
      </w:r>
      <w:r w:rsidRPr="009255C8">
        <w:rPr>
          <w:rFonts w:hint="eastAsia"/>
          <w:lang w:eastAsia="zh-CN"/>
        </w:rPr>
        <w:t>自</w:t>
      </w:r>
      <w:r w:rsidR="001D6DB7" w:rsidRPr="00EE7B8A">
        <w:rPr>
          <w:lang w:eastAsia="zh-CN"/>
        </w:rPr>
        <w:t>2023</w:t>
      </w:r>
      <w:r w:rsidRPr="009255C8">
        <w:rPr>
          <w:rFonts w:hint="eastAsia"/>
          <w:lang w:eastAsia="zh-CN"/>
        </w:rPr>
        <w:t>年</w:t>
      </w:r>
      <w:r w:rsidR="004849D3">
        <w:rPr>
          <w:rFonts w:hint="eastAsia"/>
          <w:lang w:eastAsia="zh-CN"/>
        </w:rPr>
        <w:t>起</w:t>
      </w:r>
      <w:r w:rsidR="001D6DB7">
        <w:rPr>
          <w:rFonts w:hint="eastAsia"/>
          <w:lang w:eastAsia="zh-CN"/>
        </w:rPr>
        <w:t>，</w:t>
      </w:r>
      <w:r w:rsidR="001D6DB7" w:rsidRPr="00EE7B8A">
        <w:rPr>
          <w:lang w:eastAsia="zh-CN"/>
        </w:rPr>
        <w:t>ICT-DF</w:t>
      </w:r>
      <w:r w:rsidRPr="009255C8">
        <w:rPr>
          <w:rFonts w:hint="eastAsia"/>
          <w:lang w:eastAsia="zh-CN"/>
        </w:rPr>
        <w:t>还</w:t>
      </w:r>
      <w:r w:rsidR="004849D3">
        <w:rPr>
          <w:rFonts w:hint="eastAsia"/>
          <w:lang w:eastAsia="zh-CN"/>
        </w:rPr>
        <w:t>支持</w:t>
      </w:r>
      <w:r w:rsidRPr="009255C8">
        <w:rPr>
          <w:rFonts w:hint="eastAsia"/>
          <w:lang w:eastAsia="zh-CN"/>
        </w:rPr>
        <w:t>有助于</w:t>
      </w:r>
      <w:r w:rsidR="004849D3">
        <w:rPr>
          <w:rFonts w:hint="eastAsia"/>
          <w:lang w:eastAsia="zh-CN"/>
        </w:rPr>
        <w:t>落实</w:t>
      </w:r>
      <w:r w:rsidR="001D6DB7" w:rsidRPr="00EE7B8A">
        <w:rPr>
          <w:lang w:eastAsia="zh-CN"/>
        </w:rPr>
        <w:t>WTDC</w:t>
      </w:r>
      <w:r w:rsidRPr="009255C8">
        <w:rPr>
          <w:rFonts w:hint="eastAsia"/>
          <w:lang w:eastAsia="zh-CN"/>
        </w:rPr>
        <w:t>区域性举措的项目</w:t>
      </w:r>
      <w:r w:rsidR="001D6DB7" w:rsidRPr="006479EB">
        <w:rPr>
          <w:rFonts w:hint="eastAsia"/>
          <w:lang w:eastAsia="zh-CN"/>
        </w:rPr>
        <w:t>。</w:t>
      </w:r>
    </w:p>
    <w:p w14:paraId="41544CB1" w14:textId="3AECA88F" w:rsidR="00EE7B8A" w:rsidRPr="00EE7B8A" w:rsidRDefault="00512E1B"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proofErr w:type="spellStart"/>
      <w:r w:rsidRPr="00EE7B8A">
        <w:rPr>
          <w:lang w:eastAsia="zh-CN"/>
        </w:rPr>
        <w:t>LDC</w:t>
      </w:r>
      <w:proofErr w:type="spellEnd"/>
      <w:r>
        <w:rPr>
          <w:rFonts w:hint="eastAsia"/>
          <w:lang w:eastAsia="zh-CN"/>
        </w:rPr>
        <w:t>、</w:t>
      </w:r>
      <w:proofErr w:type="spellStart"/>
      <w:r w:rsidRPr="00EE7B8A">
        <w:rPr>
          <w:lang w:eastAsia="zh-CN"/>
        </w:rPr>
        <w:t>LLDC</w:t>
      </w:r>
      <w:proofErr w:type="spellEnd"/>
      <w:r>
        <w:rPr>
          <w:rFonts w:hint="eastAsia"/>
          <w:lang w:eastAsia="zh-CN"/>
        </w:rPr>
        <w:t>和</w:t>
      </w:r>
      <w:r w:rsidRPr="00EE7B8A">
        <w:rPr>
          <w:lang w:eastAsia="zh-CN"/>
        </w:rPr>
        <w:t>SIDS</w:t>
      </w:r>
      <w:r w:rsidR="00FC61FF">
        <w:rPr>
          <w:rFonts w:hint="eastAsia"/>
          <w:lang w:eastAsia="zh-CN"/>
        </w:rPr>
        <w:t>经常从</w:t>
      </w:r>
      <w:r w:rsidR="00FC61FF" w:rsidRPr="00EE7B8A">
        <w:rPr>
          <w:lang w:eastAsia="zh-CN"/>
        </w:rPr>
        <w:t>ITU-D</w:t>
      </w:r>
      <w:r w:rsidR="006F64CE">
        <w:rPr>
          <w:rFonts w:hint="eastAsia"/>
          <w:lang w:eastAsia="zh-CN"/>
        </w:rPr>
        <w:t>的</w:t>
      </w:r>
      <w:r w:rsidR="009255C8" w:rsidRPr="009255C8">
        <w:rPr>
          <w:rFonts w:hint="eastAsia"/>
          <w:lang w:eastAsia="zh-CN"/>
        </w:rPr>
        <w:t>项目</w:t>
      </w:r>
      <w:r w:rsidR="00FC61FF">
        <w:rPr>
          <w:rFonts w:hint="eastAsia"/>
          <w:lang w:eastAsia="zh-CN"/>
        </w:rPr>
        <w:t>中受益。</w:t>
      </w:r>
      <w:r w:rsidR="009255C8" w:rsidRPr="009255C8">
        <w:rPr>
          <w:rFonts w:hint="eastAsia"/>
          <w:lang w:eastAsia="zh-CN"/>
        </w:rPr>
        <w:t>在</w:t>
      </w:r>
      <w:r w:rsidR="00FC61FF" w:rsidRPr="00EE7B8A">
        <w:rPr>
          <w:lang w:eastAsia="zh-CN"/>
        </w:rPr>
        <w:t>2022-2025</w:t>
      </w:r>
      <w:r w:rsidR="00FC61FF">
        <w:rPr>
          <w:rFonts w:hint="eastAsia"/>
          <w:lang w:eastAsia="zh-CN"/>
        </w:rPr>
        <w:t>年</w:t>
      </w:r>
      <w:r w:rsidR="009255C8" w:rsidRPr="009255C8">
        <w:rPr>
          <w:rFonts w:hint="eastAsia"/>
          <w:lang w:eastAsia="zh-CN"/>
        </w:rPr>
        <w:t>周期内</w:t>
      </w:r>
      <w:r w:rsidR="00FC61FF">
        <w:rPr>
          <w:rFonts w:hint="eastAsia"/>
          <w:lang w:eastAsia="zh-CN"/>
        </w:rPr>
        <w:t>，</w:t>
      </w:r>
      <w:r w:rsidR="00FC61FF" w:rsidRPr="00EE7B8A">
        <w:rPr>
          <w:lang w:eastAsia="zh-CN"/>
        </w:rPr>
        <w:t>BDT</w:t>
      </w:r>
      <w:r w:rsidR="009255C8" w:rsidRPr="009255C8">
        <w:rPr>
          <w:rFonts w:hint="eastAsia"/>
          <w:lang w:eastAsia="zh-CN"/>
        </w:rPr>
        <w:t>共签署了</w:t>
      </w:r>
      <w:r w:rsidR="00B835B9" w:rsidRPr="00EE7B8A">
        <w:rPr>
          <w:lang w:eastAsia="zh-CN"/>
        </w:rPr>
        <w:t>41</w:t>
      </w:r>
      <w:r w:rsidR="009255C8" w:rsidRPr="009255C8">
        <w:rPr>
          <w:rFonts w:hint="eastAsia"/>
          <w:lang w:eastAsia="zh-CN"/>
        </w:rPr>
        <w:t>个</w:t>
      </w:r>
      <w:r w:rsidR="00FC61FF" w:rsidRPr="009255C8">
        <w:rPr>
          <w:rFonts w:hint="eastAsia"/>
          <w:lang w:eastAsia="zh-CN"/>
        </w:rPr>
        <w:t>至少</w:t>
      </w:r>
      <w:r w:rsidR="009255C8" w:rsidRPr="009255C8">
        <w:rPr>
          <w:rFonts w:hint="eastAsia"/>
          <w:lang w:eastAsia="zh-CN"/>
        </w:rPr>
        <w:t>在上述目标国家</w:t>
      </w:r>
      <w:r w:rsidR="00A93F9B">
        <w:rPr>
          <w:rFonts w:hint="eastAsia"/>
          <w:lang w:eastAsia="zh-CN"/>
        </w:rPr>
        <w:t>中的一个</w:t>
      </w:r>
      <w:r w:rsidR="009255C8" w:rsidRPr="009255C8">
        <w:rPr>
          <w:rFonts w:hint="eastAsia"/>
          <w:lang w:eastAsia="zh-CN"/>
        </w:rPr>
        <w:t>开展活动</w:t>
      </w:r>
      <w:r w:rsidR="00B835B9">
        <w:rPr>
          <w:rFonts w:hint="eastAsia"/>
          <w:lang w:eastAsia="zh-CN"/>
        </w:rPr>
        <w:t>的新项目。</w:t>
      </w:r>
      <w:r w:rsidR="009255C8" w:rsidRPr="009255C8">
        <w:rPr>
          <w:rFonts w:hint="eastAsia"/>
          <w:lang w:eastAsia="zh-CN"/>
        </w:rPr>
        <w:t>这些项目</w:t>
      </w:r>
      <w:r w:rsidR="004D179F">
        <w:rPr>
          <w:rFonts w:hint="eastAsia"/>
          <w:lang w:eastAsia="zh-CN"/>
        </w:rPr>
        <w:t>具有</w:t>
      </w:r>
      <w:r w:rsidR="00B835B9" w:rsidRPr="009255C8">
        <w:rPr>
          <w:rFonts w:hint="eastAsia"/>
          <w:lang w:eastAsia="zh-CN"/>
        </w:rPr>
        <w:t>国家</w:t>
      </w:r>
      <w:r w:rsidR="00B835B9">
        <w:rPr>
          <w:rFonts w:hint="eastAsia"/>
          <w:lang w:eastAsia="zh-CN"/>
        </w:rPr>
        <w:t>、</w:t>
      </w:r>
      <w:r w:rsidR="00B835B9" w:rsidRPr="009255C8">
        <w:rPr>
          <w:rFonts w:hint="eastAsia"/>
          <w:lang w:eastAsia="zh-CN"/>
        </w:rPr>
        <w:t>区域或</w:t>
      </w:r>
      <w:r w:rsidR="00B835B9">
        <w:rPr>
          <w:rFonts w:hint="eastAsia"/>
          <w:lang w:eastAsia="zh-CN"/>
        </w:rPr>
        <w:t>跨</w:t>
      </w:r>
      <w:r w:rsidR="00B835B9" w:rsidRPr="009255C8">
        <w:rPr>
          <w:rFonts w:hint="eastAsia"/>
          <w:lang w:eastAsia="zh-CN"/>
        </w:rPr>
        <w:t>区域</w:t>
      </w:r>
      <w:r w:rsidR="00B835B9">
        <w:rPr>
          <w:rFonts w:hint="eastAsia"/>
          <w:lang w:eastAsia="zh-CN"/>
        </w:rPr>
        <w:t>性质，</w:t>
      </w:r>
      <w:r w:rsidR="006F64CE">
        <w:rPr>
          <w:rFonts w:hint="eastAsia"/>
          <w:lang w:eastAsia="zh-CN"/>
        </w:rPr>
        <w:t>并</w:t>
      </w:r>
      <w:r w:rsidR="00B835B9">
        <w:rPr>
          <w:rFonts w:hint="eastAsia"/>
          <w:lang w:eastAsia="zh-CN"/>
        </w:rPr>
        <w:t>与来自公共</w:t>
      </w:r>
      <w:r w:rsidR="009255C8" w:rsidRPr="009255C8">
        <w:rPr>
          <w:rFonts w:hint="eastAsia"/>
          <w:lang w:eastAsia="zh-CN"/>
        </w:rPr>
        <w:t>和私营部门</w:t>
      </w:r>
      <w:r w:rsidR="00B835B9">
        <w:rPr>
          <w:rFonts w:hint="eastAsia"/>
          <w:lang w:eastAsia="zh-CN"/>
        </w:rPr>
        <w:t>的</w:t>
      </w:r>
      <w:r w:rsidR="00B835B9" w:rsidRPr="009255C8">
        <w:rPr>
          <w:rFonts w:hint="eastAsia"/>
          <w:lang w:eastAsia="zh-CN"/>
        </w:rPr>
        <w:t>广泛利益攸关方</w:t>
      </w:r>
      <w:r w:rsidR="00B835B9">
        <w:rPr>
          <w:rFonts w:hint="eastAsia"/>
          <w:lang w:eastAsia="zh-CN"/>
        </w:rPr>
        <w:t>以及</w:t>
      </w:r>
      <w:r w:rsidR="006F64CE" w:rsidRPr="009255C8">
        <w:rPr>
          <w:rFonts w:hint="eastAsia"/>
          <w:lang w:eastAsia="zh-CN"/>
        </w:rPr>
        <w:t>其他</w:t>
      </w:r>
      <w:r w:rsidR="00B835B9" w:rsidRPr="009255C8">
        <w:rPr>
          <w:rFonts w:hint="eastAsia"/>
          <w:lang w:eastAsia="zh-CN"/>
        </w:rPr>
        <w:t>联合国机构和非营利</w:t>
      </w:r>
      <w:r w:rsidR="006F64CE">
        <w:rPr>
          <w:rFonts w:hint="eastAsia"/>
          <w:lang w:eastAsia="zh-CN"/>
        </w:rPr>
        <w:t>组织</w:t>
      </w:r>
      <w:r w:rsidR="00B835B9" w:rsidRPr="004D179F">
        <w:rPr>
          <w:rFonts w:hint="eastAsia"/>
          <w:lang w:eastAsia="zh-CN"/>
        </w:rPr>
        <w:t>合作开展。</w:t>
      </w:r>
    </w:p>
    <w:p w14:paraId="5A0F0534" w14:textId="09C9791B"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这些项目直接</w:t>
      </w:r>
      <w:r w:rsidR="00774320">
        <w:rPr>
          <w:rFonts w:hint="eastAsia"/>
          <w:lang w:eastAsia="zh-CN"/>
        </w:rPr>
        <w:t>落实了</w:t>
      </w:r>
      <w:r w:rsidRPr="009255C8">
        <w:rPr>
          <w:rFonts w:hint="eastAsia"/>
          <w:lang w:eastAsia="zh-CN"/>
        </w:rPr>
        <w:t>第</w:t>
      </w:r>
      <w:r w:rsidR="00774320" w:rsidRPr="00EE7B8A">
        <w:rPr>
          <w:lang w:eastAsia="zh-CN"/>
        </w:rPr>
        <w:t>30</w:t>
      </w:r>
      <w:r w:rsidRPr="009255C8">
        <w:rPr>
          <w:rFonts w:hint="eastAsia"/>
          <w:lang w:eastAsia="zh-CN"/>
        </w:rPr>
        <w:t>号决议的具体</w:t>
      </w:r>
      <w:r w:rsidR="00A93F9B">
        <w:rPr>
          <w:rFonts w:hint="eastAsia"/>
          <w:lang w:eastAsia="zh-CN"/>
        </w:rPr>
        <w:t>任务授权</w:t>
      </w:r>
      <w:r w:rsidR="00774320">
        <w:rPr>
          <w:rFonts w:hint="eastAsia"/>
          <w:lang w:eastAsia="zh-CN"/>
        </w:rPr>
        <w:t>，</w:t>
      </w:r>
      <w:r w:rsidRPr="009255C8">
        <w:rPr>
          <w:rFonts w:hint="eastAsia"/>
          <w:lang w:eastAsia="zh-CN"/>
        </w:rPr>
        <w:t>即审查</w:t>
      </w:r>
      <w:r w:rsidR="00774320" w:rsidRPr="00EE7B8A">
        <w:rPr>
          <w:lang w:eastAsia="zh-CN"/>
        </w:rPr>
        <w:t>ICT</w:t>
      </w:r>
      <w:r w:rsidRPr="009255C8">
        <w:rPr>
          <w:rFonts w:hint="eastAsia"/>
          <w:lang w:eastAsia="zh-CN"/>
        </w:rPr>
        <w:t>服务的状况</w:t>
      </w:r>
      <w:r w:rsidR="00A93F9B">
        <w:rPr>
          <w:rFonts w:hint="eastAsia"/>
          <w:lang w:eastAsia="zh-CN"/>
        </w:rPr>
        <w:t>并</w:t>
      </w:r>
      <w:r w:rsidRPr="009255C8">
        <w:rPr>
          <w:rFonts w:hint="eastAsia"/>
          <w:lang w:eastAsia="zh-CN"/>
        </w:rPr>
        <w:t>确定关键</w:t>
      </w:r>
      <w:r w:rsidR="00774320" w:rsidRPr="00774320">
        <w:rPr>
          <w:rFonts w:hint="eastAsia"/>
          <w:lang w:eastAsia="zh-CN"/>
        </w:rPr>
        <w:t>薄弱环节</w:t>
      </w:r>
      <w:r w:rsidR="00774320">
        <w:rPr>
          <w:rFonts w:hint="eastAsia"/>
          <w:lang w:eastAsia="zh-CN"/>
        </w:rPr>
        <w:t>，</w:t>
      </w:r>
      <w:r w:rsidR="00A93F9B">
        <w:rPr>
          <w:rFonts w:hint="eastAsia"/>
          <w:lang w:eastAsia="zh-CN"/>
        </w:rPr>
        <w:t>同时</w:t>
      </w:r>
      <w:r w:rsidRPr="009255C8">
        <w:rPr>
          <w:rFonts w:hint="eastAsia"/>
          <w:lang w:eastAsia="zh-CN"/>
        </w:rPr>
        <w:t>通过</w:t>
      </w:r>
      <w:r w:rsidR="00774320">
        <w:rPr>
          <w:rFonts w:hint="eastAsia"/>
          <w:lang w:eastAsia="zh-CN"/>
        </w:rPr>
        <w:t>诸如</w:t>
      </w:r>
      <w:r w:rsidR="00774320" w:rsidRPr="00774320">
        <w:rPr>
          <w:rFonts w:hint="eastAsia"/>
          <w:lang w:eastAsia="zh-CN"/>
        </w:rPr>
        <w:t>国际电联学院</w:t>
      </w:r>
      <w:r w:rsidRPr="009255C8">
        <w:rPr>
          <w:rFonts w:hint="eastAsia"/>
          <w:lang w:eastAsia="zh-CN"/>
        </w:rPr>
        <w:t>和</w:t>
      </w:r>
      <w:r w:rsidR="00774320" w:rsidRPr="00774320">
        <w:rPr>
          <w:rFonts w:hint="eastAsia"/>
          <w:lang w:eastAsia="zh-CN"/>
        </w:rPr>
        <w:t>数字化转型中心</w:t>
      </w:r>
      <w:r w:rsidRPr="009255C8">
        <w:rPr>
          <w:rFonts w:hint="eastAsia"/>
          <w:lang w:eastAsia="zh-CN"/>
        </w:rPr>
        <w:t>等能力建设平台加强学术界和产业界的参与</w:t>
      </w:r>
      <w:r w:rsidR="00774320" w:rsidRPr="00FC0570">
        <w:rPr>
          <w:rFonts w:hint="eastAsia"/>
          <w:lang w:eastAsia="zh-CN"/>
        </w:rPr>
        <w:t>。</w:t>
      </w:r>
    </w:p>
    <w:p w14:paraId="0D47931B" w14:textId="79DCBA19" w:rsidR="00EE7B8A" w:rsidRPr="00EE7B8A" w:rsidRDefault="009255C8"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255C8">
        <w:rPr>
          <w:rFonts w:hint="eastAsia"/>
          <w:lang w:eastAsia="zh-CN"/>
        </w:rPr>
        <w:t>此外</w:t>
      </w:r>
      <w:r w:rsidR="00774320">
        <w:rPr>
          <w:rFonts w:hint="eastAsia"/>
          <w:lang w:eastAsia="zh-CN"/>
        </w:rPr>
        <w:t>，</w:t>
      </w:r>
      <w:r w:rsidR="00B85066" w:rsidRPr="009255C8">
        <w:rPr>
          <w:rFonts w:hint="eastAsia"/>
          <w:lang w:eastAsia="zh-CN"/>
        </w:rPr>
        <w:t>国际电联</w:t>
      </w:r>
      <w:r w:rsidR="00774320" w:rsidRPr="009255C8">
        <w:rPr>
          <w:rFonts w:hint="eastAsia"/>
          <w:lang w:eastAsia="zh-CN"/>
        </w:rPr>
        <w:t>通过</w:t>
      </w:r>
      <w:r w:rsidR="00B85066">
        <w:rPr>
          <w:rFonts w:hint="eastAsia"/>
          <w:lang w:eastAsia="zh-CN"/>
        </w:rPr>
        <w:t>“</w:t>
      </w:r>
      <w:r w:rsidR="00B85066" w:rsidRPr="00774320">
        <w:rPr>
          <w:rFonts w:hint="eastAsia"/>
          <w:lang w:eastAsia="zh-CN"/>
        </w:rPr>
        <w:t>伙伴关系促进互联互通</w:t>
      </w:r>
      <w:r w:rsidR="00B85066">
        <w:rPr>
          <w:rFonts w:hint="eastAsia"/>
          <w:lang w:eastAsia="zh-CN"/>
        </w:rPr>
        <w:t>（</w:t>
      </w:r>
      <w:proofErr w:type="spellStart"/>
      <w:r w:rsidR="00B85066" w:rsidRPr="00EE7B8A">
        <w:rPr>
          <w:lang w:eastAsia="zh-CN"/>
        </w:rPr>
        <w:t>P2C</w:t>
      </w:r>
      <w:proofErr w:type="spellEnd"/>
      <w:r w:rsidR="00B85066">
        <w:rPr>
          <w:rFonts w:hint="eastAsia"/>
          <w:lang w:eastAsia="zh-CN"/>
        </w:rPr>
        <w:t>）</w:t>
      </w:r>
      <w:r w:rsidR="00B85066" w:rsidRPr="00774320">
        <w:rPr>
          <w:rFonts w:hint="eastAsia"/>
          <w:lang w:eastAsia="zh-CN"/>
        </w:rPr>
        <w:t>数字联盟</w:t>
      </w:r>
      <w:r w:rsidR="00B85066">
        <w:rPr>
          <w:rFonts w:hint="eastAsia"/>
          <w:lang w:eastAsia="zh-CN"/>
        </w:rPr>
        <w:t>”</w:t>
      </w:r>
      <w:r w:rsidR="00774320">
        <w:rPr>
          <w:rFonts w:hint="eastAsia"/>
          <w:lang w:eastAsia="zh-CN"/>
        </w:rPr>
        <w:t>，</w:t>
      </w:r>
      <w:r w:rsidRPr="009255C8">
        <w:rPr>
          <w:rFonts w:hint="eastAsia"/>
          <w:lang w:eastAsia="zh-CN"/>
        </w:rPr>
        <w:t>提出了创新</w:t>
      </w:r>
      <w:r w:rsidR="00EA0651">
        <w:rPr>
          <w:rFonts w:hint="eastAsia"/>
          <w:lang w:eastAsia="zh-CN"/>
        </w:rPr>
        <w:t>的</w:t>
      </w:r>
      <w:r w:rsidRPr="009255C8">
        <w:rPr>
          <w:rFonts w:hint="eastAsia"/>
          <w:lang w:eastAsia="zh-CN"/>
        </w:rPr>
        <w:t>措施和联盟</w:t>
      </w:r>
      <w:r w:rsidR="00EA0651">
        <w:rPr>
          <w:rFonts w:hint="eastAsia"/>
          <w:lang w:eastAsia="zh-CN"/>
        </w:rPr>
        <w:t>，</w:t>
      </w:r>
      <w:r w:rsidR="00962DA9">
        <w:rPr>
          <w:rFonts w:hint="eastAsia"/>
          <w:lang w:eastAsia="zh-CN"/>
        </w:rPr>
        <w:t>旨在</w:t>
      </w:r>
      <w:r w:rsidR="00EA0651">
        <w:rPr>
          <w:rFonts w:hint="eastAsia"/>
          <w:lang w:eastAsia="zh-CN"/>
        </w:rPr>
        <w:t>筹集</w:t>
      </w:r>
      <w:r w:rsidR="00962DA9">
        <w:rPr>
          <w:rFonts w:hint="eastAsia"/>
          <w:lang w:eastAsia="zh-CN"/>
        </w:rPr>
        <w:t>更多</w:t>
      </w:r>
      <w:r w:rsidR="00EA0651">
        <w:rPr>
          <w:rFonts w:hint="eastAsia"/>
          <w:lang w:eastAsia="zh-CN"/>
        </w:rPr>
        <w:t>资金，</w:t>
      </w:r>
      <w:r w:rsidR="00962DA9">
        <w:rPr>
          <w:rFonts w:hint="eastAsia"/>
          <w:lang w:eastAsia="zh-CN"/>
        </w:rPr>
        <w:t>以</w:t>
      </w:r>
      <w:r w:rsidRPr="009255C8">
        <w:rPr>
          <w:rFonts w:hint="eastAsia"/>
          <w:lang w:eastAsia="zh-CN"/>
        </w:rPr>
        <w:t>弥合</w:t>
      </w:r>
      <w:r w:rsidR="00B85066">
        <w:rPr>
          <w:rFonts w:hint="eastAsia"/>
          <w:lang w:eastAsia="zh-CN"/>
        </w:rPr>
        <w:t>全球</w:t>
      </w:r>
      <w:r w:rsidRPr="009255C8">
        <w:rPr>
          <w:rFonts w:hint="eastAsia"/>
          <w:lang w:eastAsia="zh-CN"/>
        </w:rPr>
        <w:t>最脆弱</w:t>
      </w:r>
      <w:r w:rsidR="00EA0651">
        <w:rPr>
          <w:rFonts w:hint="eastAsia"/>
          <w:lang w:eastAsia="zh-CN"/>
        </w:rPr>
        <w:t>地区的</w:t>
      </w:r>
      <w:r w:rsidRPr="009255C8">
        <w:rPr>
          <w:rFonts w:hint="eastAsia"/>
          <w:lang w:eastAsia="zh-CN"/>
        </w:rPr>
        <w:t>数字鸿沟</w:t>
      </w:r>
      <w:r w:rsidR="00EA0651">
        <w:rPr>
          <w:rFonts w:hint="eastAsia"/>
          <w:lang w:eastAsia="zh-CN"/>
        </w:rPr>
        <w:t>。</w:t>
      </w:r>
      <w:r w:rsidRPr="009255C8">
        <w:rPr>
          <w:rFonts w:hint="eastAsia"/>
          <w:lang w:eastAsia="zh-CN"/>
        </w:rPr>
        <w:t>通过技术援助</w:t>
      </w:r>
      <w:r w:rsidR="00EA0651">
        <w:rPr>
          <w:rFonts w:hint="eastAsia"/>
          <w:lang w:eastAsia="zh-CN"/>
        </w:rPr>
        <w:t>、</w:t>
      </w:r>
      <w:r w:rsidRPr="009255C8">
        <w:rPr>
          <w:rFonts w:hint="eastAsia"/>
          <w:lang w:eastAsia="zh-CN"/>
        </w:rPr>
        <w:t>政策制定</w:t>
      </w:r>
      <w:r w:rsidR="00EA0651">
        <w:rPr>
          <w:rFonts w:hint="eastAsia"/>
          <w:lang w:eastAsia="zh-CN"/>
        </w:rPr>
        <w:t>、</w:t>
      </w:r>
      <w:r w:rsidRPr="009255C8">
        <w:rPr>
          <w:rFonts w:hint="eastAsia"/>
          <w:lang w:eastAsia="zh-CN"/>
        </w:rPr>
        <w:t>知识产品</w:t>
      </w:r>
      <w:r w:rsidR="00EA0651">
        <w:rPr>
          <w:rFonts w:hint="eastAsia"/>
          <w:lang w:eastAsia="zh-CN"/>
        </w:rPr>
        <w:t>、</w:t>
      </w:r>
      <w:r w:rsidR="00EA0651" w:rsidRPr="00EA0651">
        <w:rPr>
          <w:rFonts w:hint="eastAsia"/>
          <w:lang w:eastAsia="zh-CN"/>
        </w:rPr>
        <w:t>宣传活动</w:t>
      </w:r>
      <w:r w:rsidRPr="009255C8">
        <w:rPr>
          <w:rFonts w:hint="eastAsia"/>
          <w:lang w:eastAsia="zh-CN"/>
        </w:rPr>
        <w:t>和数据提供</w:t>
      </w:r>
      <w:r w:rsidR="00B85066">
        <w:rPr>
          <w:rFonts w:hint="eastAsia"/>
          <w:lang w:eastAsia="zh-CN"/>
        </w:rPr>
        <w:t>等方式</w:t>
      </w:r>
      <w:r w:rsidR="00EA0651">
        <w:rPr>
          <w:rFonts w:hint="eastAsia"/>
          <w:lang w:eastAsia="zh-CN"/>
        </w:rPr>
        <w:t>，</w:t>
      </w:r>
      <w:r w:rsidRPr="009255C8">
        <w:rPr>
          <w:rFonts w:hint="eastAsia"/>
          <w:lang w:eastAsia="zh-CN"/>
        </w:rPr>
        <w:t>向</w:t>
      </w:r>
      <w:r w:rsidR="00EA0651" w:rsidRPr="00EE7B8A">
        <w:rPr>
          <w:lang w:eastAsia="zh-CN"/>
        </w:rPr>
        <w:t>39</w:t>
      </w:r>
      <w:r w:rsidRPr="009255C8">
        <w:rPr>
          <w:rFonts w:hint="eastAsia"/>
          <w:lang w:eastAsia="zh-CN"/>
        </w:rPr>
        <w:t>个</w:t>
      </w:r>
      <w:proofErr w:type="spellStart"/>
      <w:r w:rsidR="00EA0651" w:rsidRPr="00EE7B8A">
        <w:rPr>
          <w:lang w:eastAsia="zh-CN"/>
        </w:rPr>
        <w:t>LDC</w:t>
      </w:r>
      <w:proofErr w:type="spellEnd"/>
      <w:r w:rsidR="00EA0651">
        <w:rPr>
          <w:rFonts w:hint="eastAsia"/>
          <w:lang w:eastAsia="zh-CN"/>
        </w:rPr>
        <w:t>、</w:t>
      </w:r>
      <w:r w:rsidR="00EA0651" w:rsidRPr="00EE7B8A">
        <w:rPr>
          <w:lang w:eastAsia="zh-CN"/>
        </w:rPr>
        <w:t>27</w:t>
      </w:r>
      <w:r w:rsidRPr="009255C8">
        <w:rPr>
          <w:rFonts w:hint="eastAsia"/>
          <w:lang w:eastAsia="zh-CN"/>
        </w:rPr>
        <w:t>个</w:t>
      </w:r>
      <w:proofErr w:type="spellStart"/>
      <w:r w:rsidR="00EA0651" w:rsidRPr="00EE7B8A">
        <w:rPr>
          <w:lang w:eastAsia="zh-CN"/>
        </w:rPr>
        <w:t>LLDC</w:t>
      </w:r>
      <w:proofErr w:type="spellEnd"/>
      <w:r w:rsidRPr="009255C8">
        <w:rPr>
          <w:rFonts w:hint="eastAsia"/>
          <w:lang w:eastAsia="zh-CN"/>
        </w:rPr>
        <w:t>和</w:t>
      </w:r>
      <w:r w:rsidR="00EA0651" w:rsidRPr="00EE7B8A">
        <w:rPr>
          <w:lang w:eastAsia="zh-CN"/>
        </w:rPr>
        <w:t>31</w:t>
      </w:r>
      <w:r w:rsidRPr="009255C8">
        <w:rPr>
          <w:rFonts w:hint="eastAsia"/>
          <w:lang w:eastAsia="zh-CN"/>
        </w:rPr>
        <w:t>个</w:t>
      </w:r>
      <w:r w:rsidR="00EA0651" w:rsidRPr="00EE7B8A">
        <w:rPr>
          <w:lang w:eastAsia="zh-CN"/>
        </w:rPr>
        <w:t>SIDS</w:t>
      </w:r>
      <w:r w:rsidRPr="009255C8">
        <w:rPr>
          <w:rFonts w:hint="eastAsia"/>
          <w:lang w:eastAsia="zh-CN"/>
        </w:rPr>
        <w:t>提供了支持</w:t>
      </w:r>
      <w:r w:rsidR="00EA0651">
        <w:rPr>
          <w:rFonts w:hint="eastAsia"/>
          <w:lang w:eastAsia="zh-CN"/>
        </w:rPr>
        <w:t>。</w:t>
      </w:r>
      <w:r w:rsidR="00B85066">
        <w:rPr>
          <w:rFonts w:hint="eastAsia"/>
          <w:lang w:eastAsia="zh-CN"/>
        </w:rPr>
        <w:t>部分</w:t>
      </w:r>
      <w:r w:rsidRPr="009255C8">
        <w:rPr>
          <w:rFonts w:hint="eastAsia"/>
          <w:lang w:eastAsia="zh-CN"/>
        </w:rPr>
        <w:t>国家</w:t>
      </w:r>
      <w:r w:rsidR="00EA0651">
        <w:rPr>
          <w:rFonts w:hint="eastAsia"/>
          <w:lang w:eastAsia="zh-CN"/>
        </w:rPr>
        <w:t>获得了</w:t>
      </w:r>
      <w:r w:rsidRPr="009255C8">
        <w:rPr>
          <w:rFonts w:hint="eastAsia"/>
          <w:lang w:eastAsia="zh-CN"/>
        </w:rPr>
        <w:t>多项干预措施</w:t>
      </w:r>
      <w:r w:rsidR="00EA0651">
        <w:rPr>
          <w:rFonts w:hint="eastAsia"/>
          <w:lang w:eastAsia="zh-CN"/>
        </w:rPr>
        <w:t>，</w:t>
      </w:r>
      <w:r w:rsidR="00962DA9" w:rsidRPr="00962DA9">
        <w:rPr>
          <w:rFonts w:hint="eastAsia"/>
          <w:lang w:eastAsia="zh-CN"/>
        </w:rPr>
        <w:t>如</w:t>
      </w:r>
      <w:r w:rsidR="00EA0651" w:rsidRPr="00962DA9">
        <w:rPr>
          <w:rFonts w:hint="eastAsia"/>
          <w:lang w:eastAsia="zh-CN"/>
        </w:rPr>
        <w:t>马里、塞内加尔、津巴布韦和牙买加等国</w:t>
      </w:r>
      <w:r w:rsidR="00962DA9">
        <w:rPr>
          <w:rFonts w:hint="eastAsia"/>
          <w:lang w:eastAsia="zh-CN"/>
        </w:rPr>
        <w:t>，所获</w:t>
      </w:r>
      <w:r w:rsidR="00EA0651">
        <w:rPr>
          <w:rFonts w:hint="eastAsia"/>
          <w:lang w:eastAsia="zh-CN"/>
        </w:rPr>
        <w:t>干预措施</w:t>
      </w:r>
      <w:r w:rsidRPr="009255C8">
        <w:rPr>
          <w:rFonts w:hint="eastAsia"/>
          <w:lang w:eastAsia="zh-CN"/>
        </w:rPr>
        <w:t>多达五</w:t>
      </w:r>
      <w:r w:rsidR="00EA0651">
        <w:rPr>
          <w:rFonts w:hint="eastAsia"/>
          <w:lang w:eastAsia="zh-CN"/>
        </w:rPr>
        <w:t>项</w:t>
      </w:r>
      <w:r w:rsidR="00EA0651" w:rsidRPr="00CC6E26">
        <w:rPr>
          <w:rFonts w:hint="eastAsia"/>
          <w:lang w:eastAsia="zh-CN"/>
        </w:rPr>
        <w:t>。</w:t>
      </w:r>
    </w:p>
    <w:p w14:paraId="0DE325EA" w14:textId="70B0615A" w:rsidR="00EE7B8A" w:rsidRPr="00EE7B8A" w:rsidRDefault="001F6715"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EE7B8A">
        <w:rPr>
          <w:lang w:eastAsia="zh-CN"/>
        </w:rPr>
        <w:t>2025</w:t>
      </w:r>
      <w:r w:rsidRPr="009255C8">
        <w:rPr>
          <w:rFonts w:hint="eastAsia"/>
          <w:lang w:eastAsia="zh-CN"/>
        </w:rPr>
        <w:t>年</w:t>
      </w:r>
      <w:r>
        <w:rPr>
          <w:rFonts w:hint="eastAsia"/>
          <w:lang w:eastAsia="zh-CN"/>
        </w:rPr>
        <w:t>，</w:t>
      </w:r>
      <w:r w:rsidR="009255C8" w:rsidRPr="009255C8">
        <w:rPr>
          <w:rFonts w:hint="eastAsia"/>
          <w:lang w:eastAsia="zh-CN"/>
        </w:rPr>
        <w:t>在</w:t>
      </w:r>
      <w:proofErr w:type="spellStart"/>
      <w:r w:rsidRPr="00EE7B8A">
        <w:rPr>
          <w:lang w:eastAsia="zh-CN"/>
        </w:rPr>
        <w:t>LLDC</w:t>
      </w:r>
      <w:proofErr w:type="spellEnd"/>
      <w:r>
        <w:rPr>
          <w:rFonts w:hint="eastAsia"/>
          <w:lang w:eastAsia="zh-CN"/>
        </w:rPr>
        <w:t>，</w:t>
      </w:r>
      <w:r w:rsidRPr="00EE7B8A">
        <w:rPr>
          <w:lang w:eastAsia="zh-CN"/>
        </w:rPr>
        <w:t>21</w:t>
      </w:r>
      <w:r w:rsidR="009255C8" w:rsidRPr="009255C8">
        <w:rPr>
          <w:rFonts w:hint="eastAsia"/>
          <w:lang w:eastAsia="zh-CN"/>
        </w:rPr>
        <w:t>个跨区域项目加速</w:t>
      </w:r>
      <w:r>
        <w:rPr>
          <w:rFonts w:hint="eastAsia"/>
          <w:lang w:eastAsia="zh-CN"/>
        </w:rPr>
        <w:t>了</w:t>
      </w:r>
      <w:r w:rsidR="009255C8" w:rsidRPr="009255C8">
        <w:rPr>
          <w:rFonts w:hint="eastAsia"/>
          <w:lang w:eastAsia="zh-CN"/>
        </w:rPr>
        <w:t>数字化转型</w:t>
      </w:r>
      <w:r>
        <w:rPr>
          <w:rFonts w:hint="eastAsia"/>
          <w:lang w:eastAsia="zh-CN"/>
        </w:rPr>
        <w:t>。</w:t>
      </w:r>
      <w:r w:rsidR="004317BC">
        <w:rPr>
          <w:rFonts w:hint="eastAsia"/>
          <w:lang w:eastAsia="zh-CN"/>
        </w:rPr>
        <w:t>这些项目</w:t>
      </w:r>
      <w:r w:rsidR="009255C8" w:rsidRPr="009255C8">
        <w:rPr>
          <w:rFonts w:hint="eastAsia"/>
          <w:lang w:eastAsia="zh-CN"/>
        </w:rPr>
        <w:t>包括</w:t>
      </w:r>
      <w:r w:rsidR="004317BC">
        <w:rPr>
          <w:rFonts w:hint="eastAsia"/>
          <w:lang w:eastAsia="zh-CN"/>
        </w:rPr>
        <w:t>：</w:t>
      </w:r>
      <w:r w:rsidR="009255C8" w:rsidRPr="009255C8">
        <w:rPr>
          <w:rFonts w:hint="eastAsia"/>
          <w:lang w:eastAsia="zh-CN"/>
        </w:rPr>
        <w:t>通过转型中心和在线学院开展数字技能培训</w:t>
      </w:r>
      <w:r>
        <w:rPr>
          <w:rFonts w:hint="eastAsia"/>
          <w:lang w:eastAsia="zh-CN"/>
        </w:rPr>
        <w:t>；</w:t>
      </w:r>
      <w:r w:rsidR="009255C8" w:rsidRPr="009255C8">
        <w:rPr>
          <w:rFonts w:hint="eastAsia"/>
          <w:lang w:eastAsia="zh-CN"/>
        </w:rPr>
        <w:t>支持</w:t>
      </w:r>
      <w:r w:rsidRPr="001F6715">
        <w:rPr>
          <w:rFonts w:hint="eastAsia"/>
          <w:lang w:eastAsia="zh-CN"/>
        </w:rPr>
        <w:t>卢旺达</w:t>
      </w:r>
      <w:r w:rsidR="009255C8" w:rsidRPr="009255C8">
        <w:rPr>
          <w:rFonts w:hint="eastAsia"/>
          <w:lang w:eastAsia="zh-CN"/>
        </w:rPr>
        <w:t>和</w:t>
      </w:r>
      <w:r w:rsidRPr="001F6715">
        <w:rPr>
          <w:rFonts w:hint="eastAsia"/>
          <w:lang w:eastAsia="zh-CN"/>
        </w:rPr>
        <w:t>哈萨克斯坦</w:t>
      </w:r>
      <w:r w:rsidR="004317BC">
        <w:rPr>
          <w:rFonts w:hint="eastAsia"/>
          <w:lang w:eastAsia="zh-CN"/>
        </w:rPr>
        <w:t>提供</w:t>
      </w:r>
      <w:r w:rsidR="009255C8" w:rsidRPr="009255C8">
        <w:rPr>
          <w:rFonts w:hint="eastAsia"/>
          <w:lang w:eastAsia="zh-CN"/>
        </w:rPr>
        <w:t>经济高效的数字公共服务</w:t>
      </w:r>
      <w:r>
        <w:rPr>
          <w:rFonts w:hint="eastAsia"/>
          <w:lang w:eastAsia="zh-CN"/>
        </w:rPr>
        <w:t>；</w:t>
      </w:r>
      <w:r w:rsidR="004317BC" w:rsidRPr="006332EE">
        <w:rPr>
          <w:rFonts w:hint="eastAsia"/>
          <w:lang w:eastAsia="zh-CN"/>
        </w:rPr>
        <w:t>在</w:t>
      </w:r>
      <w:r w:rsidR="004B0B91" w:rsidRPr="006332EE">
        <w:rPr>
          <w:rFonts w:hint="eastAsia"/>
          <w:lang w:eastAsia="zh-CN"/>
        </w:rPr>
        <w:t>博茨瓦纳、布隆迪、埃塞俄比亚、马拉维、乌干达、赞比亚和津巴布韦</w:t>
      </w:r>
      <w:r w:rsidR="004317BC">
        <w:rPr>
          <w:rFonts w:hint="eastAsia"/>
          <w:lang w:eastAsia="zh-CN"/>
        </w:rPr>
        <w:t>进行</w:t>
      </w:r>
      <w:r w:rsidR="006332EE" w:rsidRPr="006332EE">
        <w:rPr>
          <w:rFonts w:hint="eastAsia"/>
          <w:lang w:eastAsia="zh-CN"/>
        </w:rPr>
        <w:t>宽带基础设施映射</w:t>
      </w:r>
      <w:r w:rsidR="004B0B91">
        <w:rPr>
          <w:rFonts w:hint="eastAsia"/>
          <w:lang w:eastAsia="zh-CN"/>
        </w:rPr>
        <w:t>；</w:t>
      </w:r>
      <w:r w:rsidR="004B0B91" w:rsidRPr="005B3ED3">
        <w:rPr>
          <w:rFonts w:hint="eastAsia"/>
          <w:lang w:eastAsia="zh-CN"/>
        </w:rPr>
        <w:t>以及旨在</w:t>
      </w:r>
      <w:r w:rsidR="009255C8" w:rsidRPr="005B3ED3">
        <w:rPr>
          <w:rFonts w:hint="eastAsia"/>
          <w:lang w:eastAsia="zh-CN"/>
        </w:rPr>
        <w:t>促进循环经济的</w:t>
      </w:r>
      <w:r w:rsidR="004B0B91" w:rsidRPr="005B3ED3">
        <w:rPr>
          <w:rFonts w:hint="eastAsia"/>
          <w:lang w:eastAsia="zh-CN"/>
        </w:rPr>
        <w:t>有关</w:t>
      </w:r>
      <w:r w:rsidR="009255C8" w:rsidRPr="005B3ED3">
        <w:rPr>
          <w:rFonts w:hint="eastAsia"/>
          <w:lang w:eastAsia="zh-CN"/>
        </w:rPr>
        <w:t>电子废弃物政策和农村网络</w:t>
      </w:r>
      <w:r w:rsidR="004317BC" w:rsidRPr="005B3ED3">
        <w:rPr>
          <w:rFonts w:hint="eastAsia"/>
          <w:lang w:eastAsia="zh-CN"/>
        </w:rPr>
        <w:t>发展</w:t>
      </w:r>
      <w:r w:rsidR="004B0B91" w:rsidRPr="005B3ED3">
        <w:rPr>
          <w:rFonts w:hint="eastAsia"/>
          <w:lang w:eastAsia="zh-CN"/>
        </w:rPr>
        <w:t>的</w:t>
      </w:r>
      <w:r w:rsidR="009255C8" w:rsidRPr="005B3ED3">
        <w:rPr>
          <w:rFonts w:hint="eastAsia"/>
          <w:lang w:eastAsia="zh-CN"/>
        </w:rPr>
        <w:t>举措</w:t>
      </w:r>
      <w:r w:rsidR="004B0B91" w:rsidRPr="005B3ED3">
        <w:rPr>
          <w:rFonts w:hint="eastAsia"/>
          <w:lang w:eastAsia="zh-CN"/>
        </w:rPr>
        <w:t>。</w:t>
      </w:r>
    </w:p>
    <w:p w14:paraId="5E3230D6" w14:textId="7BB802D9" w:rsidR="00EE7B8A" w:rsidRPr="00EE7B8A" w:rsidRDefault="00EE7B8A"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EE7B8A">
        <w:rPr>
          <w:lang w:eastAsia="zh-CN"/>
        </w:rPr>
        <w:t>2025</w:t>
      </w:r>
      <w:r w:rsidR="009255C8" w:rsidRPr="009255C8">
        <w:rPr>
          <w:rFonts w:hint="eastAsia"/>
          <w:lang w:eastAsia="zh-CN"/>
        </w:rPr>
        <w:t>年</w:t>
      </w:r>
      <w:r w:rsidR="004B0B91">
        <w:rPr>
          <w:rFonts w:hint="eastAsia"/>
          <w:lang w:eastAsia="zh-CN"/>
        </w:rPr>
        <w:t>，</w:t>
      </w:r>
      <w:r w:rsidR="009255C8" w:rsidRPr="009255C8">
        <w:rPr>
          <w:rFonts w:hint="eastAsia"/>
          <w:lang w:eastAsia="zh-CN"/>
        </w:rPr>
        <w:t>在</w:t>
      </w:r>
      <w:proofErr w:type="spellStart"/>
      <w:r w:rsidR="004B0B91" w:rsidRPr="00EE7B8A">
        <w:rPr>
          <w:lang w:eastAsia="zh-CN"/>
        </w:rPr>
        <w:t>LDC</w:t>
      </w:r>
      <w:proofErr w:type="spellEnd"/>
      <w:r w:rsidR="004B0B91">
        <w:rPr>
          <w:rFonts w:hint="eastAsia"/>
          <w:lang w:eastAsia="zh-CN"/>
        </w:rPr>
        <w:t>，</w:t>
      </w:r>
      <w:r w:rsidR="009255C8" w:rsidRPr="009255C8">
        <w:rPr>
          <w:rFonts w:hint="eastAsia"/>
          <w:lang w:eastAsia="zh-CN"/>
        </w:rPr>
        <w:t>有</w:t>
      </w:r>
      <w:r w:rsidR="004B0B91" w:rsidRPr="00EE7B8A">
        <w:rPr>
          <w:lang w:eastAsia="zh-CN"/>
        </w:rPr>
        <w:t>19</w:t>
      </w:r>
      <w:r w:rsidR="009255C8" w:rsidRPr="009255C8">
        <w:rPr>
          <w:rFonts w:hint="eastAsia"/>
          <w:lang w:eastAsia="zh-CN"/>
        </w:rPr>
        <w:t>个项目正在</w:t>
      </w:r>
      <w:r w:rsidR="004B0B91">
        <w:rPr>
          <w:rFonts w:hint="eastAsia"/>
          <w:lang w:eastAsia="zh-CN"/>
        </w:rPr>
        <w:t>实施，</w:t>
      </w:r>
      <w:r w:rsidR="00242B4D">
        <w:rPr>
          <w:rFonts w:hint="eastAsia"/>
          <w:lang w:eastAsia="zh-CN"/>
        </w:rPr>
        <w:t>旨在</w:t>
      </w:r>
      <w:r w:rsidR="009255C8" w:rsidRPr="009255C8">
        <w:rPr>
          <w:rFonts w:hint="eastAsia"/>
          <w:lang w:eastAsia="zh-CN"/>
        </w:rPr>
        <w:t>推进早期预警系统</w:t>
      </w:r>
      <w:r w:rsidR="004B0B91">
        <w:rPr>
          <w:rFonts w:hint="eastAsia"/>
          <w:lang w:eastAsia="zh-CN"/>
        </w:rPr>
        <w:t>、</w:t>
      </w:r>
      <w:r w:rsidR="009255C8" w:rsidRPr="009255C8">
        <w:rPr>
          <w:rFonts w:hint="eastAsia"/>
          <w:lang w:eastAsia="zh-CN"/>
        </w:rPr>
        <w:t>网络安全</w:t>
      </w:r>
      <w:r w:rsidR="004B0B91">
        <w:rPr>
          <w:rFonts w:hint="eastAsia"/>
          <w:lang w:eastAsia="zh-CN"/>
        </w:rPr>
        <w:t>、</w:t>
      </w:r>
      <w:r w:rsidR="004B0B91" w:rsidRPr="004B0B91">
        <w:rPr>
          <w:rFonts w:hint="eastAsia"/>
          <w:lang w:eastAsia="zh-CN"/>
        </w:rPr>
        <w:t>宽带对照</w:t>
      </w:r>
      <w:r w:rsidR="004B0B91">
        <w:rPr>
          <w:rFonts w:hint="eastAsia"/>
          <w:lang w:eastAsia="zh-CN"/>
        </w:rPr>
        <w:t>、</w:t>
      </w:r>
      <w:r w:rsidR="00242B4D" w:rsidRPr="00242B4D">
        <w:rPr>
          <w:rFonts w:hint="eastAsia"/>
          <w:lang w:eastAsia="zh-CN"/>
        </w:rPr>
        <w:t>数字一体化</w:t>
      </w:r>
      <w:r w:rsidR="004B0B91">
        <w:rPr>
          <w:rFonts w:hint="eastAsia"/>
          <w:lang w:eastAsia="zh-CN"/>
        </w:rPr>
        <w:t>、</w:t>
      </w:r>
      <w:r w:rsidR="009255C8" w:rsidRPr="009255C8">
        <w:rPr>
          <w:rFonts w:hint="eastAsia"/>
          <w:lang w:eastAsia="zh-CN"/>
        </w:rPr>
        <w:t>连通性</w:t>
      </w:r>
      <w:r w:rsidR="004B0B91">
        <w:rPr>
          <w:rFonts w:hint="eastAsia"/>
          <w:lang w:eastAsia="zh-CN"/>
        </w:rPr>
        <w:t>、</w:t>
      </w:r>
      <w:r w:rsidR="009255C8" w:rsidRPr="009255C8">
        <w:rPr>
          <w:rFonts w:hint="eastAsia"/>
          <w:lang w:eastAsia="zh-CN"/>
        </w:rPr>
        <w:t>数字基础设施</w:t>
      </w:r>
      <w:r w:rsidR="00242B4D">
        <w:rPr>
          <w:rFonts w:hint="eastAsia"/>
          <w:lang w:eastAsia="zh-CN"/>
        </w:rPr>
        <w:t>以及</w:t>
      </w:r>
      <w:r w:rsidR="009255C8" w:rsidRPr="009255C8">
        <w:rPr>
          <w:rFonts w:hint="eastAsia"/>
          <w:lang w:eastAsia="zh-CN"/>
        </w:rPr>
        <w:t>信息通信技术</w:t>
      </w:r>
      <w:r w:rsidR="00242B4D">
        <w:rPr>
          <w:rFonts w:hint="eastAsia"/>
          <w:lang w:eastAsia="zh-CN"/>
        </w:rPr>
        <w:t>的</w:t>
      </w:r>
      <w:r w:rsidR="004B0B91">
        <w:rPr>
          <w:rFonts w:hint="eastAsia"/>
          <w:lang w:eastAsia="zh-CN"/>
        </w:rPr>
        <w:t>获取</w:t>
      </w:r>
      <w:r w:rsidR="004B0B91" w:rsidRPr="00AB0B93">
        <w:rPr>
          <w:rFonts w:hint="eastAsia"/>
          <w:lang w:eastAsia="zh-CN"/>
        </w:rPr>
        <w:t>。</w:t>
      </w:r>
    </w:p>
    <w:p w14:paraId="46886FBD" w14:textId="5F77F7A3" w:rsidR="00EE7B8A" w:rsidRPr="00EE7B8A" w:rsidRDefault="00EE7B8A"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b/>
          <w:bCs/>
          <w:lang w:eastAsia="zh-CN"/>
        </w:rPr>
      </w:pPr>
      <w:r w:rsidRPr="00EE7B8A">
        <w:rPr>
          <w:lang w:eastAsia="zh-CN"/>
        </w:rPr>
        <w:t>2025</w:t>
      </w:r>
      <w:r w:rsidR="00996FD6" w:rsidRPr="00996FD6">
        <w:rPr>
          <w:rFonts w:hint="eastAsia"/>
          <w:lang w:eastAsia="zh-CN"/>
        </w:rPr>
        <w:t>年</w:t>
      </w:r>
      <w:r w:rsidR="004B0B91">
        <w:rPr>
          <w:rFonts w:hint="eastAsia"/>
          <w:lang w:eastAsia="zh-CN"/>
        </w:rPr>
        <w:t>，在</w:t>
      </w:r>
      <w:r w:rsidR="004B0B91" w:rsidRPr="00EE7B8A">
        <w:rPr>
          <w:lang w:eastAsia="zh-CN"/>
        </w:rPr>
        <w:t>SIDS</w:t>
      </w:r>
      <w:r w:rsidR="004B0B91">
        <w:rPr>
          <w:rFonts w:hint="eastAsia"/>
          <w:lang w:eastAsia="zh-CN"/>
        </w:rPr>
        <w:t>，有</w:t>
      </w:r>
      <w:r w:rsidR="004B0B91" w:rsidRPr="00EE7B8A">
        <w:rPr>
          <w:lang w:eastAsia="zh-CN"/>
        </w:rPr>
        <w:t>16</w:t>
      </w:r>
      <w:r w:rsidR="00996FD6" w:rsidRPr="00996FD6">
        <w:rPr>
          <w:rFonts w:hint="eastAsia"/>
          <w:lang w:eastAsia="zh-CN"/>
        </w:rPr>
        <w:t>个项目在数字化转型</w:t>
      </w:r>
      <w:r w:rsidR="004B0B91">
        <w:rPr>
          <w:rFonts w:hint="eastAsia"/>
          <w:lang w:eastAsia="zh-CN"/>
        </w:rPr>
        <w:t>、</w:t>
      </w:r>
      <w:r w:rsidR="00996FD6" w:rsidRPr="00FC2259">
        <w:rPr>
          <w:rFonts w:hint="eastAsia"/>
          <w:lang w:eastAsia="zh-CN"/>
        </w:rPr>
        <w:t>数字技能和网络安全方面发挥了重要作用</w:t>
      </w:r>
      <w:r w:rsidR="004B0B91" w:rsidRPr="00FC2259">
        <w:rPr>
          <w:rFonts w:hint="eastAsia"/>
          <w:lang w:eastAsia="zh-CN"/>
        </w:rPr>
        <w:t>。</w:t>
      </w:r>
    </w:p>
    <w:p w14:paraId="7B337202" w14:textId="1137C5E5" w:rsidR="00EE7B8A" w:rsidRPr="00EE7B8A" w:rsidRDefault="004B0B91" w:rsidP="00EE7B8A">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szCs w:val="24"/>
          <w:lang w:eastAsia="zh-CN"/>
        </w:rPr>
      </w:pPr>
      <w:r w:rsidRPr="004B0B91">
        <w:rPr>
          <w:rFonts w:ascii="SimSun" w:hAnsi="SimSun" w:cs="SimSun" w:hint="eastAsia"/>
          <w:szCs w:val="24"/>
          <w:lang w:eastAsia="zh-CN"/>
        </w:rPr>
        <w:t>行政和运作</w:t>
      </w:r>
      <w:r w:rsidRPr="00996FD6">
        <w:rPr>
          <w:rFonts w:ascii="SimSun" w:hAnsi="SimSun" w:cs="SimSun" w:hint="eastAsia"/>
          <w:szCs w:val="24"/>
          <w:lang w:eastAsia="zh-CN"/>
        </w:rPr>
        <w:t>框架</w:t>
      </w:r>
    </w:p>
    <w:p w14:paraId="7FA9BA72" w14:textId="73DBB1A9" w:rsidR="00EE7B8A" w:rsidRPr="00EE7B8A" w:rsidRDefault="00996FD6"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96FD6">
        <w:rPr>
          <w:rFonts w:hint="eastAsia"/>
          <w:lang w:eastAsia="zh-CN"/>
        </w:rPr>
        <w:t>为履行这</w:t>
      </w:r>
      <w:r w:rsidRPr="003A170B">
        <w:rPr>
          <w:rFonts w:hint="eastAsia"/>
          <w:lang w:eastAsia="zh-CN"/>
        </w:rPr>
        <w:t>些</w:t>
      </w:r>
      <w:r w:rsidR="00F72FE7" w:rsidRPr="003A170B">
        <w:rPr>
          <w:rFonts w:hint="eastAsia"/>
          <w:lang w:eastAsia="zh-CN"/>
        </w:rPr>
        <w:t>任务授权</w:t>
      </w:r>
      <w:r w:rsidR="004B0B91" w:rsidRPr="003A170B">
        <w:rPr>
          <w:rFonts w:hint="eastAsia"/>
          <w:lang w:eastAsia="zh-CN"/>
        </w:rPr>
        <w:t>，</w:t>
      </w:r>
      <w:r w:rsidR="004B0B91" w:rsidRPr="00EE7B8A">
        <w:rPr>
          <w:lang w:eastAsia="zh-CN"/>
        </w:rPr>
        <w:t>BDT</w:t>
      </w:r>
      <w:r w:rsidRPr="00996FD6">
        <w:rPr>
          <w:rFonts w:hint="eastAsia"/>
          <w:lang w:eastAsia="zh-CN"/>
        </w:rPr>
        <w:t>采用了全面的数字生态系统方法</w:t>
      </w:r>
      <w:r w:rsidR="004B0B91">
        <w:rPr>
          <w:rFonts w:hint="eastAsia"/>
          <w:lang w:eastAsia="zh-CN"/>
        </w:rPr>
        <w:t>，从</w:t>
      </w:r>
      <w:r w:rsidR="00B9407C" w:rsidRPr="00B9407C">
        <w:rPr>
          <w:rFonts w:hint="eastAsia"/>
          <w:lang w:eastAsia="zh-CN"/>
        </w:rPr>
        <w:t>基本连接</w:t>
      </w:r>
      <w:r w:rsidRPr="00996FD6">
        <w:rPr>
          <w:rFonts w:hint="eastAsia"/>
          <w:lang w:eastAsia="zh-CN"/>
        </w:rPr>
        <w:t>转向更先进的技术和</w:t>
      </w:r>
      <w:r w:rsidR="00BB7AA8">
        <w:rPr>
          <w:rFonts w:hint="eastAsia"/>
          <w:lang w:eastAsia="zh-CN"/>
        </w:rPr>
        <w:t>基于证据的政策制定。</w:t>
      </w:r>
      <w:r w:rsidRPr="00996FD6">
        <w:rPr>
          <w:rFonts w:hint="eastAsia"/>
          <w:lang w:eastAsia="zh-CN"/>
        </w:rPr>
        <w:t>这种方法</w:t>
      </w:r>
      <w:r w:rsidR="00BB7AA8">
        <w:rPr>
          <w:rFonts w:hint="eastAsia"/>
          <w:lang w:eastAsia="zh-CN"/>
        </w:rPr>
        <w:t>体现了这样一种认识：</w:t>
      </w:r>
      <w:r w:rsidR="00BB7AA8" w:rsidRPr="00BB7AA8">
        <w:rPr>
          <w:rFonts w:hint="eastAsia"/>
          <w:lang w:eastAsia="zh-CN"/>
        </w:rPr>
        <w:t>普遍和有意义的连接</w:t>
      </w:r>
      <w:r w:rsidR="00BB7AA8">
        <w:rPr>
          <w:rFonts w:hint="eastAsia"/>
          <w:lang w:eastAsia="zh-CN"/>
        </w:rPr>
        <w:t>以及</w:t>
      </w:r>
      <w:r w:rsidRPr="00996FD6">
        <w:rPr>
          <w:rFonts w:hint="eastAsia"/>
          <w:lang w:eastAsia="zh-CN"/>
        </w:rPr>
        <w:t>更广泛的数字化转型是社会经济发展的关键驱动力</w:t>
      </w:r>
      <w:r w:rsidR="00BB7AA8">
        <w:rPr>
          <w:rFonts w:hint="eastAsia"/>
          <w:lang w:eastAsia="zh-CN"/>
        </w:rPr>
        <w:t>，</w:t>
      </w:r>
      <w:r w:rsidRPr="00996FD6">
        <w:rPr>
          <w:rFonts w:hint="eastAsia"/>
          <w:lang w:eastAsia="zh-CN"/>
        </w:rPr>
        <w:t>特别是对</w:t>
      </w:r>
      <w:r w:rsidR="00B9407C">
        <w:rPr>
          <w:rFonts w:hint="eastAsia"/>
          <w:lang w:eastAsia="zh-CN"/>
        </w:rPr>
        <w:t>于</w:t>
      </w:r>
      <w:proofErr w:type="spellStart"/>
      <w:r w:rsidR="00BB7AA8" w:rsidRPr="00EE7B8A">
        <w:rPr>
          <w:lang w:eastAsia="zh-CN"/>
        </w:rPr>
        <w:t>LDC</w:t>
      </w:r>
      <w:proofErr w:type="spellEnd"/>
      <w:r w:rsidR="00BB7AA8">
        <w:rPr>
          <w:rFonts w:hint="eastAsia"/>
          <w:lang w:eastAsia="zh-CN"/>
        </w:rPr>
        <w:t>、</w:t>
      </w:r>
      <w:proofErr w:type="spellStart"/>
      <w:r w:rsidR="00BB7AA8" w:rsidRPr="00EE7B8A">
        <w:rPr>
          <w:lang w:eastAsia="zh-CN"/>
        </w:rPr>
        <w:t>LLDC</w:t>
      </w:r>
      <w:proofErr w:type="spellEnd"/>
      <w:r w:rsidR="00BB7AA8">
        <w:rPr>
          <w:rFonts w:hint="eastAsia"/>
          <w:lang w:eastAsia="zh-CN"/>
        </w:rPr>
        <w:t>和</w:t>
      </w:r>
      <w:r w:rsidR="00BB7AA8" w:rsidRPr="00EE7B8A">
        <w:rPr>
          <w:lang w:eastAsia="zh-CN"/>
        </w:rPr>
        <w:t>SIDS</w:t>
      </w:r>
      <w:r w:rsidRPr="00996FD6">
        <w:rPr>
          <w:rFonts w:hint="eastAsia"/>
          <w:lang w:eastAsia="zh-CN"/>
        </w:rPr>
        <w:t>而言</w:t>
      </w:r>
      <w:r w:rsidR="00BB7AA8" w:rsidRPr="00E71BE5">
        <w:rPr>
          <w:rFonts w:hint="eastAsia"/>
          <w:lang w:eastAsia="zh-CN"/>
        </w:rPr>
        <w:t>。</w:t>
      </w:r>
    </w:p>
    <w:p w14:paraId="2D62B435" w14:textId="725B36EC" w:rsidR="00EE7B8A" w:rsidRPr="00EE7B8A" w:rsidRDefault="005414BA"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96FD6">
        <w:rPr>
          <w:rFonts w:hint="eastAsia"/>
          <w:lang w:eastAsia="zh-CN"/>
        </w:rPr>
        <w:t>第</w:t>
      </w:r>
      <w:r w:rsidRPr="00EE7B8A">
        <w:rPr>
          <w:iCs/>
          <w:lang w:eastAsia="zh-CN"/>
        </w:rPr>
        <w:t>30</w:t>
      </w:r>
      <w:r w:rsidRPr="00996FD6">
        <w:rPr>
          <w:rFonts w:hint="eastAsia"/>
          <w:lang w:eastAsia="zh-CN"/>
        </w:rPr>
        <w:t>号决议</w:t>
      </w:r>
      <w:r>
        <w:rPr>
          <w:rFonts w:hint="eastAsia"/>
          <w:lang w:eastAsia="zh-CN"/>
        </w:rPr>
        <w:t>要求</w:t>
      </w:r>
      <w:r w:rsidRPr="00996FD6">
        <w:rPr>
          <w:rFonts w:hint="eastAsia"/>
          <w:lang w:eastAsia="zh-CN"/>
        </w:rPr>
        <w:t>建立适当</w:t>
      </w:r>
      <w:r>
        <w:rPr>
          <w:rFonts w:hint="eastAsia"/>
          <w:lang w:eastAsia="zh-CN"/>
        </w:rPr>
        <w:t>的</w:t>
      </w:r>
      <w:r w:rsidRPr="00996FD6">
        <w:rPr>
          <w:rFonts w:hint="eastAsia"/>
          <w:lang w:eastAsia="zh-CN"/>
        </w:rPr>
        <w:t>行政和运作结构</w:t>
      </w:r>
      <w:r>
        <w:rPr>
          <w:rFonts w:hint="eastAsia"/>
          <w:lang w:eastAsia="zh-CN"/>
        </w:rPr>
        <w:t>，</w:t>
      </w:r>
      <w:r w:rsidR="00996FD6" w:rsidRPr="00996FD6">
        <w:rPr>
          <w:rFonts w:hint="eastAsia"/>
          <w:lang w:eastAsia="zh-CN"/>
        </w:rPr>
        <w:t>在</w:t>
      </w:r>
      <w:r>
        <w:rPr>
          <w:rFonts w:hint="eastAsia"/>
          <w:lang w:eastAsia="zh-CN"/>
        </w:rPr>
        <w:t>落实该决议</w:t>
      </w:r>
      <w:r w:rsidR="00996FD6" w:rsidRPr="00996FD6">
        <w:rPr>
          <w:rFonts w:hint="eastAsia"/>
          <w:lang w:eastAsia="zh-CN"/>
        </w:rPr>
        <w:t>方面</w:t>
      </w:r>
      <w:r>
        <w:rPr>
          <w:rFonts w:hint="eastAsia"/>
          <w:lang w:eastAsia="zh-CN"/>
        </w:rPr>
        <w:t>，</w:t>
      </w:r>
      <w:r w:rsidRPr="00EE7B8A">
        <w:rPr>
          <w:lang w:eastAsia="zh-CN"/>
        </w:rPr>
        <w:t>2024</w:t>
      </w:r>
      <w:r w:rsidRPr="00996FD6">
        <w:rPr>
          <w:rFonts w:hint="eastAsia"/>
          <w:lang w:eastAsia="zh-CN"/>
        </w:rPr>
        <w:t>年</w:t>
      </w:r>
      <w:r w:rsidRPr="00EE7B8A">
        <w:rPr>
          <w:lang w:eastAsia="zh-CN"/>
        </w:rPr>
        <w:t>BDT</w:t>
      </w:r>
      <w:r>
        <w:rPr>
          <w:rFonts w:hint="eastAsia"/>
          <w:lang w:eastAsia="zh-CN"/>
        </w:rPr>
        <w:t>的结构调整是</w:t>
      </w:r>
      <w:r w:rsidR="00996FD6" w:rsidRPr="00996FD6">
        <w:rPr>
          <w:rFonts w:hint="eastAsia"/>
          <w:lang w:eastAsia="zh-CN"/>
        </w:rPr>
        <w:t>一</w:t>
      </w:r>
      <w:r w:rsidR="005E2856">
        <w:rPr>
          <w:rFonts w:hint="eastAsia"/>
          <w:lang w:eastAsia="zh-CN"/>
        </w:rPr>
        <w:t>个</w:t>
      </w:r>
      <w:r w:rsidR="00996FD6" w:rsidRPr="00996FD6">
        <w:rPr>
          <w:rFonts w:hint="eastAsia"/>
          <w:lang w:eastAsia="zh-CN"/>
        </w:rPr>
        <w:t>关键的</w:t>
      </w:r>
      <w:r w:rsidR="005E2856" w:rsidRPr="005E2856">
        <w:rPr>
          <w:rFonts w:hint="eastAsia"/>
          <w:lang w:eastAsia="zh-CN"/>
        </w:rPr>
        <w:t>机构里程碑</w:t>
      </w:r>
      <w:r>
        <w:rPr>
          <w:rFonts w:hint="eastAsia"/>
          <w:lang w:eastAsia="zh-CN"/>
        </w:rPr>
        <w:t>。</w:t>
      </w:r>
      <w:r w:rsidR="004E7D54">
        <w:rPr>
          <w:rFonts w:hint="eastAsia"/>
          <w:lang w:eastAsia="zh-CN"/>
        </w:rPr>
        <w:t>此次</w:t>
      </w:r>
      <w:r w:rsidR="00996FD6" w:rsidRPr="00996FD6">
        <w:rPr>
          <w:rFonts w:hint="eastAsia"/>
          <w:lang w:eastAsia="zh-CN"/>
        </w:rPr>
        <w:t>改革在</w:t>
      </w:r>
      <w:r w:rsidRPr="00EE7B8A">
        <w:rPr>
          <w:lang w:eastAsia="zh-CN"/>
        </w:rPr>
        <w:t>BDT</w:t>
      </w:r>
      <w:r w:rsidR="00996FD6" w:rsidRPr="00996FD6">
        <w:rPr>
          <w:rFonts w:hint="eastAsia"/>
          <w:lang w:eastAsia="zh-CN"/>
        </w:rPr>
        <w:t>内设立了一个专门</w:t>
      </w:r>
      <w:r w:rsidR="005E2856">
        <w:rPr>
          <w:rFonts w:hint="eastAsia"/>
          <w:lang w:eastAsia="zh-CN"/>
        </w:rPr>
        <w:t>的</w:t>
      </w:r>
      <w:r w:rsidR="00401611">
        <w:rPr>
          <w:rFonts w:hint="eastAsia"/>
          <w:lang w:eastAsia="zh-CN"/>
        </w:rPr>
        <w:t>处室</w:t>
      </w:r>
      <w:r>
        <w:rPr>
          <w:rFonts w:hint="eastAsia"/>
          <w:lang w:eastAsia="zh-CN"/>
        </w:rPr>
        <w:t>，</w:t>
      </w:r>
      <w:r w:rsidR="005E2856">
        <w:rPr>
          <w:rFonts w:hint="eastAsia"/>
          <w:lang w:eastAsia="zh-CN"/>
        </w:rPr>
        <w:t>旨在</w:t>
      </w:r>
      <w:r w:rsidR="00996FD6" w:rsidRPr="00996FD6">
        <w:rPr>
          <w:rFonts w:hint="eastAsia"/>
          <w:lang w:eastAsia="zh-CN"/>
        </w:rPr>
        <w:t>在数字发展</w:t>
      </w:r>
      <w:r w:rsidR="00401611">
        <w:rPr>
          <w:rFonts w:hint="eastAsia"/>
          <w:lang w:eastAsia="zh-CN"/>
        </w:rPr>
        <w:t>的各个</w:t>
      </w:r>
      <w:r w:rsidR="005E2856">
        <w:rPr>
          <w:rFonts w:hint="eastAsia"/>
          <w:lang w:eastAsia="zh-CN"/>
        </w:rPr>
        <w:t>领域</w:t>
      </w:r>
      <w:r w:rsidR="00996FD6" w:rsidRPr="00996FD6">
        <w:rPr>
          <w:rFonts w:hint="eastAsia"/>
          <w:lang w:eastAsia="zh-CN"/>
        </w:rPr>
        <w:t>向有</w:t>
      </w:r>
      <w:r w:rsidR="00ED368D">
        <w:rPr>
          <w:rFonts w:hint="eastAsia"/>
          <w:lang w:eastAsia="zh-CN"/>
        </w:rPr>
        <w:t>具体需求的</w:t>
      </w:r>
      <w:r w:rsidR="00996FD6" w:rsidRPr="00996FD6">
        <w:rPr>
          <w:rFonts w:hint="eastAsia"/>
          <w:lang w:eastAsia="zh-CN"/>
        </w:rPr>
        <w:t>国家提供协调</w:t>
      </w:r>
      <w:r w:rsidR="00ED368D">
        <w:rPr>
          <w:rFonts w:hint="eastAsia"/>
          <w:lang w:eastAsia="zh-CN"/>
        </w:rPr>
        <w:t>一致且</w:t>
      </w:r>
      <w:r w:rsidR="00996FD6" w:rsidRPr="00996FD6">
        <w:rPr>
          <w:rFonts w:hint="eastAsia"/>
          <w:lang w:eastAsia="zh-CN"/>
        </w:rPr>
        <w:t>有针对性的援助</w:t>
      </w:r>
      <w:r w:rsidR="00ED368D">
        <w:rPr>
          <w:rFonts w:hint="eastAsia"/>
          <w:lang w:eastAsia="zh-CN"/>
        </w:rPr>
        <w:t>。</w:t>
      </w:r>
      <w:r w:rsidR="00996FD6" w:rsidRPr="00996FD6">
        <w:rPr>
          <w:rFonts w:hint="eastAsia"/>
          <w:lang w:eastAsia="zh-CN"/>
        </w:rPr>
        <w:t>作为这一强化框架的一部分</w:t>
      </w:r>
      <w:r w:rsidR="00ED368D">
        <w:rPr>
          <w:rFonts w:hint="eastAsia"/>
          <w:lang w:eastAsia="zh-CN"/>
        </w:rPr>
        <w:t>，</w:t>
      </w:r>
      <w:r w:rsidR="00ED368D" w:rsidRPr="00EE7B8A">
        <w:rPr>
          <w:lang w:eastAsia="zh-CN"/>
        </w:rPr>
        <w:t>BDT</w:t>
      </w:r>
      <w:r w:rsidR="00761E3E">
        <w:rPr>
          <w:rFonts w:hint="eastAsia"/>
          <w:lang w:eastAsia="zh-CN"/>
        </w:rPr>
        <w:t>近期</w:t>
      </w:r>
      <w:r w:rsidR="00996FD6" w:rsidRPr="00996FD6">
        <w:rPr>
          <w:rFonts w:hint="eastAsia"/>
          <w:lang w:eastAsia="zh-CN"/>
        </w:rPr>
        <w:t>任命</w:t>
      </w:r>
      <w:r w:rsidR="00761E3E">
        <w:rPr>
          <w:rFonts w:hint="eastAsia"/>
          <w:lang w:eastAsia="zh-CN"/>
        </w:rPr>
        <w:t>了</w:t>
      </w:r>
      <w:proofErr w:type="spellStart"/>
      <w:r w:rsidR="003E6DEA" w:rsidRPr="00EE7B8A">
        <w:rPr>
          <w:lang w:eastAsia="zh-CN"/>
        </w:rPr>
        <w:t>LDC</w:t>
      </w:r>
      <w:proofErr w:type="spellEnd"/>
      <w:r w:rsidR="003E6DEA">
        <w:rPr>
          <w:rFonts w:hint="eastAsia"/>
          <w:lang w:eastAsia="zh-CN"/>
        </w:rPr>
        <w:t>、</w:t>
      </w:r>
      <w:proofErr w:type="spellStart"/>
      <w:r w:rsidR="003E6DEA" w:rsidRPr="00EE7B8A">
        <w:rPr>
          <w:lang w:eastAsia="zh-CN"/>
        </w:rPr>
        <w:t>LLDC</w:t>
      </w:r>
      <w:proofErr w:type="spellEnd"/>
      <w:r w:rsidR="003E6DEA">
        <w:rPr>
          <w:rFonts w:hint="eastAsia"/>
          <w:lang w:eastAsia="zh-CN"/>
        </w:rPr>
        <w:t>和</w:t>
      </w:r>
      <w:r w:rsidR="003E6DEA" w:rsidRPr="00EE7B8A">
        <w:rPr>
          <w:lang w:eastAsia="zh-CN"/>
        </w:rPr>
        <w:t>SIDS</w:t>
      </w:r>
      <w:r w:rsidR="003E6DEA">
        <w:rPr>
          <w:rFonts w:hint="eastAsia"/>
          <w:lang w:eastAsia="zh-CN"/>
        </w:rPr>
        <w:t>（</w:t>
      </w:r>
      <w:r w:rsidR="003E6DEA" w:rsidRPr="00EE7B8A">
        <w:rPr>
          <w:lang w:eastAsia="zh-CN"/>
        </w:rPr>
        <w:t>LLS</w:t>
      </w:r>
      <w:r w:rsidR="003E6DEA">
        <w:rPr>
          <w:rFonts w:hint="eastAsia"/>
          <w:lang w:eastAsia="zh-CN"/>
        </w:rPr>
        <w:t>）</w:t>
      </w:r>
      <w:r w:rsidR="004E7D54">
        <w:rPr>
          <w:rFonts w:hint="eastAsia"/>
          <w:lang w:eastAsia="zh-CN"/>
        </w:rPr>
        <w:t>事务</w:t>
      </w:r>
      <w:r w:rsidR="003E6DEA">
        <w:rPr>
          <w:rFonts w:hint="eastAsia"/>
          <w:lang w:eastAsia="zh-CN"/>
        </w:rPr>
        <w:t>处</w:t>
      </w:r>
      <w:r w:rsidR="00996FD6" w:rsidRPr="00996FD6">
        <w:rPr>
          <w:rFonts w:hint="eastAsia"/>
          <w:lang w:eastAsia="zh-CN"/>
        </w:rPr>
        <w:t>的负责人</w:t>
      </w:r>
      <w:r w:rsidR="003E6DEA">
        <w:rPr>
          <w:rFonts w:hint="eastAsia"/>
          <w:lang w:eastAsia="zh-CN"/>
        </w:rPr>
        <w:t>，</w:t>
      </w:r>
      <w:r w:rsidR="00996FD6" w:rsidRPr="00996FD6">
        <w:rPr>
          <w:rFonts w:hint="eastAsia"/>
          <w:lang w:eastAsia="zh-CN"/>
        </w:rPr>
        <w:t>进一步</w:t>
      </w:r>
      <w:r w:rsidR="00761E3E">
        <w:rPr>
          <w:rFonts w:hint="eastAsia"/>
          <w:lang w:eastAsia="zh-CN"/>
        </w:rPr>
        <w:t>提升</w:t>
      </w:r>
      <w:r w:rsidR="00996FD6" w:rsidRPr="00996FD6">
        <w:rPr>
          <w:rFonts w:hint="eastAsia"/>
          <w:lang w:eastAsia="zh-CN"/>
        </w:rPr>
        <w:t>了其运作能力</w:t>
      </w:r>
      <w:r w:rsidR="003E6DEA">
        <w:rPr>
          <w:rFonts w:hint="eastAsia"/>
          <w:lang w:eastAsia="zh-CN"/>
        </w:rPr>
        <w:t>，</w:t>
      </w:r>
      <w:r w:rsidR="004E7D54">
        <w:rPr>
          <w:rFonts w:hint="eastAsia"/>
          <w:lang w:eastAsia="zh-CN"/>
        </w:rPr>
        <w:t>从而</w:t>
      </w:r>
      <w:r w:rsidR="00761E3E">
        <w:rPr>
          <w:rFonts w:hint="eastAsia"/>
          <w:lang w:eastAsia="zh-CN"/>
        </w:rPr>
        <w:t>加强</w:t>
      </w:r>
      <w:r w:rsidR="00996FD6" w:rsidRPr="00996FD6">
        <w:rPr>
          <w:rFonts w:hint="eastAsia"/>
          <w:lang w:eastAsia="zh-CN"/>
        </w:rPr>
        <w:t>了战略监督</w:t>
      </w:r>
      <w:r w:rsidR="003E6DEA">
        <w:rPr>
          <w:rFonts w:hint="eastAsia"/>
          <w:lang w:eastAsia="zh-CN"/>
        </w:rPr>
        <w:t>，</w:t>
      </w:r>
      <w:r w:rsidR="00996FD6" w:rsidRPr="00996FD6">
        <w:rPr>
          <w:rFonts w:hint="eastAsia"/>
          <w:lang w:eastAsia="zh-CN"/>
        </w:rPr>
        <w:t>提高了项目交付的</w:t>
      </w:r>
      <w:r w:rsidR="004E7D54">
        <w:rPr>
          <w:rFonts w:hint="eastAsia"/>
          <w:lang w:eastAsia="zh-CN"/>
        </w:rPr>
        <w:t>成效</w:t>
      </w:r>
      <w:r w:rsidR="003E6DEA" w:rsidRPr="00D3362A">
        <w:rPr>
          <w:rFonts w:hint="eastAsia"/>
          <w:lang w:eastAsia="zh-CN"/>
        </w:rPr>
        <w:t>。</w:t>
      </w:r>
    </w:p>
    <w:p w14:paraId="3EA8146B" w14:textId="0CD35C2F" w:rsidR="00EE7B8A" w:rsidRPr="00EE7B8A" w:rsidRDefault="003D4081" w:rsidP="00EE7B8A">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lang w:eastAsia="zh-CN"/>
        </w:rPr>
      </w:pPr>
      <w:r w:rsidRPr="00996FD6">
        <w:rPr>
          <w:rFonts w:ascii="SimSun" w:hAnsi="SimSun" w:cs="SimSun" w:hint="eastAsia"/>
          <w:lang w:eastAsia="zh-CN"/>
        </w:rPr>
        <w:lastRenderedPageBreak/>
        <w:t>数字平台和信息生态系统</w:t>
      </w:r>
      <w:r w:rsidR="002F67EA" w:rsidRPr="00996FD6">
        <w:rPr>
          <w:rFonts w:ascii="SimSun" w:hAnsi="SimSun" w:cs="SimSun" w:hint="eastAsia"/>
          <w:lang w:eastAsia="zh-CN"/>
        </w:rPr>
        <w:t>促进包容性</w:t>
      </w:r>
      <w:r w:rsidR="002F67EA" w:rsidRPr="00EE7B8A">
        <w:rPr>
          <w:rFonts w:eastAsia="Times New Roman"/>
          <w:lang w:eastAsia="zh-CN"/>
        </w:rPr>
        <w:t>ICT</w:t>
      </w:r>
      <w:r w:rsidR="002F67EA" w:rsidRPr="00996FD6">
        <w:rPr>
          <w:rFonts w:ascii="SimSun" w:hAnsi="SimSun" w:cs="SimSun" w:hint="eastAsia"/>
          <w:lang w:eastAsia="zh-CN"/>
        </w:rPr>
        <w:t>发展</w:t>
      </w:r>
    </w:p>
    <w:p w14:paraId="51242B6E" w14:textId="23C79CF2" w:rsidR="00EE7B8A" w:rsidRPr="00EE7B8A" w:rsidRDefault="00996FD6"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96FD6">
        <w:rPr>
          <w:rFonts w:hint="eastAsia"/>
          <w:lang w:eastAsia="zh-CN"/>
        </w:rPr>
        <w:t>国际电联的数字平台在</w:t>
      </w:r>
      <w:r w:rsidR="00761E3E">
        <w:rPr>
          <w:rFonts w:hint="eastAsia"/>
          <w:lang w:eastAsia="zh-CN"/>
        </w:rPr>
        <w:t>促进</w:t>
      </w:r>
      <w:r w:rsidRPr="00996FD6">
        <w:rPr>
          <w:rFonts w:hint="eastAsia"/>
          <w:lang w:eastAsia="zh-CN"/>
        </w:rPr>
        <w:t>信息获取</w:t>
      </w:r>
      <w:r w:rsidR="00761E3E">
        <w:rPr>
          <w:rFonts w:hint="eastAsia"/>
          <w:lang w:eastAsia="zh-CN"/>
        </w:rPr>
        <w:t>、</w:t>
      </w:r>
      <w:r w:rsidRPr="00996FD6">
        <w:rPr>
          <w:rFonts w:hint="eastAsia"/>
          <w:lang w:eastAsia="zh-CN"/>
        </w:rPr>
        <w:t>加强协调</w:t>
      </w:r>
      <w:r w:rsidR="002F67EA">
        <w:rPr>
          <w:rFonts w:hint="eastAsia"/>
          <w:lang w:eastAsia="zh-CN"/>
        </w:rPr>
        <w:t>以及</w:t>
      </w:r>
      <w:r w:rsidRPr="00996FD6">
        <w:rPr>
          <w:rFonts w:hint="eastAsia"/>
          <w:lang w:eastAsia="zh-CN"/>
        </w:rPr>
        <w:t>支持循证决策</w:t>
      </w:r>
      <w:r w:rsidR="002F67EA" w:rsidRPr="00996FD6">
        <w:rPr>
          <w:rFonts w:hint="eastAsia"/>
          <w:lang w:eastAsia="zh-CN"/>
        </w:rPr>
        <w:t>方面发挥着关键作用</w:t>
      </w:r>
      <w:r w:rsidR="00EB08F3">
        <w:rPr>
          <w:rFonts w:hint="eastAsia"/>
          <w:lang w:eastAsia="zh-CN"/>
        </w:rPr>
        <w:t>，助力</w:t>
      </w:r>
      <w:proofErr w:type="spellStart"/>
      <w:r w:rsidR="00761E3E" w:rsidRPr="00EE7B8A">
        <w:rPr>
          <w:lang w:eastAsia="zh-CN"/>
        </w:rPr>
        <w:t>LDC</w:t>
      </w:r>
      <w:proofErr w:type="spellEnd"/>
      <w:r w:rsidR="00761E3E">
        <w:rPr>
          <w:rFonts w:hint="eastAsia"/>
          <w:lang w:eastAsia="zh-CN"/>
        </w:rPr>
        <w:t>、</w:t>
      </w:r>
      <w:proofErr w:type="spellStart"/>
      <w:r w:rsidR="00761E3E" w:rsidRPr="00EE7B8A">
        <w:rPr>
          <w:lang w:eastAsia="zh-CN"/>
        </w:rPr>
        <w:t>LLDC</w:t>
      </w:r>
      <w:proofErr w:type="spellEnd"/>
      <w:r w:rsidR="00761E3E">
        <w:rPr>
          <w:rFonts w:hint="eastAsia"/>
          <w:lang w:eastAsia="zh-CN"/>
        </w:rPr>
        <w:t>和</w:t>
      </w:r>
      <w:r w:rsidR="00761E3E" w:rsidRPr="00EE7B8A">
        <w:rPr>
          <w:lang w:eastAsia="zh-CN"/>
        </w:rPr>
        <w:t>SIDS</w:t>
      </w:r>
      <w:r w:rsidR="00EB08F3">
        <w:rPr>
          <w:rFonts w:hint="eastAsia"/>
          <w:lang w:eastAsia="zh-CN"/>
        </w:rPr>
        <w:t>实现</w:t>
      </w:r>
      <w:r w:rsidRPr="00996FD6">
        <w:rPr>
          <w:rFonts w:hint="eastAsia"/>
          <w:lang w:eastAsia="zh-CN"/>
        </w:rPr>
        <w:t>包容性数字化转型</w:t>
      </w:r>
      <w:r w:rsidR="00761E3E">
        <w:rPr>
          <w:rFonts w:hint="eastAsia"/>
          <w:lang w:eastAsia="zh-CN"/>
        </w:rPr>
        <w:t>。</w:t>
      </w:r>
      <w:r w:rsidRPr="00996FD6">
        <w:rPr>
          <w:rFonts w:hint="eastAsia"/>
          <w:lang w:eastAsia="zh-CN"/>
        </w:rPr>
        <w:t>由</w:t>
      </w:r>
      <w:r w:rsidR="00761E3E" w:rsidRPr="00EE7B8A">
        <w:rPr>
          <w:lang w:eastAsia="zh-CN"/>
        </w:rPr>
        <w:t>BDT</w:t>
      </w:r>
      <w:r w:rsidRPr="00996FD6">
        <w:rPr>
          <w:rFonts w:hint="eastAsia"/>
          <w:lang w:eastAsia="zh-CN"/>
        </w:rPr>
        <w:t>管理的网页</w:t>
      </w:r>
      <w:r w:rsidR="00761E3E">
        <w:rPr>
          <w:rStyle w:val="FootnoteReference"/>
          <w:lang w:eastAsia="zh-CN"/>
        </w:rPr>
        <w:footnoteReference w:id="1"/>
      </w:r>
      <w:r w:rsidR="00EB08F3">
        <w:rPr>
          <w:rFonts w:hint="eastAsia"/>
          <w:lang w:eastAsia="zh-CN"/>
        </w:rPr>
        <w:t>作为</w:t>
      </w:r>
      <w:r w:rsidRPr="00996FD6">
        <w:rPr>
          <w:rFonts w:hint="eastAsia"/>
          <w:lang w:eastAsia="zh-CN"/>
        </w:rPr>
        <w:t>数据</w:t>
      </w:r>
      <w:r w:rsidR="00761E3E">
        <w:rPr>
          <w:rFonts w:hint="eastAsia"/>
          <w:lang w:eastAsia="zh-CN"/>
        </w:rPr>
        <w:t>、</w:t>
      </w:r>
      <w:r w:rsidRPr="00996FD6">
        <w:rPr>
          <w:rFonts w:hint="eastAsia"/>
          <w:lang w:eastAsia="zh-CN"/>
        </w:rPr>
        <w:t>资源</w:t>
      </w:r>
      <w:r w:rsidR="00EB08F3">
        <w:rPr>
          <w:rFonts w:hint="eastAsia"/>
          <w:lang w:eastAsia="zh-CN"/>
        </w:rPr>
        <w:t>以及</w:t>
      </w:r>
      <w:r w:rsidR="00761E3E">
        <w:rPr>
          <w:rFonts w:hint="eastAsia"/>
          <w:lang w:eastAsia="zh-CN"/>
        </w:rPr>
        <w:t>正在开展的</w:t>
      </w:r>
      <w:r w:rsidR="00EB08F3">
        <w:rPr>
          <w:rFonts w:hint="eastAsia"/>
          <w:lang w:eastAsia="zh-CN"/>
        </w:rPr>
        <w:t>各项</w:t>
      </w:r>
      <w:r w:rsidRPr="00996FD6">
        <w:rPr>
          <w:rFonts w:hint="eastAsia"/>
          <w:lang w:eastAsia="zh-CN"/>
        </w:rPr>
        <w:t>举措的集中</w:t>
      </w:r>
      <w:r w:rsidR="00761E3E" w:rsidRPr="00761E3E">
        <w:rPr>
          <w:rFonts w:hint="eastAsia"/>
          <w:lang w:eastAsia="zh-CN"/>
        </w:rPr>
        <w:t>资料库</w:t>
      </w:r>
      <w:r w:rsidR="00761E3E">
        <w:rPr>
          <w:rFonts w:hint="eastAsia"/>
          <w:lang w:eastAsia="zh-CN"/>
        </w:rPr>
        <w:t>，</w:t>
      </w:r>
      <w:r w:rsidRPr="00996FD6">
        <w:rPr>
          <w:rFonts w:hint="eastAsia"/>
          <w:lang w:eastAsia="zh-CN"/>
        </w:rPr>
        <w:t>并定期更新</w:t>
      </w:r>
      <w:r w:rsidR="00EB08F3">
        <w:rPr>
          <w:rFonts w:hint="eastAsia"/>
          <w:lang w:eastAsia="zh-CN"/>
        </w:rPr>
        <w:t>，</w:t>
      </w:r>
      <w:r w:rsidRPr="00996FD6">
        <w:rPr>
          <w:rFonts w:hint="eastAsia"/>
          <w:lang w:eastAsia="zh-CN"/>
        </w:rPr>
        <w:t>以确保及时</w:t>
      </w:r>
      <w:r w:rsidR="00EB08F3">
        <w:rPr>
          <w:rFonts w:hint="eastAsia"/>
          <w:lang w:eastAsia="zh-CN"/>
        </w:rPr>
        <w:t>分发</w:t>
      </w:r>
      <w:r w:rsidRPr="00996FD6">
        <w:rPr>
          <w:rFonts w:hint="eastAsia"/>
          <w:lang w:eastAsia="zh-CN"/>
        </w:rPr>
        <w:t>相关出版物</w:t>
      </w:r>
      <w:r w:rsidR="00761E3E">
        <w:rPr>
          <w:rFonts w:hint="eastAsia"/>
          <w:lang w:eastAsia="zh-CN"/>
        </w:rPr>
        <w:t>、</w:t>
      </w:r>
      <w:r w:rsidRPr="00996FD6">
        <w:rPr>
          <w:rFonts w:hint="eastAsia"/>
          <w:lang w:eastAsia="zh-CN"/>
        </w:rPr>
        <w:t>项目输出成果和国别资料</w:t>
      </w:r>
      <w:r w:rsidR="00761E3E">
        <w:rPr>
          <w:rFonts w:hint="eastAsia"/>
          <w:lang w:eastAsia="zh-CN"/>
        </w:rPr>
        <w:t>。该网页</w:t>
      </w:r>
      <w:r w:rsidR="00EB08F3">
        <w:rPr>
          <w:rFonts w:hint="eastAsia"/>
          <w:lang w:eastAsia="zh-CN"/>
        </w:rPr>
        <w:t>重点</w:t>
      </w:r>
      <w:r w:rsidR="00761E3E">
        <w:rPr>
          <w:rFonts w:hint="eastAsia"/>
          <w:lang w:eastAsia="zh-CN"/>
        </w:rPr>
        <w:t>突出</w:t>
      </w:r>
      <w:r w:rsidRPr="00996FD6">
        <w:rPr>
          <w:rFonts w:hint="eastAsia"/>
          <w:lang w:eastAsia="zh-CN"/>
        </w:rPr>
        <w:t>了</w:t>
      </w:r>
      <w:r w:rsidR="00EB08F3">
        <w:rPr>
          <w:rFonts w:hint="eastAsia"/>
          <w:lang w:eastAsia="zh-CN"/>
        </w:rPr>
        <w:t>几个</w:t>
      </w:r>
      <w:r w:rsidRPr="00996FD6">
        <w:rPr>
          <w:rFonts w:hint="eastAsia"/>
          <w:lang w:eastAsia="zh-CN"/>
        </w:rPr>
        <w:t>关键的优先领域</w:t>
      </w:r>
      <w:r w:rsidR="00761E3E">
        <w:rPr>
          <w:rFonts w:hint="eastAsia"/>
          <w:lang w:eastAsia="zh-CN"/>
        </w:rPr>
        <w:t>，</w:t>
      </w:r>
      <w:r w:rsidRPr="00996FD6">
        <w:rPr>
          <w:rFonts w:hint="eastAsia"/>
          <w:lang w:eastAsia="zh-CN"/>
        </w:rPr>
        <w:t>包括数字包容性</w:t>
      </w:r>
      <w:r w:rsidR="00761E3E">
        <w:rPr>
          <w:rFonts w:hint="eastAsia"/>
          <w:lang w:eastAsia="zh-CN"/>
        </w:rPr>
        <w:t>、</w:t>
      </w:r>
      <w:r w:rsidRPr="00996FD6">
        <w:rPr>
          <w:rFonts w:hint="eastAsia"/>
          <w:lang w:eastAsia="zh-CN"/>
        </w:rPr>
        <w:t>基础设施发展</w:t>
      </w:r>
      <w:r w:rsidR="00761E3E">
        <w:rPr>
          <w:rFonts w:hint="eastAsia"/>
          <w:lang w:eastAsia="zh-CN"/>
        </w:rPr>
        <w:t>、</w:t>
      </w:r>
      <w:r w:rsidRPr="00996FD6">
        <w:rPr>
          <w:rFonts w:hint="eastAsia"/>
          <w:lang w:eastAsia="zh-CN"/>
        </w:rPr>
        <w:t>能力建设和政策支持</w:t>
      </w:r>
      <w:r w:rsidR="00761E3E">
        <w:rPr>
          <w:rFonts w:hint="eastAsia"/>
          <w:lang w:eastAsia="zh-CN"/>
        </w:rPr>
        <w:t>，</w:t>
      </w:r>
      <w:r w:rsidRPr="00996FD6">
        <w:rPr>
          <w:rFonts w:hint="eastAsia"/>
          <w:lang w:eastAsia="zh-CN"/>
        </w:rPr>
        <w:t>从而促进知识共享和利益攸关方的参与</w:t>
      </w:r>
      <w:r w:rsidR="00761E3E" w:rsidRPr="0098174A">
        <w:rPr>
          <w:rFonts w:hint="eastAsia"/>
          <w:lang w:eastAsia="zh-CN"/>
        </w:rPr>
        <w:t>。</w:t>
      </w:r>
    </w:p>
    <w:p w14:paraId="73A2FDA3" w14:textId="2114CE85" w:rsidR="00EE7B8A" w:rsidRPr="00EE7B8A" w:rsidRDefault="00996FD6"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96FD6">
        <w:rPr>
          <w:rFonts w:hint="eastAsia"/>
          <w:lang w:eastAsia="zh-CN"/>
        </w:rPr>
        <w:t>除此之外</w:t>
      </w:r>
      <w:r w:rsidR="00F44BB0">
        <w:rPr>
          <w:rFonts w:hint="eastAsia"/>
          <w:lang w:eastAsia="zh-CN"/>
        </w:rPr>
        <w:t>，</w:t>
      </w:r>
      <w:r w:rsidRPr="00996FD6">
        <w:rPr>
          <w:rFonts w:hint="eastAsia"/>
          <w:lang w:eastAsia="zh-CN"/>
        </w:rPr>
        <w:t>国际电联更广泛的数字平台</w:t>
      </w:r>
      <w:r w:rsidR="00AF77D8">
        <w:rPr>
          <w:rFonts w:hint="eastAsia"/>
          <w:lang w:eastAsia="zh-CN"/>
        </w:rPr>
        <w:t>体系</w:t>
      </w:r>
      <w:r w:rsidRPr="00996FD6">
        <w:rPr>
          <w:rFonts w:hint="eastAsia"/>
          <w:lang w:eastAsia="zh-CN"/>
        </w:rPr>
        <w:t>进一步加强了透明度</w:t>
      </w:r>
      <w:r w:rsidR="00F44BB0">
        <w:rPr>
          <w:rFonts w:hint="eastAsia"/>
          <w:lang w:eastAsia="zh-CN"/>
        </w:rPr>
        <w:t>、</w:t>
      </w:r>
      <w:r w:rsidRPr="00996FD6">
        <w:rPr>
          <w:rFonts w:hint="eastAsia"/>
          <w:lang w:eastAsia="zh-CN"/>
        </w:rPr>
        <w:t>协调</w:t>
      </w:r>
      <w:r w:rsidR="00AF77D8">
        <w:rPr>
          <w:rFonts w:hint="eastAsia"/>
          <w:lang w:eastAsia="zh-CN"/>
        </w:rPr>
        <w:t>性</w:t>
      </w:r>
      <w:r w:rsidRPr="00996FD6">
        <w:rPr>
          <w:rFonts w:hint="eastAsia"/>
          <w:lang w:eastAsia="zh-CN"/>
        </w:rPr>
        <w:t>和利益攸关多方协作</w:t>
      </w:r>
      <w:r w:rsidR="00F44BB0">
        <w:rPr>
          <w:rFonts w:hint="eastAsia"/>
          <w:lang w:eastAsia="zh-CN"/>
        </w:rPr>
        <w:t>。</w:t>
      </w:r>
      <w:r w:rsidRPr="00996FD6">
        <w:rPr>
          <w:rFonts w:hint="eastAsia"/>
          <w:lang w:eastAsia="zh-CN"/>
        </w:rPr>
        <w:t>特别是</w:t>
      </w:r>
      <w:r w:rsidR="00F44BB0">
        <w:rPr>
          <w:rFonts w:hint="eastAsia"/>
          <w:lang w:eastAsia="zh-CN"/>
        </w:rPr>
        <w:t>，</w:t>
      </w:r>
      <w:r w:rsidR="00AF77D8">
        <w:rPr>
          <w:rFonts w:hint="eastAsia"/>
          <w:lang w:eastAsia="zh-CN"/>
        </w:rPr>
        <w:t>“</w:t>
      </w:r>
      <w:proofErr w:type="spellStart"/>
      <w:r w:rsidR="00AF77D8" w:rsidRPr="00EE7B8A">
        <w:rPr>
          <w:lang w:eastAsia="zh-CN"/>
        </w:rPr>
        <w:t>P2C</w:t>
      </w:r>
      <w:proofErr w:type="spellEnd"/>
      <w:r w:rsidR="00AF77D8" w:rsidRPr="00996FD6">
        <w:rPr>
          <w:rFonts w:hint="eastAsia"/>
          <w:lang w:eastAsia="zh-CN"/>
        </w:rPr>
        <w:t>数字联盟</w:t>
      </w:r>
      <w:r w:rsidR="00AF77D8">
        <w:rPr>
          <w:rFonts w:hint="eastAsia"/>
          <w:lang w:eastAsia="zh-CN"/>
        </w:rPr>
        <w:t>”</w:t>
      </w:r>
      <w:r w:rsidRPr="00996FD6">
        <w:rPr>
          <w:rFonts w:hint="eastAsia"/>
          <w:lang w:eastAsia="zh-CN"/>
        </w:rPr>
        <w:t>平台提供</w:t>
      </w:r>
      <w:r w:rsidR="00AF77D8" w:rsidRPr="00996FD6">
        <w:rPr>
          <w:rFonts w:hint="eastAsia"/>
          <w:lang w:eastAsia="zh-CN"/>
        </w:rPr>
        <w:t>全面</w:t>
      </w:r>
      <w:r w:rsidR="00AF77D8">
        <w:rPr>
          <w:rFonts w:hint="eastAsia"/>
          <w:lang w:eastAsia="zh-CN"/>
        </w:rPr>
        <w:t>且</w:t>
      </w:r>
      <w:r w:rsidR="00AF77D8" w:rsidRPr="00996FD6">
        <w:rPr>
          <w:rFonts w:hint="eastAsia"/>
          <w:lang w:eastAsia="zh-CN"/>
        </w:rPr>
        <w:t>定期更新</w:t>
      </w:r>
      <w:r w:rsidR="00AF77D8">
        <w:rPr>
          <w:rFonts w:hint="eastAsia"/>
          <w:lang w:eastAsia="zh-CN"/>
        </w:rPr>
        <w:t>的</w:t>
      </w:r>
      <w:r w:rsidR="00AF77D8" w:rsidRPr="00996FD6">
        <w:rPr>
          <w:rFonts w:hint="eastAsia"/>
          <w:lang w:eastAsia="zh-CN"/>
        </w:rPr>
        <w:t>信息</w:t>
      </w:r>
      <w:r w:rsidR="00AF77D8">
        <w:rPr>
          <w:rFonts w:hint="eastAsia"/>
          <w:lang w:eastAsia="zh-CN"/>
        </w:rPr>
        <w:t>，涵盖</w:t>
      </w:r>
      <w:r w:rsidRPr="00996FD6">
        <w:rPr>
          <w:rFonts w:hint="eastAsia"/>
          <w:lang w:eastAsia="zh-CN"/>
        </w:rPr>
        <w:t>自愿认捐</w:t>
      </w:r>
      <w:r w:rsidR="00F44BB0">
        <w:rPr>
          <w:rFonts w:hint="eastAsia"/>
          <w:lang w:eastAsia="zh-CN"/>
        </w:rPr>
        <w:t>、</w:t>
      </w:r>
      <w:r w:rsidRPr="00996FD6">
        <w:rPr>
          <w:rFonts w:hint="eastAsia"/>
          <w:lang w:eastAsia="zh-CN"/>
        </w:rPr>
        <w:t>伙伴关系和资源筹措工作</w:t>
      </w:r>
      <w:r w:rsidR="00304129">
        <w:rPr>
          <w:rFonts w:hint="eastAsia"/>
          <w:lang w:eastAsia="zh-CN"/>
        </w:rPr>
        <w:t>，</w:t>
      </w:r>
      <w:r w:rsidRPr="00996FD6">
        <w:rPr>
          <w:rFonts w:hint="eastAsia"/>
          <w:lang w:eastAsia="zh-CN"/>
        </w:rPr>
        <w:t>这些</w:t>
      </w:r>
      <w:r w:rsidR="00304129">
        <w:rPr>
          <w:rFonts w:hint="eastAsia"/>
          <w:lang w:eastAsia="zh-CN"/>
        </w:rPr>
        <w:t>工作</w:t>
      </w:r>
      <w:r w:rsidRPr="00996FD6">
        <w:rPr>
          <w:rFonts w:hint="eastAsia"/>
          <w:lang w:eastAsia="zh-CN"/>
        </w:rPr>
        <w:t>有助于实现普遍和有意义的连接以及可持续的数字化转型</w:t>
      </w:r>
      <w:r w:rsidR="00304129">
        <w:rPr>
          <w:rFonts w:hint="eastAsia"/>
          <w:lang w:eastAsia="zh-CN"/>
        </w:rPr>
        <w:t>。</w:t>
      </w:r>
      <w:r w:rsidRPr="00996FD6">
        <w:rPr>
          <w:rFonts w:hint="eastAsia"/>
          <w:lang w:eastAsia="zh-CN"/>
        </w:rPr>
        <w:t>该平台</w:t>
      </w:r>
      <w:r w:rsidR="00736FFD">
        <w:rPr>
          <w:rFonts w:hint="eastAsia"/>
          <w:lang w:eastAsia="zh-CN"/>
        </w:rPr>
        <w:t>能够实现</w:t>
      </w:r>
      <w:r w:rsidR="00304129">
        <w:rPr>
          <w:rFonts w:hint="eastAsia"/>
          <w:lang w:eastAsia="zh-CN"/>
        </w:rPr>
        <w:t>对</w:t>
      </w:r>
      <w:proofErr w:type="spellStart"/>
      <w:r w:rsidR="00304129" w:rsidRPr="00EE7B8A">
        <w:rPr>
          <w:lang w:eastAsia="zh-CN"/>
        </w:rPr>
        <w:t>P2C</w:t>
      </w:r>
      <w:proofErr w:type="spellEnd"/>
      <w:r w:rsidRPr="00996FD6">
        <w:rPr>
          <w:rFonts w:hint="eastAsia"/>
          <w:lang w:eastAsia="zh-CN"/>
        </w:rPr>
        <w:t>四个重点领域的</w:t>
      </w:r>
      <w:r w:rsidR="00736FFD">
        <w:rPr>
          <w:rFonts w:hint="eastAsia"/>
          <w:lang w:eastAsia="zh-CN"/>
        </w:rPr>
        <w:t>各项</w:t>
      </w:r>
      <w:r w:rsidRPr="00996FD6">
        <w:rPr>
          <w:rFonts w:hint="eastAsia"/>
          <w:lang w:eastAsia="zh-CN"/>
        </w:rPr>
        <w:t>承诺</w:t>
      </w:r>
      <w:r w:rsidR="00736FFD">
        <w:rPr>
          <w:rFonts w:hint="eastAsia"/>
          <w:lang w:eastAsia="zh-CN"/>
        </w:rPr>
        <w:t>的</w:t>
      </w:r>
      <w:r w:rsidR="00304129">
        <w:rPr>
          <w:rFonts w:hint="eastAsia"/>
          <w:lang w:eastAsia="zh-CN"/>
        </w:rPr>
        <w:t>透明跟踪，</w:t>
      </w:r>
      <w:r w:rsidRPr="00996FD6">
        <w:rPr>
          <w:rFonts w:hint="eastAsia"/>
          <w:lang w:eastAsia="zh-CN"/>
        </w:rPr>
        <w:t>支持数字发展举措</w:t>
      </w:r>
      <w:r w:rsidR="00304129">
        <w:rPr>
          <w:rFonts w:hint="eastAsia"/>
          <w:lang w:eastAsia="zh-CN"/>
        </w:rPr>
        <w:t>的实施，</w:t>
      </w:r>
      <w:r w:rsidRPr="00996FD6">
        <w:rPr>
          <w:rFonts w:hint="eastAsia"/>
          <w:lang w:eastAsia="zh-CN"/>
        </w:rPr>
        <w:t>并特别关注</w:t>
      </w:r>
      <w:r w:rsidR="00304129" w:rsidRPr="00304129">
        <w:rPr>
          <w:rFonts w:hint="eastAsia"/>
          <w:lang w:eastAsia="zh-CN"/>
        </w:rPr>
        <w:t>服务欠缺</w:t>
      </w:r>
      <w:r w:rsidRPr="00996FD6">
        <w:rPr>
          <w:rFonts w:hint="eastAsia"/>
          <w:lang w:eastAsia="zh-CN"/>
        </w:rPr>
        <w:t>和难</w:t>
      </w:r>
      <w:r w:rsidRPr="00736FFD">
        <w:rPr>
          <w:rFonts w:hint="eastAsia"/>
          <w:lang w:eastAsia="zh-CN"/>
        </w:rPr>
        <w:t>以</w:t>
      </w:r>
      <w:r w:rsidR="00AF77D8" w:rsidRPr="00736FFD">
        <w:rPr>
          <w:rFonts w:hint="eastAsia"/>
          <w:lang w:eastAsia="zh-CN"/>
        </w:rPr>
        <w:t>实现</w:t>
      </w:r>
      <w:r w:rsidRPr="00736FFD">
        <w:rPr>
          <w:rFonts w:hint="eastAsia"/>
          <w:lang w:eastAsia="zh-CN"/>
        </w:rPr>
        <w:t>连</w:t>
      </w:r>
      <w:r w:rsidRPr="00996FD6">
        <w:rPr>
          <w:rFonts w:hint="eastAsia"/>
          <w:lang w:eastAsia="zh-CN"/>
        </w:rPr>
        <w:t>接的社区</w:t>
      </w:r>
      <w:r w:rsidR="00304129">
        <w:rPr>
          <w:rFonts w:hint="eastAsia"/>
          <w:lang w:eastAsia="zh-CN"/>
        </w:rPr>
        <w:t>，尤其</w:t>
      </w:r>
      <w:r w:rsidRPr="00996FD6">
        <w:rPr>
          <w:rFonts w:hint="eastAsia"/>
          <w:lang w:eastAsia="zh-CN"/>
        </w:rPr>
        <w:t>是在</w:t>
      </w:r>
      <w:proofErr w:type="spellStart"/>
      <w:r w:rsidR="00304129" w:rsidRPr="00EE7B8A">
        <w:rPr>
          <w:lang w:eastAsia="zh-CN"/>
        </w:rPr>
        <w:t>LDC</w:t>
      </w:r>
      <w:proofErr w:type="spellEnd"/>
      <w:r w:rsidR="00304129">
        <w:rPr>
          <w:rFonts w:hint="eastAsia"/>
          <w:lang w:eastAsia="zh-CN"/>
        </w:rPr>
        <w:t>、</w:t>
      </w:r>
      <w:proofErr w:type="spellStart"/>
      <w:r w:rsidR="00304129" w:rsidRPr="00EE7B8A">
        <w:rPr>
          <w:lang w:eastAsia="zh-CN"/>
        </w:rPr>
        <w:t>LLDC</w:t>
      </w:r>
      <w:proofErr w:type="spellEnd"/>
      <w:r w:rsidR="00304129">
        <w:rPr>
          <w:rFonts w:hint="eastAsia"/>
          <w:lang w:eastAsia="zh-CN"/>
        </w:rPr>
        <w:t>和</w:t>
      </w:r>
      <w:r w:rsidR="00304129" w:rsidRPr="00EE7B8A">
        <w:rPr>
          <w:lang w:eastAsia="zh-CN"/>
        </w:rPr>
        <w:t>SIDS</w:t>
      </w:r>
      <w:r w:rsidR="00304129">
        <w:rPr>
          <w:rFonts w:hint="eastAsia"/>
          <w:lang w:eastAsia="zh-CN"/>
        </w:rPr>
        <w:t>。</w:t>
      </w:r>
      <w:r w:rsidRPr="00996FD6">
        <w:rPr>
          <w:rFonts w:hint="eastAsia"/>
          <w:lang w:eastAsia="zh-CN"/>
        </w:rPr>
        <w:t>通过</w:t>
      </w:r>
      <w:r w:rsidR="00AF77D8">
        <w:rPr>
          <w:rFonts w:hint="eastAsia"/>
          <w:lang w:eastAsia="zh-CN"/>
        </w:rPr>
        <w:t>其</w:t>
      </w:r>
      <w:r w:rsidRPr="00996FD6">
        <w:rPr>
          <w:rFonts w:hint="eastAsia"/>
          <w:lang w:eastAsia="zh-CN"/>
        </w:rPr>
        <w:t>交互式信息概览</w:t>
      </w:r>
      <w:r w:rsidR="00304129">
        <w:rPr>
          <w:rStyle w:val="FootnoteReference"/>
          <w:lang w:eastAsia="zh-CN"/>
        </w:rPr>
        <w:footnoteReference w:id="2"/>
      </w:r>
      <w:r w:rsidR="00304129">
        <w:rPr>
          <w:rFonts w:hint="eastAsia"/>
          <w:lang w:eastAsia="zh-CN"/>
        </w:rPr>
        <w:t>，各</w:t>
      </w:r>
      <w:r w:rsidRPr="00996FD6">
        <w:rPr>
          <w:rFonts w:hint="eastAsia"/>
          <w:lang w:eastAsia="zh-CN"/>
        </w:rPr>
        <w:t>利益攸关方可以</w:t>
      </w:r>
      <w:r w:rsidR="00AF77D8">
        <w:rPr>
          <w:rFonts w:hint="eastAsia"/>
          <w:lang w:eastAsia="zh-CN"/>
        </w:rPr>
        <w:t>识别</w:t>
      </w:r>
      <w:r w:rsidR="00304129">
        <w:rPr>
          <w:rFonts w:hint="eastAsia"/>
          <w:lang w:eastAsia="zh-CN"/>
        </w:rPr>
        <w:t>、</w:t>
      </w:r>
      <w:r w:rsidR="00AF77D8">
        <w:rPr>
          <w:rFonts w:hint="eastAsia"/>
          <w:lang w:eastAsia="zh-CN"/>
        </w:rPr>
        <w:t>监测</w:t>
      </w:r>
      <w:r w:rsidR="00304129">
        <w:rPr>
          <w:rFonts w:hint="eastAsia"/>
          <w:lang w:eastAsia="zh-CN"/>
        </w:rPr>
        <w:t>并</w:t>
      </w:r>
      <w:r w:rsidRPr="00996FD6">
        <w:rPr>
          <w:rFonts w:hint="eastAsia"/>
          <w:lang w:eastAsia="zh-CN"/>
        </w:rPr>
        <w:t>分析针对这些国家</w:t>
      </w:r>
      <w:r w:rsidR="00AF77D8">
        <w:rPr>
          <w:rFonts w:hint="eastAsia"/>
          <w:lang w:eastAsia="zh-CN"/>
        </w:rPr>
        <w:t>群</w:t>
      </w:r>
      <w:r w:rsidR="00CC34EC">
        <w:rPr>
          <w:rFonts w:hint="eastAsia"/>
          <w:lang w:eastAsia="zh-CN"/>
        </w:rPr>
        <w:t>组</w:t>
      </w:r>
      <w:r w:rsidRPr="00996FD6">
        <w:rPr>
          <w:rFonts w:hint="eastAsia"/>
          <w:lang w:eastAsia="zh-CN"/>
        </w:rPr>
        <w:t>的认捐</w:t>
      </w:r>
      <w:r w:rsidR="00304129">
        <w:rPr>
          <w:rFonts w:hint="eastAsia"/>
          <w:lang w:eastAsia="zh-CN"/>
        </w:rPr>
        <w:t>，</w:t>
      </w:r>
      <w:r w:rsidR="00AF77D8">
        <w:rPr>
          <w:rFonts w:hint="eastAsia"/>
          <w:lang w:eastAsia="zh-CN"/>
        </w:rPr>
        <w:t>从而</w:t>
      </w:r>
      <w:r w:rsidRPr="00996FD6">
        <w:rPr>
          <w:rFonts w:hint="eastAsia"/>
          <w:lang w:eastAsia="zh-CN"/>
        </w:rPr>
        <w:t>加强问责</w:t>
      </w:r>
      <w:r w:rsidR="00AF77D8">
        <w:rPr>
          <w:rFonts w:hint="eastAsia"/>
          <w:lang w:eastAsia="zh-CN"/>
        </w:rPr>
        <w:t>、提升</w:t>
      </w:r>
      <w:r w:rsidRPr="00996FD6">
        <w:rPr>
          <w:rFonts w:hint="eastAsia"/>
          <w:lang w:eastAsia="zh-CN"/>
        </w:rPr>
        <w:t>可见</w:t>
      </w:r>
      <w:r w:rsidR="00AF77D8">
        <w:rPr>
          <w:rFonts w:hint="eastAsia"/>
          <w:lang w:eastAsia="zh-CN"/>
        </w:rPr>
        <w:t>度并促进</w:t>
      </w:r>
      <w:r w:rsidRPr="00996FD6">
        <w:rPr>
          <w:rFonts w:hint="eastAsia"/>
          <w:lang w:eastAsia="zh-CN"/>
        </w:rPr>
        <w:t>战略一致性</w:t>
      </w:r>
      <w:r w:rsidR="00304129">
        <w:rPr>
          <w:rFonts w:hint="eastAsia"/>
          <w:lang w:eastAsia="zh-CN"/>
        </w:rPr>
        <w:t>，</w:t>
      </w:r>
      <w:r w:rsidRPr="00996FD6">
        <w:rPr>
          <w:rFonts w:hint="eastAsia"/>
          <w:lang w:eastAsia="zh-CN"/>
        </w:rPr>
        <w:t>同时</w:t>
      </w:r>
      <w:r w:rsidR="00AF77D8">
        <w:rPr>
          <w:rFonts w:hint="eastAsia"/>
          <w:lang w:eastAsia="zh-CN"/>
        </w:rPr>
        <w:t>推动</w:t>
      </w:r>
      <w:r w:rsidRPr="00996FD6">
        <w:rPr>
          <w:rFonts w:hint="eastAsia"/>
          <w:lang w:eastAsia="zh-CN"/>
        </w:rPr>
        <w:t>有助于加速实施和</w:t>
      </w:r>
      <w:r w:rsidR="00AF77D8">
        <w:rPr>
          <w:rFonts w:hint="eastAsia"/>
          <w:lang w:eastAsia="zh-CN"/>
        </w:rPr>
        <w:t>扩大</w:t>
      </w:r>
      <w:r w:rsidRPr="00996FD6">
        <w:rPr>
          <w:rFonts w:hint="eastAsia"/>
          <w:lang w:eastAsia="zh-CN"/>
        </w:rPr>
        <w:t>影响的伙伴关系</w:t>
      </w:r>
      <w:r w:rsidR="00304129" w:rsidRPr="0000553E">
        <w:rPr>
          <w:rFonts w:hint="eastAsia"/>
          <w:lang w:eastAsia="zh-CN"/>
        </w:rPr>
        <w:t>。</w:t>
      </w:r>
    </w:p>
    <w:p w14:paraId="4EE95EE2" w14:textId="59EA9F76" w:rsidR="00EE7B8A" w:rsidRPr="00EE7B8A" w:rsidRDefault="00996FD6" w:rsidP="00EE7B8A">
      <w:pPr>
        <w:pStyle w:val="Headingb"/>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textAlignment w:val="baseline"/>
        <w:outlineLvl w:val="0"/>
        <w:rPr>
          <w:rFonts w:eastAsia="Times New Roman"/>
          <w:lang w:eastAsia="zh-CN"/>
        </w:rPr>
      </w:pPr>
      <w:r w:rsidRPr="00996FD6">
        <w:rPr>
          <w:rFonts w:ascii="SimSun" w:hAnsi="SimSun" w:cs="SimSun" w:hint="eastAsia"/>
          <w:lang w:eastAsia="zh-CN"/>
        </w:rPr>
        <w:t>结论</w:t>
      </w:r>
    </w:p>
    <w:p w14:paraId="69E9E9ED" w14:textId="23AFA7CD" w:rsidR="00EE7B8A" w:rsidRPr="00EE7B8A" w:rsidRDefault="00CC34EC"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96FD6">
        <w:rPr>
          <w:rFonts w:hint="eastAsia"/>
          <w:lang w:eastAsia="zh-CN"/>
        </w:rPr>
        <w:t>成员国</w:t>
      </w:r>
      <w:r>
        <w:rPr>
          <w:rFonts w:hint="eastAsia"/>
          <w:lang w:eastAsia="zh-CN"/>
        </w:rPr>
        <w:t>向</w:t>
      </w:r>
      <w:r w:rsidRPr="00EE7B8A">
        <w:rPr>
          <w:lang w:eastAsia="zh-CN"/>
        </w:rPr>
        <w:t>BDT</w:t>
      </w:r>
      <w:r>
        <w:rPr>
          <w:rFonts w:hint="eastAsia"/>
          <w:lang w:eastAsia="zh-CN"/>
        </w:rPr>
        <w:t>做出</w:t>
      </w:r>
      <w:r w:rsidRPr="00996FD6">
        <w:rPr>
          <w:rFonts w:hint="eastAsia"/>
          <w:lang w:eastAsia="zh-CN"/>
        </w:rPr>
        <w:t>的指示</w:t>
      </w:r>
      <w:r>
        <w:rPr>
          <w:rFonts w:hint="eastAsia"/>
          <w:lang w:eastAsia="zh-CN"/>
        </w:rPr>
        <w:t>，如</w:t>
      </w:r>
      <w:r w:rsidR="00304129" w:rsidRPr="00EE7B8A">
        <w:rPr>
          <w:lang w:eastAsia="zh-CN"/>
        </w:rPr>
        <w:t>PP</w:t>
      </w:r>
      <w:r w:rsidR="00996FD6" w:rsidRPr="00996FD6">
        <w:rPr>
          <w:rFonts w:hint="eastAsia"/>
          <w:lang w:eastAsia="zh-CN"/>
        </w:rPr>
        <w:t>第</w:t>
      </w:r>
      <w:r w:rsidR="00304129" w:rsidRPr="00EE7B8A">
        <w:rPr>
          <w:lang w:eastAsia="zh-CN"/>
        </w:rPr>
        <w:t>30</w:t>
      </w:r>
      <w:r w:rsidR="00996FD6" w:rsidRPr="00996FD6">
        <w:rPr>
          <w:rFonts w:hint="eastAsia"/>
          <w:lang w:eastAsia="zh-CN"/>
        </w:rPr>
        <w:t>号决议</w:t>
      </w:r>
      <w:r w:rsidR="00304129">
        <w:rPr>
          <w:rFonts w:hint="eastAsia"/>
          <w:lang w:eastAsia="zh-CN"/>
        </w:rPr>
        <w:t>（</w:t>
      </w:r>
      <w:r w:rsidR="00304129" w:rsidRPr="00EE7B8A">
        <w:rPr>
          <w:lang w:eastAsia="zh-CN"/>
        </w:rPr>
        <w:t>2022</w:t>
      </w:r>
      <w:r w:rsidR="00304129" w:rsidRPr="00996FD6">
        <w:rPr>
          <w:rFonts w:hint="eastAsia"/>
          <w:lang w:eastAsia="zh-CN"/>
        </w:rPr>
        <w:t>年</w:t>
      </w:r>
      <w:r w:rsidR="00304129">
        <w:rPr>
          <w:rFonts w:hint="eastAsia"/>
          <w:lang w:eastAsia="zh-CN"/>
        </w:rPr>
        <w:t>，</w:t>
      </w:r>
      <w:r w:rsidR="00304129" w:rsidRPr="00996FD6">
        <w:rPr>
          <w:rFonts w:hint="eastAsia"/>
          <w:lang w:eastAsia="zh-CN"/>
        </w:rPr>
        <w:t>布加勒斯特</w:t>
      </w:r>
      <w:r w:rsidR="00304129">
        <w:rPr>
          <w:rFonts w:hint="eastAsia"/>
          <w:lang w:eastAsia="zh-CN"/>
        </w:rPr>
        <w:t>，</w:t>
      </w:r>
      <w:r w:rsidR="00304129" w:rsidRPr="00996FD6">
        <w:rPr>
          <w:rFonts w:hint="eastAsia"/>
          <w:lang w:eastAsia="zh-CN"/>
        </w:rPr>
        <w:t>修订版</w:t>
      </w:r>
      <w:r w:rsidR="00304129">
        <w:rPr>
          <w:rFonts w:hint="eastAsia"/>
          <w:lang w:eastAsia="zh-CN"/>
        </w:rPr>
        <w:t>）</w:t>
      </w:r>
      <w:r w:rsidR="00304129">
        <w:rPr>
          <w:rStyle w:val="FootnoteReference"/>
          <w:lang w:eastAsia="zh-CN"/>
        </w:rPr>
        <w:footnoteReference w:id="3"/>
      </w:r>
      <w:r w:rsidR="00996FD6" w:rsidRPr="00996FD6">
        <w:rPr>
          <w:rFonts w:hint="eastAsia"/>
          <w:lang w:eastAsia="zh-CN"/>
        </w:rPr>
        <w:t>和</w:t>
      </w:r>
      <w:r w:rsidR="00304129" w:rsidRPr="00EE7B8A">
        <w:rPr>
          <w:lang w:eastAsia="zh-CN"/>
        </w:rPr>
        <w:t>WTDC</w:t>
      </w:r>
      <w:r w:rsidR="00996FD6" w:rsidRPr="00996FD6">
        <w:rPr>
          <w:rFonts w:hint="eastAsia"/>
          <w:lang w:eastAsia="zh-CN"/>
        </w:rPr>
        <w:t>第</w:t>
      </w:r>
      <w:r w:rsidR="00304129" w:rsidRPr="00EE7B8A">
        <w:rPr>
          <w:lang w:eastAsia="zh-CN"/>
        </w:rPr>
        <w:t>16</w:t>
      </w:r>
      <w:r w:rsidR="00996FD6" w:rsidRPr="00996FD6">
        <w:rPr>
          <w:rFonts w:hint="eastAsia"/>
          <w:lang w:eastAsia="zh-CN"/>
        </w:rPr>
        <w:t>号决议</w:t>
      </w:r>
      <w:r w:rsidR="00304129">
        <w:rPr>
          <w:rFonts w:hint="eastAsia"/>
          <w:lang w:eastAsia="zh-CN"/>
        </w:rPr>
        <w:t>（</w:t>
      </w:r>
      <w:r w:rsidR="00304129" w:rsidRPr="00EE7B8A">
        <w:rPr>
          <w:lang w:eastAsia="zh-CN"/>
        </w:rPr>
        <w:t>2025</w:t>
      </w:r>
      <w:r w:rsidR="00304129" w:rsidRPr="00996FD6">
        <w:rPr>
          <w:rFonts w:hint="eastAsia"/>
          <w:lang w:eastAsia="zh-CN"/>
        </w:rPr>
        <w:t>年</w:t>
      </w:r>
      <w:r w:rsidR="00304129">
        <w:rPr>
          <w:rFonts w:hint="eastAsia"/>
          <w:lang w:eastAsia="zh-CN"/>
        </w:rPr>
        <w:t>，</w:t>
      </w:r>
      <w:r w:rsidR="00304129" w:rsidRPr="00996FD6">
        <w:rPr>
          <w:rFonts w:hint="eastAsia"/>
          <w:lang w:eastAsia="zh-CN"/>
        </w:rPr>
        <w:t>巴库</w:t>
      </w:r>
      <w:r w:rsidR="00304129">
        <w:rPr>
          <w:rFonts w:hint="eastAsia"/>
          <w:lang w:eastAsia="zh-CN"/>
        </w:rPr>
        <w:t>，</w:t>
      </w:r>
      <w:r w:rsidR="00304129" w:rsidRPr="00996FD6">
        <w:rPr>
          <w:rFonts w:hint="eastAsia"/>
          <w:lang w:eastAsia="zh-CN"/>
        </w:rPr>
        <w:t>修订版</w:t>
      </w:r>
      <w:r w:rsidR="00304129">
        <w:rPr>
          <w:rFonts w:hint="eastAsia"/>
          <w:lang w:eastAsia="zh-CN"/>
        </w:rPr>
        <w:t>）</w:t>
      </w:r>
      <w:r w:rsidR="00AF32D7">
        <w:rPr>
          <w:rStyle w:val="FootnoteReference"/>
          <w:lang w:eastAsia="zh-CN"/>
        </w:rPr>
        <w:footnoteReference w:id="4"/>
      </w:r>
      <w:r w:rsidR="00996FD6" w:rsidRPr="00996FD6">
        <w:rPr>
          <w:rFonts w:hint="eastAsia"/>
          <w:lang w:eastAsia="zh-CN"/>
        </w:rPr>
        <w:t>中</w:t>
      </w:r>
      <w:r>
        <w:rPr>
          <w:rFonts w:hint="eastAsia"/>
          <w:lang w:eastAsia="zh-CN"/>
        </w:rPr>
        <w:t>所述</w:t>
      </w:r>
      <w:r w:rsidR="00AF32D7">
        <w:rPr>
          <w:rFonts w:hint="eastAsia"/>
          <w:lang w:eastAsia="zh-CN"/>
        </w:rPr>
        <w:t>，</w:t>
      </w:r>
      <w:r>
        <w:rPr>
          <w:rFonts w:hint="eastAsia"/>
          <w:lang w:eastAsia="zh-CN"/>
        </w:rPr>
        <w:t>连同</w:t>
      </w:r>
      <w:r w:rsidR="00AF32D7" w:rsidRPr="00EE7B8A">
        <w:rPr>
          <w:lang w:eastAsia="zh-CN"/>
        </w:rPr>
        <w:t>WTDC-25</w:t>
      </w:r>
      <w:r w:rsidR="00996FD6" w:rsidRPr="00996FD6">
        <w:rPr>
          <w:rFonts w:hint="eastAsia"/>
          <w:lang w:eastAsia="zh-CN"/>
        </w:rPr>
        <w:t>的成果</w:t>
      </w:r>
      <w:r w:rsidR="00AF32D7">
        <w:rPr>
          <w:rFonts w:hint="eastAsia"/>
          <w:lang w:eastAsia="zh-CN"/>
        </w:rPr>
        <w:t>，</w:t>
      </w:r>
      <w:r w:rsidR="00996FD6" w:rsidRPr="00996FD6">
        <w:rPr>
          <w:rFonts w:hint="eastAsia"/>
          <w:lang w:eastAsia="zh-CN"/>
        </w:rPr>
        <w:t>为</w:t>
      </w:r>
      <w:r w:rsidR="00AF32D7" w:rsidRPr="00EE7B8A">
        <w:rPr>
          <w:lang w:eastAsia="zh-CN"/>
        </w:rPr>
        <w:t>BDT</w:t>
      </w:r>
      <w:r w:rsidR="00C42848">
        <w:rPr>
          <w:rFonts w:hint="eastAsia"/>
          <w:lang w:eastAsia="zh-CN"/>
        </w:rPr>
        <w:t>提供了</w:t>
      </w:r>
      <w:r w:rsidR="00C42848" w:rsidRPr="00AF32D7">
        <w:rPr>
          <w:rFonts w:hint="eastAsia"/>
          <w:lang w:eastAsia="zh-CN"/>
        </w:rPr>
        <w:t>更强有力</w:t>
      </w:r>
      <w:r w:rsidR="00C42848">
        <w:rPr>
          <w:rFonts w:hint="eastAsia"/>
          <w:lang w:eastAsia="zh-CN"/>
        </w:rPr>
        <w:t>且协调一致的任务授权，即</w:t>
      </w:r>
      <w:r w:rsidR="00AF32D7">
        <w:rPr>
          <w:rFonts w:hint="eastAsia"/>
          <w:lang w:eastAsia="zh-CN"/>
        </w:rPr>
        <w:t>向</w:t>
      </w:r>
      <w:proofErr w:type="spellStart"/>
      <w:r w:rsidR="00AF32D7" w:rsidRPr="00EE7B8A">
        <w:rPr>
          <w:lang w:eastAsia="zh-CN"/>
        </w:rPr>
        <w:t>LDC</w:t>
      </w:r>
      <w:proofErr w:type="spellEnd"/>
      <w:r w:rsidR="00AF32D7">
        <w:rPr>
          <w:rFonts w:hint="eastAsia"/>
          <w:lang w:eastAsia="zh-CN"/>
        </w:rPr>
        <w:t>、</w:t>
      </w:r>
      <w:proofErr w:type="spellStart"/>
      <w:r w:rsidR="00AF32D7" w:rsidRPr="00EE7B8A">
        <w:rPr>
          <w:lang w:eastAsia="zh-CN"/>
        </w:rPr>
        <w:t>LLDC</w:t>
      </w:r>
      <w:proofErr w:type="spellEnd"/>
      <w:r w:rsidR="00AF32D7">
        <w:rPr>
          <w:rFonts w:hint="eastAsia"/>
          <w:lang w:eastAsia="zh-CN"/>
        </w:rPr>
        <w:t>、</w:t>
      </w:r>
      <w:r w:rsidR="00AF32D7" w:rsidRPr="00EE7B8A">
        <w:rPr>
          <w:lang w:eastAsia="zh-CN"/>
        </w:rPr>
        <w:t>SIDS</w:t>
      </w:r>
      <w:r w:rsidR="00AF32D7">
        <w:rPr>
          <w:rFonts w:hint="eastAsia"/>
          <w:lang w:eastAsia="zh-CN"/>
        </w:rPr>
        <w:t>和经济转型国家提供</w:t>
      </w:r>
      <w:r w:rsidR="00996FD6" w:rsidRPr="00996FD6">
        <w:rPr>
          <w:rFonts w:hint="eastAsia"/>
          <w:lang w:eastAsia="zh-CN"/>
        </w:rPr>
        <w:t>有针对性</w:t>
      </w:r>
      <w:r w:rsidR="00AF32D7">
        <w:rPr>
          <w:rFonts w:hint="eastAsia"/>
          <w:lang w:eastAsia="zh-CN"/>
        </w:rPr>
        <w:t>、</w:t>
      </w:r>
      <w:r w:rsidR="00996FD6" w:rsidRPr="00996FD6">
        <w:rPr>
          <w:rFonts w:hint="eastAsia"/>
          <w:lang w:eastAsia="zh-CN"/>
        </w:rPr>
        <w:t>可衡量</w:t>
      </w:r>
      <w:r w:rsidR="00C42848">
        <w:rPr>
          <w:rFonts w:hint="eastAsia"/>
          <w:lang w:eastAsia="zh-CN"/>
        </w:rPr>
        <w:t>且</w:t>
      </w:r>
      <w:r w:rsidR="001A4A1E">
        <w:rPr>
          <w:rFonts w:hint="eastAsia"/>
          <w:lang w:eastAsia="zh-CN"/>
        </w:rPr>
        <w:t>由</w:t>
      </w:r>
      <w:r w:rsidR="00996FD6" w:rsidRPr="00996FD6">
        <w:rPr>
          <w:rFonts w:hint="eastAsia"/>
          <w:lang w:eastAsia="zh-CN"/>
        </w:rPr>
        <w:t>伙伴关系驱动的支持</w:t>
      </w:r>
      <w:r w:rsidR="00AF32D7">
        <w:rPr>
          <w:rFonts w:hint="eastAsia"/>
          <w:lang w:eastAsia="zh-CN"/>
        </w:rPr>
        <w:t>。</w:t>
      </w:r>
      <w:r w:rsidR="00996FD6" w:rsidRPr="00996FD6">
        <w:rPr>
          <w:rFonts w:hint="eastAsia"/>
          <w:lang w:eastAsia="zh-CN"/>
        </w:rPr>
        <w:t>通过落实</w:t>
      </w:r>
      <w:r w:rsidR="00AF32D7">
        <w:rPr>
          <w:rFonts w:hint="eastAsia"/>
          <w:lang w:eastAsia="zh-CN"/>
        </w:rPr>
        <w:t>《</w:t>
      </w:r>
      <w:r w:rsidR="00AF32D7" w:rsidRPr="00996FD6">
        <w:rPr>
          <w:rFonts w:hint="eastAsia"/>
          <w:lang w:eastAsia="zh-CN"/>
        </w:rPr>
        <w:t>巴库宣言</w:t>
      </w:r>
      <w:r w:rsidR="00AF32D7">
        <w:rPr>
          <w:rFonts w:hint="eastAsia"/>
          <w:lang w:eastAsia="zh-CN"/>
        </w:rPr>
        <w:t>》、《</w:t>
      </w:r>
      <w:r w:rsidR="00AF32D7" w:rsidRPr="00996FD6">
        <w:rPr>
          <w:rFonts w:hint="eastAsia"/>
          <w:lang w:eastAsia="zh-CN"/>
        </w:rPr>
        <w:t>巴库行动计划</w:t>
      </w:r>
      <w:r w:rsidR="00AF32D7">
        <w:rPr>
          <w:rFonts w:hint="eastAsia"/>
          <w:lang w:eastAsia="zh-CN"/>
        </w:rPr>
        <w:t>》</w:t>
      </w:r>
      <w:r w:rsidR="00C42848">
        <w:rPr>
          <w:rFonts w:hint="eastAsia"/>
          <w:lang w:eastAsia="zh-CN"/>
        </w:rPr>
        <w:t>以及</w:t>
      </w:r>
      <w:r w:rsidR="00AF32D7" w:rsidRPr="00EE7B8A">
        <w:rPr>
          <w:lang w:eastAsia="zh-CN"/>
        </w:rPr>
        <w:t>WTDC-25</w:t>
      </w:r>
      <w:r w:rsidR="00AF32D7">
        <w:rPr>
          <w:rFonts w:hint="eastAsia"/>
          <w:lang w:eastAsia="zh-CN"/>
        </w:rPr>
        <w:t>达成一致的</w:t>
      </w:r>
      <w:r w:rsidR="00996FD6" w:rsidRPr="00996FD6">
        <w:rPr>
          <w:rFonts w:hint="eastAsia"/>
          <w:lang w:eastAsia="zh-CN"/>
        </w:rPr>
        <w:t>区域性举措</w:t>
      </w:r>
      <w:r w:rsidR="00AF32D7">
        <w:rPr>
          <w:rFonts w:hint="eastAsia"/>
          <w:lang w:eastAsia="zh-CN"/>
        </w:rPr>
        <w:t>，</w:t>
      </w:r>
      <w:r w:rsidR="00AF32D7" w:rsidRPr="00EE7B8A">
        <w:rPr>
          <w:lang w:eastAsia="zh-CN"/>
        </w:rPr>
        <w:t>BDT</w:t>
      </w:r>
      <w:r w:rsidR="00AF32D7">
        <w:rPr>
          <w:rFonts w:hint="eastAsia"/>
          <w:lang w:eastAsia="zh-CN"/>
        </w:rPr>
        <w:t>将继续将</w:t>
      </w:r>
      <w:r w:rsidR="00996FD6" w:rsidRPr="00996FD6">
        <w:rPr>
          <w:rFonts w:hint="eastAsia"/>
          <w:lang w:eastAsia="zh-CN"/>
        </w:rPr>
        <w:t>这</w:t>
      </w:r>
      <w:r w:rsidR="00CF2A52">
        <w:rPr>
          <w:rFonts w:hint="eastAsia"/>
          <w:lang w:eastAsia="zh-CN"/>
        </w:rPr>
        <w:t>项</w:t>
      </w:r>
      <w:r w:rsidR="00C42848">
        <w:rPr>
          <w:rFonts w:hint="eastAsia"/>
          <w:lang w:eastAsia="zh-CN"/>
        </w:rPr>
        <w:t>任务授权</w:t>
      </w:r>
      <w:r w:rsidR="00996FD6" w:rsidRPr="00996FD6">
        <w:rPr>
          <w:rFonts w:hint="eastAsia"/>
          <w:lang w:eastAsia="zh-CN"/>
        </w:rPr>
        <w:t>转化为具体行动</w:t>
      </w:r>
      <w:r w:rsidR="00AF32D7">
        <w:rPr>
          <w:rFonts w:hint="eastAsia"/>
          <w:lang w:eastAsia="zh-CN"/>
        </w:rPr>
        <w:t>，</w:t>
      </w:r>
      <w:r w:rsidR="00996FD6" w:rsidRPr="00996FD6">
        <w:rPr>
          <w:rFonts w:hint="eastAsia"/>
          <w:lang w:eastAsia="zh-CN"/>
        </w:rPr>
        <w:t>重点关注具有复原力的基础设施</w:t>
      </w:r>
      <w:r w:rsidR="00C42848">
        <w:rPr>
          <w:rFonts w:hint="eastAsia"/>
          <w:lang w:eastAsia="zh-CN"/>
        </w:rPr>
        <w:t>、</w:t>
      </w:r>
      <w:r w:rsidR="00AF32D7">
        <w:rPr>
          <w:rFonts w:hint="eastAsia"/>
          <w:lang w:eastAsia="zh-CN"/>
        </w:rPr>
        <w:t>价格可承受</w:t>
      </w:r>
      <w:r w:rsidR="00996FD6" w:rsidRPr="00996FD6">
        <w:rPr>
          <w:rFonts w:hint="eastAsia"/>
          <w:lang w:eastAsia="zh-CN"/>
        </w:rPr>
        <w:t>且有意义的连接</w:t>
      </w:r>
      <w:r w:rsidR="00AF32D7">
        <w:rPr>
          <w:rFonts w:hint="eastAsia"/>
          <w:lang w:eastAsia="zh-CN"/>
        </w:rPr>
        <w:t>、</w:t>
      </w:r>
      <w:r w:rsidR="00996FD6" w:rsidRPr="00996FD6">
        <w:rPr>
          <w:rFonts w:hint="eastAsia"/>
          <w:lang w:eastAsia="zh-CN"/>
        </w:rPr>
        <w:t>新兴技术</w:t>
      </w:r>
      <w:r w:rsidR="00AF32D7">
        <w:rPr>
          <w:rFonts w:hint="eastAsia"/>
          <w:lang w:eastAsia="zh-CN"/>
        </w:rPr>
        <w:t>、基于证据的政策制定</w:t>
      </w:r>
      <w:r w:rsidR="00CF2A52">
        <w:rPr>
          <w:rFonts w:hint="eastAsia"/>
          <w:lang w:eastAsia="zh-CN"/>
        </w:rPr>
        <w:t>以及</w:t>
      </w:r>
      <w:r w:rsidR="00996FD6" w:rsidRPr="00996FD6">
        <w:rPr>
          <w:rFonts w:hint="eastAsia"/>
          <w:lang w:eastAsia="zh-CN"/>
        </w:rPr>
        <w:t>数字包容性</w:t>
      </w:r>
      <w:r w:rsidR="00AF32D7">
        <w:rPr>
          <w:rFonts w:hint="eastAsia"/>
          <w:lang w:eastAsia="zh-CN"/>
        </w:rPr>
        <w:t>。如需了解</w:t>
      </w:r>
      <w:r w:rsidR="00996FD6" w:rsidRPr="00996FD6">
        <w:rPr>
          <w:rFonts w:hint="eastAsia"/>
          <w:lang w:eastAsia="zh-CN"/>
        </w:rPr>
        <w:t>更多信息</w:t>
      </w:r>
      <w:r w:rsidR="00AF32D7">
        <w:rPr>
          <w:rFonts w:hint="eastAsia"/>
          <w:lang w:eastAsia="zh-CN"/>
        </w:rPr>
        <w:t>，请</w:t>
      </w:r>
      <w:r w:rsidR="00C42848">
        <w:rPr>
          <w:rFonts w:hint="eastAsia"/>
          <w:lang w:eastAsia="zh-CN"/>
        </w:rPr>
        <w:t>参阅</w:t>
      </w:r>
      <w:hyperlink r:id="rId17" w:history="1">
        <w:proofErr w:type="spellStart"/>
        <w:r w:rsidR="00AF32D7" w:rsidRPr="00EE7B8A">
          <w:rPr>
            <w:rStyle w:val="Hyperlink"/>
            <w:rFonts w:eastAsia="SimSun"/>
            <w:noProof w:val="0"/>
            <w:lang w:eastAsia="zh-CN"/>
          </w:rPr>
          <w:t>TDAG</w:t>
        </w:r>
        <w:proofErr w:type="spellEnd"/>
        <w:r w:rsidR="00AF32D7" w:rsidRPr="00EE7B8A">
          <w:rPr>
            <w:rStyle w:val="Hyperlink"/>
            <w:rFonts w:eastAsia="SimSun"/>
            <w:noProof w:val="0"/>
            <w:lang w:eastAsia="zh-CN"/>
          </w:rPr>
          <w:t>-26/22</w:t>
        </w:r>
      </w:hyperlink>
      <w:r w:rsidR="00996FD6" w:rsidRPr="00996FD6">
        <w:rPr>
          <w:rFonts w:hint="eastAsia"/>
          <w:lang w:eastAsia="zh-CN"/>
        </w:rPr>
        <w:t>号文件</w:t>
      </w:r>
      <w:r w:rsidR="00AF32D7">
        <w:rPr>
          <w:rFonts w:hint="eastAsia"/>
          <w:lang w:eastAsia="zh-CN"/>
        </w:rPr>
        <w:t>。</w:t>
      </w:r>
      <w:r w:rsidR="00CF2A52">
        <w:rPr>
          <w:rFonts w:hint="eastAsia"/>
          <w:lang w:eastAsia="zh-CN"/>
        </w:rPr>
        <w:t>工作</w:t>
      </w:r>
      <w:r w:rsidR="00996FD6" w:rsidRPr="00996FD6">
        <w:rPr>
          <w:rFonts w:hint="eastAsia"/>
          <w:lang w:eastAsia="zh-CN"/>
        </w:rPr>
        <w:t>重点将放在应急通信</w:t>
      </w:r>
      <w:r w:rsidR="00AF32D7">
        <w:rPr>
          <w:rFonts w:hint="eastAsia"/>
          <w:lang w:eastAsia="zh-CN"/>
        </w:rPr>
        <w:t>、</w:t>
      </w:r>
      <w:r w:rsidR="00996FD6" w:rsidRPr="00996FD6">
        <w:rPr>
          <w:rFonts w:hint="eastAsia"/>
          <w:lang w:eastAsia="zh-CN"/>
        </w:rPr>
        <w:t>降低连接成本</w:t>
      </w:r>
      <w:r w:rsidR="00CF2A52">
        <w:rPr>
          <w:rFonts w:hint="eastAsia"/>
          <w:lang w:eastAsia="zh-CN"/>
        </w:rPr>
        <w:t>以及</w:t>
      </w:r>
      <w:r w:rsidR="00996FD6" w:rsidRPr="00996FD6">
        <w:rPr>
          <w:rFonts w:hint="eastAsia"/>
          <w:lang w:eastAsia="zh-CN"/>
        </w:rPr>
        <w:t>应对区域互连和</w:t>
      </w:r>
      <w:r w:rsidR="00206AEC" w:rsidRPr="00206AEC">
        <w:rPr>
          <w:rFonts w:hint="eastAsia"/>
          <w:lang w:eastAsia="zh-CN"/>
        </w:rPr>
        <w:t>转接</w:t>
      </w:r>
      <w:r w:rsidR="00996FD6" w:rsidRPr="00996FD6">
        <w:rPr>
          <w:rFonts w:hint="eastAsia"/>
          <w:lang w:eastAsia="zh-CN"/>
        </w:rPr>
        <w:t>挑战上</w:t>
      </w:r>
      <w:r w:rsidR="00AF32D7">
        <w:rPr>
          <w:rFonts w:hint="eastAsia"/>
          <w:lang w:eastAsia="zh-CN"/>
        </w:rPr>
        <w:t>，</w:t>
      </w:r>
      <w:r w:rsidR="00996FD6" w:rsidRPr="00996FD6">
        <w:rPr>
          <w:rFonts w:hint="eastAsia"/>
          <w:lang w:eastAsia="zh-CN"/>
        </w:rPr>
        <w:t>特别是在太平洋小岛屿发展中国家和内陆发展中国家</w:t>
      </w:r>
      <w:r w:rsidR="009F7134" w:rsidRPr="001A4A1E">
        <w:rPr>
          <w:rFonts w:hint="eastAsia"/>
          <w:lang w:eastAsia="zh-CN"/>
        </w:rPr>
        <w:t>。</w:t>
      </w:r>
    </w:p>
    <w:p w14:paraId="4DC02388" w14:textId="7242ED55" w:rsidR="00EE7B8A" w:rsidRPr="00EE7B8A" w:rsidRDefault="00996FD6"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sidRPr="00996FD6">
        <w:rPr>
          <w:rFonts w:hint="eastAsia"/>
          <w:lang w:eastAsia="zh-CN"/>
        </w:rPr>
        <w:t>这些努力与更广泛的国际发展框架</w:t>
      </w:r>
      <w:r w:rsidR="00EE5CFF">
        <w:rPr>
          <w:rFonts w:hint="eastAsia"/>
          <w:lang w:eastAsia="zh-CN"/>
        </w:rPr>
        <w:t>相</w:t>
      </w:r>
      <w:r w:rsidRPr="00996FD6">
        <w:rPr>
          <w:rFonts w:hint="eastAsia"/>
          <w:lang w:eastAsia="zh-CN"/>
        </w:rPr>
        <w:t>一致</w:t>
      </w:r>
      <w:r w:rsidR="00451466">
        <w:rPr>
          <w:rFonts w:hint="eastAsia"/>
          <w:lang w:eastAsia="zh-CN"/>
        </w:rPr>
        <w:t>，</w:t>
      </w:r>
      <w:r w:rsidRPr="007D1580">
        <w:rPr>
          <w:rFonts w:hint="eastAsia"/>
          <w:lang w:eastAsia="zh-CN"/>
        </w:rPr>
        <w:t>包括针</w:t>
      </w:r>
      <w:r w:rsidRPr="00996FD6">
        <w:rPr>
          <w:rFonts w:hint="eastAsia"/>
          <w:lang w:eastAsia="zh-CN"/>
        </w:rPr>
        <w:t>对</w:t>
      </w:r>
      <w:proofErr w:type="spellStart"/>
      <w:r w:rsidR="00451466" w:rsidRPr="00EE7B8A">
        <w:rPr>
          <w:lang w:eastAsia="zh-CN"/>
        </w:rPr>
        <w:t>LLDC</w:t>
      </w:r>
      <w:proofErr w:type="spellEnd"/>
      <w:r w:rsidRPr="00996FD6">
        <w:rPr>
          <w:rFonts w:hint="eastAsia"/>
          <w:lang w:eastAsia="zh-CN"/>
        </w:rPr>
        <w:t>的</w:t>
      </w:r>
      <w:proofErr w:type="spellStart"/>
      <w:r w:rsidR="00451466" w:rsidRPr="00EE7B8A">
        <w:rPr>
          <w:lang w:eastAsia="zh-CN"/>
        </w:rPr>
        <w:t>APOA</w:t>
      </w:r>
      <w:proofErr w:type="spellEnd"/>
      <w:r w:rsidR="00451466">
        <w:rPr>
          <w:rFonts w:hint="eastAsia"/>
          <w:lang w:eastAsia="zh-CN"/>
        </w:rPr>
        <w:t>、</w:t>
      </w:r>
      <w:r w:rsidRPr="00996FD6">
        <w:rPr>
          <w:rFonts w:hint="eastAsia"/>
          <w:lang w:eastAsia="zh-CN"/>
        </w:rPr>
        <w:t>针对</w:t>
      </w:r>
      <w:r w:rsidR="00451466" w:rsidRPr="00EE7B8A">
        <w:rPr>
          <w:lang w:eastAsia="zh-CN"/>
        </w:rPr>
        <w:t>SIDS</w:t>
      </w:r>
      <w:r w:rsidRPr="00996FD6">
        <w:rPr>
          <w:rFonts w:hint="eastAsia"/>
          <w:lang w:eastAsia="zh-CN"/>
        </w:rPr>
        <w:t>的</w:t>
      </w:r>
      <w:r w:rsidR="00451466" w:rsidRPr="00EE7B8A">
        <w:rPr>
          <w:lang w:eastAsia="zh-CN"/>
        </w:rPr>
        <w:t>ABAS</w:t>
      </w:r>
      <w:r w:rsidRPr="00996FD6">
        <w:rPr>
          <w:rFonts w:hint="eastAsia"/>
          <w:lang w:eastAsia="zh-CN"/>
        </w:rPr>
        <w:t>以及将于</w:t>
      </w:r>
      <w:r w:rsidR="00451466" w:rsidRPr="00EE7B8A">
        <w:rPr>
          <w:lang w:eastAsia="zh-CN"/>
        </w:rPr>
        <w:t>2027</w:t>
      </w:r>
      <w:r w:rsidRPr="00996FD6">
        <w:rPr>
          <w:rFonts w:hint="eastAsia"/>
          <w:lang w:eastAsia="zh-CN"/>
        </w:rPr>
        <w:t>年</w:t>
      </w:r>
      <w:r w:rsidR="00451466">
        <w:rPr>
          <w:rFonts w:hint="eastAsia"/>
          <w:lang w:eastAsia="zh-CN"/>
        </w:rPr>
        <w:t>对</w:t>
      </w:r>
      <w:r w:rsidRPr="00996FD6">
        <w:rPr>
          <w:rFonts w:hint="eastAsia"/>
          <w:lang w:eastAsia="zh-CN"/>
        </w:rPr>
        <w:t>针对</w:t>
      </w:r>
      <w:proofErr w:type="spellStart"/>
      <w:r w:rsidR="00451466" w:rsidRPr="00EE7B8A">
        <w:rPr>
          <w:lang w:eastAsia="zh-CN"/>
        </w:rPr>
        <w:t>LDC</w:t>
      </w:r>
      <w:proofErr w:type="spellEnd"/>
      <w:r w:rsidRPr="00996FD6">
        <w:rPr>
          <w:rFonts w:hint="eastAsia"/>
          <w:lang w:eastAsia="zh-CN"/>
        </w:rPr>
        <w:t>的</w:t>
      </w:r>
      <w:proofErr w:type="spellStart"/>
      <w:r w:rsidR="00451466" w:rsidRPr="00EE7B8A">
        <w:rPr>
          <w:lang w:eastAsia="zh-CN"/>
        </w:rPr>
        <w:t>DPOA</w:t>
      </w:r>
      <w:proofErr w:type="spellEnd"/>
      <w:r w:rsidR="00451466">
        <w:rPr>
          <w:rFonts w:hint="eastAsia"/>
          <w:lang w:eastAsia="zh-CN"/>
        </w:rPr>
        <w:t>进行的</w:t>
      </w:r>
      <w:r w:rsidRPr="00996FD6">
        <w:rPr>
          <w:rFonts w:hint="eastAsia"/>
          <w:lang w:eastAsia="zh-CN"/>
        </w:rPr>
        <w:t>中期审查</w:t>
      </w:r>
      <w:r w:rsidR="00451466">
        <w:rPr>
          <w:rFonts w:hint="eastAsia"/>
          <w:lang w:eastAsia="zh-CN"/>
        </w:rPr>
        <w:t>。</w:t>
      </w:r>
      <w:r w:rsidRPr="00996FD6">
        <w:rPr>
          <w:rFonts w:hint="eastAsia"/>
          <w:lang w:eastAsia="zh-CN"/>
        </w:rPr>
        <w:t>在此背景下</w:t>
      </w:r>
      <w:r w:rsidR="00451466">
        <w:rPr>
          <w:rFonts w:hint="eastAsia"/>
          <w:lang w:eastAsia="zh-CN"/>
        </w:rPr>
        <w:t>，</w:t>
      </w:r>
      <w:r w:rsidRPr="00996FD6">
        <w:rPr>
          <w:rFonts w:hint="eastAsia"/>
          <w:lang w:eastAsia="zh-CN"/>
        </w:rPr>
        <w:t>系统地</w:t>
      </w:r>
      <w:r w:rsidR="00451466">
        <w:rPr>
          <w:rFonts w:hint="eastAsia"/>
          <w:lang w:eastAsia="zh-CN"/>
        </w:rPr>
        <w:t>梳理</w:t>
      </w:r>
      <w:r w:rsidRPr="00996FD6">
        <w:rPr>
          <w:rFonts w:hint="eastAsia"/>
          <w:lang w:eastAsia="zh-CN"/>
        </w:rPr>
        <w:t>重叠的脆弱性</w:t>
      </w:r>
      <w:r w:rsidR="00330069">
        <w:rPr>
          <w:rFonts w:hint="eastAsia"/>
          <w:lang w:eastAsia="zh-CN"/>
        </w:rPr>
        <w:t>问题</w:t>
      </w:r>
      <w:r w:rsidR="00451466">
        <w:rPr>
          <w:rFonts w:hint="eastAsia"/>
          <w:lang w:eastAsia="zh-CN"/>
        </w:rPr>
        <w:t>，</w:t>
      </w:r>
      <w:r w:rsidRPr="00996FD6">
        <w:rPr>
          <w:rFonts w:hint="eastAsia"/>
          <w:lang w:eastAsia="zh-CN"/>
        </w:rPr>
        <w:t>例如同时属于</w:t>
      </w:r>
      <w:proofErr w:type="spellStart"/>
      <w:r w:rsidR="00451466" w:rsidRPr="00EE7B8A">
        <w:rPr>
          <w:lang w:eastAsia="zh-CN"/>
        </w:rPr>
        <w:t>LDC</w:t>
      </w:r>
      <w:proofErr w:type="spellEnd"/>
      <w:r w:rsidR="00451466">
        <w:rPr>
          <w:rFonts w:hint="eastAsia"/>
          <w:lang w:eastAsia="zh-CN"/>
        </w:rPr>
        <w:t>和</w:t>
      </w:r>
      <w:proofErr w:type="spellStart"/>
      <w:r w:rsidR="00451466" w:rsidRPr="00EE7B8A">
        <w:rPr>
          <w:lang w:eastAsia="zh-CN"/>
        </w:rPr>
        <w:t>LLDC</w:t>
      </w:r>
      <w:proofErr w:type="spellEnd"/>
      <w:r w:rsidR="007D1580" w:rsidRPr="00996FD6">
        <w:rPr>
          <w:rFonts w:hint="eastAsia"/>
          <w:lang w:eastAsia="zh-CN"/>
        </w:rPr>
        <w:t>的国家</w:t>
      </w:r>
      <w:r w:rsidRPr="00996FD6">
        <w:rPr>
          <w:rFonts w:hint="eastAsia"/>
          <w:lang w:eastAsia="zh-CN"/>
        </w:rPr>
        <w:t>以及</w:t>
      </w:r>
      <w:r w:rsidR="007D1580" w:rsidRPr="00996FD6">
        <w:rPr>
          <w:rFonts w:hint="eastAsia"/>
          <w:lang w:eastAsia="zh-CN"/>
        </w:rPr>
        <w:t>同时属于</w:t>
      </w:r>
      <w:proofErr w:type="spellStart"/>
      <w:r w:rsidR="00451466" w:rsidRPr="00EE7B8A">
        <w:rPr>
          <w:lang w:eastAsia="zh-CN"/>
        </w:rPr>
        <w:t>LDC</w:t>
      </w:r>
      <w:proofErr w:type="spellEnd"/>
      <w:r w:rsidR="00451466">
        <w:rPr>
          <w:rFonts w:hint="eastAsia"/>
          <w:lang w:eastAsia="zh-CN"/>
        </w:rPr>
        <w:t>和</w:t>
      </w:r>
      <w:r w:rsidR="00451466" w:rsidRPr="00EE7B8A">
        <w:rPr>
          <w:lang w:eastAsia="zh-CN"/>
        </w:rPr>
        <w:t>SIDS</w:t>
      </w:r>
      <w:r w:rsidRPr="00996FD6">
        <w:rPr>
          <w:rFonts w:hint="eastAsia"/>
          <w:lang w:eastAsia="zh-CN"/>
        </w:rPr>
        <w:t>的国家</w:t>
      </w:r>
      <w:r w:rsidR="00451466">
        <w:rPr>
          <w:rFonts w:hint="eastAsia"/>
          <w:lang w:eastAsia="zh-CN"/>
        </w:rPr>
        <w:t>，</w:t>
      </w:r>
      <w:r w:rsidRPr="00996FD6">
        <w:rPr>
          <w:rFonts w:hint="eastAsia"/>
          <w:lang w:eastAsia="zh-CN"/>
        </w:rPr>
        <w:t>对于确保</w:t>
      </w:r>
      <w:r w:rsidR="00451466">
        <w:rPr>
          <w:rFonts w:hint="eastAsia"/>
          <w:lang w:eastAsia="zh-CN"/>
        </w:rPr>
        <w:t>提供</w:t>
      </w:r>
      <w:r w:rsidRPr="00996FD6">
        <w:rPr>
          <w:rFonts w:hint="eastAsia"/>
          <w:lang w:eastAsia="zh-CN"/>
        </w:rPr>
        <w:t>一致</w:t>
      </w:r>
      <w:r w:rsidR="00451466">
        <w:rPr>
          <w:rFonts w:hint="eastAsia"/>
          <w:lang w:eastAsia="zh-CN"/>
        </w:rPr>
        <w:t>且</w:t>
      </w:r>
      <w:r w:rsidRPr="00996FD6">
        <w:rPr>
          <w:rFonts w:hint="eastAsia"/>
          <w:lang w:eastAsia="zh-CN"/>
        </w:rPr>
        <w:t>有效的支持至关重要</w:t>
      </w:r>
      <w:r w:rsidR="00451466" w:rsidRPr="00A270A9">
        <w:rPr>
          <w:rFonts w:hint="eastAsia"/>
          <w:lang w:eastAsia="zh-CN"/>
        </w:rPr>
        <w:t>。</w:t>
      </w:r>
    </w:p>
    <w:p w14:paraId="5F1FEA9A" w14:textId="7381F28E" w:rsidR="00EE7B8A" w:rsidRPr="00EE7B8A" w:rsidRDefault="009B6903" w:rsidP="0032503E">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lang w:eastAsia="zh-CN"/>
        </w:rPr>
      </w:pPr>
      <w:r>
        <w:rPr>
          <w:rFonts w:hint="eastAsia"/>
          <w:lang w:eastAsia="zh-CN"/>
        </w:rPr>
        <w:t>在</w:t>
      </w:r>
      <w:r w:rsidR="00996FD6" w:rsidRPr="00996FD6">
        <w:rPr>
          <w:rFonts w:hint="eastAsia"/>
          <w:lang w:eastAsia="zh-CN"/>
        </w:rPr>
        <w:t>未来几年</w:t>
      </w:r>
      <w:r w:rsidR="00451466">
        <w:rPr>
          <w:rFonts w:hint="eastAsia"/>
          <w:lang w:eastAsia="zh-CN"/>
        </w:rPr>
        <w:t>，</w:t>
      </w:r>
      <w:r w:rsidR="00451466" w:rsidRPr="00EE7B8A">
        <w:rPr>
          <w:lang w:eastAsia="zh-CN"/>
        </w:rPr>
        <w:t>BDT</w:t>
      </w:r>
      <w:r w:rsidR="00996FD6" w:rsidRPr="00996FD6">
        <w:rPr>
          <w:rFonts w:hint="eastAsia"/>
          <w:lang w:eastAsia="zh-CN"/>
        </w:rPr>
        <w:t>将通过分析</w:t>
      </w:r>
      <w:r w:rsidR="00451466">
        <w:rPr>
          <w:rFonts w:hint="eastAsia"/>
          <w:lang w:eastAsia="zh-CN"/>
        </w:rPr>
        <w:t>性</w:t>
      </w:r>
      <w:r w:rsidR="00996FD6" w:rsidRPr="00996FD6">
        <w:rPr>
          <w:rFonts w:hint="eastAsia"/>
          <w:lang w:eastAsia="zh-CN"/>
        </w:rPr>
        <w:t>和主题</w:t>
      </w:r>
      <w:r>
        <w:rPr>
          <w:rFonts w:hint="eastAsia"/>
          <w:lang w:eastAsia="zh-CN"/>
        </w:rPr>
        <w:t>性</w:t>
      </w:r>
      <w:r w:rsidR="00996FD6" w:rsidRPr="00996FD6">
        <w:rPr>
          <w:rFonts w:hint="eastAsia"/>
          <w:lang w:eastAsia="zh-CN"/>
        </w:rPr>
        <w:t>输出成果</w:t>
      </w:r>
      <w:r>
        <w:rPr>
          <w:rFonts w:hint="eastAsia"/>
          <w:lang w:eastAsia="zh-CN"/>
        </w:rPr>
        <w:t>，继续推动基于证据的</w:t>
      </w:r>
      <w:r w:rsidR="00996FD6" w:rsidRPr="00996FD6">
        <w:rPr>
          <w:rFonts w:hint="eastAsia"/>
          <w:lang w:eastAsia="zh-CN"/>
        </w:rPr>
        <w:t>政策制定工作</w:t>
      </w:r>
      <w:r w:rsidR="00451466">
        <w:rPr>
          <w:rFonts w:hint="eastAsia"/>
          <w:lang w:eastAsia="zh-CN"/>
        </w:rPr>
        <w:t>，</w:t>
      </w:r>
      <w:r w:rsidR="00996FD6" w:rsidRPr="00996FD6">
        <w:rPr>
          <w:rFonts w:hint="eastAsia"/>
          <w:lang w:eastAsia="zh-CN"/>
        </w:rPr>
        <w:t>同时加强创新方法和利益攸关多方伙伴关系</w:t>
      </w:r>
      <w:r w:rsidR="00451466">
        <w:rPr>
          <w:rFonts w:hint="eastAsia"/>
          <w:lang w:eastAsia="zh-CN"/>
        </w:rPr>
        <w:t>，</w:t>
      </w:r>
      <w:r w:rsidR="00996FD6" w:rsidRPr="00996FD6">
        <w:rPr>
          <w:rFonts w:hint="eastAsia"/>
          <w:lang w:eastAsia="zh-CN"/>
        </w:rPr>
        <w:t>以加速数字化转型</w:t>
      </w:r>
      <w:r w:rsidR="00451466">
        <w:rPr>
          <w:rFonts w:hint="eastAsia"/>
          <w:lang w:eastAsia="zh-CN"/>
        </w:rPr>
        <w:t>。</w:t>
      </w:r>
      <w:r w:rsidR="00996FD6" w:rsidRPr="00996FD6">
        <w:rPr>
          <w:rFonts w:hint="eastAsia"/>
          <w:lang w:eastAsia="zh-CN"/>
        </w:rPr>
        <w:t>这</w:t>
      </w:r>
      <w:r>
        <w:rPr>
          <w:rFonts w:hint="eastAsia"/>
          <w:lang w:eastAsia="zh-CN"/>
        </w:rPr>
        <w:t>将</w:t>
      </w:r>
      <w:r w:rsidR="00996FD6" w:rsidRPr="00996FD6">
        <w:rPr>
          <w:rFonts w:hint="eastAsia"/>
          <w:lang w:eastAsia="zh-CN"/>
        </w:rPr>
        <w:t>需要持续关注连通性</w:t>
      </w:r>
      <w:r w:rsidR="00451466">
        <w:rPr>
          <w:rFonts w:hint="eastAsia"/>
          <w:lang w:eastAsia="zh-CN"/>
        </w:rPr>
        <w:t>、</w:t>
      </w:r>
      <w:r w:rsidR="00996FD6" w:rsidRPr="00996FD6">
        <w:rPr>
          <w:rFonts w:hint="eastAsia"/>
          <w:lang w:eastAsia="zh-CN"/>
        </w:rPr>
        <w:t>有利的政策和监管框架</w:t>
      </w:r>
      <w:r w:rsidR="00451466">
        <w:rPr>
          <w:rFonts w:hint="eastAsia"/>
          <w:lang w:eastAsia="zh-CN"/>
        </w:rPr>
        <w:t>、</w:t>
      </w:r>
      <w:r w:rsidR="00996FD6" w:rsidRPr="00996FD6">
        <w:rPr>
          <w:rFonts w:hint="eastAsia"/>
          <w:lang w:eastAsia="zh-CN"/>
        </w:rPr>
        <w:t>数字技能</w:t>
      </w:r>
      <w:r w:rsidR="00451466">
        <w:rPr>
          <w:rFonts w:hint="eastAsia"/>
          <w:lang w:eastAsia="zh-CN"/>
        </w:rPr>
        <w:t>发展、</w:t>
      </w:r>
      <w:r w:rsidR="00996FD6" w:rsidRPr="00996FD6">
        <w:rPr>
          <w:rFonts w:hint="eastAsia"/>
          <w:lang w:eastAsia="zh-CN"/>
        </w:rPr>
        <w:t>气候</w:t>
      </w:r>
      <w:r w:rsidR="00451466">
        <w:rPr>
          <w:rFonts w:hint="eastAsia"/>
          <w:lang w:eastAsia="zh-CN"/>
        </w:rPr>
        <w:t>韧性</w:t>
      </w:r>
      <w:r>
        <w:rPr>
          <w:rFonts w:hint="eastAsia"/>
          <w:lang w:eastAsia="zh-CN"/>
        </w:rPr>
        <w:t>以及</w:t>
      </w:r>
      <w:r w:rsidR="00996FD6" w:rsidRPr="00996FD6">
        <w:rPr>
          <w:rFonts w:hint="eastAsia"/>
          <w:lang w:eastAsia="zh-CN"/>
        </w:rPr>
        <w:t>可持续融资</w:t>
      </w:r>
      <w:r w:rsidR="00451466">
        <w:rPr>
          <w:rFonts w:hint="eastAsia"/>
          <w:lang w:eastAsia="zh-CN"/>
        </w:rPr>
        <w:t>。</w:t>
      </w:r>
      <w:r w:rsidR="00996FD6" w:rsidRPr="00996FD6">
        <w:rPr>
          <w:rFonts w:hint="eastAsia"/>
          <w:lang w:eastAsia="zh-CN"/>
        </w:rPr>
        <w:t>总体目标是确保</w:t>
      </w:r>
      <w:proofErr w:type="spellStart"/>
      <w:r w:rsidR="00451466" w:rsidRPr="00EE7B8A">
        <w:rPr>
          <w:lang w:eastAsia="zh-CN"/>
        </w:rPr>
        <w:t>LDC</w:t>
      </w:r>
      <w:proofErr w:type="spellEnd"/>
      <w:r w:rsidR="00451466">
        <w:rPr>
          <w:rFonts w:hint="eastAsia"/>
          <w:lang w:eastAsia="zh-CN"/>
        </w:rPr>
        <w:t>、</w:t>
      </w:r>
      <w:proofErr w:type="spellStart"/>
      <w:r w:rsidR="00451466" w:rsidRPr="00EE7B8A">
        <w:rPr>
          <w:lang w:eastAsia="zh-CN"/>
        </w:rPr>
        <w:t>LLDC</w:t>
      </w:r>
      <w:proofErr w:type="spellEnd"/>
      <w:r w:rsidR="00451466">
        <w:rPr>
          <w:rFonts w:hint="eastAsia"/>
          <w:lang w:eastAsia="zh-CN"/>
        </w:rPr>
        <w:t>和</w:t>
      </w:r>
      <w:r w:rsidR="00451466" w:rsidRPr="00EE7B8A">
        <w:rPr>
          <w:lang w:eastAsia="zh-CN"/>
        </w:rPr>
        <w:t>SIDS</w:t>
      </w:r>
      <w:r w:rsidR="00996FD6" w:rsidRPr="00996FD6">
        <w:rPr>
          <w:rFonts w:hint="eastAsia"/>
          <w:lang w:eastAsia="zh-CN"/>
        </w:rPr>
        <w:t>不仅</w:t>
      </w:r>
      <w:r>
        <w:rPr>
          <w:rFonts w:hint="eastAsia"/>
          <w:lang w:eastAsia="zh-CN"/>
        </w:rPr>
        <w:t>能够</w:t>
      </w:r>
      <w:r w:rsidR="00451466">
        <w:rPr>
          <w:rFonts w:hint="eastAsia"/>
          <w:lang w:eastAsia="zh-CN"/>
        </w:rPr>
        <w:t>实现</w:t>
      </w:r>
      <w:r w:rsidR="00996FD6" w:rsidRPr="00996FD6">
        <w:rPr>
          <w:rFonts w:hint="eastAsia"/>
          <w:lang w:eastAsia="zh-CN"/>
        </w:rPr>
        <w:t>连接</w:t>
      </w:r>
      <w:r w:rsidR="00451466">
        <w:rPr>
          <w:rFonts w:hint="eastAsia"/>
          <w:lang w:eastAsia="zh-CN"/>
        </w:rPr>
        <w:t>，</w:t>
      </w:r>
      <w:r>
        <w:rPr>
          <w:rFonts w:hint="eastAsia"/>
          <w:lang w:eastAsia="zh-CN"/>
        </w:rPr>
        <w:t>还能获得必要的能力，从而切实</w:t>
      </w:r>
      <w:r w:rsidR="00996FD6" w:rsidRPr="00996FD6">
        <w:rPr>
          <w:rFonts w:hint="eastAsia"/>
          <w:lang w:eastAsia="zh-CN"/>
        </w:rPr>
        <w:t>参与数字经济</w:t>
      </w:r>
      <w:r w:rsidR="00451466">
        <w:rPr>
          <w:rFonts w:hint="eastAsia"/>
          <w:lang w:eastAsia="zh-CN"/>
        </w:rPr>
        <w:t>、</w:t>
      </w:r>
      <w:r w:rsidR="00996FD6" w:rsidRPr="00996FD6">
        <w:rPr>
          <w:rFonts w:hint="eastAsia"/>
          <w:lang w:eastAsia="zh-CN"/>
        </w:rPr>
        <w:t>增强</w:t>
      </w:r>
      <w:r w:rsidR="00451466">
        <w:rPr>
          <w:rFonts w:hint="eastAsia"/>
          <w:lang w:eastAsia="zh-CN"/>
        </w:rPr>
        <w:t>韧性</w:t>
      </w:r>
      <w:r w:rsidR="00996FD6" w:rsidRPr="00996FD6">
        <w:rPr>
          <w:rFonts w:hint="eastAsia"/>
          <w:lang w:eastAsia="zh-CN"/>
        </w:rPr>
        <w:t>并</w:t>
      </w:r>
      <w:r>
        <w:rPr>
          <w:rFonts w:hint="eastAsia"/>
          <w:lang w:eastAsia="zh-CN"/>
        </w:rPr>
        <w:t>实现</w:t>
      </w:r>
      <w:r w:rsidR="00996FD6" w:rsidRPr="00996FD6">
        <w:rPr>
          <w:rFonts w:hint="eastAsia"/>
          <w:lang w:eastAsia="zh-CN"/>
        </w:rPr>
        <w:t>可持续发展成果</w:t>
      </w:r>
      <w:r w:rsidR="00451466">
        <w:rPr>
          <w:rFonts w:hint="eastAsia"/>
          <w:lang w:eastAsia="zh-CN"/>
        </w:rPr>
        <w:t>。</w:t>
      </w:r>
      <w:r w:rsidR="00996FD6" w:rsidRPr="00996FD6">
        <w:rPr>
          <w:rFonts w:hint="eastAsia"/>
          <w:lang w:eastAsia="zh-CN"/>
        </w:rPr>
        <w:t>请理事会将本报告记录在案</w:t>
      </w:r>
      <w:r w:rsidR="00451466">
        <w:rPr>
          <w:rFonts w:hint="eastAsia"/>
          <w:lang w:eastAsia="zh-CN"/>
        </w:rPr>
        <w:t>，</w:t>
      </w:r>
      <w:r w:rsidR="00996FD6" w:rsidRPr="00A1437C">
        <w:rPr>
          <w:rFonts w:hint="eastAsia"/>
          <w:lang w:eastAsia="zh-CN"/>
        </w:rPr>
        <w:t>并就拟议的战略方向提供指导</w:t>
      </w:r>
      <w:r w:rsidR="00451466" w:rsidRPr="00A1437C">
        <w:rPr>
          <w:rFonts w:hint="eastAsia"/>
          <w:lang w:eastAsia="zh-CN"/>
        </w:rPr>
        <w:t>。</w:t>
      </w:r>
    </w:p>
    <w:p w14:paraId="444BEF3B" w14:textId="77777777" w:rsidR="00E323D0" w:rsidRPr="00E323D0" w:rsidRDefault="00E323D0" w:rsidP="000C568D">
      <w:pPr>
        <w:spacing w:before="240"/>
        <w:jc w:val="center"/>
      </w:pPr>
      <w:r>
        <w:t>______________</w:t>
      </w:r>
    </w:p>
    <w:sectPr w:rsidR="00E323D0" w:rsidRPr="00E323D0" w:rsidSect="00E24D59">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4BDD" w14:textId="77777777" w:rsidR="00CB7AF1" w:rsidRDefault="00CB7AF1">
      <w:r>
        <w:separator/>
      </w:r>
    </w:p>
  </w:endnote>
  <w:endnote w:type="continuationSeparator" w:id="0">
    <w:p w14:paraId="0FDD8094" w14:textId="77777777" w:rsidR="00CB7AF1" w:rsidRDefault="00CB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1188A7F" w14:textId="77777777" w:rsidTr="00E31DCE">
      <w:trPr>
        <w:jc w:val="center"/>
      </w:trPr>
      <w:tc>
        <w:tcPr>
          <w:tcW w:w="1803" w:type="dxa"/>
          <w:vAlign w:val="center"/>
        </w:tcPr>
        <w:p w14:paraId="4A5DC89F" w14:textId="2A650D55" w:rsidR="00E24D59" w:rsidRPr="00A13406" w:rsidRDefault="0032503E" w:rsidP="00E24D59">
          <w:pPr>
            <w:pStyle w:val="Header"/>
            <w:jc w:val="left"/>
            <w:rPr>
              <w:noProof/>
              <w:color w:val="808080" w:themeColor="background1" w:themeShade="80"/>
            </w:rPr>
          </w:pPr>
          <w:r>
            <w:rPr>
              <w:noProof/>
              <w:color w:val="808080" w:themeColor="background1" w:themeShade="80"/>
            </w:rPr>
            <w:t>R2600730</w:t>
          </w:r>
        </w:p>
      </w:tc>
      <w:tc>
        <w:tcPr>
          <w:tcW w:w="8261" w:type="dxa"/>
        </w:tcPr>
        <w:p w14:paraId="0AE6535B" w14:textId="0D69D0F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32503E">
            <w:rPr>
              <w:bCs/>
              <w:color w:val="808080" w:themeColor="background1" w:themeShade="80"/>
            </w:rPr>
            <w:t>74</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65860C11"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EC79C58" w14:textId="77777777" w:rsidTr="00E31DCE">
      <w:trPr>
        <w:jc w:val="center"/>
      </w:trPr>
      <w:tc>
        <w:tcPr>
          <w:tcW w:w="1803" w:type="dxa"/>
          <w:vAlign w:val="center"/>
        </w:tcPr>
        <w:p w14:paraId="2671FFA7"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7E697558" w14:textId="083AC84F"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26351A">
            <w:rPr>
              <w:bCs/>
              <w:color w:val="808080" w:themeColor="background1" w:themeShade="80"/>
            </w:rPr>
            <w:t>74</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AC59AA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A30D" w14:textId="77777777" w:rsidR="00CB7AF1" w:rsidRDefault="00CB7AF1">
      <w:r>
        <w:t>____________________</w:t>
      </w:r>
    </w:p>
  </w:footnote>
  <w:footnote w:type="continuationSeparator" w:id="0">
    <w:p w14:paraId="5E82D527" w14:textId="77777777" w:rsidR="00CB7AF1" w:rsidRDefault="00CB7AF1">
      <w:r>
        <w:continuationSeparator/>
      </w:r>
    </w:p>
  </w:footnote>
  <w:footnote w:id="1">
    <w:p w14:paraId="797E1E9A" w14:textId="24C53380" w:rsidR="00761E3E" w:rsidRDefault="00761E3E" w:rsidP="00360333">
      <w:pPr>
        <w:pStyle w:val="FootnoteText"/>
        <w:spacing w:before="0" w:line="276" w:lineRule="auto"/>
        <w:rPr>
          <w:lang w:eastAsia="zh-CN"/>
        </w:rPr>
      </w:pPr>
      <w:r>
        <w:rPr>
          <w:rStyle w:val="FootnoteReference"/>
        </w:rPr>
        <w:footnoteRef/>
      </w:r>
      <w:r>
        <w:tab/>
      </w:r>
      <w:r>
        <w:rPr>
          <w:rFonts w:cs="Calibri"/>
          <w:sz w:val="20"/>
        </w:rPr>
        <w:t>LDC</w:t>
      </w:r>
      <w:r w:rsidR="00510E12">
        <w:rPr>
          <w:rFonts w:cs="Calibri" w:hint="eastAsia"/>
          <w:sz w:val="20"/>
          <w:lang w:eastAsia="zh-CN"/>
        </w:rPr>
        <w:t>、</w:t>
      </w:r>
      <w:r>
        <w:rPr>
          <w:rFonts w:cs="Calibri"/>
          <w:sz w:val="20"/>
        </w:rPr>
        <w:t>LLDC</w:t>
      </w:r>
      <w:r w:rsidR="00510E12">
        <w:rPr>
          <w:rFonts w:cs="Calibri" w:hint="eastAsia"/>
          <w:sz w:val="20"/>
          <w:lang w:eastAsia="zh-CN"/>
        </w:rPr>
        <w:t>和</w:t>
      </w:r>
      <w:r>
        <w:rPr>
          <w:rFonts w:cs="Calibri"/>
          <w:sz w:val="20"/>
        </w:rPr>
        <w:t>SIDS</w:t>
      </w:r>
      <w:r w:rsidR="00510E12">
        <w:rPr>
          <w:rFonts w:cs="Calibri" w:hint="eastAsia"/>
          <w:sz w:val="20"/>
          <w:lang w:eastAsia="zh-CN"/>
        </w:rPr>
        <w:t>：</w:t>
      </w:r>
      <w:hyperlink r:id="rId1" w:history="1">
        <w:r>
          <w:rPr>
            <w:rStyle w:val="Hyperlink"/>
            <w:rFonts w:eastAsia="Aptos" w:cs="Calibri"/>
            <w:sz w:val="20"/>
          </w:rPr>
          <w:t>www.itu.int/itu-d/sites/ldcs/?lang=en</w:t>
        </w:r>
      </w:hyperlink>
      <w:r w:rsidR="00510E12">
        <w:rPr>
          <w:rFonts w:hint="eastAsia"/>
          <w:lang w:eastAsia="zh-CN"/>
        </w:rPr>
        <w:t>。</w:t>
      </w:r>
    </w:p>
  </w:footnote>
  <w:footnote w:id="2">
    <w:p w14:paraId="4C03CC41" w14:textId="3C5568AD" w:rsidR="00304129" w:rsidRDefault="00304129" w:rsidP="00360333">
      <w:pPr>
        <w:pStyle w:val="FootnoteText"/>
        <w:spacing w:before="0"/>
        <w:rPr>
          <w:lang w:eastAsia="zh-CN"/>
        </w:rPr>
      </w:pPr>
      <w:r>
        <w:rPr>
          <w:rStyle w:val="FootnoteReference"/>
        </w:rPr>
        <w:footnoteRef/>
      </w:r>
      <w:r w:rsidR="00AF32D7">
        <w:rPr>
          <w:lang w:eastAsia="zh-CN"/>
        </w:rPr>
        <w:tab/>
      </w:r>
      <w:r>
        <w:fldChar w:fldCharType="begin"/>
      </w:r>
      <w:r>
        <w:rPr>
          <w:lang w:eastAsia="zh-CN"/>
        </w:rPr>
        <w:instrText>HYPERLINK "https://www.itu.int/partner2connect/pledges/explore-pledges/"</w:instrText>
      </w:r>
      <w:r>
        <w:fldChar w:fldCharType="separate"/>
      </w:r>
      <w:r>
        <w:rPr>
          <w:rStyle w:val="Hyperlink"/>
          <w:rFonts w:eastAsia="SimSun" w:cs="Calibri"/>
          <w:sz w:val="20"/>
          <w:lang w:eastAsia="zh-CN"/>
        </w:rPr>
        <w:t xml:space="preserve">Partner2Connect - </w:t>
      </w:r>
      <w:r w:rsidR="00111A41" w:rsidRPr="00111A41">
        <w:rPr>
          <w:rStyle w:val="Hyperlink"/>
          <w:rFonts w:eastAsia="SimSun" w:cs="Calibri" w:hint="eastAsia"/>
          <w:sz w:val="20"/>
          <w:lang w:eastAsia="zh-CN"/>
        </w:rPr>
        <w:t>认捐门户网站</w:t>
      </w:r>
      <w:r>
        <w:fldChar w:fldCharType="end"/>
      </w:r>
      <w:r w:rsidR="00111A41">
        <w:rPr>
          <w:rFonts w:hint="eastAsia"/>
          <w:lang w:eastAsia="zh-CN"/>
        </w:rPr>
        <w:t>。</w:t>
      </w:r>
    </w:p>
  </w:footnote>
  <w:footnote w:id="3">
    <w:p w14:paraId="37DBD44C" w14:textId="339D9103" w:rsidR="00304129" w:rsidRDefault="00304129" w:rsidP="00360333">
      <w:pPr>
        <w:pStyle w:val="FootnoteText"/>
        <w:spacing w:before="0"/>
        <w:rPr>
          <w:lang w:eastAsia="zh-CN"/>
        </w:rPr>
      </w:pPr>
      <w:r>
        <w:rPr>
          <w:rStyle w:val="FootnoteReference"/>
        </w:rPr>
        <w:footnoteRef/>
      </w:r>
      <w:r>
        <w:rPr>
          <w:lang w:eastAsia="zh-CN"/>
        </w:rPr>
        <w:tab/>
      </w:r>
      <w:r w:rsidR="00111A41">
        <w:fldChar w:fldCharType="begin"/>
      </w:r>
      <w:r w:rsidR="00111A41">
        <w:rPr>
          <w:lang w:eastAsia="zh-CN"/>
        </w:rPr>
        <w:instrText>HYPERLINK "https://www.itu.int/en/council/Documents/basic-texts-2023/RES-030-E.pdf"</w:instrText>
      </w:r>
      <w:r w:rsidR="00111A41">
        <w:fldChar w:fldCharType="separate"/>
      </w:r>
      <w:r w:rsidR="00111A41" w:rsidRPr="00111A41">
        <w:rPr>
          <w:rStyle w:val="Hyperlink"/>
          <w:rFonts w:eastAsia="SimSun" w:cs="Calibri" w:hint="eastAsia"/>
          <w:sz w:val="20"/>
          <w:lang w:eastAsia="zh-CN"/>
        </w:rPr>
        <w:t>全权代表大会通过的</w:t>
      </w:r>
      <w:r w:rsidR="00111A41">
        <w:rPr>
          <w:rStyle w:val="Hyperlink"/>
          <w:rFonts w:eastAsia="SimSun" w:cs="Calibri" w:hint="eastAsia"/>
          <w:sz w:val="20"/>
          <w:lang w:eastAsia="zh-CN"/>
        </w:rPr>
        <w:t>《</w:t>
      </w:r>
      <w:r w:rsidR="00111A41" w:rsidRPr="00111A41">
        <w:rPr>
          <w:rStyle w:val="Hyperlink"/>
          <w:rFonts w:eastAsia="SimSun" w:cs="Calibri" w:hint="eastAsia"/>
          <w:sz w:val="20"/>
          <w:lang w:eastAsia="zh-CN"/>
        </w:rPr>
        <w:t>国际电信联盟基本文件汇编</w:t>
      </w:r>
      <w:r w:rsidR="00111A41">
        <w:rPr>
          <w:rStyle w:val="Hyperlink"/>
          <w:rFonts w:eastAsia="SimSun" w:cs="Calibri" w:hint="eastAsia"/>
          <w:sz w:val="20"/>
          <w:lang w:eastAsia="zh-CN"/>
        </w:rPr>
        <w:t>》</w:t>
      </w:r>
      <w:r>
        <w:rPr>
          <w:rStyle w:val="Hyperlink"/>
          <w:rFonts w:eastAsia="SimSun" w:cs="Calibri"/>
          <w:sz w:val="20"/>
          <w:lang w:eastAsia="zh-CN"/>
        </w:rPr>
        <w:t xml:space="preserve">– </w:t>
      </w:r>
      <w:r w:rsidR="00111A41" w:rsidRPr="00111A41">
        <w:rPr>
          <w:rStyle w:val="Hyperlink"/>
          <w:rFonts w:eastAsia="SimSun" w:cs="Calibri"/>
          <w:sz w:val="20"/>
          <w:lang w:eastAsia="zh-CN"/>
        </w:rPr>
        <w:t>2023</w:t>
      </w:r>
      <w:r w:rsidR="00111A41">
        <w:rPr>
          <w:rStyle w:val="Hyperlink"/>
          <w:rFonts w:eastAsia="SimSun" w:cs="Calibri" w:hint="eastAsia"/>
          <w:sz w:val="20"/>
          <w:lang w:eastAsia="zh-CN"/>
        </w:rPr>
        <w:t>年版</w:t>
      </w:r>
      <w:r w:rsidR="00111A41">
        <w:fldChar w:fldCharType="end"/>
      </w:r>
      <w:r w:rsidR="00111A41">
        <w:rPr>
          <w:rFonts w:hint="eastAsia"/>
          <w:lang w:eastAsia="zh-CN"/>
        </w:rPr>
        <w:t>。</w:t>
      </w:r>
    </w:p>
  </w:footnote>
  <w:footnote w:id="4">
    <w:p w14:paraId="3C3C10E8" w14:textId="3ED0E39A" w:rsidR="00AF32D7" w:rsidRDefault="00AF32D7" w:rsidP="00360333">
      <w:pPr>
        <w:pStyle w:val="FootnoteText"/>
        <w:spacing w:before="0"/>
        <w:rPr>
          <w:lang w:eastAsia="zh-CN"/>
        </w:rPr>
      </w:pPr>
      <w:r>
        <w:rPr>
          <w:rStyle w:val="FootnoteReference"/>
        </w:rPr>
        <w:footnoteRef/>
      </w:r>
      <w:r>
        <w:rPr>
          <w:lang w:eastAsia="zh-CN"/>
        </w:rPr>
        <w:tab/>
      </w:r>
      <w:r w:rsidR="00111A41">
        <w:fldChar w:fldCharType="begin"/>
      </w:r>
      <w:r w:rsidR="00111A41">
        <w:rPr>
          <w:lang w:eastAsia="zh-CN"/>
        </w:rPr>
        <w:instrText>HYPERLINK "https://www.itu.int/itu-d/meetings/wtdc25/wp-content/uploads/sites/29/2025/11/090-E.pdf"</w:instrText>
      </w:r>
      <w:r w:rsidR="00111A41">
        <w:fldChar w:fldCharType="separate"/>
      </w:r>
      <w:r w:rsidR="00111A41">
        <w:rPr>
          <w:rStyle w:val="Hyperlink"/>
          <w:rFonts w:eastAsia="SimSun" w:cs="Calibri" w:hint="eastAsia"/>
          <w:sz w:val="20"/>
          <w:lang w:eastAsia="zh-CN"/>
        </w:rPr>
        <w:t>《</w:t>
      </w:r>
      <w:r w:rsidR="00111A41" w:rsidRPr="00111A41">
        <w:rPr>
          <w:rStyle w:val="Hyperlink"/>
          <w:rFonts w:eastAsia="SimSun" w:cs="Calibri"/>
          <w:sz w:val="20"/>
          <w:lang w:eastAsia="zh-CN"/>
        </w:rPr>
        <w:t>WTDC-25</w:t>
      </w:r>
      <w:r w:rsidR="00111A41" w:rsidRPr="00111A41">
        <w:rPr>
          <w:rStyle w:val="Hyperlink"/>
          <w:rFonts w:eastAsia="SimSun" w:cs="Calibri" w:hint="eastAsia"/>
          <w:sz w:val="20"/>
          <w:lang w:eastAsia="zh-CN"/>
        </w:rPr>
        <w:t>临时最后报告</w:t>
      </w:r>
      <w:r w:rsidR="00111A41">
        <w:rPr>
          <w:rStyle w:val="Hyperlink"/>
          <w:rFonts w:eastAsia="SimSun" w:cs="Calibri" w:hint="eastAsia"/>
          <w:sz w:val="20"/>
          <w:lang w:eastAsia="zh-CN"/>
        </w:rPr>
        <w:t>》</w:t>
      </w:r>
      <w:r w:rsidR="00111A41">
        <w:fldChar w:fldCharType="end"/>
      </w:r>
      <w:r w:rsidR="00111A41">
        <w:rPr>
          <w:rFonts w:cs="Calibri" w:hint="eastAsia"/>
          <w:sz w:val="20"/>
          <w:lang w:eastAsia="zh-CN"/>
        </w:rPr>
        <w:t>（</w:t>
      </w:r>
      <w:r w:rsidR="00111A41" w:rsidRPr="00996FD6">
        <w:rPr>
          <w:rFonts w:cs="Calibri" w:hint="eastAsia"/>
          <w:sz w:val="20"/>
          <w:lang w:val="fr-FR" w:eastAsia="zh-CN"/>
        </w:rPr>
        <w:t>第</w:t>
      </w:r>
      <w:r w:rsidR="00111A41" w:rsidRPr="00996FD6">
        <w:rPr>
          <w:rFonts w:cs="Calibri"/>
          <w:sz w:val="20"/>
          <w:lang w:eastAsia="zh-CN"/>
        </w:rPr>
        <w:t>179</w:t>
      </w:r>
      <w:r w:rsidR="00111A41" w:rsidRPr="00996FD6">
        <w:rPr>
          <w:rFonts w:cs="Calibri" w:hint="eastAsia"/>
          <w:sz w:val="20"/>
          <w:lang w:val="fr-FR" w:eastAsia="zh-CN"/>
        </w:rPr>
        <w:t>页</w:t>
      </w:r>
      <w:r w:rsidR="00111A41">
        <w:rPr>
          <w:rFonts w:cs="Calibri"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EA5A"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8A"/>
    <w:rsid w:val="00001B77"/>
    <w:rsid w:val="0000517A"/>
    <w:rsid w:val="0000538F"/>
    <w:rsid w:val="0000553E"/>
    <w:rsid w:val="0001004B"/>
    <w:rsid w:val="00031E72"/>
    <w:rsid w:val="000404D2"/>
    <w:rsid w:val="00060F48"/>
    <w:rsid w:val="000611C4"/>
    <w:rsid w:val="000646BD"/>
    <w:rsid w:val="0007316B"/>
    <w:rsid w:val="000853C0"/>
    <w:rsid w:val="00093DD9"/>
    <w:rsid w:val="0009409E"/>
    <w:rsid w:val="000A1C21"/>
    <w:rsid w:val="000A3CE7"/>
    <w:rsid w:val="000A662F"/>
    <w:rsid w:val="000B52C7"/>
    <w:rsid w:val="000B72F8"/>
    <w:rsid w:val="000C0BC5"/>
    <w:rsid w:val="000C568D"/>
    <w:rsid w:val="000D15EA"/>
    <w:rsid w:val="000D7012"/>
    <w:rsid w:val="000F102B"/>
    <w:rsid w:val="000F14C2"/>
    <w:rsid w:val="00100D84"/>
    <w:rsid w:val="001011CC"/>
    <w:rsid w:val="00111575"/>
    <w:rsid w:val="00111A41"/>
    <w:rsid w:val="00121487"/>
    <w:rsid w:val="00122622"/>
    <w:rsid w:val="00124C9D"/>
    <w:rsid w:val="001305DE"/>
    <w:rsid w:val="0014339D"/>
    <w:rsid w:val="001508D5"/>
    <w:rsid w:val="0015333E"/>
    <w:rsid w:val="00157773"/>
    <w:rsid w:val="00160746"/>
    <w:rsid w:val="00181522"/>
    <w:rsid w:val="0018251A"/>
    <w:rsid w:val="00185387"/>
    <w:rsid w:val="00190272"/>
    <w:rsid w:val="0019056F"/>
    <w:rsid w:val="00193244"/>
    <w:rsid w:val="00195C6C"/>
    <w:rsid w:val="00195FED"/>
    <w:rsid w:val="001A4A1E"/>
    <w:rsid w:val="001A4BD6"/>
    <w:rsid w:val="001B2FBD"/>
    <w:rsid w:val="001B6E2B"/>
    <w:rsid w:val="001D0DA0"/>
    <w:rsid w:val="001D5A18"/>
    <w:rsid w:val="001D6DB7"/>
    <w:rsid w:val="001E501F"/>
    <w:rsid w:val="001F6715"/>
    <w:rsid w:val="00206AEC"/>
    <w:rsid w:val="00215132"/>
    <w:rsid w:val="00220C45"/>
    <w:rsid w:val="002212E3"/>
    <w:rsid w:val="00224449"/>
    <w:rsid w:val="00225CE1"/>
    <w:rsid w:val="00227A0F"/>
    <w:rsid w:val="00233274"/>
    <w:rsid w:val="00237E31"/>
    <w:rsid w:val="00242B4D"/>
    <w:rsid w:val="0024725E"/>
    <w:rsid w:val="00252274"/>
    <w:rsid w:val="0026351A"/>
    <w:rsid w:val="00277DEA"/>
    <w:rsid w:val="00280EB8"/>
    <w:rsid w:val="00290703"/>
    <w:rsid w:val="002916B4"/>
    <w:rsid w:val="002A13F8"/>
    <w:rsid w:val="002A1D39"/>
    <w:rsid w:val="002A6670"/>
    <w:rsid w:val="002C3F32"/>
    <w:rsid w:val="002E3517"/>
    <w:rsid w:val="002E5F6A"/>
    <w:rsid w:val="002F67EA"/>
    <w:rsid w:val="003026DC"/>
    <w:rsid w:val="00303502"/>
    <w:rsid w:val="00304129"/>
    <w:rsid w:val="00310FAA"/>
    <w:rsid w:val="00312036"/>
    <w:rsid w:val="0032503E"/>
    <w:rsid w:val="00325C25"/>
    <w:rsid w:val="00330069"/>
    <w:rsid w:val="00341770"/>
    <w:rsid w:val="00355734"/>
    <w:rsid w:val="00360333"/>
    <w:rsid w:val="00372C8F"/>
    <w:rsid w:val="00380ECE"/>
    <w:rsid w:val="003907DE"/>
    <w:rsid w:val="00393DDF"/>
    <w:rsid w:val="00397923"/>
    <w:rsid w:val="00397F55"/>
    <w:rsid w:val="003A170B"/>
    <w:rsid w:val="003A73D5"/>
    <w:rsid w:val="003B4454"/>
    <w:rsid w:val="003C2E37"/>
    <w:rsid w:val="003C7257"/>
    <w:rsid w:val="003D4081"/>
    <w:rsid w:val="003D5E80"/>
    <w:rsid w:val="003E5E2D"/>
    <w:rsid w:val="003E6DEA"/>
    <w:rsid w:val="003F086E"/>
    <w:rsid w:val="003F1415"/>
    <w:rsid w:val="0040144C"/>
    <w:rsid w:val="00401611"/>
    <w:rsid w:val="00403EB7"/>
    <w:rsid w:val="004178E6"/>
    <w:rsid w:val="00422391"/>
    <w:rsid w:val="00430BF0"/>
    <w:rsid w:val="004317BC"/>
    <w:rsid w:val="00445888"/>
    <w:rsid w:val="00451466"/>
    <w:rsid w:val="00465C35"/>
    <w:rsid w:val="004672E6"/>
    <w:rsid w:val="00474ED1"/>
    <w:rsid w:val="00477D57"/>
    <w:rsid w:val="004849D3"/>
    <w:rsid w:val="00491BA9"/>
    <w:rsid w:val="00493085"/>
    <w:rsid w:val="004A36EC"/>
    <w:rsid w:val="004A4CC6"/>
    <w:rsid w:val="004B0B91"/>
    <w:rsid w:val="004C0F39"/>
    <w:rsid w:val="004D163F"/>
    <w:rsid w:val="004D179F"/>
    <w:rsid w:val="004D390E"/>
    <w:rsid w:val="004E4BFF"/>
    <w:rsid w:val="004E7D54"/>
    <w:rsid w:val="004F2598"/>
    <w:rsid w:val="00510E12"/>
    <w:rsid w:val="00512E1B"/>
    <w:rsid w:val="0052319C"/>
    <w:rsid w:val="00534AF9"/>
    <w:rsid w:val="005403F7"/>
    <w:rsid w:val="00540632"/>
    <w:rsid w:val="005414BA"/>
    <w:rsid w:val="00541CF4"/>
    <w:rsid w:val="005451E8"/>
    <w:rsid w:val="005507F2"/>
    <w:rsid w:val="00555C29"/>
    <w:rsid w:val="005759CC"/>
    <w:rsid w:val="00576C08"/>
    <w:rsid w:val="005A72E1"/>
    <w:rsid w:val="005B2815"/>
    <w:rsid w:val="005B3ED3"/>
    <w:rsid w:val="005C6632"/>
    <w:rsid w:val="005D1C9E"/>
    <w:rsid w:val="005E2856"/>
    <w:rsid w:val="005E2914"/>
    <w:rsid w:val="00602842"/>
    <w:rsid w:val="00604EC7"/>
    <w:rsid w:val="006157CE"/>
    <w:rsid w:val="00624EC4"/>
    <w:rsid w:val="0063050E"/>
    <w:rsid w:val="00630805"/>
    <w:rsid w:val="00630DD5"/>
    <w:rsid w:val="006332EE"/>
    <w:rsid w:val="00637584"/>
    <w:rsid w:val="006479EB"/>
    <w:rsid w:val="00653180"/>
    <w:rsid w:val="00654257"/>
    <w:rsid w:val="0065435A"/>
    <w:rsid w:val="00664A43"/>
    <w:rsid w:val="006666A3"/>
    <w:rsid w:val="00670D8A"/>
    <w:rsid w:val="00675DAF"/>
    <w:rsid w:val="006A2DD3"/>
    <w:rsid w:val="006A5113"/>
    <w:rsid w:val="006A5AF8"/>
    <w:rsid w:val="006C36CD"/>
    <w:rsid w:val="006E7A5E"/>
    <w:rsid w:val="006F64CE"/>
    <w:rsid w:val="00700D1F"/>
    <w:rsid w:val="007205CB"/>
    <w:rsid w:val="0072138B"/>
    <w:rsid w:val="00723DCE"/>
    <w:rsid w:val="00726073"/>
    <w:rsid w:val="0073251E"/>
    <w:rsid w:val="00734FE8"/>
    <w:rsid w:val="007360CE"/>
    <w:rsid w:val="00736141"/>
    <w:rsid w:val="00736FFD"/>
    <w:rsid w:val="00744118"/>
    <w:rsid w:val="00750BA3"/>
    <w:rsid w:val="00761E3E"/>
    <w:rsid w:val="0077110E"/>
    <w:rsid w:val="00772315"/>
    <w:rsid w:val="00774320"/>
    <w:rsid w:val="00775157"/>
    <w:rsid w:val="007813AE"/>
    <w:rsid w:val="00797A5B"/>
    <w:rsid w:val="007A37DB"/>
    <w:rsid w:val="007D1580"/>
    <w:rsid w:val="007E189D"/>
    <w:rsid w:val="007F0210"/>
    <w:rsid w:val="00806E3F"/>
    <w:rsid w:val="00811259"/>
    <w:rsid w:val="00812947"/>
    <w:rsid w:val="00813AA2"/>
    <w:rsid w:val="008173A3"/>
    <w:rsid w:val="00835F8D"/>
    <w:rsid w:val="008418F5"/>
    <w:rsid w:val="00841DFE"/>
    <w:rsid w:val="00844082"/>
    <w:rsid w:val="0084546D"/>
    <w:rsid w:val="00854F05"/>
    <w:rsid w:val="0086059C"/>
    <w:rsid w:val="00864589"/>
    <w:rsid w:val="00865A8D"/>
    <w:rsid w:val="00874C82"/>
    <w:rsid w:val="00890AFB"/>
    <w:rsid w:val="00890FC4"/>
    <w:rsid w:val="008958D2"/>
    <w:rsid w:val="00895905"/>
    <w:rsid w:val="008F5C87"/>
    <w:rsid w:val="008F64AD"/>
    <w:rsid w:val="0090278F"/>
    <w:rsid w:val="00911230"/>
    <w:rsid w:val="00911867"/>
    <w:rsid w:val="009164A9"/>
    <w:rsid w:val="00923DA9"/>
    <w:rsid w:val="009255C8"/>
    <w:rsid w:val="009258CB"/>
    <w:rsid w:val="0093362E"/>
    <w:rsid w:val="00936016"/>
    <w:rsid w:val="00944563"/>
    <w:rsid w:val="009517CF"/>
    <w:rsid w:val="00952F77"/>
    <w:rsid w:val="00953160"/>
    <w:rsid w:val="00953A08"/>
    <w:rsid w:val="009625D8"/>
    <w:rsid w:val="00962DA9"/>
    <w:rsid w:val="00967BE3"/>
    <w:rsid w:val="0098174A"/>
    <w:rsid w:val="00983878"/>
    <w:rsid w:val="0098411B"/>
    <w:rsid w:val="0098459B"/>
    <w:rsid w:val="00994816"/>
    <w:rsid w:val="00996FD6"/>
    <w:rsid w:val="00997185"/>
    <w:rsid w:val="009A3456"/>
    <w:rsid w:val="009A76A8"/>
    <w:rsid w:val="009B6903"/>
    <w:rsid w:val="009C2458"/>
    <w:rsid w:val="009C4A7B"/>
    <w:rsid w:val="009C6123"/>
    <w:rsid w:val="009C69EF"/>
    <w:rsid w:val="009D38AA"/>
    <w:rsid w:val="009D7D57"/>
    <w:rsid w:val="009F1E3E"/>
    <w:rsid w:val="009F4FE3"/>
    <w:rsid w:val="009F7134"/>
    <w:rsid w:val="00A01F4F"/>
    <w:rsid w:val="00A109AF"/>
    <w:rsid w:val="00A1213C"/>
    <w:rsid w:val="00A13406"/>
    <w:rsid w:val="00A1437C"/>
    <w:rsid w:val="00A25E91"/>
    <w:rsid w:val="00A270A9"/>
    <w:rsid w:val="00A272FF"/>
    <w:rsid w:val="00A5354B"/>
    <w:rsid w:val="00A71B57"/>
    <w:rsid w:val="00A91515"/>
    <w:rsid w:val="00A93F9B"/>
    <w:rsid w:val="00AA2E08"/>
    <w:rsid w:val="00AA64AA"/>
    <w:rsid w:val="00AB0B93"/>
    <w:rsid w:val="00AB42C1"/>
    <w:rsid w:val="00AC516F"/>
    <w:rsid w:val="00AE0BC6"/>
    <w:rsid w:val="00AE195F"/>
    <w:rsid w:val="00AE2926"/>
    <w:rsid w:val="00AF0200"/>
    <w:rsid w:val="00AF32D7"/>
    <w:rsid w:val="00AF77D8"/>
    <w:rsid w:val="00B0184B"/>
    <w:rsid w:val="00B0312E"/>
    <w:rsid w:val="00B035CD"/>
    <w:rsid w:val="00B06766"/>
    <w:rsid w:val="00B0769D"/>
    <w:rsid w:val="00B16A39"/>
    <w:rsid w:val="00B20E96"/>
    <w:rsid w:val="00B217F8"/>
    <w:rsid w:val="00B24C4C"/>
    <w:rsid w:val="00B30740"/>
    <w:rsid w:val="00B326AA"/>
    <w:rsid w:val="00B332EA"/>
    <w:rsid w:val="00B40A53"/>
    <w:rsid w:val="00B40D68"/>
    <w:rsid w:val="00B45365"/>
    <w:rsid w:val="00B45419"/>
    <w:rsid w:val="00B46A65"/>
    <w:rsid w:val="00B60184"/>
    <w:rsid w:val="00B62D20"/>
    <w:rsid w:val="00B81E75"/>
    <w:rsid w:val="00B835B9"/>
    <w:rsid w:val="00B83EF2"/>
    <w:rsid w:val="00B84F42"/>
    <w:rsid w:val="00B85066"/>
    <w:rsid w:val="00B85C4B"/>
    <w:rsid w:val="00B91673"/>
    <w:rsid w:val="00B93453"/>
    <w:rsid w:val="00B9407C"/>
    <w:rsid w:val="00B9445B"/>
    <w:rsid w:val="00BB0E0B"/>
    <w:rsid w:val="00BB7AA8"/>
    <w:rsid w:val="00BC1E1B"/>
    <w:rsid w:val="00BD0954"/>
    <w:rsid w:val="00BD1A5A"/>
    <w:rsid w:val="00BD66E2"/>
    <w:rsid w:val="00BD7A9B"/>
    <w:rsid w:val="00BD7BE1"/>
    <w:rsid w:val="00BF416B"/>
    <w:rsid w:val="00BF6A2C"/>
    <w:rsid w:val="00C24DAC"/>
    <w:rsid w:val="00C329E7"/>
    <w:rsid w:val="00C42848"/>
    <w:rsid w:val="00C44F8A"/>
    <w:rsid w:val="00C45EB2"/>
    <w:rsid w:val="00C63BAC"/>
    <w:rsid w:val="00C64E4E"/>
    <w:rsid w:val="00C66E64"/>
    <w:rsid w:val="00C72431"/>
    <w:rsid w:val="00C761A0"/>
    <w:rsid w:val="00C77DB2"/>
    <w:rsid w:val="00C85F7E"/>
    <w:rsid w:val="00C866A9"/>
    <w:rsid w:val="00C90D53"/>
    <w:rsid w:val="00CA0B2E"/>
    <w:rsid w:val="00CA1116"/>
    <w:rsid w:val="00CA260A"/>
    <w:rsid w:val="00CA6EF7"/>
    <w:rsid w:val="00CB64F8"/>
    <w:rsid w:val="00CB7AF1"/>
    <w:rsid w:val="00CC34EC"/>
    <w:rsid w:val="00CC6E26"/>
    <w:rsid w:val="00CD47F0"/>
    <w:rsid w:val="00CD4C34"/>
    <w:rsid w:val="00CD5566"/>
    <w:rsid w:val="00CD64D7"/>
    <w:rsid w:val="00CE18EF"/>
    <w:rsid w:val="00CE19C7"/>
    <w:rsid w:val="00CE6F22"/>
    <w:rsid w:val="00CF0EBB"/>
    <w:rsid w:val="00CF2A52"/>
    <w:rsid w:val="00CF41F6"/>
    <w:rsid w:val="00CF6676"/>
    <w:rsid w:val="00CF7D3E"/>
    <w:rsid w:val="00D02B4E"/>
    <w:rsid w:val="00D21F11"/>
    <w:rsid w:val="00D3362A"/>
    <w:rsid w:val="00D36817"/>
    <w:rsid w:val="00D453EE"/>
    <w:rsid w:val="00D5666C"/>
    <w:rsid w:val="00D64EC8"/>
    <w:rsid w:val="00D666BC"/>
    <w:rsid w:val="00D83542"/>
    <w:rsid w:val="00D87C3A"/>
    <w:rsid w:val="00D92F45"/>
    <w:rsid w:val="00D94637"/>
    <w:rsid w:val="00D9725C"/>
    <w:rsid w:val="00DA0E66"/>
    <w:rsid w:val="00DA2D30"/>
    <w:rsid w:val="00DA7006"/>
    <w:rsid w:val="00DB2E7E"/>
    <w:rsid w:val="00DB3621"/>
    <w:rsid w:val="00DB70C6"/>
    <w:rsid w:val="00DC6427"/>
    <w:rsid w:val="00DD62F5"/>
    <w:rsid w:val="00DD66A1"/>
    <w:rsid w:val="00DE196D"/>
    <w:rsid w:val="00DF6B49"/>
    <w:rsid w:val="00E067C5"/>
    <w:rsid w:val="00E24D59"/>
    <w:rsid w:val="00E265BF"/>
    <w:rsid w:val="00E323D0"/>
    <w:rsid w:val="00E34C96"/>
    <w:rsid w:val="00E378D8"/>
    <w:rsid w:val="00E43A12"/>
    <w:rsid w:val="00E67C67"/>
    <w:rsid w:val="00E71BE5"/>
    <w:rsid w:val="00E77476"/>
    <w:rsid w:val="00E8228B"/>
    <w:rsid w:val="00EA0651"/>
    <w:rsid w:val="00EA0F39"/>
    <w:rsid w:val="00EA6689"/>
    <w:rsid w:val="00EB08F3"/>
    <w:rsid w:val="00EB272D"/>
    <w:rsid w:val="00EB6EF6"/>
    <w:rsid w:val="00ED368D"/>
    <w:rsid w:val="00EE26A6"/>
    <w:rsid w:val="00EE3581"/>
    <w:rsid w:val="00EE5706"/>
    <w:rsid w:val="00EE5CFF"/>
    <w:rsid w:val="00EE7B8A"/>
    <w:rsid w:val="00EF373D"/>
    <w:rsid w:val="00EF3768"/>
    <w:rsid w:val="00F11595"/>
    <w:rsid w:val="00F12DE7"/>
    <w:rsid w:val="00F13BC9"/>
    <w:rsid w:val="00F2712F"/>
    <w:rsid w:val="00F357B2"/>
    <w:rsid w:val="00F36556"/>
    <w:rsid w:val="00F41248"/>
    <w:rsid w:val="00F44838"/>
    <w:rsid w:val="00F44BB0"/>
    <w:rsid w:val="00F61061"/>
    <w:rsid w:val="00F6736A"/>
    <w:rsid w:val="00F705DF"/>
    <w:rsid w:val="00F70622"/>
    <w:rsid w:val="00F72FE7"/>
    <w:rsid w:val="00F85624"/>
    <w:rsid w:val="00F87C05"/>
    <w:rsid w:val="00F93191"/>
    <w:rsid w:val="00F93A17"/>
    <w:rsid w:val="00FA2AF6"/>
    <w:rsid w:val="00FA4574"/>
    <w:rsid w:val="00FB073D"/>
    <w:rsid w:val="00FB771F"/>
    <w:rsid w:val="00FC0570"/>
    <w:rsid w:val="00FC2259"/>
    <w:rsid w:val="00FC5386"/>
    <w:rsid w:val="00FC61FF"/>
    <w:rsid w:val="00FD32D7"/>
    <w:rsid w:val="00FE5A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37A1E"/>
  <w15:docId w15:val="{1EAE3B5E-0F99-4FB7-9EAA-8DC90520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qFormat/>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qFormat/>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qFormat/>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32503E"/>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13" Type="http://schemas.openxmlformats.org/officeDocument/2006/relationships/hyperlink" Target="https://www.itu.int/itu-d/reports/statistics/facts-figures-for-ld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itu-d/reports/statistics/facts-figures-2025/" TargetMode="External"/><Relationship Id="rId17" Type="http://schemas.openxmlformats.org/officeDocument/2006/relationships/hyperlink" Target="https://ituint.sharepoint.com/:w:/r/sites/TDAG/_layouts/15/Doc.aspx?sourcedoc=%7B2D880161-E588-44DE-A847-4654D1899B5D%7D&amp;file=002E_V_clean_TDAG26_Reporting%20on%20the%20%20Implementation%20of%20WTDC-25%20%20BAP.docx&amp;action=default&amp;mobileredirect=true" TargetMode="External"/><Relationship Id="rId2" Type="http://schemas.openxmlformats.org/officeDocument/2006/relationships/numbering" Target="numbering.xml"/><Relationship Id="rId16" Type="http://schemas.openxmlformats.org/officeDocument/2006/relationships/hyperlink" Target="https://view.officeapps.live.com/op/view.aspx?src=https%3A%2F%2Fwww.itu.int%2Fdms_pub%2Fitu-d%2Fmd%2F26%2Ftdag33%2Fc%2FD26-TDAG33-C-0002!!MSW-C.docx&amp;wdOrigin=BROWSELI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academy.itu.int/index.php/main-activities/digital-transformation-centres-initiative" TargetMode="External"/><Relationship Id="rId10" Type="http://schemas.openxmlformats.org/officeDocument/2006/relationships/hyperlink" Target="https://view.officeapps.live.com/op/view.aspx?src=https%3A%2F%2Fwww.itu.int%2Fdms_pub%2Fitu-d%2Fmd%2F26%2Ftdag33%2Fc%2FD26-TDAG33-C-0002!!MSW-C.docx&amp;wdOrigin=BROWSELI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w.officeapps.live.com/op/view.aspx?src=https%3A%2F%2Fwww.itu.int%2Fdms_pub%2Fitu-d%2Fmd%2F22%2Fwtdc25%2Fc%2FD22-WTDC25-C-0002!N2!MSW-C.docx&amp;wdOrigin=BROWSELINK" TargetMode="External"/><Relationship Id="rId14" Type="http://schemas.openxmlformats.org/officeDocument/2006/relationships/hyperlink" Target="https://www.itu.int/en/ITU-D/Statistics/Pages/capacitydev/default.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itu-d/sites/ldcs/?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template\PC_Council26.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'LDCs, LLDCs and SIDS'!$A$3</c:f>
              <c:strCache>
                <c:ptCount val="1"/>
                <c:pt idx="0">
                  <c:v> LDC </c:v>
                </c:pt>
              </c:strCache>
            </c:strRef>
          </c:tx>
          <c:spPr>
            <a:ln w="28575" cap="rnd">
              <a:solidFill>
                <a:schemeClr val="tx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7074-4341-A85D-CE05C52AEF61}"/>
                </c:ext>
              </c:extLst>
            </c:dLbl>
            <c:dLbl>
              <c:idx val="1"/>
              <c:delete val="1"/>
              <c:extLst>
                <c:ext xmlns:c15="http://schemas.microsoft.com/office/drawing/2012/chart" uri="{CE6537A1-D6FC-4f65-9D91-7224C49458BB}"/>
                <c:ext xmlns:c16="http://schemas.microsoft.com/office/drawing/2014/chart" uri="{C3380CC4-5D6E-409C-BE32-E72D297353CC}">
                  <c16:uniqueId val="{00000001-7074-4341-A85D-CE05C52AEF61}"/>
                </c:ext>
              </c:extLst>
            </c:dLbl>
            <c:dLbl>
              <c:idx val="2"/>
              <c:layout>
                <c:manualLayout>
                  <c:x val="-1.9607861301091218E-3"/>
                  <c:y val="3.6484245439469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74-4341-A85D-CE05C52AEF61}"/>
                </c:ext>
              </c:extLst>
            </c:dLbl>
            <c:dLbl>
              <c:idx val="3"/>
              <c:delete val="1"/>
              <c:extLst>
                <c:ext xmlns:c15="http://schemas.microsoft.com/office/drawing/2012/chart" uri="{CE6537A1-D6FC-4f65-9D91-7224C49458BB}"/>
                <c:ext xmlns:c16="http://schemas.microsoft.com/office/drawing/2014/chart" uri="{C3380CC4-5D6E-409C-BE32-E72D297353CC}">
                  <c16:uniqueId val="{00000003-7074-4341-A85D-CE05C52AEF61}"/>
                </c:ext>
              </c:extLst>
            </c:dLbl>
            <c:dLbl>
              <c:idx val="4"/>
              <c:delete val="1"/>
              <c:extLst>
                <c:ext xmlns:c15="http://schemas.microsoft.com/office/drawing/2012/chart" uri="{CE6537A1-D6FC-4f65-9D91-7224C49458BB}"/>
                <c:ext xmlns:c16="http://schemas.microsoft.com/office/drawing/2014/chart" uri="{C3380CC4-5D6E-409C-BE32-E72D297353CC}">
                  <c16:uniqueId val="{00000004-7074-4341-A85D-CE05C52AEF61}"/>
                </c:ext>
              </c:extLst>
            </c:dLbl>
            <c:dLbl>
              <c:idx val="5"/>
              <c:layout>
                <c:manualLayout>
                  <c:x val="-3.5277257193253225E-2"/>
                  <c:y val="3.7439161362785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074-4341-A85D-CE05C52AE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'LDCs, LLDCs and SIDS'!$B$2:$G$2</c:f>
              <c:strCache>
                <c:ptCount val="6"/>
                <c:pt idx="0">
                  <c:v>2020年</c:v>
                </c:pt>
                <c:pt idx="1">
                  <c:v>2021年</c:v>
                </c:pt>
                <c:pt idx="2">
                  <c:v>2022年</c:v>
                </c:pt>
                <c:pt idx="3">
                  <c:v>2023年</c:v>
                </c:pt>
                <c:pt idx="4">
                  <c:v>2024年</c:v>
                </c:pt>
                <c:pt idx="5">
                  <c:v>2025年</c:v>
                </c:pt>
              </c:strCache>
            </c:strRef>
          </c:cat>
          <c:val>
            <c:numRef>
              <c:f>'LDCs, LLDCs and SIDS'!$B$3:$G$3</c:f>
              <c:numCache>
                <c:formatCode>_-* #\ ##0.0_-;\-* #\ ##0.0_-;_-* "-"??_-;_-@_-</c:formatCode>
                <c:ptCount val="6"/>
                <c:pt idx="0">
                  <c:v>24.1</c:v>
                </c:pt>
                <c:pt idx="1">
                  <c:v>26.1</c:v>
                </c:pt>
                <c:pt idx="2">
                  <c:v>28.2</c:v>
                </c:pt>
                <c:pt idx="3">
                  <c:v>29.9</c:v>
                </c:pt>
                <c:pt idx="4">
                  <c:v>31.4</c:v>
                </c:pt>
                <c:pt idx="5">
                  <c:v>33.700000000000003</c:v>
                </c:pt>
              </c:numCache>
            </c:numRef>
          </c:val>
          <c:smooth val="0"/>
          <c:extLst>
            <c:ext xmlns:c16="http://schemas.microsoft.com/office/drawing/2014/chart" uri="{C3380CC4-5D6E-409C-BE32-E72D297353CC}">
              <c16:uniqueId val="{00000005-7074-4341-A85D-CE05C52AEF61}"/>
            </c:ext>
          </c:extLst>
        </c:ser>
        <c:ser>
          <c:idx val="1"/>
          <c:order val="1"/>
          <c:tx>
            <c:strRef>
              <c:f>'LDCs, LLDCs and SIDS'!$A$4</c:f>
              <c:strCache>
                <c:ptCount val="1"/>
                <c:pt idx="0">
                  <c:v> LLDC </c:v>
                </c:pt>
              </c:strCache>
            </c:strRef>
          </c:tx>
          <c:spPr>
            <a:ln w="28575" cap="rnd">
              <a:solidFill>
                <a:schemeClr val="accent2"/>
              </a:solidFill>
              <a:prstDash val="dash"/>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6-7074-4341-A85D-CE05C52AEF61}"/>
                </c:ext>
              </c:extLst>
            </c:dLbl>
            <c:dLbl>
              <c:idx val="1"/>
              <c:delete val="1"/>
              <c:extLst>
                <c:ext xmlns:c15="http://schemas.microsoft.com/office/drawing/2012/chart" uri="{CE6537A1-D6FC-4f65-9D91-7224C49458BB}"/>
                <c:ext xmlns:c16="http://schemas.microsoft.com/office/drawing/2014/chart" uri="{C3380CC4-5D6E-409C-BE32-E72D297353CC}">
                  <c16:uniqueId val="{00000007-7074-4341-A85D-CE05C52AEF61}"/>
                </c:ext>
              </c:extLst>
            </c:dLbl>
            <c:dLbl>
              <c:idx val="2"/>
              <c:layout>
                <c:manualLayout>
                  <c:x val="-1.6174414092847589E-2"/>
                  <c:y val="-4.857008935283321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9077626458637326E-2"/>
                      <c:h val="6.6285298201446269E-2"/>
                    </c:manualLayout>
                  </c15:layout>
                </c:ext>
                <c:ext xmlns:c16="http://schemas.microsoft.com/office/drawing/2014/chart" uri="{C3380CC4-5D6E-409C-BE32-E72D297353CC}">
                  <c16:uniqueId val="{00000008-7074-4341-A85D-CE05C52AEF61}"/>
                </c:ext>
              </c:extLst>
            </c:dLbl>
            <c:dLbl>
              <c:idx val="3"/>
              <c:delete val="1"/>
              <c:extLst>
                <c:ext xmlns:c15="http://schemas.microsoft.com/office/drawing/2012/chart" uri="{CE6537A1-D6FC-4f65-9D91-7224C49458BB}"/>
                <c:ext xmlns:c16="http://schemas.microsoft.com/office/drawing/2014/chart" uri="{C3380CC4-5D6E-409C-BE32-E72D297353CC}">
                  <c16:uniqueId val="{00000009-7074-4341-A85D-CE05C52AEF61}"/>
                </c:ext>
              </c:extLst>
            </c:dLbl>
            <c:dLbl>
              <c:idx val="4"/>
              <c:delete val="1"/>
              <c:extLst>
                <c:ext xmlns:c15="http://schemas.microsoft.com/office/drawing/2012/chart" uri="{CE6537A1-D6FC-4f65-9D91-7224C49458BB}"/>
                <c:ext xmlns:c16="http://schemas.microsoft.com/office/drawing/2014/chart" uri="{C3380CC4-5D6E-409C-BE32-E72D297353CC}">
                  <c16:uniqueId val="{0000000A-7074-4341-A85D-CE05C52AEF61}"/>
                </c:ext>
              </c:extLst>
            </c:dLbl>
            <c:dLbl>
              <c:idx val="5"/>
              <c:layout>
                <c:manualLayout>
                  <c:x val="-4.630140006614486E-2"/>
                  <c:y val="-4.4926993635342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074-4341-A85D-CE05C52AE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'LDCs, LLDCs and SIDS'!$B$2:$G$2</c:f>
              <c:strCache>
                <c:ptCount val="6"/>
                <c:pt idx="0">
                  <c:v>2020年</c:v>
                </c:pt>
                <c:pt idx="1">
                  <c:v>2021年</c:v>
                </c:pt>
                <c:pt idx="2">
                  <c:v>2022年</c:v>
                </c:pt>
                <c:pt idx="3">
                  <c:v>2023年</c:v>
                </c:pt>
                <c:pt idx="4">
                  <c:v>2024年</c:v>
                </c:pt>
                <c:pt idx="5">
                  <c:v>2025年</c:v>
                </c:pt>
              </c:strCache>
            </c:strRef>
          </c:cat>
          <c:val>
            <c:numRef>
              <c:f>'LDCs, LLDCs and SIDS'!$B$4:$G$4</c:f>
              <c:numCache>
                <c:formatCode>_-* #\ ##0.0_-;\-* #\ ##0.0_-;_-* "-"??_-;_-@_-</c:formatCode>
                <c:ptCount val="6"/>
                <c:pt idx="0">
                  <c:v>29.5</c:v>
                </c:pt>
                <c:pt idx="1">
                  <c:v>31.5</c:v>
                </c:pt>
                <c:pt idx="2">
                  <c:v>33.299999999999997</c:v>
                </c:pt>
                <c:pt idx="3">
                  <c:v>34.700000000000003</c:v>
                </c:pt>
                <c:pt idx="4">
                  <c:v>35.6</c:v>
                </c:pt>
                <c:pt idx="5">
                  <c:v>37.6</c:v>
                </c:pt>
              </c:numCache>
            </c:numRef>
          </c:val>
          <c:smooth val="0"/>
          <c:extLst>
            <c:ext xmlns:c16="http://schemas.microsoft.com/office/drawing/2014/chart" uri="{C3380CC4-5D6E-409C-BE32-E72D297353CC}">
              <c16:uniqueId val="{0000000B-7074-4341-A85D-CE05C52AEF61}"/>
            </c:ext>
          </c:extLst>
        </c:ser>
        <c:ser>
          <c:idx val="2"/>
          <c:order val="2"/>
          <c:tx>
            <c:strRef>
              <c:f>'LDCs, LLDCs and SIDS'!$A$5</c:f>
              <c:strCache>
                <c:ptCount val="1"/>
                <c:pt idx="0">
                  <c:v> SIDS </c:v>
                </c:pt>
              </c:strCache>
            </c:strRef>
          </c:tx>
          <c:spPr>
            <a:ln w="31750" cap="rnd">
              <a:solidFill>
                <a:schemeClr val="accent6">
                  <a:lumMod val="75000"/>
                </a:schemeClr>
              </a:solidFill>
              <a:prstDash val="lgDashDot"/>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C-7074-4341-A85D-CE05C52AEF61}"/>
                </c:ext>
              </c:extLst>
            </c:dLbl>
            <c:dLbl>
              <c:idx val="1"/>
              <c:delete val="1"/>
              <c:extLst>
                <c:ext xmlns:c15="http://schemas.microsoft.com/office/drawing/2012/chart" uri="{CE6537A1-D6FC-4f65-9D91-7224C49458BB}"/>
                <c:ext xmlns:c16="http://schemas.microsoft.com/office/drawing/2014/chart" uri="{C3380CC4-5D6E-409C-BE32-E72D297353CC}">
                  <c16:uniqueId val="{0000000D-7074-4341-A85D-CE05C52AEF61}"/>
                </c:ext>
              </c:extLst>
            </c:dLbl>
            <c:dLbl>
              <c:idx val="2"/>
              <c:layout>
                <c:manualLayout>
                  <c:x val="0"/>
                  <c:y val="4.3117744610281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074-4341-A85D-CE05C52AEF61}"/>
                </c:ext>
              </c:extLst>
            </c:dLbl>
            <c:dLbl>
              <c:idx val="3"/>
              <c:delete val="1"/>
              <c:extLst>
                <c:ext xmlns:c15="http://schemas.microsoft.com/office/drawing/2012/chart" uri="{CE6537A1-D6FC-4f65-9D91-7224C49458BB}"/>
                <c:ext xmlns:c16="http://schemas.microsoft.com/office/drawing/2014/chart" uri="{C3380CC4-5D6E-409C-BE32-E72D297353CC}">
                  <c16:uniqueId val="{0000000F-7074-4341-A85D-CE05C52AEF61}"/>
                </c:ext>
              </c:extLst>
            </c:dLbl>
            <c:dLbl>
              <c:idx val="4"/>
              <c:delete val="1"/>
              <c:extLst>
                <c:ext xmlns:c15="http://schemas.microsoft.com/office/drawing/2012/chart" uri="{CE6537A1-D6FC-4f65-9D91-7224C49458BB}"/>
                <c:ext xmlns:c16="http://schemas.microsoft.com/office/drawing/2014/chart" uri="{C3380CC4-5D6E-409C-BE32-E72D297353CC}">
                  <c16:uniqueId val="{00000010-7074-4341-A85D-CE05C52AEF61}"/>
                </c:ext>
              </c:extLst>
            </c:dLbl>
            <c:dLbl>
              <c:idx val="5"/>
              <c:layout>
                <c:manualLayout>
                  <c:x val="-3.0867600044096572E-2"/>
                  <c:y val="3.369524522650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074-4341-A85D-CE05C52AE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'LDCs, LLDCs and SIDS'!$B$2:$G$2</c:f>
              <c:strCache>
                <c:ptCount val="6"/>
                <c:pt idx="0">
                  <c:v>2020年</c:v>
                </c:pt>
                <c:pt idx="1">
                  <c:v>2021年</c:v>
                </c:pt>
                <c:pt idx="2">
                  <c:v>2022年</c:v>
                </c:pt>
                <c:pt idx="3">
                  <c:v>2023年</c:v>
                </c:pt>
                <c:pt idx="4">
                  <c:v>2024年</c:v>
                </c:pt>
                <c:pt idx="5">
                  <c:v>2025年</c:v>
                </c:pt>
              </c:strCache>
            </c:strRef>
          </c:cat>
          <c:val>
            <c:numRef>
              <c:f>'LDCs, LLDCs and SIDS'!$B$5:$G$5</c:f>
              <c:numCache>
                <c:formatCode>_-* #\ ##0.0_-;\-* #\ ##0.0_-;_-* "-"??_-;_-@_-</c:formatCode>
                <c:ptCount val="6"/>
                <c:pt idx="0">
                  <c:v>57.1</c:v>
                </c:pt>
                <c:pt idx="1">
                  <c:v>59.4</c:v>
                </c:pt>
                <c:pt idx="2">
                  <c:v>60.1</c:v>
                </c:pt>
                <c:pt idx="3">
                  <c:v>61.4</c:v>
                </c:pt>
                <c:pt idx="4">
                  <c:v>62.5</c:v>
                </c:pt>
                <c:pt idx="5">
                  <c:v>64.099999999999994</c:v>
                </c:pt>
              </c:numCache>
            </c:numRef>
          </c:val>
          <c:smooth val="0"/>
          <c:extLst>
            <c:ext xmlns:c16="http://schemas.microsoft.com/office/drawing/2014/chart" uri="{C3380CC4-5D6E-409C-BE32-E72D297353CC}">
              <c16:uniqueId val="{00000011-7074-4341-A85D-CE05C52AEF61}"/>
            </c:ext>
          </c:extLst>
        </c:ser>
        <c:ser>
          <c:idx val="3"/>
          <c:order val="3"/>
          <c:tx>
            <c:strRef>
              <c:f>'LDCs, LLDCs and SIDS'!$A$6</c:f>
              <c:strCache>
                <c:ptCount val="1"/>
                <c:pt idx="0">
                  <c:v> 全球 </c:v>
                </c:pt>
              </c:strCache>
            </c:strRef>
          </c:tx>
          <c:spPr>
            <a:ln w="28575" cap="rnd">
              <a:solidFill>
                <a:srgbClr val="FA8EE3"/>
              </a:solidFill>
              <a:prstDash val="sysDot"/>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2-7074-4341-A85D-CE05C52AEF61}"/>
                </c:ext>
              </c:extLst>
            </c:dLbl>
            <c:dLbl>
              <c:idx val="1"/>
              <c:delete val="1"/>
              <c:extLst>
                <c:ext xmlns:c15="http://schemas.microsoft.com/office/drawing/2012/chart" uri="{CE6537A1-D6FC-4f65-9D91-7224C49458BB}"/>
                <c:ext xmlns:c16="http://schemas.microsoft.com/office/drawing/2014/chart" uri="{C3380CC4-5D6E-409C-BE32-E72D297353CC}">
                  <c16:uniqueId val="{00000013-7074-4341-A85D-CE05C52AEF61}"/>
                </c:ext>
              </c:extLst>
            </c:dLbl>
            <c:dLbl>
              <c:idx val="2"/>
              <c:layout>
                <c:manualLayout>
                  <c:x val="-5.8823583903273649E-3"/>
                  <c:y val="-3.98009950248756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074-4341-A85D-CE05C52AEF61}"/>
                </c:ext>
              </c:extLst>
            </c:dLbl>
            <c:dLbl>
              <c:idx val="3"/>
              <c:delete val="1"/>
              <c:extLst>
                <c:ext xmlns:c15="http://schemas.microsoft.com/office/drawing/2012/chart" uri="{CE6537A1-D6FC-4f65-9D91-7224C49458BB}"/>
                <c:ext xmlns:c16="http://schemas.microsoft.com/office/drawing/2014/chart" uri="{C3380CC4-5D6E-409C-BE32-E72D297353CC}">
                  <c16:uniqueId val="{00000015-7074-4341-A85D-CE05C52AEF61}"/>
                </c:ext>
              </c:extLst>
            </c:dLbl>
            <c:dLbl>
              <c:idx val="4"/>
              <c:delete val="1"/>
              <c:extLst>
                <c:ext xmlns:c15="http://schemas.microsoft.com/office/drawing/2012/chart" uri="{CE6537A1-D6FC-4f65-9D91-7224C49458BB}"/>
                <c:ext xmlns:c16="http://schemas.microsoft.com/office/drawing/2014/chart" uri="{C3380CC4-5D6E-409C-BE32-E72D297353CC}">
                  <c16:uniqueId val="{00000016-7074-4341-A85D-CE05C52AEF61}"/>
                </c:ext>
              </c:extLst>
            </c:dLbl>
            <c:dLbl>
              <c:idx val="5"/>
              <c:layout>
                <c:manualLayout>
                  <c:x val="-4.1891742916988203E-2"/>
                  <c:y val="-4.1183077499064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074-4341-A85D-CE05C52AEF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'LDCs, LLDCs and SIDS'!$B$2:$G$2</c:f>
              <c:strCache>
                <c:ptCount val="6"/>
                <c:pt idx="0">
                  <c:v>2020年</c:v>
                </c:pt>
                <c:pt idx="1">
                  <c:v>2021年</c:v>
                </c:pt>
                <c:pt idx="2">
                  <c:v>2022年</c:v>
                </c:pt>
                <c:pt idx="3">
                  <c:v>2023年</c:v>
                </c:pt>
                <c:pt idx="4">
                  <c:v>2024年</c:v>
                </c:pt>
                <c:pt idx="5">
                  <c:v>2025年</c:v>
                </c:pt>
              </c:strCache>
            </c:strRef>
          </c:cat>
          <c:val>
            <c:numRef>
              <c:f>'LDCs, LLDCs and SIDS'!$B$6:$G$6</c:f>
              <c:numCache>
                <c:formatCode>_-* #\ ##0.0_-;\-* #\ ##0.0_-;_-* "-"??_-;_-@_-</c:formatCode>
                <c:ptCount val="6"/>
                <c:pt idx="0">
                  <c:v>60.1</c:v>
                </c:pt>
                <c:pt idx="1">
                  <c:v>63.8</c:v>
                </c:pt>
                <c:pt idx="2">
                  <c:v>67</c:v>
                </c:pt>
                <c:pt idx="3">
                  <c:v>69.2</c:v>
                </c:pt>
                <c:pt idx="4">
                  <c:v>71.2</c:v>
                </c:pt>
                <c:pt idx="5">
                  <c:v>73.599999999999994</c:v>
                </c:pt>
              </c:numCache>
            </c:numRef>
          </c:val>
          <c:smooth val="0"/>
          <c:extLst>
            <c:ext xmlns:c16="http://schemas.microsoft.com/office/drawing/2014/chart" uri="{C3380CC4-5D6E-409C-BE32-E72D297353CC}">
              <c16:uniqueId val="{00000017-7074-4341-A85D-CE05C52AEF61}"/>
            </c:ext>
          </c:extLst>
        </c:ser>
        <c:dLbls>
          <c:showLegendKey val="0"/>
          <c:showVal val="0"/>
          <c:showCatName val="0"/>
          <c:showSerName val="0"/>
          <c:showPercent val="0"/>
          <c:showBubbleSize val="0"/>
        </c:dLbls>
        <c:smooth val="0"/>
        <c:axId val="1060470239"/>
        <c:axId val="977514495"/>
      </c:lineChart>
      <c:catAx>
        <c:axId val="1060470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514495"/>
        <c:crosses val="autoZero"/>
        <c:auto val="1"/>
        <c:lblAlgn val="ctr"/>
        <c:lblOffset val="100"/>
        <c:noMultiLvlLbl val="0"/>
      </c:catAx>
      <c:valAx>
        <c:axId val="977514495"/>
        <c:scaling>
          <c:orientation val="minMax"/>
        </c:scaling>
        <c:delete val="0"/>
        <c:axPos val="l"/>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0470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6</Pages>
  <Words>1366</Words>
  <Characters>7888</Characters>
  <Application>Microsoft Office Word</Application>
  <DocSecurity>0</DocSecurity>
  <Lines>151</Lines>
  <Paragraphs>74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9180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implementation of Resolution 30 (Rev. Bucharest, 2022) on Special measures for least developed countries, landlocked developing countries, small island developing states and countries with economies in transition, 2025</dc:title>
  <dc:subject>ITU Council 2026</dc:subject>
  <cp:keywords>C26; C2026; Council 2026; PP26</cp:keywords>
  <dc:description/>
  <cp:lastPrinted>2015-02-24T13:23:00Z</cp:lastPrinted>
  <dcterms:created xsi:type="dcterms:W3CDTF">2026-04-15T15:49:00Z</dcterms:created>
  <dcterms:modified xsi:type="dcterms:W3CDTF">2026-04-15T15:49:00Z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