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9421071" w14:textId="77777777" w:rsidTr="00F363FE">
        <w:tc>
          <w:tcPr>
            <w:tcW w:w="6512" w:type="dxa"/>
          </w:tcPr>
          <w:p w14:paraId="7CD5DD5C" w14:textId="1A5C6B0B" w:rsidR="007B0AA0" w:rsidRPr="00B53386" w:rsidRDefault="007B0AA0" w:rsidP="00F363FE">
            <w:pPr>
              <w:spacing w:before="60" w:after="60" w:line="260" w:lineRule="exact"/>
              <w:rPr>
                <w:b/>
                <w:bCs/>
                <w:lang w:val="en-GB"/>
              </w:rPr>
            </w:pPr>
            <w:r w:rsidRPr="007B0AA0">
              <w:rPr>
                <w:rFonts w:hint="cs"/>
                <w:b/>
                <w:bCs/>
                <w:rtl/>
                <w:lang w:bidi="ar-EG"/>
              </w:rPr>
              <w:t>بند جدول الأعمال:</w:t>
            </w:r>
            <w:r w:rsidR="00B53386">
              <w:rPr>
                <w:rFonts w:hint="cs"/>
                <w:b/>
                <w:bCs/>
                <w:rtl/>
              </w:rPr>
              <w:t xml:space="preserve"> </w:t>
            </w:r>
            <w:r w:rsidR="00B53386">
              <w:rPr>
                <w:b/>
                <w:bCs/>
                <w:lang w:val="en-GB"/>
              </w:rPr>
              <w:t>PL-2</w:t>
            </w:r>
          </w:p>
        </w:tc>
        <w:tc>
          <w:tcPr>
            <w:tcW w:w="3117" w:type="dxa"/>
          </w:tcPr>
          <w:p w14:paraId="339A15C6" w14:textId="62B9C081"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B53386">
              <w:rPr>
                <w:b/>
                <w:bCs/>
                <w:lang w:bidi="ar-EG"/>
              </w:rPr>
              <w:t>74</w:t>
            </w:r>
            <w:r w:rsidRPr="007B0AA0">
              <w:rPr>
                <w:b/>
                <w:bCs/>
                <w:lang w:bidi="ar-EG"/>
              </w:rPr>
              <w:t>-A</w:t>
            </w:r>
          </w:p>
        </w:tc>
      </w:tr>
      <w:tr w:rsidR="007B0AA0" w14:paraId="7C4B8905" w14:textId="77777777" w:rsidTr="00F363FE">
        <w:tc>
          <w:tcPr>
            <w:tcW w:w="6512" w:type="dxa"/>
          </w:tcPr>
          <w:p w14:paraId="367D8BC7" w14:textId="77777777" w:rsidR="007B0AA0" w:rsidRPr="007B0AA0" w:rsidRDefault="007B0AA0" w:rsidP="00F363FE">
            <w:pPr>
              <w:spacing w:before="60" w:after="60" w:line="260" w:lineRule="exact"/>
              <w:rPr>
                <w:b/>
                <w:bCs/>
                <w:rtl/>
                <w:lang w:bidi="ar-EG"/>
              </w:rPr>
            </w:pPr>
          </w:p>
        </w:tc>
        <w:tc>
          <w:tcPr>
            <w:tcW w:w="3117" w:type="dxa"/>
          </w:tcPr>
          <w:p w14:paraId="09682B23" w14:textId="7ACDCE8E" w:rsidR="007B0AA0" w:rsidRPr="00B53386" w:rsidRDefault="00B53386" w:rsidP="00F363FE">
            <w:pPr>
              <w:spacing w:before="60" w:after="60" w:line="260" w:lineRule="exact"/>
              <w:rPr>
                <w:b/>
                <w:bCs/>
                <w:lang w:val="en-GB"/>
              </w:rPr>
            </w:pPr>
            <w:r>
              <w:rPr>
                <w:b/>
                <w:bCs/>
                <w:lang w:bidi="ar-EG"/>
              </w:rPr>
              <w:t>30</w:t>
            </w:r>
            <w:r>
              <w:rPr>
                <w:rFonts w:hint="cs"/>
                <w:b/>
                <w:bCs/>
                <w:rtl/>
              </w:rPr>
              <w:t xml:space="preserve"> مارس </w:t>
            </w:r>
            <w:r>
              <w:rPr>
                <w:b/>
                <w:bCs/>
                <w:lang w:val="en-GB"/>
              </w:rPr>
              <w:t>2026</w:t>
            </w:r>
          </w:p>
        </w:tc>
      </w:tr>
      <w:tr w:rsidR="007B0AA0" w14:paraId="5CFD1366" w14:textId="77777777" w:rsidTr="00F363FE">
        <w:tc>
          <w:tcPr>
            <w:tcW w:w="6512" w:type="dxa"/>
          </w:tcPr>
          <w:p w14:paraId="78D48491" w14:textId="77777777" w:rsidR="007B0AA0" w:rsidRPr="007B0AA0" w:rsidRDefault="007B0AA0" w:rsidP="00F363FE">
            <w:pPr>
              <w:spacing w:before="60" w:after="60" w:line="260" w:lineRule="exact"/>
              <w:rPr>
                <w:b/>
                <w:bCs/>
                <w:rtl/>
                <w:lang w:bidi="ar-EG"/>
              </w:rPr>
            </w:pPr>
          </w:p>
        </w:tc>
        <w:tc>
          <w:tcPr>
            <w:tcW w:w="3117" w:type="dxa"/>
          </w:tcPr>
          <w:p w14:paraId="0BEEA358"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1B85CD7" w14:textId="77777777" w:rsidTr="00F363FE">
        <w:tc>
          <w:tcPr>
            <w:tcW w:w="6512" w:type="dxa"/>
          </w:tcPr>
          <w:p w14:paraId="73DE253D" w14:textId="77777777" w:rsidR="007B0AA0" w:rsidRDefault="007B0AA0" w:rsidP="00F363FE">
            <w:pPr>
              <w:spacing w:before="60" w:after="60" w:line="260" w:lineRule="exact"/>
              <w:rPr>
                <w:lang w:bidi="ar-EG"/>
              </w:rPr>
            </w:pPr>
          </w:p>
        </w:tc>
        <w:tc>
          <w:tcPr>
            <w:tcW w:w="3117" w:type="dxa"/>
          </w:tcPr>
          <w:p w14:paraId="2C4798A9" w14:textId="77777777" w:rsidR="007B0AA0" w:rsidRDefault="007B0AA0" w:rsidP="00F363FE">
            <w:pPr>
              <w:spacing w:before="60" w:after="60" w:line="260" w:lineRule="exact"/>
              <w:rPr>
                <w:rtl/>
                <w:lang w:bidi="ar-EG"/>
              </w:rPr>
            </w:pPr>
          </w:p>
        </w:tc>
      </w:tr>
      <w:tr w:rsidR="007B0AA0" w14:paraId="174F013B" w14:textId="77777777" w:rsidTr="00EE7446">
        <w:tc>
          <w:tcPr>
            <w:tcW w:w="9629" w:type="dxa"/>
            <w:gridSpan w:val="2"/>
          </w:tcPr>
          <w:p w14:paraId="28CE8EF4" w14:textId="77777777" w:rsidR="007B0AA0" w:rsidRDefault="001D64C7" w:rsidP="007B0AA0">
            <w:pPr>
              <w:pStyle w:val="Source"/>
              <w:jc w:val="left"/>
              <w:rPr>
                <w:lang w:bidi="ar-EG"/>
              </w:rPr>
            </w:pPr>
            <w:r>
              <w:rPr>
                <w:rFonts w:hint="cs"/>
                <w:rtl/>
                <w:lang w:bidi="ar-EG"/>
              </w:rPr>
              <w:t>تقرير من الأمينة العامة</w:t>
            </w:r>
          </w:p>
        </w:tc>
      </w:tr>
      <w:tr w:rsidR="007B0AA0" w14:paraId="07BBDF5C" w14:textId="77777777" w:rsidTr="007B0AA0">
        <w:tc>
          <w:tcPr>
            <w:tcW w:w="9629" w:type="dxa"/>
            <w:gridSpan w:val="2"/>
            <w:tcBorders>
              <w:bottom w:val="single" w:sz="4" w:space="0" w:color="auto"/>
            </w:tcBorders>
          </w:tcPr>
          <w:p w14:paraId="4CEEFF10" w14:textId="198EC10F" w:rsidR="007B0AA0" w:rsidRPr="00B53386" w:rsidRDefault="00B53386" w:rsidP="00B53386">
            <w:pPr>
              <w:pStyle w:val="Subtitle0"/>
            </w:pPr>
            <w:r w:rsidRPr="00B53386">
              <w:rPr>
                <w:rtl/>
              </w:rPr>
              <w:t xml:space="preserve">تقرير بشأن تنفيذ القرار 30 (المراجَع في بوخارست، 2022) بشأن التدابير الخاصة لصالح أقل البلدان نمواً والبلدان النامية غير الساحلية </w:t>
            </w:r>
            <w:r w:rsidR="001E0380" w:rsidRPr="00B53386">
              <w:rPr>
                <w:rtl/>
              </w:rPr>
              <w:t xml:space="preserve">والدول الجزرية الصغيرة النامية </w:t>
            </w:r>
            <w:r w:rsidRPr="00B53386">
              <w:rPr>
                <w:rtl/>
              </w:rPr>
              <w:t>والبلدان التي تمر اقتصاداتها بمرحلة انتقالية لعام 2025</w:t>
            </w:r>
          </w:p>
        </w:tc>
      </w:tr>
      <w:tr w:rsidR="007B0AA0" w14:paraId="09DC6749" w14:textId="77777777" w:rsidTr="007B0AA0">
        <w:tc>
          <w:tcPr>
            <w:tcW w:w="9629" w:type="dxa"/>
            <w:gridSpan w:val="2"/>
            <w:tcBorders>
              <w:top w:val="single" w:sz="4" w:space="0" w:color="auto"/>
              <w:bottom w:val="single" w:sz="4" w:space="0" w:color="auto"/>
            </w:tcBorders>
          </w:tcPr>
          <w:p w14:paraId="4D747808" w14:textId="77777777" w:rsidR="007B0AA0" w:rsidRPr="007B0AA0" w:rsidRDefault="007B0AA0" w:rsidP="007B0AA0">
            <w:pPr>
              <w:rPr>
                <w:b/>
                <w:bCs/>
                <w:rtl/>
              </w:rPr>
            </w:pPr>
            <w:r w:rsidRPr="00494119">
              <w:rPr>
                <w:rFonts w:hint="cs"/>
                <w:b/>
                <w:bCs/>
                <w:rtl/>
              </w:rPr>
              <w:t>الغرض</w:t>
            </w:r>
          </w:p>
          <w:p w14:paraId="082D99CF" w14:textId="4403C6AC" w:rsidR="007B0AA0" w:rsidRDefault="00B53386" w:rsidP="007B0AA0">
            <w:pPr>
              <w:rPr>
                <w:rtl/>
              </w:rPr>
            </w:pPr>
            <w:r w:rsidRPr="00B53386">
              <w:rPr>
                <w:rtl/>
              </w:rPr>
              <w:t>تقدم هذه الوثيقة تقريرا</w:t>
            </w:r>
            <w:r>
              <w:rPr>
                <w:rFonts w:hint="cs"/>
                <w:rtl/>
              </w:rPr>
              <w:t>ً</w:t>
            </w:r>
            <w:r w:rsidRPr="00B53386">
              <w:rPr>
                <w:rtl/>
              </w:rPr>
              <w:t xml:space="preserve"> عن تنفيذ القرار 30 (المراج</w:t>
            </w:r>
            <w:r>
              <w:rPr>
                <w:rFonts w:hint="cs"/>
                <w:rtl/>
              </w:rPr>
              <w:t>َ</w:t>
            </w:r>
            <w:r w:rsidRPr="00B53386">
              <w:rPr>
                <w:rtl/>
              </w:rPr>
              <w:t>ع في بوخارست، 2022) لمؤتمر المندوبين المفوضين إلى مجلس</w:t>
            </w:r>
            <w:r>
              <w:rPr>
                <w:rFonts w:hint="cs"/>
                <w:rtl/>
              </w:rPr>
              <w:t> </w:t>
            </w:r>
            <w:r w:rsidRPr="00B53386">
              <w:rPr>
                <w:rtl/>
              </w:rPr>
              <w:t>الاتحاد.</w:t>
            </w:r>
          </w:p>
          <w:p w14:paraId="587257F0" w14:textId="77777777" w:rsidR="007B0AA0" w:rsidRPr="007B0AA0" w:rsidRDefault="007B0AA0" w:rsidP="007B0AA0">
            <w:pPr>
              <w:rPr>
                <w:b/>
                <w:bCs/>
                <w:rtl/>
              </w:rPr>
            </w:pPr>
            <w:r w:rsidRPr="007B0AA0">
              <w:rPr>
                <w:rFonts w:hint="cs"/>
                <w:b/>
                <w:bCs/>
                <w:rtl/>
              </w:rPr>
              <w:t>الإجراء المطلوب من المجلس</w:t>
            </w:r>
          </w:p>
          <w:p w14:paraId="35A485CE" w14:textId="4E477665" w:rsidR="007B0AA0" w:rsidRDefault="00B53386" w:rsidP="007B0AA0">
            <w:pPr>
              <w:rPr>
                <w:rtl/>
              </w:rPr>
            </w:pPr>
            <w:r w:rsidRPr="00B53386">
              <w:rPr>
                <w:rtl/>
              </w:rPr>
              <w:t xml:space="preserve">يُدعى المجلس إلى </w:t>
            </w:r>
            <w:r w:rsidRPr="00B53386">
              <w:rPr>
                <w:b/>
                <w:bCs/>
                <w:rtl/>
              </w:rPr>
              <w:t>الإحاطة علماً</w:t>
            </w:r>
            <w:r w:rsidRPr="00B53386">
              <w:rPr>
                <w:rtl/>
              </w:rPr>
              <w:t xml:space="preserve"> بالتقرير و</w:t>
            </w:r>
            <w:r w:rsidRPr="001E0380">
              <w:rPr>
                <w:b/>
                <w:bCs/>
                <w:rtl/>
              </w:rPr>
              <w:t>تقديم</w:t>
            </w:r>
            <w:r w:rsidRPr="00B53386">
              <w:rPr>
                <w:rtl/>
              </w:rPr>
              <w:t xml:space="preserve"> مزيد من التوجيهات بهذا الشأن.</w:t>
            </w:r>
          </w:p>
          <w:p w14:paraId="03ADEDBB"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4285D3C2" w14:textId="496E5B22" w:rsidR="007B0AA0" w:rsidRDefault="00B53386" w:rsidP="007B0AA0">
            <w:pPr>
              <w:rPr>
                <w:rtl/>
              </w:rPr>
            </w:pPr>
            <w:r w:rsidRPr="00B53386">
              <w:rPr>
                <w:rtl/>
              </w:rPr>
              <w:t xml:space="preserve">منصة </w:t>
            </w:r>
            <w:r w:rsidR="001E0380">
              <w:rPr>
                <w:rFonts w:hint="cs"/>
                <w:rtl/>
              </w:rPr>
              <w:t>عقد الاجتماعات</w:t>
            </w:r>
            <w:r w:rsidRPr="00B53386">
              <w:rPr>
                <w:rtl/>
              </w:rPr>
              <w:t xml:space="preserve">؛ </w:t>
            </w:r>
            <w:r w:rsidR="001E0380">
              <w:rPr>
                <w:rFonts w:hint="cs"/>
                <w:rtl/>
              </w:rPr>
              <w:t>نهج محوره الأعضاء</w:t>
            </w:r>
            <w:r w:rsidRPr="00B53386">
              <w:rPr>
                <w:rtl/>
              </w:rPr>
              <w:t>؛ الحضور الإقليمي</w:t>
            </w:r>
            <w:r w:rsidR="001E0380">
              <w:rPr>
                <w:rFonts w:hint="cs"/>
                <w:rtl/>
              </w:rPr>
              <w:t>؛</w:t>
            </w:r>
            <w:r w:rsidRPr="00B53386">
              <w:rPr>
                <w:rtl/>
              </w:rPr>
              <w:t xml:space="preserve"> جميع الأولويات المواضيعية</w:t>
            </w:r>
            <w:r>
              <w:rPr>
                <w:rFonts w:hint="cs"/>
                <w:rtl/>
              </w:rPr>
              <w:t>.</w:t>
            </w:r>
          </w:p>
          <w:p w14:paraId="2319957E" w14:textId="77777777" w:rsidR="007B0AA0" w:rsidRDefault="007B0AA0" w:rsidP="00B97F32">
            <w:pPr>
              <w:rPr>
                <w:b/>
                <w:bCs/>
              </w:rPr>
            </w:pPr>
            <w:r w:rsidRPr="007B0AA0">
              <w:rPr>
                <w:rFonts w:hint="cs"/>
                <w:b/>
                <w:bCs/>
                <w:rtl/>
              </w:rPr>
              <w:t>الآثار المالية</w:t>
            </w:r>
          </w:p>
          <w:p w14:paraId="2788B859" w14:textId="4330A0E6" w:rsidR="006F363C" w:rsidRPr="005546CF" w:rsidRDefault="00B53386" w:rsidP="007B0AA0">
            <w:pPr>
              <w:rPr>
                <w:rtl/>
              </w:rPr>
            </w:pPr>
            <w:r w:rsidRPr="00B53386">
              <w:rPr>
                <w:rtl/>
              </w:rPr>
              <w:t xml:space="preserve">يقوم مكتب تنمية الاتصالات </w:t>
            </w:r>
            <w:r>
              <w:rPr>
                <w:lang w:val="en-GB"/>
              </w:rPr>
              <w:t>(BDT)</w:t>
            </w:r>
            <w:r>
              <w:rPr>
                <w:rFonts w:hint="cs"/>
                <w:rtl/>
              </w:rPr>
              <w:t xml:space="preserve"> </w:t>
            </w:r>
            <w:r w:rsidRPr="00B53386">
              <w:rPr>
                <w:rtl/>
              </w:rPr>
              <w:t>بتنفيذ القرار 30 (المراج</w:t>
            </w:r>
            <w:r>
              <w:rPr>
                <w:rFonts w:hint="cs"/>
                <w:rtl/>
              </w:rPr>
              <w:t>َ</w:t>
            </w:r>
            <w:r w:rsidRPr="00B53386">
              <w:rPr>
                <w:rtl/>
              </w:rPr>
              <w:t>ع في بوخارست، 2022) باستخدام الميزانية العادية، علاوةً على الأموال الخارجة عن الميزانية المتلقاة من خلال المشاريع والمساهمات الطوعية. وقد قُدِّم إلى الفريق الاستشاري لتنمية الاتصالات لعام 2026 (</w:t>
            </w:r>
            <w:r w:rsidRPr="00B53386">
              <w:t>TDAG-26</w:t>
            </w:r>
            <w:r w:rsidRPr="00B53386">
              <w:rPr>
                <w:rtl/>
              </w:rPr>
              <w:t xml:space="preserve">) تقرير منفصل عن الآثار المالية المترتبة على القرارات التي اعتمدها </w:t>
            </w:r>
            <w:r w:rsidR="001E0380">
              <w:rPr>
                <w:rFonts w:hint="cs"/>
                <w:rtl/>
              </w:rPr>
              <w:t>المؤتمر العالمي لتنمية الاتصالات</w:t>
            </w:r>
            <w:r w:rsidRPr="00B53386">
              <w:rPr>
                <w:rtl/>
              </w:rPr>
              <w:t xml:space="preserve"> </w:t>
            </w:r>
            <w:r w:rsidR="001E0380">
              <w:rPr>
                <w:rFonts w:hint="cs"/>
                <w:rtl/>
              </w:rPr>
              <w:t>ل</w:t>
            </w:r>
            <w:r w:rsidRPr="00B53386">
              <w:rPr>
                <w:rtl/>
              </w:rPr>
              <w:t>عام 2025.</w:t>
            </w:r>
          </w:p>
          <w:p w14:paraId="4315034D"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82C7A11" w14:textId="77777777" w:rsidR="007B0AA0" w:rsidRPr="007B0AA0" w:rsidRDefault="007B0AA0" w:rsidP="007B0AA0">
            <w:pPr>
              <w:rPr>
                <w:b/>
                <w:bCs/>
                <w:rtl/>
              </w:rPr>
            </w:pPr>
            <w:r w:rsidRPr="007B0AA0">
              <w:rPr>
                <w:rFonts w:hint="cs"/>
                <w:b/>
                <w:bCs/>
                <w:rtl/>
              </w:rPr>
              <w:t>المراجع</w:t>
            </w:r>
          </w:p>
          <w:p w14:paraId="7D539086" w14:textId="18C7C97E" w:rsidR="007B0AA0" w:rsidRPr="005546CF" w:rsidRDefault="00B53386" w:rsidP="00D0265C">
            <w:pPr>
              <w:rPr>
                <w:i/>
                <w:iCs/>
                <w:rtl/>
              </w:rPr>
            </w:pPr>
            <w:r w:rsidRPr="00B53386">
              <w:rPr>
                <w:i/>
                <w:iCs/>
                <w:rtl/>
              </w:rPr>
              <w:t xml:space="preserve">وثائق الفريق الاستشاري لتنمية الاتصالات </w:t>
            </w:r>
            <w:hyperlink r:id="rId8" w:history="1">
              <w:r w:rsidR="00D0265C" w:rsidRPr="00D0265C">
                <w:rPr>
                  <w:rStyle w:val="Hyperlink"/>
                  <w:i/>
                  <w:iCs/>
                  <w:noProof w:val="0"/>
                  <w:rtl/>
                  <w:lang w:val="en-US" w:eastAsia="zh-CN"/>
                </w:rPr>
                <w:t>TDAG-26/2</w:t>
              </w:r>
            </w:hyperlink>
            <w:hyperlink r:id="rId9" w:history="1">
              <w:r w:rsidRPr="00B53386">
                <w:rPr>
                  <w:i/>
                  <w:iCs/>
                  <w:rtl/>
                </w:rPr>
                <w:t xml:space="preserve"> و</w:t>
              </w:r>
              <w:r w:rsidRPr="00B53386">
                <w:rPr>
                  <w:rStyle w:val="Hyperlink"/>
                  <w:i/>
                  <w:iCs/>
                  <w:noProof w:val="0"/>
                  <w:lang w:val="en-US" w:eastAsia="zh-CN"/>
                </w:rPr>
                <w:t>TDAG-26/2(Add.1)</w:t>
              </w:r>
            </w:hyperlink>
            <w:r w:rsidRPr="00B53386">
              <w:rPr>
                <w:i/>
                <w:iCs/>
                <w:rtl/>
              </w:rPr>
              <w:t xml:space="preserve"> و</w:t>
            </w:r>
            <w:hyperlink r:id="rId10" w:history="1">
              <w:r w:rsidRPr="00B53386">
                <w:rPr>
                  <w:rStyle w:val="Hyperlink"/>
                  <w:i/>
                  <w:iCs/>
                  <w:noProof w:val="0"/>
                  <w:lang w:val="en-US" w:eastAsia="zh-CN"/>
                </w:rPr>
                <w:t>TDAG-26/4</w:t>
              </w:r>
            </w:hyperlink>
            <w:r w:rsidRPr="00B53386">
              <w:rPr>
                <w:i/>
                <w:iCs/>
                <w:rtl/>
              </w:rPr>
              <w:t xml:space="preserve"> و</w:t>
            </w:r>
            <w:hyperlink r:id="rId11" w:history="1">
              <w:r w:rsidRPr="00B53386">
                <w:rPr>
                  <w:rStyle w:val="Hyperlink"/>
                  <w:i/>
                  <w:iCs/>
                  <w:noProof w:val="0"/>
                  <w:lang w:val="en-US" w:eastAsia="zh-CN"/>
                </w:rPr>
                <w:t>TDAG</w:t>
              </w:r>
              <w:r w:rsidR="001E0380">
                <w:rPr>
                  <w:rStyle w:val="Hyperlink"/>
                  <w:i/>
                  <w:iCs/>
                  <w:noProof w:val="0"/>
                  <w:lang w:val="en-US" w:eastAsia="zh-CN"/>
                </w:rPr>
                <w:noBreakHyphen/>
              </w:r>
              <w:r w:rsidRPr="00B53386">
                <w:rPr>
                  <w:rStyle w:val="Hyperlink"/>
                  <w:i/>
                  <w:iCs/>
                  <w:noProof w:val="0"/>
                  <w:lang w:val="en-US" w:eastAsia="zh-CN"/>
                </w:rPr>
                <w:t>26/22</w:t>
              </w:r>
              <w:r w:rsidRPr="00630F85">
                <w:rPr>
                  <w:rStyle w:val="Hyperlink"/>
                  <w:i/>
                  <w:iCs/>
                  <w:noProof w:val="0"/>
                  <w:color w:val="auto"/>
                  <w:rtl/>
                  <w:lang w:val="en-US" w:eastAsia="zh-CN"/>
                </w:rPr>
                <w:t>؛</w:t>
              </w:r>
            </w:hyperlink>
            <w:r w:rsidRPr="00B53386">
              <w:rPr>
                <w:i/>
                <w:iCs/>
                <w:rtl/>
              </w:rPr>
              <w:t xml:space="preserve"> وثيقتا المؤتمر العالمي لتنمية الاتصالات </w:t>
            </w:r>
            <w:hyperlink r:id="rId12" w:history="1">
              <w:r w:rsidRPr="00630F85">
                <w:rPr>
                  <w:rStyle w:val="Hyperlink"/>
                  <w:i/>
                  <w:iCs/>
                  <w:noProof w:val="0"/>
                  <w:lang w:val="en-US" w:eastAsia="zh-CN"/>
                </w:rPr>
                <w:t>WTDC-25/2(Ann.2)</w:t>
              </w:r>
            </w:hyperlink>
            <w:hyperlink r:id="rId13" w:history="1">
              <w:r w:rsidR="00630F85" w:rsidRPr="00B53386">
                <w:rPr>
                  <w:i/>
                  <w:iCs/>
                  <w:rtl/>
                </w:rPr>
                <w:t xml:space="preserve"> و</w:t>
              </w:r>
              <w:r w:rsidRPr="00630F85">
                <w:rPr>
                  <w:rStyle w:val="Hyperlink"/>
                  <w:i/>
                  <w:iCs/>
                  <w:noProof w:val="0"/>
                  <w:lang w:val="en-US" w:eastAsia="zh-CN"/>
                </w:rPr>
                <w:t>WTDC-25/16</w:t>
              </w:r>
            </w:hyperlink>
          </w:p>
        </w:tc>
      </w:tr>
    </w:tbl>
    <w:p w14:paraId="6772FFB5" w14:textId="77777777" w:rsidR="00E61BE8" w:rsidRDefault="00E61BE8" w:rsidP="00E61BE8">
      <w:pPr>
        <w:rPr>
          <w:rtl/>
          <w:lang w:bidi="ar-EG"/>
        </w:rPr>
      </w:pPr>
    </w:p>
    <w:p w14:paraId="41C8B8B1" w14:textId="77777777" w:rsidR="00F50E3F" w:rsidRDefault="00F50E3F" w:rsidP="0043260A">
      <w:pPr>
        <w:rPr>
          <w:rtl/>
          <w:lang w:bidi="ar-EG"/>
        </w:rPr>
      </w:pPr>
      <w:r>
        <w:rPr>
          <w:rtl/>
          <w:lang w:bidi="ar-EG"/>
        </w:rPr>
        <w:br w:type="page"/>
      </w:r>
    </w:p>
    <w:p w14:paraId="25C48FD3" w14:textId="77777777" w:rsidR="00B53386" w:rsidRPr="00B53386" w:rsidRDefault="00B53386" w:rsidP="00630F85">
      <w:pPr>
        <w:pStyle w:val="Headingb"/>
        <w:rPr>
          <w:lang w:val="ar-SA" w:eastAsia="zh-TW" w:bidi="en-GB"/>
        </w:rPr>
      </w:pPr>
      <w:r w:rsidRPr="00B53386">
        <w:rPr>
          <w:rtl/>
        </w:rPr>
        <w:lastRenderedPageBreak/>
        <w:t>مقدمة وإطار مؤسسي</w:t>
      </w:r>
    </w:p>
    <w:p w14:paraId="00CE5085" w14:textId="21D09386" w:rsidR="00B53386" w:rsidRPr="00B53386" w:rsidRDefault="00B53386" w:rsidP="00B53386">
      <w:r w:rsidRPr="00B53386">
        <w:rPr>
          <w:rtl/>
        </w:rPr>
        <w:t>على الرغم من التقدم المطرد الذي يتضح في الاتجاهات التصاعدية الملحوظة في أقل البلدان نموا</w:t>
      </w:r>
      <w:r w:rsidR="00630F85">
        <w:rPr>
          <w:rFonts w:hint="cs"/>
          <w:rtl/>
        </w:rPr>
        <w:t>ً</w:t>
      </w:r>
      <w:r w:rsidRPr="00B53386">
        <w:rPr>
          <w:rtl/>
        </w:rPr>
        <w:t xml:space="preserve"> والبلدان النامية غير الساحلية والدول الجزرية الصغيرة </w:t>
      </w:r>
      <w:r w:rsidRPr="00630F85">
        <w:rPr>
          <w:rtl/>
        </w:rPr>
        <w:t xml:space="preserve">النامية في </w:t>
      </w:r>
      <w:hyperlink w:anchor="Fig_1" w:history="1">
        <w:r w:rsidRPr="00630F85">
          <w:rPr>
            <w:rStyle w:val="Hyperlink"/>
            <w:noProof w:val="0"/>
            <w:rtl/>
            <w:lang w:val="en-US" w:eastAsia="zh-CN"/>
          </w:rPr>
          <w:t>الشكل 1</w:t>
        </w:r>
      </w:hyperlink>
      <w:r w:rsidRPr="00630F85">
        <w:rPr>
          <w:rtl/>
        </w:rPr>
        <w:t>، لا يزال استخدام</w:t>
      </w:r>
      <w:r w:rsidRPr="00B53386">
        <w:rPr>
          <w:rtl/>
        </w:rPr>
        <w:t xml:space="preserve"> الإنترنت أقل بكثير مقارنة بالمتوسطات العالمية. وبحلول عام 2025، بلغت النسبة العالمية للأفراد الذين يستخدمون الإنترنت 73,6 في المائة. وفي المقابل، سجلت أقل البلدان نموا</w:t>
      </w:r>
      <w:r w:rsidR="00630F85">
        <w:rPr>
          <w:rFonts w:hint="cs"/>
          <w:rtl/>
        </w:rPr>
        <w:t>ً</w:t>
      </w:r>
      <w:r w:rsidRPr="00B53386">
        <w:rPr>
          <w:rtl/>
        </w:rPr>
        <w:t xml:space="preserve"> أدنى مستوى للاستعمال بنسبة 33,7 في المائة. وأظهرت البلدان النامية غير الساحلية معدل انتشار أعلى قليلا</w:t>
      </w:r>
      <w:r w:rsidR="00630F85">
        <w:rPr>
          <w:rFonts w:hint="cs"/>
          <w:rtl/>
        </w:rPr>
        <w:t>ً</w:t>
      </w:r>
      <w:r w:rsidRPr="00B53386">
        <w:rPr>
          <w:rtl/>
        </w:rPr>
        <w:t xml:space="preserve"> بنسبة 37,6 في المائة، في حين أظهرت الدول الجزرية الصغيرة النامية أداء أقوى نسبيا</w:t>
      </w:r>
      <w:r w:rsidR="00630F85">
        <w:rPr>
          <w:rFonts w:hint="cs"/>
          <w:rtl/>
        </w:rPr>
        <w:t>ً</w:t>
      </w:r>
      <w:r w:rsidRPr="00B53386">
        <w:rPr>
          <w:rtl/>
        </w:rPr>
        <w:t xml:space="preserve"> بنسبة 64,1 في المائة. وتفسر هذه النتائج حواجز متعددة، بما في ذلك ارتفاع تكاليف التوصيلية الدولية، وتكلفة نشر البنية التحتية، والافتقار إلى المحتوى المحلي، والمهارات الرقمية غير الكافية، وكلها عوامل تؤثر بشكل مباشر على القدرة على تحمل التكاليف والنفاذ والاستخدام.</w:t>
      </w:r>
      <w:hyperlink w:anchor="Fig_1" w:history="1"/>
    </w:p>
    <w:p w14:paraId="05F3C102" w14:textId="1EB39DAF" w:rsidR="00B53386" w:rsidRPr="00B53386" w:rsidRDefault="00B53386" w:rsidP="00B53386">
      <w:r w:rsidRPr="00B53386">
        <w:rPr>
          <w:rtl/>
        </w:rPr>
        <w:t>وتكمن معالجة هذه الحواجز في صميم جدول أعمال الاتحاد ومكتب تنمية الاتصالات، مسترشدين بالأطر الراسخة، بما في</w:t>
      </w:r>
      <w:r w:rsidR="00630F85">
        <w:rPr>
          <w:rFonts w:hint="cs"/>
          <w:rtl/>
        </w:rPr>
        <w:t> </w:t>
      </w:r>
      <w:r w:rsidRPr="00B53386">
        <w:rPr>
          <w:rtl/>
        </w:rPr>
        <w:t>ذلك القرار 30 (المراج</w:t>
      </w:r>
      <w:r w:rsidR="00630F85">
        <w:rPr>
          <w:rFonts w:hint="cs"/>
          <w:rtl/>
        </w:rPr>
        <w:t>َ</w:t>
      </w:r>
      <w:r w:rsidRPr="00B53386">
        <w:rPr>
          <w:rtl/>
        </w:rPr>
        <w:t>ع في بوخارست، 2022) لمؤتمر المندوبين المفوضين، والقرار 16 (المراج</w:t>
      </w:r>
      <w:r w:rsidR="00630F85">
        <w:rPr>
          <w:rFonts w:hint="cs"/>
          <w:rtl/>
        </w:rPr>
        <w:t>َ</w:t>
      </w:r>
      <w:r w:rsidRPr="00B53386">
        <w:rPr>
          <w:rtl/>
        </w:rPr>
        <w:t>ع في باكو، 2025) للمؤتمر العالمي لتنمية الاتصالات</w:t>
      </w:r>
      <w:r w:rsidR="00630F85">
        <w:rPr>
          <w:rFonts w:hint="cs"/>
          <w:rtl/>
        </w:rPr>
        <w:t xml:space="preserve"> </w:t>
      </w:r>
      <w:r w:rsidR="00630F85">
        <w:rPr>
          <w:lang w:val="en-GB"/>
        </w:rPr>
        <w:t>(WTDC)</w:t>
      </w:r>
      <w:r w:rsidRPr="00B53386">
        <w:rPr>
          <w:rtl/>
        </w:rPr>
        <w:t>، و</w:t>
      </w:r>
      <w:hyperlink r:id="rId14" w:history="1">
        <w:r w:rsidRPr="00B53386">
          <w:rPr>
            <w:rStyle w:val="Hyperlink"/>
            <w:rtl/>
          </w:rPr>
          <w:t>خطة عمل باكو</w:t>
        </w:r>
      </w:hyperlink>
      <w:r w:rsidRPr="00B53386">
        <w:rPr>
          <w:rtl/>
        </w:rPr>
        <w:t>، والبرامج العالمية التكميلية مثل برنامج عمل الدوحة</w:t>
      </w:r>
      <w:r w:rsidR="001E0380">
        <w:rPr>
          <w:rFonts w:hint="eastAsia"/>
          <w:rtl/>
        </w:rPr>
        <w:t> </w:t>
      </w:r>
      <w:r w:rsidR="00630F85">
        <w:rPr>
          <w:lang w:val="en-GB"/>
        </w:rPr>
        <w:t>(DPOA)</w:t>
      </w:r>
      <w:r w:rsidRPr="00B53386">
        <w:rPr>
          <w:rtl/>
        </w:rPr>
        <w:t xml:space="preserve"> لصالح أقل البلدان نموا</w:t>
      </w:r>
      <w:r w:rsidR="00630F85">
        <w:rPr>
          <w:rFonts w:hint="cs"/>
          <w:rtl/>
        </w:rPr>
        <w:t>ً</w:t>
      </w:r>
      <w:r w:rsidRPr="00B53386">
        <w:rPr>
          <w:rtl/>
        </w:rPr>
        <w:t xml:space="preserve">، وبرنامج عمل أفازا </w:t>
      </w:r>
      <w:r w:rsidR="00630F85">
        <w:t>(APOA)</w:t>
      </w:r>
      <w:r w:rsidR="00630F85">
        <w:rPr>
          <w:rFonts w:hint="cs"/>
          <w:rtl/>
        </w:rPr>
        <w:t xml:space="preserve"> </w:t>
      </w:r>
      <w:r w:rsidRPr="00B53386">
        <w:rPr>
          <w:rtl/>
        </w:rPr>
        <w:t>للبلدان النامية غير الساحلية، و</w:t>
      </w:r>
      <w:r w:rsidR="00D42615">
        <w:rPr>
          <w:rFonts w:hint="cs"/>
          <w:rtl/>
        </w:rPr>
        <w:t xml:space="preserve">خطة </w:t>
      </w:r>
      <w:r w:rsidRPr="00B53386">
        <w:rPr>
          <w:rtl/>
        </w:rPr>
        <w:t>أنتيغوا وبربودا</w:t>
      </w:r>
      <w:r w:rsidR="00630F85">
        <w:rPr>
          <w:rFonts w:hint="cs"/>
          <w:rtl/>
        </w:rPr>
        <w:t xml:space="preserve"> </w:t>
      </w:r>
      <w:r w:rsidRPr="00B53386">
        <w:rPr>
          <w:rtl/>
        </w:rPr>
        <w:t>للدول الجزرية الصغيرة النامية</w:t>
      </w:r>
      <w:r w:rsidR="00630F85">
        <w:rPr>
          <w:rFonts w:hint="cs"/>
          <w:rtl/>
        </w:rPr>
        <w:t xml:space="preserve"> </w:t>
      </w:r>
      <w:r w:rsidR="00630F85">
        <w:rPr>
          <w:lang w:val="en-GB"/>
        </w:rPr>
        <w:t>(ABAS)</w:t>
      </w:r>
      <w:r w:rsidRPr="00B53386">
        <w:rPr>
          <w:rtl/>
        </w:rPr>
        <w:t>. ويقدم مكتب تنمية الاتصالات تقارير منتظمة عن أعماله في هذا الصدد. ويشار إلى التقريرين المقدمين إلى المؤتمر العالمي لتنمية الاتصالات لعام 2025 والفريق الاستشاري لتنمية الاتصالات لعام</w:t>
      </w:r>
      <w:r w:rsidR="00630F85">
        <w:rPr>
          <w:rFonts w:hint="cs"/>
          <w:rtl/>
        </w:rPr>
        <w:t> </w:t>
      </w:r>
      <w:r w:rsidRPr="00B53386">
        <w:rPr>
          <w:rtl/>
        </w:rPr>
        <w:t xml:space="preserve">2026، على النحو الوارد في الوثيقتين </w:t>
      </w:r>
      <w:hyperlink r:id="rId15" w:history="1">
        <w:r w:rsidRPr="00B53386">
          <w:rPr>
            <w:rStyle w:val="Hyperlink"/>
            <w:rtl/>
          </w:rPr>
          <w:t>TDAG-26/2</w:t>
        </w:r>
      </w:hyperlink>
      <w:r w:rsidRPr="00B53386">
        <w:rPr>
          <w:rtl/>
        </w:rPr>
        <w:t xml:space="preserve"> و</w:t>
      </w:r>
      <w:hyperlink r:id="rId16" w:history="1">
        <w:r w:rsidRPr="00B53386">
          <w:rPr>
            <w:rStyle w:val="Hyperlink"/>
            <w:rtl/>
          </w:rPr>
          <w:t>WTDC-25/2</w:t>
        </w:r>
      </w:hyperlink>
      <w:r w:rsidRPr="00B53386">
        <w:rPr>
          <w:rtl/>
        </w:rPr>
        <w:t>.</w:t>
      </w:r>
      <w:hyperlink r:id="rId17"/>
      <w:hyperlink r:id="rId18"/>
      <w:hyperlink r:id="rId19"/>
    </w:p>
    <w:p w14:paraId="7340102A" w14:textId="350EA302" w:rsidR="00B53386" w:rsidRPr="00B53386" w:rsidRDefault="00B53386" w:rsidP="00B53386">
      <w:r w:rsidRPr="00B53386">
        <w:rPr>
          <w:rtl/>
        </w:rPr>
        <w:t>وتدعو هذه الصكوك مجتمعة إلى اتخاذ تدابير خاصة لدعم أقل البلدان نموا</w:t>
      </w:r>
      <w:r w:rsidR="00717840">
        <w:rPr>
          <w:rFonts w:hint="cs"/>
          <w:rtl/>
        </w:rPr>
        <w:t>ً</w:t>
      </w:r>
      <w:r w:rsidRPr="00B53386">
        <w:rPr>
          <w:rtl/>
        </w:rPr>
        <w:t xml:space="preserve"> والبلدان النامية غير الساحلية والدول الجزرية الصغيرة النامية والبلدان التي تعاني من أوضاع خاصة، مع التركيز على بناء القدرات وتطوير البنية التحتية وتعزيز التعاون الدولي. وتماشيا</w:t>
      </w:r>
      <w:r w:rsidR="00717840">
        <w:rPr>
          <w:rFonts w:hint="cs"/>
          <w:rtl/>
        </w:rPr>
        <w:t>ً</w:t>
      </w:r>
      <w:r w:rsidRPr="00B53386">
        <w:rPr>
          <w:rtl/>
        </w:rPr>
        <w:t xml:space="preserve"> مع هذه الولايات، عززت إعادة تنظيم مكتب تنمية الاتصالات في عام 2024 الاستجابة المؤسسية، ولا</w:t>
      </w:r>
      <w:r w:rsidR="00717840">
        <w:rPr>
          <w:rFonts w:hint="cs"/>
          <w:rtl/>
        </w:rPr>
        <w:t> </w:t>
      </w:r>
      <w:r w:rsidRPr="00B53386">
        <w:rPr>
          <w:rtl/>
        </w:rPr>
        <w:t>سيما من خلال إنشاء شعبة مخصصة للبلدان ذات الاحتياجات الخاصة، مما أدى إلى تحسين التنسيق وتقديم المساعدة التقنية المستهدفة ودعم السياسات.</w:t>
      </w:r>
    </w:p>
    <w:p w14:paraId="0990E7F9" w14:textId="77777777" w:rsidR="00B53386" w:rsidRPr="00B53386" w:rsidRDefault="00B53386" w:rsidP="00630F85">
      <w:pPr>
        <w:pStyle w:val="FigureNo"/>
      </w:pPr>
      <w:r w:rsidRPr="00B53386">
        <w:rPr>
          <w:rtl/>
        </w:rPr>
        <w:t>الش</w:t>
      </w:r>
      <w:bookmarkStart w:id="0" w:name="Fig_1"/>
      <w:bookmarkEnd w:id="0"/>
      <w:r w:rsidRPr="00B53386">
        <w:rPr>
          <w:rtl/>
        </w:rPr>
        <w:t>كل 1</w:t>
      </w:r>
    </w:p>
    <w:p w14:paraId="171FE306" w14:textId="06327A08" w:rsidR="00B53386" w:rsidRPr="00B53386" w:rsidRDefault="00B53386" w:rsidP="00630F85">
      <w:pPr>
        <w:pStyle w:val="Figuretitle"/>
      </w:pPr>
      <w:r w:rsidRPr="00B53386">
        <w:rPr>
          <w:rtl/>
        </w:rPr>
        <w:t>الأفراد الذين يستعملون الإنترنت في أقل البلدان نموا</w:t>
      </w:r>
      <w:r w:rsidR="00717840">
        <w:rPr>
          <w:rFonts w:hint="cs"/>
          <w:rtl/>
        </w:rPr>
        <w:t>ً</w:t>
      </w:r>
      <w:r w:rsidRPr="00B53386">
        <w:rPr>
          <w:rtl/>
        </w:rPr>
        <w:t xml:space="preserve"> والبلدان النامية غير الساحلية </w:t>
      </w:r>
      <w:r w:rsidR="00717840">
        <w:rPr>
          <w:rtl/>
        </w:rPr>
        <w:br/>
      </w:r>
      <w:r w:rsidRPr="00B53386">
        <w:rPr>
          <w:rtl/>
        </w:rPr>
        <w:t>والدول الجزرية الصغيرة النامية (نسبة مئوية)</w:t>
      </w:r>
    </w:p>
    <w:p w14:paraId="02E2D4EA" w14:textId="040A1E74" w:rsidR="00B53386" w:rsidRDefault="001E0380" w:rsidP="00E81C25">
      <w:pPr>
        <w:pStyle w:val="Figure"/>
      </w:pPr>
      <w:r>
        <w:drawing>
          <wp:inline distT="0" distB="0" distL="0" distR="0" wp14:anchorId="0369E26E" wp14:editId="2882411E">
            <wp:extent cx="5760000" cy="31118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000" cy="3111817"/>
                    </a:xfrm>
                    <a:prstGeom prst="rect">
                      <a:avLst/>
                    </a:prstGeom>
                    <a:noFill/>
                  </pic:spPr>
                </pic:pic>
              </a:graphicData>
            </a:graphic>
          </wp:inline>
        </w:drawing>
      </w:r>
    </w:p>
    <w:p w14:paraId="456C6747" w14:textId="77777777" w:rsidR="00B53386" w:rsidRPr="00D42615" w:rsidRDefault="00B53386" w:rsidP="00E81C25">
      <w:pPr>
        <w:pStyle w:val="Figurelegend"/>
        <w:rPr>
          <w:sz w:val="18"/>
          <w:szCs w:val="18"/>
        </w:rPr>
      </w:pPr>
      <w:r w:rsidRPr="00D42615">
        <w:rPr>
          <w:sz w:val="18"/>
          <w:szCs w:val="18"/>
          <w:rtl/>
        </w:rPr>
        <w:t>المصدر: تقديرات الاتحاد.</w:t>
      </w:r>
    </w:p>
    <w:p w14:paraId="6AC2EE2D" w14:textId="3DD0B812" w:rsidR="00B53386" w:rsidRPr="00E81C25" w:rsidRDefault="00B53386" w:rsidP="00E81C25">
      <w:pPr>
        <w:pStyle w:val="Headingb"/>
        <w:rPr>
          <w:lang w:bidi="en-GB"/>
        </w:rPr>
      </w:pPr>
      <w:r w:rsidRPr="00E81C25">
        <w:rPr>
          <w:rtl/>
        </w:rPr>
        <w:lastRenderedPageBreak/>
        <w:t>تنفيذ تدابير خاصة لصالح أقل البلدان نموا</w:t>
      </w:r>
      <w:r w:rsidR="00E81C25">
        <w:rPr>
          <w:rFonts w:hint="cs"/>
          <w:rtl/>
        </w:rPr>
        <w:t>ً</w:t>
      </w:r>
      <w:r w:rsidRPr="00E81C25">
        <w:rPr>
          <w:rtl/>
        </w:rPr>
        <w:t xml:space="preserve"> والبلدان النامية غير الساحلية والدول الجزرية الصغيرة النامية والبلدان التي تمر اقتصاداتها بمرحلة انتقالية</w:t>
      </w:r>
    </w:p>
    <w:p w14:paraId="533816F4" w14:textId="2827A491" w:rsidR="00B53386" w:rsidRPr="00B53386" w:rsidRDefault="00B53386" w:rsidP="00B53386">
      <w:r w:rsidRPr="00B53386">
        <w:rPr>
          <w:rtl/>
        </w:rPr>
        <w:t>أعاد مؤتمر المندوبين المفوضين (بوخارست، 2022) التأكيد على ولاية القرار 30 (المراج</w:t>
      </w:r>
      <w:r w:rsidR="00E81C25">
        <w:rPr>
          <w:rFonts w:hint="cs"/>
          <w:rtl/>
        </w:rPr>
        <w:t>َ</w:t>
      </w:r>
      <w:r w:rsidRPr="00B53386">
        <w:rPr>
          <w:rtl/>
        </w:rPr>
        <w:t>ع في بوخارست، 2022)، الذي يكلف الأمين العام ومدير مكتب تنمية الاتصالات بتنفيذ تدابير خاصة لصالح أقل البلدان نموا</w:t>
      </w:r>
      <w:r w:rsidR="00E81C25">
        <w:rPr>
          <w:rFonts w:hint="cs"/>
          <w:rtl/>
        </w:rPr>
        <w:t>ً</w:t>
      </w:r>
      <w:r w:rsidRPr="00B53386">
        <w:rPr>
          <w:rtl/>
        </w:rPr>
        <w:t xml:space="preserve"> والبلدان النامية غير الساحلية والدول الجزرية الصغيرة النامية والبلدان التي تمر اقتصاداتها بمرحلة انتقالية.</w:t>
      </w:r>
    </w:p>
    <w:p w14:paraId="29D569FB" w14:textId="77777777" w:rsidR="00B53386" w:rsidRPr="00B53386" w:rsidRDefault="00B53386" w:rsidP="00E81C25">
      <w:pPr>
        <w:pStyle w:val="Headingb"/>
      </w:pPr>
      <w:r w:rsidRPr="00B53386">
        <w:rPr>
          <w:rtl/>
        </w:rPr>
        <w:t>استعراض حالة تكنولوجيا المعلومات والاتصالات</w:t>
      </w:r>
    </w:p>
    <w:p w14:paraId="7B4F85C4" w14:textId="3E13E545" w:rsidR="00B53386" w:rsidRPr="00D42615" w:rsidRDefault="00B53386" w:rsidP="00B53386">
      <w:r w:rsidRPr="00B53386">
        <w:rPr>
          <w:rtl/>
        </w:rPr>
        <w:t xml:space="preserve">يواصل الاتحاد تقييم تطور تكنولوجيا المعلومات والاتصالات ويحدد الفجوات الحرجة من خلال سلسلته الرئيسية بعنوان </w:t>
      </w:r>
      <w:hyperlink r:id="rId21" w:history="1">
        <w:r w:rsidRPr="00E81C25">
          <w:rPr>
            <w:rStyle w:val="Hyperlink"/>
            <w:i/>
            <w:iCs/>
            <w:rtl/>
          </w:rPr>
          <w:t>حقائق وأرقام</w:t>
        </w:r>
      </w:hyperlink>
      <w:r w:rsidRPr="00B53386">
        <w:rPr>
          <w:rtl/>
        </w:rPr>
        <w:t xml:space="preserve"> التي استكملت في السنوات الأخيرة إصدارات خاصة مخصصة </w:t>
      </w:r>
      <w:hyperlink r:id="rId22" w:history="1">
        <w:r w:rsidRPr="00B53386">
          <w:rPr>
            <w:rStyle w:val="Hyperlink"/>
            <w:rtl/>
          </w:rPr>
          <w:t>لأقل البلدان نموا</w:t>
        </w:r>
      </w:hyperlink>
      <w:r w:rsidR="00E81C25">
        <w:rPr>
          <w:rFonts w:hint="cs"/>
          <w:rtl/>
        </w:rPr>
        <w:t>ً</w:t>
      </w:r>
      <w:r w:rsidRPr="00B53386">
        <w:rPr>
          <w:rtl/>
        </w:rPr>
        <w:t xml:space="preserve"> و</w:t>
      </w:r>
      <w:hyperlink r:id="rId23" w:history="1">
        <w:r w:rsidRPr="00B53386">
          <w:rPr>
            <w:rStyle w:val="Hyperlink"/>
            <w:rtl/>
          </w:rPr>
          <w:t>البلدان النامية غير الساحلية</w:t>
        </w:r>
      </w:hyperlink>
      <w:r w:rsidRPr="00B53386">
        <w:rPr>
          <w:rtl/>
        </w:rPr>
        <w:t xml:space="preserve"> و</w:t>
      </w:r>
      <w:hyperlink r:id="rId24" w:history="1">
        <w:r w:rsidRPr="00B53386">
          <w:rPr>
            <w:rStyle w:val="Hyperlink"/>
            <w:rtl/>
          </w:rPr>
          <w:t>الدول الجزرية الصغيرة النامية</w:t>
        </w:r>
      </w:hyperlink>
      <w:r w:rsidRPr="00B53386">
        <w:rPr>
          <w:rtl/>
        </w:rPr>
        <w:t>. وتمت مواءمة هذه الإصدارات استراتيجيا</w:t>
      </w:r>
      <w:r w:rsidR="00E81C25">
        <w:rPr>
          <w:rFonts w:hint="cs"/>
          <w:rtl/>
        </w:rPr>
        <w:t>ً</w:t>
      </w:r>
      <w:r w:rsidRPr="00B53386">
        <w:rPr>
          <w:rtl/>
        </w:rPr>
        <w:t xml:space="preserve"> مع أطر التنمية الدولية الرئيسية للأمم المتحدة، بما في ذلك برنامج عمل الدوحة، وبرنامج عمل أفازا، و</w:t>
      </w:r>
      <w:r w:rsidR="00D42615">
        <w:rPr>
          <w:rFonts w:hint="cs"/>
          <w:rtl/>
        </w:rPr>
        <w:t xml:space="preserve">خطة </w:t>
      </w:r>
      <w:r w:rsidRPr="00B53386">
        <w:rPr>
          <w:rtl/>
        </w:rPr>
        <w:t xml:space="preserve">أنتيغوا </w:t>
      </w:r>
      <w:r w:rsidRPr="00D42615">
        <w:rPr>
          <w:rtl/>
        </w:rPr>
        <w:t xml:space="preserve">وبربودا. وتوفر هذه الوثائق رؤى شاملة بشأن حالة التنمية الرقمية على مستوى العالم وعبر هذه الفئات الخاصة. وكما هو موضح في </w:t>
      </w:r>
      <w:hyperlink w:anchor="Fig_1" w:history="1">
        <w:r w:rsidR="00D42615">
          <w:rPr>
            <w:rStyle w:val="Hyperlink"/>
            <w:rFonts w:hint="cs"/>
            <w:noProof w:val="0"/>
            <w:rtl/>
            <w:lang w:val="en-US" w:eastAsia="zh-CN"/>
          </w:rPr>
          <w:t>الشكل</w:t>
        </w:r>
        <w:r w:rsidRPr="00D42615">
          <w:rPr>
            <w:rStyle w:val="Hyperlink"/>
            <w:noProof w:val="0"/>
            <w:rtl/>
            <w:lang w:val="en-US" w:eastAsia="zh-CN"/>
          </w:rPr>
          <w:t xml:space="preserve"> 1</w:t>
        </w:r>
      </w:hyperlink>
      <w:r w:rsidRPr="00D42615">
        <w:rPr>
          <w:rtl/>
        </w:rPr>
        <w:t>، أحرز تقدم مطرد. ومع ذلك، لا تزال هناك تفاوتات في صفوف هذه الفئات الخاصة وبينها وبين بقية العالم.</w:t>
      </w:r>
      <w:hyperlink r:id="rId25" w:history="1"/>
      <w:hyperlink r:id="rId26" w:history="1"/>
      <w:hyperlink r:id="rId27" w:history="1"/>
      <w:hyperlink r:id="rId28" w:history="1"/>
      <w:hyperlink w:anchor="Fig_1" w:history="1"/>
    </w:p>
    <w:p w14:paraId="34CBAA43" w14:textId="6667B8D5" w:rsidR="00B53386" w:rsidRPr="00B53386" w:rsidRDefault="00E81C25" w:rsidP="00E81C25">
      <w:pPr>
        <w:pStyle w:val="TableNo"/>
      </w:pPr>
      <w:r w:rsidRPr="00D42615">
        <w:rPr>
          <w:rFonts w:hint="cs"/>
          <w:rtl/>
        </w:rPr>
        <w:t>الجد</w:t>
      </w:r>
      <w:bookmarkStart w:id="1" w:name="Tab_1"/>
      <w:bookmarkEnd w:id="1"/>
      <w:r w:rsidRPr="00D42615">
        <w:rPr>
          <w:rFonts w:hint="cs"/>
          <w:rtl/>
        </w:rPr>
        <w:t>ول</w:t>
      </w:r>
      <w:r w:rsidR="00B53386" w:rsidRPr="00D42615">
        <w:rPr>
          <w:rtl/>
        </w:rPr>
        <w:t xml:space="preserve"> 1</w:t>
      </w:r>
    </w:p>
    <w:p w14:paraId="044FA223" w14:textId="77777777" w:rsidR="00B53386" w:rsidRPr="00B53386" w:rsidRDefault="00B53386" w:rsidP="00E81C25">
      <w:pPr>
        <w:pStyle w:val="Tabletitle"/>
      </w:pPr>
      <w:r w:rsidRPr="00B53386">
        <w:rPr>
          <w:rtl/>
        </w:rPr>
        <w:t>مؤشرات التوصيلية المختارة، 2025</w:t>
      </w:r>
    </w:p>
    <w:tbl>
      <w:tblPr>
        <w:tblStyle w:val="TableGrid"/>
        <w:bidiVisual/>
        <w:tblW w:w="5000" w:type="pct"/>
        <w:tblLayout w:type="fixed"/>
        <w:tblLook w:val="04A0" w:firstRow="1" w:lastRow="0" w:firstColumn="1" w:lastColumn="0" w:noHBand="0" w:noVBand="1"/>
      </w:tblPr>
      <w:tblGrid>
        <w:gridCol w:w="4556"/>
        <w:gridCol w:w="1136"/>
        <w:gridCol w:w="1624"/>
        <w:gridCol w:w="1745"/>
      </w:tblGrid>
      <w:tr w:rsidR="00B53386" w:rsidRPr="00B53386" w14:paraId="231AE289" w14:textId="77777777" w:rsidTr="007F35CA">
        <w:trPr>
          <w:tblHeader/>
        </w:trPr>
        <w:tc>
          <w:tcPr>
            <w:tcW w:w="2514" w:type="pct"/>
            <w:shd w:val="clear" w:color="auto" w:fill="F2F2F2" w:themeFill="background1" w:themeFillShade="F2"/>
          </w:tcPr>
          <w:p w14:paraId="7E0BCB5D" w14:textId="3B230E28" w:rsidR="00B53386" w:rsidRPr="00B53386" w:rsidRDefault="00B53386" w:rsidP="00E81C25">
            <w:pPr>
              <w:pStyle w:val="Tablehead"/>
            </w:pPr>
            <w:r w:rsidRPr="00B53386">
              <w:rPr>
                <w:rtl/>
              </w:rPr>
              <w:t>النسبة المئوية للسكان الذين تشملهم شبكة واحدة متنقلة LTE/WiMAX (4G) على الأقل</w:t>
            </w:r>
          </w:p>
        </w:tc>
        <w:tc>
          <w:tcPr>
            <w:tcW w:w="627" w:type="pct"/>
            <w:shd w:val="clear" w:color="auto" w:fill="F2F2F2" w:themeFill="background1" w:themeFillShade="F2"/>
          </w:tcPr>
          <w:p w14:paraId="2585A6E6" w14:textId="77777777" w:rsidR="00B53386" w:rsidRPr="00B53386" w:rsidRDefault="00B53386" w:rsidP="00E81C25">
            <w:pPr>
              <w:pStyle w:val="Tablehead"/>
            </w:pPr>
            <w:r w:rsidRPr="00B53386">
              <w:rPr>
                <w:rtl/>
              </w:rPr>
              <w:t>المجموع</w:t>
            </w:r>
          </w:p>
        </w:tc>
        <w:tc>
          <w:tcPr>
            <w:tcW w:w="896" w:type="pct"/>
            <w:shd w:val="clear" w:color="auto" w:fill="F2F2F2" w:themeFill="background1" w:themeFillShade="F2"/>
          </w:tcPr>
          <w:p w14:paraId="13607FA1" w14:textId="77777777" w:rsidR="00B53386" w:rsidRPr="00B53386" w:rsidRDefault="00B53386" w:rsidP="00E81C25">
            <w:pPr>
              <w:pStyle w:val="Tablehead"/>
            </w:pPr>
            <w:r w:rsidRPr="00B53386">
              <w:rPr>
                <w:rtl/>
              </w:rPr>
              <w:t>المناطق الحضرية</w:t>
            </w:r>
          </w:p>
        </w:tc>
        <w:tc>
          <w:tcPr>
            <w:tcW w:w="1745" w:type="dxa"/>
            <w:shd w:val="clear" w:color="auto" w:fill="F2F2F2" w:themeFill="background1" w:themeFillShade="F2"/>
          </w:tcPr>
          <w:p w14:paraId="780CEE32" w14:textId="77777777" w:rsidR="00B53386" w:rsidRPr="00B53386" w:rsidRDefault="00B53386" w:rsidP="00E81C25">
            <w:pPr>
              <w:pStyle w:val="Tablehead"/>
            </w:pPr>
            <w:r w:rsidRPr="00B53386">
              <w:rPr>
                <w:rtl/>
              </w:rPr>
              <w:t>المناطق الريفية</w:t>
            </w:r>
          </w:p>
        </w:tc>
      </w:tr>
      <w:tr w:rsidR="00B53386" w:rsidRPr="00B53386" w14:paraId="563ABB89" w14:textId="77777777" w:rsidTr="007F35CA">
        <w:trPr>
          <w:trHeight w:val="91"/>
        </w:trPr>
        <w:tc>
          <w:tcPr>
            <w:tcW w:w="2514" w:type="pct"/>
          </w:tcPr>
          <w:p w14:paraId="59716AAC" w14:textId="77777777" w:rsidR="00B53386" w:rsidRPr="00B53386" w:rsidRDefault="00B53386" w:rsidP="00E81C25">
            <w:pPr>
              <w:pStyle w:val="Tabletexte"/>
            </w:pPr>
            <w:r w:rsidRPr="00B53386">
              <w:rPr>
                <w:rtl/>
              </w:rPr>
              <w:t>أقل البلدان نمواً</w:t>
            </w:r>
          </w:p>
        </w:tc>
        <w:tc>
          <w:tcPr>
            <w:tcW w:w="627" w:type="pct"/>
            <w:vAlign w:val="bottom"/>
          </w:tcPr>
          <w:p w14:paraId="6F163E92" w14:textId="77777777" w:rsidR="00B53386" w:rsidRPr="00B53386" w:rsidRDefault="00B53386" w:rsidP="00E81C25">
            <w:pPr>
              <w:pStyle w:val="Tabletexte"/>
            </w:pPr>
            <w:r w:rsidRPr="00B53386">
              <w:rPr>
                <w:rtl/>
              </w:rPr>
              <w:t>71,2</w:t>
            </w:r>
          </w:p>
        </w:tc>
        <w:tc>
          <w:tcPr>
            <w:tcW w:w="896" w:type="pct"/>
            <w:vAlign w:val="bottom"/>
          </w:tcPr>
          <w:p w14:paraId="436B4B12" w14:textId="77777777" w:rsidR="00B53386" w:rsidRPr="00B53386" w:rsidRDefault="00B53386" w:rsidP="00E81C25">
            <w:pPr>
              <w:pStyle w:val="Tabletexte"/>
            </w:pPr>
            <w:r w:rsidRPr="00B53386">
              <w:rPr>
                <w:rtl/>
              </w:rPr>
              <w:t>95,2</w:t>
            </w:r>
          </w:p>
        </w:tc>
        <w:tc>
          <w:tcPr>
            <w:tcW w:w="1745" w:type="dxa"/>
            <w:vAlign w:val="bottom"/>
          </w:tcPr>
          <w:p w14:paraId="062BB7E7" w14:textId="77777777" w:rsidR="00B53386" w:rsidRPr="00B53386" w:rsidRDefault="00B53386" w:rsidP="00E81C25">
            <w:pPr>
              <w:pStyle w:val="Tabletexte"/>
            </w:pPr>
            <w:r w:rsidRPr="00B53386">
              <w:rPr>
                <w:rtl/>
              </w:rPr>
              <w:t>56,9</w:t>
            </w:r>
          </w:p>
        </w:tc>
      </w:tr>
      <w:tr w:rsidR="00B53386" w:rsidRPr="00B53386" w14:paraId="4FAD6C6E" w14:textId="77777777" w:rsidTr="007F35CA">
        <w:tc>
          <w:tcPr>
            <w:tcW w:w="2514" w:type="pct"/>
          </w:tcPr>
          <w:p w14:paraId="26394D77" w14:textId="77777777" w:rsidR="00B53386" w:rsidRPr="00B53386" w:rsidRDefault="00B53386" w:rsidP="00E81C25">
            <w:pPr>
              <w:pStyle w:val="Tabletexte"/>
            </w:pPr>
            <w:r w:rsidRPr="00B53386">
              <w:rPr>
                <w:rtl/>
              </w:rPr>
              <w:t>البلدان النامية غير الساحلية</w:t>
            </w:r>
          </w:p>
        </w:tc>
        <w:tc>
          <w:tcPr>
            <w:tcW w:w="627" w:type="pct"/>
            <w:vAlign w:val="bottom"/>
          </w:tcPr>
          <w:p w14:paraId="7F5D87C6" w14:textId="77777777" w:rsidR="00B53386" w:rsidRPr="00B53386" w:rsidRDefault="00B53386" w:rsidP="00E81C25">
            <w:pPr>
              <w:pStyle w:val="Tabletexte"/>
            </w:pPr>
            <w:r w:rsidRPr="00B53386">
              <w:rPr>
                <w:rtl/>
              </w:rPr>
              <w:t>66,1</w:t>
            </w:r>
          </w:p>
        </w:tc>
        <w:tc>
          <w:tcPr>
            <w:tcW w:w="896" w:type="pct"/>
            <w:vAlign w:val="bottom"/>
          </w:tcPr>
          <w:p w14:paraId="422EA3F3" w14:textId="77777777" w:rsidR="00B53386" w:rsidRPr="00B53386" w:rsidRDefault="00B53386" w:rsidP="00E81C25">
            <w:pPr>
              <w:pStyle w:val="Tabletexte"/>
            </w:pPr>
            <w:r w:rsidRPr="00B53386">
              <w:rPr>
                <w:rtl/>
              </w:rPr>
              <w:t>92,4</w:t>
            </w:r>
          </w:p>
        </w:tc>
        <w:tc>
          <w:tcPr>
            <w:tcW w:w="1745" w:type="dxa"/>
            <w:vAlign w:val="bottom"/>
          </w:tcPr>
          <w:p w14:paraId="12548635" w14:textId="77777777" w:rsidR="00B53386" w:rsidRPr="00B53386" w:rsidRDefault="00B53386" w:rsidP="00E81C25">
            <w:pPr>
              <w:pStyle w:val="Tabletexte"/>
            </w:pPr>
            <w:r w:rsidRPr="00B53386">
              <w:rPr>
                <w:rtl/>
              </w:rPr>
              <w:t>53,2</w:t>
            </w:r>
          </w:p>
        </w:tc>
      </w:tr>
      <w:tr w:rsidR="00B53386" w:rsidRPr="00B53386" w14:paraId="20B364E8" w14:textId="77777777" w:rsidTr="007F35CA">
        <w:tc>
          <w:tcPr>
            <w:tcW w:w="2514" w:type="pct"/>
          </w:tcPr>
          <w:p w14:paraId="4B25953F" w14:textId="77777777" w:rsidR="00B53386" w:rsidRPr="00B53386" w:rsidRDefault="00B53386" w:rsidP="00E81C25">
            <w:pPr>
              <w:pStyle w:val="Tabletexte"/>
            </w:pPr>
            <w:r w:rsidRPr="00B53386">
              <w:rPr>
                <w:rtl/>
              </w:rPr>
              <w:t>الدول الجزرية الصغيرة النامية</w:t>
            </w:r>
          </w:p>
        </w:tc>
        <w:tc>
          <w:tcPr>
            <w:tcW w:w="627" w:type="pct"/>
            <w:vAlign w:val="bottom"/>
          </w:tcPr>
          <w:p w14:paraId="7BDB7131" w14:textId="77777777" w:rsidR="00B53386" w:rsidRPr="00B53386" w:rsidRDefault="00B53386" w:rsidP="00E81C25">
            <w:pPr>
              <w:pStyle w:val="Tabletexte"/>
            </w:pPr>
            <w:r w:rsidRPr="00B53386">
              <w:rPr>
                <w:rtl/>
              </w:rPr>
              <w:t>73,4</w:t>
            </w:r>
          </w:p>
        </w:tc>
        <w:tc>
          <w:tcPr>
            <w:tcW w:w="896" w:type="pct"/>
            <w:vAlign w:val="bottom"/>
          </w:tcPr>
          <w:p w14:paraId="2C9266CE" w14:textId="77777777" w:rsidR="00B53386" w:rsidRPr="00B53386" w:rsidRDefault="00B53386" w:rsidP="00E81C25">
            <w:pPr>
              <w:pStyle w:val="Tabletexte"/>
            </w:pPr>
            <w:r w:rsidRPr="00B53386">
              <w:rPr>
                <w:rtl/>
              </w:rPr>
              <w:t>86,0</w:t>
            </w:r>
          </w:p>
        </w:tc>
        <w:tc>
          <w:tcPr>
            <w:tcW w:w="1745" w:type="dxa"/>
            <w:vAlign w:val="bottom"/>
          </w:tcPr>
          <w:p w14:paraId="077EA603" w14:textId="77777777" w:rsidR="00B53386" w:rsidRPr="00B53386" w:rsidRDefault="00B53386" w:rsidP="00E81C25">
            <w:pPr>
              <w:pStyle w:val="Tabletexte"/>
            </w:pPr>
            <w:r w:rsidRPr="00B53386">
              <w:rPr>
                <w:rtl/>
              </w:rPr>
              <w:t>52,9</w:t>
            </w:r>
          </w:p>
        </w:tc>
      </w:tr>
      <w:tr w:rsidR="00B53386" w:rsidRPr="00B53386" w14:paraId="5D2ABBCC" w14:textId="77777777" w:rsidTr="007F35CA">
        <w:tc>
          <w:tcPr>
            <w:tcW w:w="2514" w:type="pct"/>
            <w:shd w:val="clear" w:color="auto" w:fill="F2F2F2" w:themeFill="background1" w:themeFillShade="F2"/>
          </w:tcPr>
          <w:p w14:paraId="1D32EB61" w14:textId="77777777" w:rsidR="00B53386" w:rsidRPr="00D42615" w:rsidRDefault="00B53386" w:rsidP="00E81C25">
            <w:pPr>
              <w:pStyle w:val="Tabletexte"/>
              <w:rPr>
                <w:b/>
                <w:bCs/>
              </w:rPr>
            </w:pPr>
            <w:r w:rsidRPr="00D42615">
              <w:rPr>
                <w:b/>
                <w:bCs/>
                <w:rtl/>
              </w:rPr>
              <w:t>النسبة المئوية للأفراد الذين يستخدمون الإنترنت</w:t>
            </w:r>
          </w:p>
        </w:tc>
        <w:tc>
          <w:tcPr>
            <w:tcW w:w="627" w:type="pct"/>
            <w:shd w:val="clear" w:color="auto" w:fill="F2F2F2" w:themeFill="background1" w:themeFillShade="F2"/>
          </w:tcPr>
          <w:p w14:paraId="457CAC93" w14:textId="77777777" w:rsidR="00B53386" w:rsidRPr="00D42615" w:rsidRDefault="00B53386" w:rsidP="00D42615">
            <w:pPr>
              <w:pStyle w:val="Tabletexte"/>
              <w:jc w:val="center"/>
              <w:rPr>
                <w:b/>
                <w:bCs/>
              </w:rPr>
            </w:pPr>
            <w:r w:rsidRPr="00D42615">
              <w:rPr>
                <w:b/>
                <w:bCs/>
                <w:rtl/>
              </w:rPr>
              <w:t>المجموع</w:t>
            </w:r>
          </w:p>
        </w:tc>
        <w:tc>
          <w:tcPr>
            <w:tcW w:w="896" w:type="pct"/>
            <w:shd w:val="clear" w:color="auto" w:fill="F2F2F2" w:themeFill="background1" w:themeFillShade="F2"/>
          </w:tcPr>
          <w:p w14:paraId="5AF5500D" w14:textId="77777777" w:rsidR="00B53386" w:rsidRPr="00D42615" w:rsidRDefault="00B53386" w:rsidP="00D42615">
            <w:pPr>
              <w:pStyle w:val="Tabletexte"/>
              <w:jc w:val="center"/>
              <w:rPr>
                <w:b/>
                <w:bCs/>
              </w:rPr>
            </w:pPr>
            <w:r w:rsidRPr="00D42615">
              <w:rPr>
                <w:b/>
                <w:bCs/>
                <w:rtl/>
              </w:rPr>
              <w:t>الرجال</w:t>
            </w:r>
          </w:p>
        </w:tc>
        <w:tc>
          <w:tcPr>
            <w:tcW w:w="1745" w:type="dxa"/>
            <w:shd w:val="clear" w:color="auto" w:fill="F2F2F2" w:themeFill="background1" w:themeFillShade="F2"/>
          </w:tcPr>
          <w:p w14:paraId="100CFBF6" w14:textId="77777777" w:rsidR="00B53386" w:rsidRPr="00D42615" w:rsidRDefault="00B53386" w:rsidP="00D42615">
            <w:pPr>
              <w:pStyle w:val="Tabletexte"/>
              <w:jc w:val="center"/>
              <w:rPr>
                <w:b/>
                <w:bCs/>
              </w:rPr>
            </w:pPr>
            <w:r w:rsidRPr="00D42615">
              <w:rPr>
                <w:b/>
                <w:bCs/>
                <w:rtl/>
              </w:rPr>
              <w:t>النساء</w:t>
            </w:r>
          </w:p>
        </w:tc>
      </w:tr>
      <w:tr w:rsidR="00B53386" w:rsidRPr="00B53386" w14:paraId="7A101306" w14:textId="77777777" w:rsidTr="007F35CA">
        <w:tc>
          <w:tcPr>
            <w:tcW w:w="2514" w:type="pct"/>
          </w:tcPr>
          <w:p w14:paraId="4B735A20" w14:textId="77777777" w:rsidR="00B53386" w:rsidRPr="00B53386" w:rsidRDefault="00B53386" w:rsidP="00E81C25">
            <w:pPr>
              <w:pStyle w:val="Tabletexte"/>
            </w:pPr>
            <w:r w:rsidRPr="00B53386">
              <w:rPr>
                <w:rtl/>
              </w:rPr>
              <w:t>أقل البلدان نمواً</w:t>
            </w:r>
          </w:p>
        </w:tc>
        <w:tc>
          <w:tcPr>
            <w:tcW w:w="627" w:type="pct"/>
            <w:vAlign w:val="center"/>
          </w:tcPr>
          <w:p w14:paraId="23554F60" w14:textId="77777777" w:rsidR="00B53386" w:rsidRPr="00B53386" w:rsidRDefault="00B53386" w:rsidP="00E81C25">
            <w:pPr>
              <w:pStyle w:val="Tabletexte"/>
            </w:pPr>
            <w:r w:rsidRPr="00B53386">
              <w:rPr>
                <w:rtl/>
              </w:rPr>
              <w:t>33,7</w:t>
            </w:r>
          </w:p>
        </w:tc>
        <w:tc>
          <w:tcPr>
            <w:tcW w:w="896" w:type="pct"/>
            <w:vAlign w:val="bottom"/>
          </w:tcPr>
          <w:p w14:paraId="1AD2CFDF" w14:textId="77777777" w:rsidR="00B53386" w:rsidRPr="00B53386" w:rsidRDefault="00B53386" w:rsidP="00E81C25">
            <w:pPr>
              <w:pStyle w:val="Tabletexte"/>
            </w:pPr>
            <w:r w:rsidRPr="00B53386">
              <w:rPr>
                <w:rtl/>
              </w:rPr>
              <w:t>39,1</w:t>
            </w:r>
          </w:p>
        </w:tc>
        <w:tc>
          <w:tcPr>
            <w:tcW w:w="1745" w:type="dxa"/>
            <w:vAlign w:val="bottom"/>
          </w:tcPr>
          <w:p w14:paraId="247D681E" w14:textId="77777777" w:rsidR="00B53386" w:rsidRPr="00B53386" w:rsidRDefault="00B53386" w:rsidP="00E81C25">
            <w:pPr>
              <w:pStyle w:val="Tabletexte"/>
            </w:pPr>
            <w:r w:rsidRPr="00B53386">
              <w:rPr>
                <w:rtl/>
              </w:rPr>
              <w:t>28,4</w:t>
            </w:r>
          </w:p>
        </w:tc>
      </w:tr>
      <w:tr w:rsidR="00B53386" w:rsidRPr="00B53386" w14:paraId="35FD8C4D" w14:textId="77777777" w:rsidTr="007F35CA">
        <w:tc>
          <w:tcPr>
            <w:tcW w:w="2514" w:type="pct"/>
          </w:tcPr>
          <w:p w14:paraId="55B6BBFF" w14:textId="77777777" w:rsidR="00B53386" w:rsidRPr="00B53386" w:rsidRDefault="00B53386" w:rsidP="00E81C25">
            <w:pPr>
              <w:pStyle w:val="Tabletexte"/>
            </w:pPr>
            <w:r w:rsidRPr="00B53386">
              <w:rPr>
                <w:rtl/>
              </w:rPr>
              <w:t>البلدان النامية غير الساحلية</w:t>
            </w:r>
          </w:p>
        </w:tc>
        <w:tc>
          <w:tcPr>
            <w:tcW w:w="627" w:type="pct"/>
            <w:vAlign w:val="center"/>
          </w:tcPr>
          <w:p w14:paraId="5E57185A" w14:textId="77777777" w:rsidR="00B53386" w:rsidRPr="00B53386" w:rsidRDefault="00B53386" w:rsidP="00E81C25">
            <w:pPr>
              <w:pStyle w:val="Tabletexte"/>
            </w:pPr>
            <w:r w:rsidRPr="00B53386">
              <w:rPr>
                <w:rtl/>
              </w:rPr>
              <w:t>37,6</w:t>
            </w:r>
          </w:p>
        </w:tc>
        <w:tc>
          <w:tcPr>
            <w:tcW w:w="896" w:type="pct"/>
            <w:vAlign w:val="bottom"/>
          </w:tcPr>
          <w:p w14:paraId="4E4E120E" w14:textId="77777777" w:rsidR="00B53386" w:rsidRPr="00B53386" w:rsidRDefault="00B53386" w:rsidP="00E81C25">
            <w:pPr>
              <w:pStyle w:val="Tabletexte"/>
            </w:pPr>
            <w:r w:rsidRPr="00B53386">
              <w:rPr>
                <w:rtl/>
              </w:rPr>
              <w:t>41,0</w:t>
            </w:r>
          </w:p>
        </w:tc>
        <w:tc>
          <w:tcPr>
            <w:tcW w:w="1745" w:type="dxa"/>
            <w:vAlign w:val="bottom"/>
          </w:tcPr>
          <w:p w14:paraId="2417895D" w14:textId="77777777" w:rsidR="00B53386" w:rsidRPr="00B53386" w:rsidRDefault="00B53386" w:rsidP="00E81C25">
            <w:pPr>
              <w:pStyle w:val="Tabletexte"/>
            </w:pPr>
            <w:r w:rsidRPr="00B53386">
              <w:rPr>
                <w:rtl/>
              </w:rPr>
              <w:t>34,1</w:t>
            </w:r>
          </w:p>
        </w:tc>
      </w:tr>
      <w:tr w:rsidR="00B53386" w:rsidRPr="00B53386" w14:paraId="5A346507" w14:textId="77777777" w:rsidTr="007F35CA">
        <w:tc>
          <w:tcPr>
            <w:tcW w:w="2514" w:type="pct"/>
            <w:tcBorders>
              <w:bottom w:val="single" w:sz="4" w:space="0" w:color="auto"/>
            </w:tcBorders>
          </w:tcPr>
          <w:p w14:paraId="5AFC45CE" w14:textId="77777777" w:rsidR="00B53386" w:rsidRPr="00B53386" w:rsidRDefault="00B53386" w:rsidP="00E81C25">
            <w:pPr>
              <w:pStyle w:val="Tabletexte"/>
            </w:pPr>
            <w:r w:rsidRPr="00B53386">
              <w:rPr>
                <w:rtl/>
              </w:rPr>
              <w:t>الدول الجزرية الصغيرة النامية</w:t>
            </w:r>
          </w:p>
        </w:tc>
        <w:tc>
          <w:tcPr>
            <w:tcW w:w="627" w:type="pct"/>
            <w:tcBorders>
              <w:bottom w:val="single" w:sz="4" w:space="0" w:color="auto"/>
            </w:tcBorders>
            <w:vAlign w:val="center"/>
          </w:tcPr>
          <w:p w14:paraId="1B0ED5E4" w14:textId="77777777" w:rsidR="00B53386" w:rsidRPr="00B53386" w:rsidRDefault="00B53386" w:rsidP="00E81C25">
            <w:pPr>
              <w:pStyle w:val="Tabletexte"/>
            </w:pPr>
            <w:r w:rsidRPr="00B53386">
              <w:rPr>
                <w:rtl/>
              </w:rPr>
              <w:t>64,1</w:t>
            </w:r>
          </w:p>
        </w:tc>
        <w:tc>
          <w:tcPr>
            <w:tcW w:w="896" w:type="pct"/>
            <w:tcBorders>
              <w:bottom w:val="single" w:sz="4" w:space="0" w:color="auto"/>
            </w:tcBorders>
            <w:vAlign w:val="bottom"/>
          </w:tcPr>
          <w:p w14:paraId="23304E71" w14:textId="77777777" w:rsidR="00B53386" w:rsidRPr="00B53386" w:rsidRDefault="00B53386" w:rsidP="00E81C25">
            <w:pPr>
              <w:pStyle w:val="Tabletexte"/>
            </w:pPr>
            <w:r w:rsidRPr="00B53386">
              <w:rPr>
                <w:rtl/>
              </w:rPr>
              <w:t>64,0</w:t>
            </w:r>
          </w:p>
        </w:tc>
        <w:tc>
          <w:tcPr>
            <w:tcW w:w="1745" w:type="dxa"/>
            <w:tcBorders>
              <w:bottom w:val="single" w:sz="4" w:space="0" w:color="auto"/>
            </w:tcBorders>
            <w:vAlign w:val="bottom"/>
          </w:tcPr>
          <w:p w14:paraId="0F3E0AE3" w14:textId="77777777" w:rsidR="00B53386" w:rsidRPr="00B53386" w:rsidRDefault="00B53386" w:rsidP="00E81C25">
            <w:pPr>
              <w:pStyle w:val="Tabletexte"/>
            </w:pPr>
            <w:r w:rsidRPr="00B53386">
              <w:rPr>
                <w:rtl/>
              </w:rPr>
              <w:t>64,2</w:t>
            </w:r>
          </w:p>
        </w:tc>
      </w:tr>
      <w:tr w:rsidR="00B53386" w:rsidRPr="00B53386" w14:paraId="5FDA4FEA" w14:textId="77777777" w:rsidTr="007F35CA">
        <w:tc>
          <w:tcPr>
            <w:tcW w:w="5000" w:type="pct"/>
            <w:gridSpan w:val="4"/>
            <w:tcBorders>
              <w:top w:val="single" w:sz="4" w:space="0" w:color="auto"/>
              <w:left w:val="nil"/>
              <w:bottom w:val="nil"/>
              <w:right w:val="nil"/>
            </w:tcBorders>
          </w:tcPr>
          <w:p w14:paraId="2714B116" w14:textId="77777777" w:rsidR="00B53386" w:rsidRPr="00D42615" w:rsidRDefault="00B53386" w:rsidP="00E81C25">
            <w:pPr>
              <w:pStyle w:val="Tablelegend"/>
              <w:rPr>
                <w:sz w:val="18"/>
                <w:szCs w:val="18"/>
              </w:rPr>
            </w:pPr>
            <w:r w:rsidRPr="00D42615">
              <w:rPr>
                <w:sz w:val="18"/>
                <w:szCs w:val="18"/>
                <w:rtl/>
              </w:rPr>
              <w:t>المصدر: تقديرات الاتحاد.</w:t>
            </w:r>
          </w:p>
        </w:tc>
      </w:tr>
    </w:tbl>
    <w:p w14:paraId="78DE360F" w14:textId="0A3F7574" w:rsidR="00B53386" w:rsidRPr="00B53386" w:rsidRDefault="00B53386" w:rsidP="00E81C25">
      <w:r w:rsidRPr="00B53386">
        <w:rPr>
          <w:rtl/>
        </w:rPr>
        <w:t>وغالبا</w:t>
      </w:r>
      <w:r w:rsidR="00E81C25">
        <w:rPr>
          <w:rFonts w:hint="cs"/>
          <w:rtl/>
        </w:rPr>
        <w:t>ً</w:t>
      </w:r>
      <w:r w:rsidRPr="00B53386">
        <w:rPr>
          <w:rtl/>
        </w:rPr>
        <w:t xml:space="preserve"> ما تخفي الإحصاءات المتعلقة بالتنمية الرقمية على مستوى السكان فوارق كبيرة داخل البلدان، مثلا</w:t>
      </w:r>
      <w:r w:rsidR="00E81C25">
        <w:rPr>
          <w:rFonts w:hint="cs"/>
          <w:rtl/>
        </w:rPr>
        <w:t xml:space="preserve">ً </w:t>
      </w:r>
      <w:r w:rsidRPr="00B53386">
        <w:rPr>
          <w:rtl/>
        </w:rPr>
        <w:t xml:space="preserve">بين المناطق الريفية والحضرية أو بين الرجال والنساء أو بين الفئات العمرية. وتمكن البيانات المصنفة من تصميم تدخلات أكثر فعالية تستهدف مجموعات ديمغرافية أو مناطق جغرافية محددة. ويبين </w:t>
      </w:r>
      <w:hyperlink w:anchor="Tab_1" w:history="1">
        <w:r w:rsidRPr="00E81C25">
          <w:rPr>
            <w:rStyle w:val="Hyperlink"/>
            <w:noProof w:val="0"/>
            <w:rtl/>
            <w:lang w:val="en-US" w:eastAsia="zh-CN"/>
          </w:rPr>
          <w:t>الجدول 1</w:t>
        </w:r>
      </w:hyperlink>
      <w:r w:rsidRPr="00E81C25">
        <w:rPr>
          <w:rtl/>
        </w:rPr>
        <w:t xml:space="preserve"> أن</w:t>
      </w:r>
      <w:r w:rsidRPr="00B53386">
        <w:rPr>
          <w:rtl/>
        </w:rPr>
        <w:t xml:space="preserve"> هذه الفجوات يمكن أن تكون كبيرة جدا</w:t>
      </w:r>
      <w:r w:rsidR="00E81C25">
        <w:rPr>
          <w:rFonts w:hint="cs"/>
          <w:rtl/>
        </w:rPr>
        <w:t>ً</w:t>
      </w:r>
      <w:r w:rsidRPr="00B53386">
        <w:rPr>
          <w:rtl/>
        </w:rPr>
        <w:t>. ففي البلدان النامية غير الساحلية، على سبيل المثال، تغطي شبكة متنقلة من الجيل الرابع 92 في المائة في</w:t>
      </w:r>
      <w:r w:rsidR="00E81C25">
        <w:rPr>
          <w:rFonts w:hint="cs"/>
          <w:rtl/>
        </w:rPr>
        <w:t> </w:t>
      </w:r>
      <w:r w:rsidRPr="00B53386">
        <w:rPr>
          <w:rtl/>
        </w:rPr>
        <w:t>المتوسط من سكان المناطق الحضرية، مقارنة بنسبة 53 في المائة فقط من سكان المناطق الريفية، أي بفجوة تبلغ 40 نقطة مئوية تقريبا</w:t>
      </w:r>
      <w:r w:rsidR="00E81C25">
        <w:rPr>
          <w:rFonts w:hint="cs"/>
          <w:rtl/>
        </w:rPr>
        <w:t>ً</w:t>
      </w:r>
      <w:r w:rsidRPr="00B53386">
        <w:rPr>
          <w:rtl/>
        </w:rPr>
        <w:t>. وبالمثل، تم سد الفجوة بين الجنسين في مجال استخدام الإنترنت في الدول الجزرية الصغيرة النامية. وفي أقل البلدان نموا</w:t>
      </w:r>
      <w:r w:rsidR="00E81C25">
        <w:rPr>
          <w:rFonts w:hint="cs"/>
          <w:rtl/>
        </w:rPr>
        <w:t>ً</w:t>
      </w:r>
      <w:r w:rsidRPr="00B53386">
        <w:rPr>
          <w:rtl/>
        </w:rPr>
        <w:t>، يزيد احتمال استخدام الرجال لشبكة الإنترنت بحوالي 40 في المائة مقارنة بالنساء، إذ تبلغ معدلات الاستخدام 39 في المائة و28 في المائة على التوالي. ولهذه النتائج آثار سياساتية واضحة، وتساعد على تركيز الجهود على الأشخاص الأكثر احتياجا</w:t>
      </w:r>
      <w:r w:rsidR="00FA1408">
        <w:rPr>
          <w:rFonts w:hint="cs"/>
          <w:rtl/>
        </w:rPr>
        <w:t>ً</w:t>
      </w:r>
      <w:r w:rsidRPr="00B53386">
        <w:rPr>
          <w:rtl/>
        </w:rPr>
        <w:t>.</w:t>
      </w:r>
      <w:hyperlink w:anchor="Tab_1" w:history="1"/>
    </w:p>
    <w:p w14:paraId="7FCCE345" w14:textId="1A479563" w:rsidR="00B53386" w:rsidRPr="00B53386" w:rsidRDefault="00B53386" w:rsidP="00B53386">
      <w:r w:rsidRPr="00B53386">
        <w:rPr>
          <w:rtl/>
        </w:rPr>
        <w:t>وعلى الرغم من أهمية الإحصاءات، لا تزال هناك فجوات كبيرة في البيانات، ولا سيما في أقل البلدان نموا</w:t>
      </w:r>
      <w:r w:rsidR="00FA1408">
        <w:rPr>
          <w:rFonts w:hint="cs"/>
          <w:rtl/>
        </w:rPr>
        <w:t>ً</w:t>
      </w:r>
      <w:r w:rsidRPr="00B53386">
        <w:rPr>
          <w:rtl/>
        </w:rPr>
        <w:t xml:space="preserve"> والبلدان النامية غير الساحلية والدول الجزرية الصغيرة النامية، وتقوم قلة من هذه البلدان بجمع إحصاءات تكنولوجيا المعلومات والاتصالات على أساس منتظم، وتجمع مجموعة أصغر منها بيانات مفصلة.</w:t>
      </w:r>
    </w:p>
    <w:p w14:paraId="7237B7CA" w14:textId="473AB17C" w:rsidR="00B53386" w:rsidRPr="00B53386" w:rsidRDefault="00B53386" w:rsidP="00B53386">
      <w:r w:rsidRPr="00B53386">
        <w:rPr>
          <w:rtl/>
        </w:rPr>
        <w:t xml:space="preserve">ويقدم مكتب تنمية الاتصالات </w:t>
      </w:r>
      <w:hyperlink r:id="rId29" w:history="1">
        <w:r w:rsidRPr="00B53386">
          <w:rPr>
            <w:rStyle w:val="Hyperlink"/>
            <w:rtl/>
          </w:rPr>
          <w:t>أنشطة تنمية القدرات والمساعدة التقنية</w:t>
        </w:r>
      </w:hyperlink>
      <w:r w:rsidRPr="00B53386">
        <w:rPr>
          <w:rtl/>
        </w:rPr>
        <w:t xml:space="preserve"> إلى الدول الأعضاء التي تسعى إلى تعزيز قدرتها على قياس التنمية الرقمية بمزيد من الدقة والتوقيت والتفصيل.</w:t>
      </w:r>
      <w:hyperlink r:id="rId30" w:history="1"/>
    </w:p>
    <w:p w14:paraId="5E92A59C" w14:textId="6FE3AE51" w:rsidR="00B53386" w:rsidRPr="00B53386" w:rsidRDefault="00B53386" w:rsidP="00B53386">
      <w:r w:rsidRPr="00B53386">
        <w:rPr>
          <w:rtl/>
        </w:rPr>
        <w:lastRenderedPageBreak/>
        <w:t>وتمكّن الإحصاءات من صنع القرار القائم على الأدلة، مما يمكن أن يعجل بالتنمية الرقمية ويحسن الآفاق الاقتصادية في</w:t>
      </w:r>
      <w:r w:rsidR="00FA1408">
        <w:rPr>
          <w:rFonts w:hint="cs"/>
          <w:rtl/>
        </w:rPr>
        <w:t> </w:t>
      </w:r>
      <w:r w:rsidRPr="00B53386">
        <w:rPr>
          <w:rtl/>
        </w:rPr>
        <w:t>نهاية المطاف. ويعد الاستثمار في جمع البيانات أمرا بالغ الأهمية ويحقق عوائد كبيرة.</w:t>
      </w:r>
    </w:p>
    <w:p w14:paraId="3AE83ACC" w14:textId="77777777" w:rsidR="00B53386" w:rsidRPr="00B53386" w:rsidRDefault="00B53386" w:rsidP="00FA1408">
      <w:pPr>
        <w:pStyle w:val="Headingb"/>
      </w:pPr>
      <w:r w:rsidRPr="00B53386">
        <w:rPr>
          <w:rtl/>
        </w:rPr>
        <w:t>تعزيز القدرات والمهارات الرقمية</w:t>
      </w:r>
    </w:p>
    <w:p w14:paraId="7A2477E0" w14:textId="6B4614FF" w:rsidR="00B53386" w:rsidRPr="00B53386" w:rsidRDefault="00B53386" w:rsidP="00B53386">
      <w:r w:rsidRPr="00B53386">
        <w:rPr>
          <w:rtl/>
        </w:rPr>
        <w:t>وتعمل أكاديمية الاتحاد كمنصة شاملة تجمع مجموعة واسعة من أنشطة التدريب وموارد المعرفة في مجال تكنولوجيا المعلومات والاتصالات والتنمية الرقمية. وتعزز الأكاديمية، من خلال عملها، القدرات البشرية والمؤسسية في جميع الدول الأعضاء. ومنذ عام 2022، قدمت الأكاديمية دعما</w:t>
      </w:r>
      <w:r w:rsidR="00FA1408">
        <w:rPr>
          <w:rFonts w:hint="cs"/>
          <w:rtl/>
        </w:rPr>
        <w:t>ً</w:t>
      </w:r>
      <w:r w:rsidRPr="00B53386">
        <w:rPr>
          <w:rtl/>
        </w:rPr>
        <w:t xml:space="preserve"> هادفا</w:t>
      </w:r>
      <w:r w:rsidR="00FA1408">
        <w:rPr>
          <w:rFonts w:hint="cs"/>
          <w:rtl/>
        </w:rPr>
        <w:t>ً</w:t>
      </w:r>
      <w:r w:rsidRPr="00B53386">
        <w:rPr>
          <w:rtl/>
        </w:rPr>
        <w:t xml:space="preserve"> لأقل البلدان نموا</w:t>
      </w:r>
      <w:r w:rsidR="00FA1408">
        <w:rPr>
          <w:rFonts w:hint="cs"/>
          <w:rtl/>
        </w:rPr>
        <w:t>ً</w:t>
      </w:r>
      <w:r w:rsidRPr="00B53386">
        <w:rPr>
          <w:rtl/>
        </w:rPr>
        <w:t xml:space="preserve"> والبلدان النامية غير الساحلية والدول الجزرية الصغيرة النامية وغيرها من البلدان ذات الظروف الخاصة من خلال برامج تدريبية مصممة خصيصا</w:t>
      </w:r>
      <w:r w:rsidR="0018225A">
        <w:rPr>
          <w:rFonts w:hint="cs"/>
          <w:rtl/>
        </w:rPr>
        <w:t>ً</w:t>
      </w:r>
      <w:r w:rsidRPr="00B53386">
        <w:rPr>
          <w:rtl/>
        </w:rPr>
        <w:t xml:space="preserve"> ومبادرات بناء القدرات والوصول إلى موارد التعلم المتخصصة. وفي الفترة ما بين 2022-2025، شملت المنصة ما يقرب من </w:t>
      </w:r>
      <w:r w:rsidR="00FA1408">
        <w:t>28 000</w:t>
      </w:r>
      <w:r w:rsidRPr="00B53386">
        <w:rPr>
          <w:rtl/>
        </w:rPr>
        <w:t xml:space="preserve"> مشارك في الدورة من هذه المجموعات، منهم 718</w:t>
      </w:r>
      <w:r w:rsidR="00FA1408">
        <w:t> </w:t>
      </w:r>
      <w:r w:rsidRPr="00B53386">
        <w:rPr>
          <w:rtl/>
        </w:rPr>
        <w:t>12 مشاركا</w:t>
      </w:r>
      <w:r w:rsidR="00FA1408">
        <w:rPr>
          <w:rFonts w:hint="cs"/>
          <w:rtl/>
        </w:rPr>
        <w:t>ً</w:t>
      </w:r>
      <w:r w:rsidRPr="00B53386">
        <w:rPr>
          <w:rtl/>
        </w:rPr>
        <w:t xml:space="preserve"> من أقل البلدان نموا</w:t>
      </w:r>
      <w:r w:rsidR="00FA1408">
        <w:rPr>
          <w:rFonts w:hint="cs"/>
          <w:rtl/>
        </w:rPr>
        <w:t>ً</w:t>
      </w:r>
      <w:r w:rsidRPr="00B53386">
        <w:rPr>
          <w:rtl/>
        </w:rPr>
        <w:t xml:space="preserve"> (29,7 في المائة من الإناث)، حصل منهم ما عدده 154</w:t>
      </w:r>
      <w:r w:rsidR="00FA1408">
        <w:t> </w:t>
      </w:r>
      <w:r w:rsidRPr="00B53386">
        <w:rPr>
          <w:rtl/>
        </w:rPr>
        <w:t>3 على شهادة؛ و061</w:t>
      </w:r>
      <w:r w:rsidR="00FA1408">
        <w:t> </w:t>
      </w:r>
      <w:r w:rsidRPr="00B53386">
        <w:rPr>
          <w:rtl/>
        </w:rPr>
        <w:t xml:space="preserve">9 من البلدان النامية غير الساحلية (43 في المائة من النساء)، حصل منهم ما عدده </w:t>
      </w:r>
      <w:r w:rsidR="00FA1408">
        <w:t>2 503</w:t>
      </w:r>
      <w:r w:rsidR="00FA1408">
        <w:rPr>
          <w:rFonts w:hint="cs"/>
          <w:rtl/>
        </w:rPr>
        <w:t xml:space="preserve"> </w:t>
      </w:r>
      <w:r w:rsidRPr="00B53386">
        <w:rPr>
          <w:rtl/>
        </w:rPr>
        <w:t>على شهادة؛ و912</w:t>
      </w:r>
      <w:r w:rsidR="00FA1408">
        <w:rPr>
          <w:rFonts w:hint="cs"/>
          <w:rtl/>
        </w:rPr>
        <w:t> </w:t>
      </w:r>
      <w:r w:rsidRPr="00B53386">
        <w:rPr>
          <w:rtl/>
        </w:rPr>
        <w:t>4 من الدول الجزرية الصغيرة النامية (40 في المائة من الإناث) حصل منهم ما عدده</w:t>
      </w:r>
      <w:r w:rsidR="00FA1408">
        <w:rPr>
          <w:rFonts w:hint="cs"/>
          <w:rtl/>
        </w:rPr>
        <w:t xml:space="preserve"> </w:t>
      </w:r>
      <w:r w:rsidR="00FA1408">
        <w:rPr>
          <w:lang w:val="en-GB"/>
        </w:rPr>
        <w:t>1 361</w:t>
      </w:r>
      <w:r w:rsidR="00FA1408">
        <w:rPr>
          <w:rFonts w:hint="cs"/>
          <w:rtl/>
        </w:rPr>
        <w:t xml:space="preserve"> </w:t>
      </w:r>
      <w:r w:rsidRPr="00B53386">
        <w:rPr>
          <w:rtl/>
        </w:rPr>
        <w:t>على شهادة</w:t>
      </w:r>
      <w:r w:rsidR="00FA1408">
        <w:rPr>
          <w:rFonts w:hint="cs"/>
          <w:rtl/>
        </w:rPr>
        <w:t>.</w:t>
      </w:r>
    </w:p>
    <w:p w14:paraId="6417CF6C" w14:textId="06A26B92" w:rsidR="00B53386" w:rsidRPr="00B53386" w:rsidRDefault="00B53386" w:rsidP="00B53386">
      <w:r w:rsidRPr="00B53386">
        <w:rPr>
          <w:rtl/>
        </w:rPr>
        <w:t xml:space="preserve">أطلق الاتحاد </w:t>
      </w:r>
      <w:hyperlink r:id="rId31" w:anchor="/ar" w:history="1">
        <w:r w:rsidRPr="00B53386">
          <w:rPr>
            <w:rStyle w:val="Hyperlink"/>
            <w:rtl/>
          </w:rPr>
          <w:t>مبادرة مراكز التحول الرقمي</w:t>
        </w:r>
      </w:hyperlink>
      <w:r w:rsidRPr="00B53386">
        <w:rPr>
          <w:rtl/>
        </w:rPr>
        <w:t xml:space="preserve"> في سبتمبر 2019 بالشراكة مع شركة سيسكو، بهدف تعزيز القدرات الرقمية للمواطنين، ولا</w:t>
      </w:r>
      <w:r w:rsidR="00FA1408">
        <w:rPr>
          <w:rFonts w:hint="cs"/>
          <w:rtl/>
        </w:rPr>
        <w:t> </w:t>
      </w:r>
      <w:r w:rsidRPr="00B53386">
        <w:rPr>
          <w:rtl/>
        </w:rPr>
        <w:t>سيما أولئك الذين يعيشون في المجتمعات الريفية والمجتمعات التي تعاني نقص الخدمات. وتعمل المبادرة من خلال شبكة عالمية من المؤسسات الوطنية، وهي مراكز التحول الرقمي التي تضطلع بمهمة تقديم برامج المهارات الرقمية</w:t>
      </w:r>
      <w:r w:rsidR="00877031">
        <w:rPr>
          <w:rFonts w:hint="cs"/>
          <w:rtl/>
        </w:rPr>
        <w:t xml:space="preserve"> </w:t>
      </w:r>
      <w:r w:rsidRPr="00B53386">
        <w:rPr>
          <w:rtl/>
        </w:rPr>
        <w:t>على المستوى الق</w:t>
      </w:r>
      <w:r w:rsidR="00877031">
        <w:rPr>
          <w:rFonts w:hint="cs"/>
          <w:rtl/>
        </w:rPr>
        <w:t>ُ</w:t>
      </w:r>
      <w:r w:rsidRPr="00B53386">
        <w:rPr>
          <w:rtl/>
        </w:rPr>
        <w:t>طري. وتتمتع هذه المراكز بقدرات وبنية تحتية وخبرة مثبتة في تنفيذ برامج تدريبية على المستويين الأساسي والمتوسط.</w:t>
      </w:r>
      <w:hyperlink r:id="rId32"/>
    </w:p>
    <w:p w14:paraId="007D569A" w14:textId="648A5833" w:rsidR="00B53386" w:rsidRPr="00B53386" w:rsidRDefault="00B53386" w:rsidP="00B53386">
      <w:r w:rsidRPr="00B53386">
        <w:rPr>
          <w:rtl/>
        </w:rPr>
        <w:t>ويوجد حاليا</w:t>
      </w:r>
      <w:r w:rsidR="0018225A">
        <w:rPr>
          <w:rFonts w:hint="cs"/>
          <w:rtl/>
        </w:rPr>
        <w:t>ً</w:t>
      </w:r>
      <w:r w:rsidRPr="00B53386">
        <w:rPr>
          <w:rtl/>
        </w:rPr>
        <w:t xml:space="preserve"> 16 مركزا</w:t>
      </w:r>
      <w:r w:rsidR="0018225A">
        <w:rPr>
          <w:rFonts w:hint="cs"/>
          <w:rtl/>
        </w:rPr>
        <w:t>ً</w:t>
      </w:r>
      <w:r w:rsidRPr="00B53386">
        <w:rPr>
          <w:rtl/>
        </w:rPr>
        <w:t xml:space="preserve"> عالمي</w:t>
      </w:r>
      <w:r w:rsidR="00FA1408">
        <w:rPr>
          <w:rFonts w:hint="cs"/>
          <w:rtl/>
        </w:rPr>
        <w:t>اً</w:t>
      </w:r>
      <w:r w:rsidRPr="00B53386">
        <w:rPr>
          <w:rtl/>
        </w:rPr>
        <w:t xml:space="preserve"> أنشئت منها ثماني</w:t>
      </w:r>
      <w:r w:rsidR="00877031">
        <w:rPr>
          <w:rFonts w:hint="cs"/>
          <w:rtl/>
        </w:rPr>
        <w:t>ة</w:t>
      </w:r>
      <w:r w:rsidRPr="00B53386">
        <w:rPr>
          <w:rtl/>
        </w:rPr>
        <w:t xml:space="preserve"> مراكز في أقل البلدان نموا</w:t>
      </w:r>
      <w:r w:rsidR="00FA1408">
        <w:rPr>
          <w:rFonts w:hint="cs"/>
          <w:rtl/>
        </w:rPr>
        <w:t>ً</w:t>
      </w:r>
      <w:r w:rsidRPr="00B53386">
        <w:rPr>
          <w:rtl/>
        </w:rPr>
        <w:t xml:space="preserve"> والبلدان النامية غير الساحلية والدول الجزرية الصغيرة النامية والبلدان التي تمر اقتصاداتها بمرحلة انتقالية، وهي الجمهورية الدومينيكية وبابوا غينيا الجديدة ورواندا والسنغال وسيراليون وترينيداد وتوباغو وأوغندا وزامبيا. وبحلول نهاية عام 2025، كانت هذه المراكز الثمانية قد دربت ما يقرب من 000</w:t>
      </w:r>
      <w:r w:rsidR="00FA1408">
        <w:t> </w:t>
      </w:r>
      <w:r w:rsidRPr="00B53386">
        <w:rPr>
          <w:rtl/>
        </w:rPr>
        <w:t>227 مشارك (54 في المائة من الإناث)، على المهارات الرقمية الأساسية والمتوسطة. وإجمالا</w:t>
      </w:r>
      <w:r w:rsidR="00FA1408">
        <w:rPr>
          <w:rFonts w:hint="cs"/>
          <w:rtl/>
        </w:rPr>
        <w:t>ً</w:t>
      </w:r>
      <w:r w:rsidRPr="00B53386">
        <w:rPr>
          <w:rtl/>
        </w:rPr>
        <w:t xml:space="preserve">، بلغ الوصول إلى أكثر من </w:t>
      </w:r>
      <w:r w:rsidR="00FA1408">
        <w:t>422 000</w:t>
      </w:r>
      <w:r w:rsidRPr="00B53386">
        <w:rPr>
          <w:rtl/>
        </w:rPr>
        <w:t xml:space="preserve"> </w:t>
      </w:r>
      <w:r w:rsidR="00A97061" w:rsidRPr="00B53386">
        <w:rPr>
          <w:rtl/>
        </w:rPr>
        <w:t xml:space="preserve">مشارك </w:t>
      </w:r>
      <w:r w:rsidRPr="00B53386">
        <w:rPr>
          <w:rtl/>
        </w:rPr>
        <w:t>(54 في المائة من الإناث) في الفترة بين 2022-2025 (انظر الجدول 2 أدناه للاطلاع على التفاصيل).</w:t>
      </w:r>
    </w:p>
    <w:p w14:paraId="637008CA" w14:textId="77777777" w:rsidR="00B53386" w:rsidRPr="00B53386" w:rsidRDefault="00B53386" w:rsidP="00FA1408">
      <w:pPr>
        <w:pStyle w:val="TableNo"/>
      </w:pPr>
      <w:r w:rsidRPr="00B53386">
        <w:rPr>
          <w:rtl/>
        </w:rPr>
        <w:t>الجدول 2</w:t>
      </w:r>
    </w:p>
    <w:p w14:paraId="5C0E2C16" w14:textId="77777777" w:rsidR="00B53386" w:rsidRPr="00B53386" w:rsidRDefault="00B53386" w:rsidP="00FA1408">
      <w:pPr>
        <w:pStyle w:val="Tabletitle"/>
      </w:pPr>
      <w:r w:rsidRPr="00B53386">
        <w:rPr>
          <w:rtl/>
        </w:rPr>
        <w:t>المشاركون في دورة مراكز التحول الرقمي 2022-2025</w:t>
      </w:r>
    </w:p>
    <w:tbl>
      <w:tblPr>
        <w:bidiVisual/>
        <w:tblW w:w="5000" w:type="pct"/>
        <w:jc w:val="center"/>
        <w:tblLayout w:type="fixed"/>
        <w:tblLook w:val="04A0" w:firstRow="1" w:lastRow="0" w:firstColumn="1" w:lastColumn="0" w:noHBand="0" w:noVBand="1"/>
      </w:tblPr>
      <w:tblGrid>
        <w:gridCol w:w="1016"/>
        <w:gridCol w:w="973"/>
        <w:gridCol w:w="843"/>
        <w:gridCol w:w="1105"/>
        <w:gridCol w:w="974"/>
        <w:gridCol w:w="974"/>
        <w:gridCol w:w="989"/>
        <w:gridCol w:w="1067"/>
        <w:gridCol w:w="1115"/>
      </w:tblGrid>
      <w:tr w:rsidR="00B53386" w:rsidRPr="00B53386" w14:paraId="0CAC5592" w14:textId="77777777" w:rsidTr="00A97061">
        <w:trPr>
          <w:trHeight w:val="300"/>
          <w:jc w:val="center"/>
        </w:trPr>
        <w:tc>
          <w:tcPr>
            <w:tcW w:w="1034" w:type="dxa"/>
            <w:vMerge w:val="restart"/>
            <w:tcBorders>
              <w:top w:val="single" w:sz="4" w:space="0" w:color="auto"/>
              <w:left w:val="single" w:sz="4" w:space="0" w:color="auto"/>
              <w:right w:val="single" w:sz="8" w:space="0" w:color="auto"/>
            </w:tcBorders>
            <w:vAlign w:val="bottom"/>
          </w:tcPr>
          <w:p w14:paraId="26BE3337" w14:textId="77777777" w:rsidR="00B53386" w:rsidRPr="00B53386" w:rsidRDefault="00B53386" w:rsidP="00FA1408">
            <w:pPr>
              <w:pStyle w:val="Tablehead"/>
            </w:pPr>
          </w:p>
        </w:tc>
        <w:tc>
          <w:tcPr>
            <w:tcW w:w="1846" w:type="dxa"/>
            <w:gridSpan w:val="2"/>
            <w:tcBorders>
              <w:top w:val="single" w:sz="8" w:space="0" w:color="auto"/>
              <w:left w:val="single" w:sz="8" w:space="0" w:color="auto"/>
              <w:bottom w:val="single" w:sz="8" w:space="0" w:color="auto"/>
              <w:right w:val="single" w:sz="8" w:space="0" w:color="auto"/>
            </w:tcBorders>
            <w:shd w:val="clear" w:color="auto" w:fill="A6C9EC"/>
            <w:vAlign w:val="bottom"/>
          </w:tcPr>
          <w:p w14:paraId="69BF9C0C" w14:textId="77777777" w:rsidR="00B53386" w:rsidRPr="00B53386" w:rsidRDefault="00B53386" w:rsidP="00FA1408">
            <w:pPr>
              <w:pStyle w:val="Tablehead"/>
            </w:pPr>
            <w:r w:rsidRPr="00B53386">
              <w:rPr>
                <w:rtl/>
              </w:rPr>
              <w:t>2022</w:t>
            </w:r>
          </w:p>
        </w:tc>
        <w:tc>
          <w:tcPr>
            <w:tcW w:w="2114" w:type="dxa"/>
            <w:gridSpan w:val="2"/>
            <w:tcBorders>
              <w:top w:val="single" w:sz="8" w:space="0" w:color="auto"/>
              <w:left w:val="nil"/>
              <w:bottom w:val="single" w:sz="8" w:space="0" w:color="auto"/>
              <w:right w:val="single" w:sz="8" w:space="0" w:color="auto"/>
            </w:tcBorders>
            <w:shd w:val="clear" w:color="auto" w:fill="A6C9EC"/>
            <w:vAlign w:val="bottom"/>
          </w:tcPr>
          <w:p w14:paraId="76D254BE" w14:textId="77777777" w:rsidR="00B53386" w:rsidRPr="00B53386" w:rsidRDefault="00B53386" w:rsidP="00FA1408">
            <w:pPr>
              <w:pStyle w:val="Tablehead"/>
            </w:pPr>
            <w:r w:rsidRPr="00B53386">
              <w:rPr>
                <w:rtl/>
              </w:rPr>
              <w:t>2023</w:t>
            </w:r>
          </w:p>
        </w:tc>
        <w:tc>
          <w:tcPr>
            <w:tcW w:w="1996" w:type="dxa"/>
            <w:gridSpan w:val="2"/>
            <w:tcBorders>
              <w:top w:val="single" w:sz="8" w:space="0" w:color="auto"/>
              <w:left w:val="nil"/>
              <w:bottom w:val="single" w:sz="8" w:space="0" w:color="auto"/>
              <w:right w:val="single" w:sz="8" w:space="0" w:color="auto"/>
            </w:tcBorders>
            <w:shd w:val="clear" w:color="auto" w:fill="A6C9EC"/>
            <w:vAlign w:val="bottom"/>
          </w:tcPr>
          <w:p w14:paraId="7E09FBCC" w14:textId="77777777" w:rsidR="00B53386" w:rsidRPr="00B53386" w:rsidRDefault="00B53386" w:rsidP="00FA1408">
            <w:pPr>
              <w:pStyle w:val="Tablehead"/>
            </w:pPr>
            <w:r w:rsidRPr="00B53386">
              <w:rPr>
                <w:rtl/>
              </w:rPr>
              <w:t>2024</w:t>
            </w:r>
          </w:p>
        </w:tc>
        <w:tc>
          <w:tcPr>
            <w:tcW w:w="2219" w:type="dxa"/>
            <w:gridSpan w:val="2"/>
            <w:tcBorders>
              <w:top w:val="single" w:sz="8" w:space="0" w:color="auto"/>
              <w:left w:val="nil"/>
              <w:bottom w:val="single" w:sz="8" w:space="0" w:color="auto"/>
              <w:right w:val="single" w:sz="8" w:space="0" w:color="auto"/>
            </w:tcBorders>
            <w:shd w:val="clear" w:color="auto" w:fill="A6C9EC"/>
            <w:vAlign w:val="bottom"/>
          </w:tcPr>
          <w:p w14:paraId="600DCE33" w14:textId="77777777" w:rsidR="00B53386" w:rsidRPr="00B53386" w:rsidRDefault="00B53386" w:rsidP="00FA1408">
            <w:pPr>
              <w:pStyle w:val="Tablehead"/>
            </w:pPr>
            <w:r w:rsidRPr="00B53386">
              <w:rPr>
                <w:rtl/>
              </w:rPr>
              <w:t>2025</w:t>
            </w:r>
          </w:p>
        </w:tc>
      </w:tr>
      <w:tr w:rsidR="00B53386" w:rsidRPr="00B53386" w14:paraId="606CBD25" w14:textId="77777777" w:rsidTr="00A97061">
        <w:trPr>
          <w:trHeight w:val="300"/>
          <w:jc w:val="center"/>
        </w:trPr>
        <w:tc>
          <w:tcPr>
            <w:tcW w:w="1034" w:type="dxa"/>
            <w:vMerge/>
            <w:tcBorders>
              <w:top w:val="single" w:sz="8" w:space="0" w:color="auto"/>
              <w:left w:val="single" w:sz="4" w:space="0" w:color="auto"/>
              <w:bottom w:val="single" w:sz="4" w:space="0" w:color="auto"/>
              <w:right w:val="single" w:sz="4" w:space="0" w:color="auto"/>
            </w:tcBorders>
            <w:vAlign w:val="center"/>
          </w:tcPr>
          <w:p w14:paraId="4A5B69C0" w14:textId="77777777" w:rsidR="00B53386" w:rsidRPr="00B53386" w:rsidRDefault="00B53386" w:rsidP="00FA1408">
            <w:pPr>
              <w:pStyle w:val="Tablehead"/>
            </w:pPr>
          </w:p>
        </w:tc>
        <w:tc>
          <w:tcPr>
            <w:tcW w:w="990" w:type="dxa"/>
            <w:tcBorders>
              <w:top w:val="single" w:sz="8" w:space="0" w:color="auto"/>
              <w:left w:val="single" w:sz="4" w:space="0" w:color="auto"/>
              <w:bottom w:val="single" w:sz="4" w:space="0" w:color="auto"/>
              <w:right w:val="single" w:sz="8" w:space="0" w:color="auto"/>
            </w:tcBorders>
            <w:shd w:val="clear" w:color="auto" w:fill="A6C9EC"/>
            <w:vAlign w:val="bottom"/>
          </w:tcPr>
          <w:p w14:paraId="2FF4CEEE" w14:textId="77777777" w:rsidR="00B53386" w:rsidRPr="00B53386" w:rsidRDefault="00B53386" w:rsidP="00FA1408">
            <w:pPr>
              <w:pStyle w:val="Tablehead"/>
            </w:pPr>
            <w:r w:rsidRPr="00B53386">
              <w:rPr>
                <w:rtl/>
              </w:rPr>
              <w:t>المجموع</w:t>
            </w:r>
          </w:p>
        </w:tc>
        <w:tc>
          <w:tcPr>
            <w:tcW w:w="856" w:type="dxa"/>
            <w:tcBorders>
              <w:top w:val="nil"/>
              <w:left w:val="single" w:sz="8" w:space="0" w:color="auto"/>
              <w:bottom w:val="single" w:sz="4" w:space="0" w:color="auto"/>
              <w:right w:val="single" w:sz="8" w:space="0" w:color="auto"/>
            </w:tcBorders>
            <w:shd w:val="clear" w:color="auto" w:fill="A6C9EC"/>
            <w:vAlign w:val="bottom"/>
          </w:tcPr>
          <w:p w14:paraId="5DB354AE" w14:textId="77777777" w:rsidR="00B53386" w:rsidRPr="00B53386" w:rsidRDefault="00B53386" w:rsidP="00FA1408">
            <w:pPr>
              <w:pStyle w:val="Tablehead"/>
            </w:pPr>
            <w:r w:rsidRPr="00B53386">
              <w:rPr>
                <w:rtl/>
              </w:rPr>
              <w:t>النسبة المئوية من الإناث</w:t>
            </w:r>
          </w:p>
        </w:tc>
        <w:tc>
          <w:tcPr>
            <w:tcW w:w="1124" w:type="dxa"/>
            <w:tcBorders>
              <w:top w:val="single" w:sz="8" w:space="0" w:color="auto"/>
              <w:left w:val="single" w:sz="8" w:space="0" w:color="auto"/>
              <w:bottom w:val="single" w:sz="4" w:space="0" w:color="auto"/>
              <w:right w:val="single" w:sz="8" w:space="0" w:color="auto"/>
            </w:tcBorders>
            <w:shd w:val="clear" w:color="auto" w:fill="A6C9EC"/>
            <w:vAlign w:val="bottom"/>
          </w:tcPr>
          <w:p w14:paraId="43C47758" w14:textId="77777777" w:rsidR="00B53386" w:rsidRPr="00B53386" w:rsidRDefault="00B53386" w:rsidP="00FA1408">
            <w:pPr>
              <w:pStyle w:val="Tablehead"/>
            </w:pPr>
            <w:r w:rsidRPr="00B53386">
              <w:rPr>
                <w:rtl/>
              </w:rPr>
              <w:t>المجموع</w:t>
            </w:r>
          </w:p>
        </w:tc>
        <w:tc>
          <w:tcPr>
            <w:tcW w:w="990" w:type="dxa"/>
            <w:tcBorders>
              <w:top w:val="nil"/>
              <w:left w:val="single" w:sz="8" w:space="0" w:color="auto"/>
              <w:bottom w:val="single" w:sz="4" w:space="0" w:color="auto"/>
              <w:right w:val="single" w:sz="8" w:space="0" w:color="auto"/>
            </w:tcBorders>
            <w:shd w:val="clear" w:color="auto" w:fill="A6C9EC"/>
            <w:vAlign w:val="bottom"/>
          </w:tcPr>
          <w:p w14:paraId="63234688" w14:textId="77777777" w:rsidR="00B53386" w:rsidRPr="00B53386" w:rsidRDefault="00B53386" w:rsidP="00FA1408">
            <w:pPr>
              <w:pStyle w:val="Tablehead"/>
            </w:pPr>
            <w:r w:rsidRPr="00B53386">
              <w:rPr>
                <w:rtl/>
              </w:rPr>
              <w:t>النسبة المئوية من الإناث</w:t>
            </w:r>
          </w:p>
        </w:tc>
        <w:tc>
          <w:tcPr>
            <w:tcW w:w="990" w:type="dxa"/>
            <w:tcBorders>
              <w:top w:val="single" w:sz="8" w:space="0" w:color="auto"/>
              <w:left w:val="single" w:sz="8" w:space="0" w:color="auto"/>
              <w:bottom w:val="single" w:sz="4" w:space="0" w:color="auto"/>
              <w:right w:val="single" w:sz="8" w:space="0" w:color="auto"/>
            </w:tcBorders>
            <w:shd w:val="clear" w:color="auto" w:fill="A6C9EC"/>
            <w:vAlign w:val="bottom"/>
          </w:tcPr>
          <w:p w14:paraId="5B55A7E5" w14:textId="77777777" w:rsidR="00B53386" w:rsidRPr="00B53386" w:rsidRDefault="00B53386" w:rsidP="00FA1408">
            <w:pPr>
              <w:pStyle w:val="Tablehead"/>
            </w:pPr>
            <w:r w:rsidRPr="00B53386">
              <w:rPr>
                <w:rtl/>
              </w:rPr>
              <w:t>المجموع</w:t>
            </w:r>
          </w:p>
        </w:tc>
        <w:tc>
          <w:tcPr>
            <w:tcW w:w="1006" w:type="dxa"/>
            <w:tcBorders>
              <w:top w:val="nil"/>
              <w:left w:val="single" w:sz="8" w:space="0" w:color="auto"/>
              <w:bottom w:val="single" w:sz="4" w:space="0" w:color="auto"/>
              <w:right w:val="single" w:sz="8" w:space="0" w:color="auto"/>
            </w:tcBorders>
            <w:shd w:val="clear" w:color="auto" w:fill="A6C9EC"/>
            <w:vAlign w:val="bottom"/>
          </w:tcPr>
          <w:p w14:paraId="0016E9E4" w14:textId="77777777" w:rsidR="00B53386" w:rsidRPr="00B53386" w:rsidRDefault="00B53386" w:rsidP="00FA1408">
            <w:pPr>
              <w:pStyle w:val="Tablehead"/>
            </w:pPr>
            <w:r w:rsidRPr="00B53386">
              <w:rPr>
                <w:rtl/>
              </w:rPr>
              <w:t>النسبة المئوية من الإناث</w:t>
            </w:r>
          </w:p>
        </w:tc>
        <w:tc>
          <w:tcPr>
            <w:tcW w:w="1085" w:type="dxa"/>
            <w:tcBorders>
              <w:top w:val="single" w:sz="8" w:space="0" w:color="auto"/>
              <w:left w:val="single" w:sz="8" w:space="0" w:color="auto"/>
              <w:bottom w:val="single" w:sz="4" w:space="0" w:color="auto"/>
              <w:right w:val="single" w:sz="8" w:space="0" w:color="auto"/>
            </w:tcBorders>
            <w:shd w:val="clear" w:color="auto" w:fill="A6C9EC"/>
            <w:vAlign w:val="bottom"/>
          </w:tcPr>
          <w:p w14:paraId="0A17804F" w14:textId="77777777" w:rsidR="00B53386" w:rsidRPr="00B53386" w:rsidRDefault="00B53386" w:rsidP="00FA1408">
            <w:pPr>
              <w:pStyle w:val="Tablehead"/>
            </w:pPr>
            <w:r w:rsidRPr="00B53386">
              <w:rPr>
                <w:rtl/>
              </w:rPr>
              <w:t>المجموع</w:t>
            </w:r>
          </w:p>
        </w:tc>
        <w:tc>
          <w:tcPr>
            <w:tcW w:w="1134" w:type="dxa"/>
            <w:tcBorders>
              <w:top w:val="nil"/>
              <w:left w:val="single" w:sz="8" w:space="0" w:color="auto"/>
              <w:bottom w:val="single" w:sz="4" w:space="0" w:color="auto"/>
              <w:right w:val="single" w:sz="8" w:space="0" w:color="auto"/>
            </w:tcBorders>
            <w:shd w:val="clear" w:color="auto" w:fill="A6C9EC"/>
            <w:vAlign w:val="bottom"/>
          </w:tcPr>
          <w:p w14:paraId="42A21E2F" w14:textId="77777777" w:rsidR="00B53386" w:rsidRPr="00B53386" w:rsidRDefault="00B53386" w:rsidP="00FA1408">
            <w:pPr>
              <w:pStyle w:val="Tablehead"/>
            </w:pPr>
            <w:r w:rsidRPr="00B53386">
              <w:rPr>
                <w:rtl/>
              </w:rPr>
              <w:t>النسبة المئوية من الإناث</w:t>
            </w:r>
          </w:p>
        </w:tc>
      </w:tr>
      <w:tr w:rsidR="00145C4D" w:rsidRPr="00B53386" w14:paraId="22BC8CD1" w14:textId="77777777" w:rsidTr="00A97061">
        <w:trPr>
          <w:trHeight w:val="615"/>
          <w:jc w:val="center"/>
        </w:trPr>
        <w:tc>
          <w:tcPr>
            <w:tcW w:w="1034" w:type="dxa"/>
            <w:tcBorders>
              <w:top w:val="single" w:sz="4" w:space="0" w:color="auto"/>
              <w:left w:val="single" w:sz="4" w:space="0" w:color="auto"/>
              <w:bottom w:val="single" w:sz="8" w:space="0" w:color="auto"/>
              <w:right w:val="single" w:sz="8" w:space="0" w:color="auto"/>
            </w:tcBorders>
          </w:tcPr>
          <w:p w14:paraId="46A1146D" w14:textId="77777777" w:rsidR="00145C4D" w:rsidRPr="00B53386" w:rsidRDefault="00145C4D" w:rsidP="00145C4D">
            <w:pPr>
              <w:pStyle w:val="Tabletexte"/>
            </w:pPr>
            <w:r w:rsidRPr="00B53386">
              <w:rPr>
                <w:rtl/>
              </w:rPr>
              <w:t xml:space="preserve">أقل البلدان نمواً </w:t>
            </w:r>
          </w:p>
        </w:tc>
        <w:tc>
          <w:tcPr>
            <w:tcW w:w="990" w:type="dxa"/>
            <w:tcBorders>
              <w:top w:val="single" w:sz="4" w:space="0" w:color="auto"/>
              <w:left w:val="single" w:sz="8" w:space="0" w:color="auto"/>
              <w:bottom w:val="single" w:sz="8" w:space="0" w:color="auto"/>
              <w:right w:val="single" w:sz="8" w:space="0" w:color="auto"/>
            </w:tcBorders>
          </w:tcPr>
          <w:p w14:paraId="2C99673A" w14:textId="77777777" w:rsidR="00145C4D" w:rsidRPr="00B53386" w:rsidRDefault="00145C4D" w:rsidP="00145C4D">
            <w:pPr>
              <w:pStyle w:val="Tabletexte"/>
            </w:pPr>
            <w:r w:rsidRPr="00B53386">
              <w:rPr>
                <w:rtl/>
              </w:rPr>
              <w:t>912 1</w:t>
            </w:r>
          </w:p>
        </w:tc>
        <w:tc>
          <w:tcPr>
            <w:tcW w:w="856" w:type="dxa"/>
            <w:tcBorders>
              <w:top w:val="single" w:sz="4" w:space="0" w:color="auto"/>
              <w:left w:val="single" w:sz="8" w:space="0" w:color="auto"/>
              <w:bottom w:val="single" w:sz="8" w:space="0" w:color="auto"/>
              <w:right w:val="single" w:sz="8" w:space="0" w:color="auto"/>
            </w:tcBorders>
          </w:tcPr>
          <w:p w14:paraId="1419D671" w14:textId="23D0B81E" w:rsidR="00145C4D" w:rsidRPr="00B53386" w:rsidRDefault="00145C4D" w:rsidP="00A97061">
            <w:pPr>
              <w:pStyle w:val="Tabletexte"/>
              <w:jc w:val="right"/>
            </w:pPr>
            <w:r>
              <w:t>%23</w:t>
            </w:r>
          </w:p>
        </w:tc>
        <w:tc>
          <w:tcPr>
            <w:tcW w:w="1124" w:type="dxa"/>
            <w:tcBorders>
              <w:top w:val="single" w:sz="4" w:space="0" w:color="auto"/>
              <w:left w:val="single" w:sz="8" w:space="0" w:color="auto"/>
              <w:bottom w:val="single" w:sz="8" w:space="0" w:color="auto"/>
              <w:right w:val="single" w:sz="8" w:space="0" w:color="auto"/>
            </w:tcBorders>
          </w:tcPr>
          <w:p w14:paraId="3E4473A2" w14:textId="77777777" w:rsidR="00145C4D" w:rsidRPr="00B53386" w:rsidRDefault="00145C4D" w:rsidP="00145C4D">
            <w:pPr>
              <w:pStyle w:val="Tabletexte"/>
            </w:pPr>
            <w:r w:rsidRPr="00B53386">
              <w:rPr>
                <w:rtl/>
              </w:rPr>
              <w:t>462 10</w:t>
            </w:r>
          </w:p>
        </w:tc>
        <w:tc>
          <w:tcPr>
            <w:tcW w:w="990" w:type="dxa"/>
            <w:tcBorders>
              <w:top w:val="single" w:sz="4" w:space="0" w:color="auto"/>
              <w:left w:val="single" w:sz="8" w:space="0" w:color="auto"/>
              <w:bottom w:val="single" w:sz="8" w:space="0" w:color="auto"/>
              <w:right w:val="single" w:sz="8" w:space="0" w:color="auto"/>
            </w:tcBorders>
          </w:tcPr>
          <w:p w14:paraId="6314EBBC" w14:textId="52C1B14B" w:rsidR="00145C4D" w:rsidRPr="00B53386" w:rsidRDefault="00145C4D" w:rsidP="00A97061">
            <w:pPr>
              <w:pStyle w:val="Tabletexte"/>
              <w:jc w:val="right"/>
            </w:pPr>
            <w:r>
              <w:t>%28</w:t>
            </w:r>
          </w:p>
        </w:tc>
        <w:tc>
          <w:tcPr>
            <w:tcW w:w="990" w:type="dxa"/>
            <w:tcBorders>
              <w:top w:val="single" w:sz="4" w:space="0" w:color="auto"/>
              <w:left w:val="single" w:sz="8" w:space="0" w:color="auto"/>
              <w:bottom w:val="single" w:sz="8" w:space="0" w:color="auto"/>
              <w:right w:val="single" w:sz="8" w:space="0" w:color="auto"/>
            </w:tcBorders>
          </w:tcPr>
          <w:p w14:paraId="34A47BFD" w14:textId="77777777" w:rsidR="00145C4D" w:rsidRPr="00B53386" w:rsidRDefault="00145C4D" w:rsidP="00145C4D">
            <w:pPr>
              <w:pStyle w:val="Tabletexte"/>
            </w:pPr>
            <w:r w:rsidRPr="00B53386">
              <w:rPr>
                <w:rtl/>
              </w:rPr>
              <w:t>482 70</w:t>
            </w:r>
          </w:p>
        </w:tc>
        <w:tc>
          <w:tcPr>
            <w:tcW w:w="1006" w:type="dxa"/>
            <w:tcBorders>
              <w:top w:val="single" w:sz="4" w:space="0" w:color="auto"/>
              <w:left w:val="single" w:sz="8" w:space="0" w:color="auto"/>
              <w:bottom w:val="single" w:sz="8" w:space="0" w:color="auto"/>
              <w:right w:val="single" w:sz="8" w:space="0" w:color="auto"/>
            </w:tcBorders>
          </w:tcPr>
          <w:p w14:paraId="253579F2" w14:textId="1682655C" w:rsidR="00145C4D" w:rsidRPr="00B53386" w:rsidRDefault="00145C4D" w:rsidP="00A97061">
            <w:pPr>
              <w:pStyle w:val="Tabletexte"/>
              <w:jc w:val="right"/>
            </w:pPr>
            <w:r>
              <w:t>%53</w:t>
            </w:r>
          </w:p>
        </w:tc>
        <w:tc>
          <w:tcPr>
            <w:tcW w:w="1085" w:type="dxa"/>
            <w:tcBorders>
              <w:top w:val="single" w:sz="4" w:space="0" w:color="auto"/>
              <w:left w:val="single" w:sz="8" w:space="0" w:color="auto"/>
              <w:bottom w:val="single" w:sz="8" w:space="0" w:color="auto"/>
              <w:right w:val="single" w:sz="8" w:space="0" w:color="auto"/>
            </w:tcBorders>
          </w:tcPr>
          <w:p w14:paraId="0F93F503" w14:textId="77777777" w:rsidR="00145C4D" w:rsidRPr="00B53386" w:rsidRDefault="00145C4D" w:rsidP="00145C4D">
            <w:pPr>
              <w:pStyle w:val="Tabletexte"/>
            </w:pPr>
            <w:r w:rsidRPr="00B53386">
              <w:rPr>
                <w:rtl/>
              </w:rPr>
              <w:t>251 140</w:t>
            </w:r>
          </w:p>
        </w:tc>
        <w:tc>
          <w:tcPr>
            <w:tcW w:w="1134" w:type="dxa"/>
            <w:tcBorders>
              <w:top w:val="single" w:sz="4" w:space="0" w:color="auto"/>
              <w:left w:val="single" w:sz="8" w:space="0" w:color="auto"/>
              <w:bottom w:val="single" w:sz="8" w:space="0" w:color="auto"/>
              <w:right w:val="single" w:sz="8" w:space="0" w:color="auto"/>
            </w:tcBorders>
          </w:tcPr>
          <w:p w14:paraId="3A2B1B21" w14:textId="2E8BBB59" w:rsidR="00145C4D" w:rsidRPr="00B53386" w:rsidRDefault="00145C4D" w:rsidP="00A97061">
            <w:pPr>
              <w:pStyle w:val="Tabletexte"/>
              <w:jc w:val="right"/>
            </w:pPr>
            <w:r>
              <w:t>%50</w:t>
            </w:r>
          </w:p>
        </w:tc>
      </w:tr>
      <w:tr w:rsidR="00145C4D" w:rsidRPr="00B53386" w14:paraId="6EDE36BD" w14:textId="77777777" w:rsidTr="00A97061">
        <w:trPr>
          <w:trHeight w:val="300"/>
          <w:jc w:val="center"/>
        </w:trPr>
        <w:tc>
          <w:tcPr>
            <w:tcW w:w="1034" w:type="dxa"/>
            <w:tcBorders>
              <w:top w:val="single" w:sz="8" w:space="0" w:color="auto"/>
              <w:left w:val="single" w:sz="4" w:space="0" w:color="auto"/>
              <w:bottom w:val="single" w:sz="8" w:space="0" w:color="auto"/>
              <w:right w:val="single" w:sz="8" w:space="0" w:color="auto"/>
            </w:tcBorders>
          </w:tcPr>
          <w:p w14:paraId="367300DF" w14:textId="77777777" w:rsidR="00145C4D" w:rsidRPr="00B53386" w:rsidRDefault="00145C4D" w:rsidP="00145C4D">
            <w:pPr>
              <w:pStyle w:val="Tabletexte"/>
            </w:pPr>
            <w:r w:rsidRPr="00B53386">
              <w:rPr>
                <w:rtl/>
              </w:rPr>
              <w:t xml:space="preserve">البلدان النامية غير الساحلية </w:t>
            </w:r>
          </w:p>
        </w:tc>
        <w:tc>
          <w:tcPr>
            <w:tcW w:w="990" w:type="dxa"/>
            <w:tcBorders>
              <w:top w:val="single" w:sz="8" w:space="0" w:color="auto"/>
              <w:left w:val="single" w:sz="8" w:space="0" w:color="auto"/>
              <w:bottom w:val="single" w:sz="8" w:space="0" w:color="auto"/>
              <w:right w:val="single" w:sz="8" w:space="0" w:color="auto"/>
            </w:tcBorders>
          </w:tcPr>
          <w:p w14:paraId="74F547C5" w14:textId="77777777" w:rsidR="00145C4D" w:rsidRPr="00B53386" w:rsidRDefault="00145C4D" w:rsidP="00145C4D">
            <w:pPr>
              <w:pStyle w:val="Tabletexte"/>
            </w:pPr>
            <w:r w:rsidRPr="00B53386">
              <w:rPr>
                <w:rtl/>
              </w:rPr>
              <w:t>912 1</w:t>
            </w:r>
          </w:p>
        </w:tc>
        <w:tc>
          <w:tcPr>
            <w:tcW w:w="856" w:type="dxa"/>
            <w:tcBorders>
              <w:top w:val="single" w:sz="8" w:space="0" w:color="auto"/>
              <w:left w:val="single" w:sz="8" w:space="0" w:color="auto"/>
              <w:bottom w:val="single" w:sz="8" w:space="0" w:color="auto"/>
              <w:right w:val="single" w:sz="8" w:space="0" w:color="auto"/>
            </w:tcBorders>
          </w:tcPr>
          <w:p w14:paraId="00CF4BD4" w14:textId="24A6D673" w:rsidR="00145C4D" w:rsidRPr="00B53386" w:rsidRDefault="00145C4D" w:rsidP="00A97061">
            <w:pPr>
              <w:pStyle w:val="Tabletexte"/>
              <w:jc w:val="right"/>
            </w:pPr>
            <w:r>
              <w:t>%23</w:t>
            </w:r>
          </w:p>
        </w:tc>
        <w:tc>
          <w:tcPr>
            <w:tcW w:w="1124" w:type="dxa"/>
            <w:tcBorders>
              <w:top w:val="single" w:sz="8" w:space="0" w:color="auto"/>
              <w:left w:val="single" w:sz="8" w:space="0" w:color="auto"/>
              <w:bottom w:val="single" w:sz="8" w:space="0" w:color="auto"/>
              <w:right w:val="single" w:sz="8" w:space="0" w:color="auto"/>
            </w:tcBorders>
          </w:tcPr>
          <w:p w14:paraId="2B9CAFDA" w14:textId="77777777" w:rsidR="00145C4D" w:rsidRPr="00B53386" w:rsidRDefault="00145C4D" w:rsidP="00145C4D">
            <w:pPr>
              <w:pStyle w:val="Tabletexte"/>
            </w:pPr>
            <w:r w:rsidRPr="00B53386">
              <w:rPr>
                <w:rtl/>
              </w:rPr>
              <w:t>462 10</w:t>
            </w:r>
          </w:p>
        </w:tc>
        <w:tc>
          <w:tcPr>
            <w:tcW w:w="990" w:type="dxa"/>
            <w:tcBorders>
              <w:top w:val="single" w:sz="8" w:space="0" w:color="auto"/>
              <w:left w:val="single" w:sz="8" w:space="0" w:color="auto"/>
              <w:bottom w:val="single" w:sz="8" w:space="0" w:color="auto"/>
              <w:right w:val="single" w:sz="8" w:space="0" w:color="auto"/>
            </w:tcBorders>
          </w:tcPr>
          <w:p w14:paraId="3512FBA4" w14:textId="2E029240" w:rsidR="00145C4D" w:rsidRPr="00B53386" w:rsidRDefault="00145C4D" w:rsidP="00A97061">
            <w:pPr>
              <w:pStyle w:val="Tabletexte"/>
              <w:jc w:val="right"/>
            </w:pPr>
            <w:r>
              <w:t>%28</w:t>
            </w:r>
          </w:p>
        </w:tc>
        <w:tc>
          <w:tcPr>
            <w:tcW w:w="990" w:type="dxa"/>
            <w:tcBorders>
              <w:top w:val="single" w:sz="8" w:space="0" w:color="auto"/>
              <w:left w:val="single" w:sz="8" w:space="0" w:color="auto"/>
              <w:bottom w:val="single" w:sz="8" w:space="0" w:color="auto"/>
              <w:right w:val="single" w:sz="8" w:space="0" w:color="auto"/>
            </w:tcBorders>
          </w:tcPr>
          <w:p w14:paraId="344C7F75" w14:textId="77777777" w:rsidR="00145C4D" w:rsidRPr="00B53386" w:rsidRDefault="00145C4D" w:rsidP="00145C4D">
            <w:pPr>
              <w:pStyle w:val="Tabletexte"/>
            </w:pPr>
            <w:r w:rsidRPr="00B53386">
              <w:rPr>
                <w:rtl/>
              </w:rPr>
              <w:t>825 12</w:t>
            </w:r>
          </w:p>
        </w:tc>
        <w:tc>
          <w:tcPr>
            <w:tcW w:w="1006" w:type="dxa"/>
            <w:tcBorders>
              <w:top w:val="single" w:sz="8" w:space="0" w:color="auto"/>
              <w:left w:val="single" w:sz="8" w:space="0" w:color="auto"/>
              <w:bottom w:val="single" w:sz="8" w:space="0" w:color="auto"/>
              <w:right w:val="single" w:sz="8" w:space="0" w:color="auto"/>
            </w:tcBorders>
          </w:tcPr>
          <w:p w14:paraId="75C28886" w14:textId="5CDFA24E" w:rsidR="00145C4D" w:rsidRPr="00B53386" w:rsidRDefault="00145C4D" w:rsidP="00A97061">
            <w:pPr>
              <w:pStyle w:val="Tabletexte"/>
              <w:jc w:val="right"/>
            </w:pPr>
            <w:r>
              <w:t>%31</w:t>
            </w:r>
          </w:p>
        </w:tc>
        <w:tc>
          <w:tcPr>
            <w:tcW w:w="1085" w:type="dxa"/>
            <w:tcBorders>
              <w:top w:val="single" w:sz="8" w:space="0" w:color="auto"/>
              <w:left w:val="single" w:sz="8" w:space="0" w:color="auto"/>
              <w:bottom w:val="single" w:sz="8" w:space="0" w:color="auto"/>
              <w:right w:val="single" w:sz="8" w:space="0" w:color="auto"/>
            </w:tcBorders>
          </w:tcPr>
          <w:p w14:paraId="42FC7D25" w14:textId="77777777" w:rsidR="00145C4D" w:rsidRPr="00B53386" w:rsidRDefault="00145C4D" w:rsidP="00145C4D">
            <w:pPr>
              <w:pStyle w:val="Tabletexte"/>
            </w:pPr>
            <w:r w:rsidRPr="00B53386">
              <w:rPr>
                <w:rtl/>
              </w:rPr>
              <w:t>846 42</w:t>
            </w:r>
          </w:p>
        </w:tc>
        <w:tc>
          <w:tcPr>
            <w:tcW w:w="1134" w:type="dxa"/>
            <w:tcBorders>
              <w:top w:val="single" w:sz="8" w:space="0" w:color="auto"/>
              <w:left w:val="single" w:sz="8" w:space="0" w:color="auto"/>
              <w:bottom w:val="single" w:sz="8" w:space="0" w:color="auto"/>
              <w:right w:val="single" w:sz="8" w:space="0" w:color="auto"/>
            </w:tcBorders>
          </w:tcPr>
          <w:p w14:paraId="6B59CB6E" w14:textId="7A804953" w:rsidR="00145C4D" w:rsidRPr="00B53386" w:rsidRDefault="00145C4D" w:rsidP="00A97061">
            <w:pPr>
              <w:pStyle w:val="Tabletexte"/>
              <w:jc w:val="right"/>
            </w:pPr>
            <w:r>
              <w:t>%28</w:t>
            </w:r>
          </w:p>
        </w:tc>
      </w:tr>
      <w:tr w:rsidR="00145C4D" w:rsidRPr="00B53386" w14:paraId="28F10C8B" w14:textId="77777777" w:rsidTr="00A97061">
        <w:trPr>
          <w:trHeight w:val="300"/>
          <w:jc w:val="center"/>
        </w:trPr>
        <w:tc>
          <w:tcPr>
            <w:tcW w:w="1034" w:type="dxa"/>
            <w:tcBorders>
              <w:top w:val="single" w:sz="8" w:space="0" w:color="auto"/>
              <w:left w:val="single" w:sz="4" w:space="0" w:color="auto"/>
              <w:bottom w:val="single" w:sz="8" w:space="0" w:color="auto"/>
              <w:right w:val="single" w:sz="8" w:space="0" w:color="auto"/>
            </w:tcBorders>
          </w:tcPr>
          <w:p w14:paraId="5DE6F38F" w14:textId="77777777" w:rsidR="00145C4D" w:rsidRPr="00B53386" w:rsidRDefault="00145C4D" w:rsidP="00145C4D">
            <w:pPr>
              <w:pStyle w:val="Tabletexte"/>
            </w:pPr>
            <w:r w:rsidRPr="00B53386">
              <w:rPr>
                <w:rtl/>
              </w:rPr>
              <w:t xml:space="preserve">الدول الجزرية الصغيرة النامية </w:t>
            </w:r>
          </w:p>
        </w:tc>
        <w:tc>
          <w:tcPr>
            <w:tcW w:w="990" w:type="dxa"/>
            <w:tcBorders>
              <w:top w:val="single" w:sz="8" w:space="0" w:color="auto"/>
              <w:left w:val="single" w:sz="8" w:space="0" w:color="auto"/>
              <w:bottom w:val="single" w:sz="8" w:space="0" w:color="auto"/>
              <w:right w:val="single" w:sz="8" w:space="0" w:color="auto"/>
            </w:tcBorders>
          </w:tcPr>
          <w:p w14:paraId="001A9B61" w14:textId="77777777" w:rsidR="00145C4D" w:rsidRPr="00B53386" w:rsidRDefault="00145C4D" w:rsidP="00145C4D">
            <w:pPr>
              <w:pStyle w:val="Tabletexte"/>
            </w:pPr>
            <w:r w:rsidRPr="00B53386">
              <w:rPr>
                <w:rtl/>
              </w:rPr>
              <w:t>742 16</w:t>
            </w:r>
          </w:p>
        </w:tc>
        <w:tc>
          <w:tcPr>
            <w:tcW w:w="856" w:type="dxa"/>
            <w:tcBorders>
              <w:top w:val="single" w:sz="8" w:space="0" w:color="auto"/>
              <w:left w:val="single" w:sz="8" w:space="0" w:color="auto"/>
              <w:bottom w:val="single" w:sz="8" w:space="0" w:color="auto"/>
              <w:right w:val="single" w:sz="8" w:space="0" w:color="auto"/>
            </w:tcBorders>
          </w:tcPr>
          <w:p w14:paraId="17C79755" w14:textId="2EE52ECA" w:rsidR="00145C4D" w:rsidRPr="00B53386" w:rsidRDefault="00145C4D" w:rsidP="00A97061">
            <w:pPr>
              <w:pStyle w:val="Tabletexte"/>
              <w:jc w:val="right"/>
            </w:pPr>
            <w:r>
              <w:t>%53</w:t>
            </w:r>
          </w:p>
        </w:tc>
        <w:tc>
          <w:tcPr>
            <w:tcW w:w="1124" w:type="dxa"/>
            <w:tcBorders>
              <w:top w:val="single" w:sz="8" w:space="0" w:color="auto"/>
              <w:left w:val="single" w:sz="8" w:space="0" w:color="auto"/>
              <w:bottom w:val="single" w:sz="8" w:space="0" w:color="auto"/>
              <w:right w:val="single" w:sz="8" w:space="0" w:color="auto"/>
            </w:tcBorders>
          </w:tcPr>
          <w:p w14:paraId="5F05491B" w14:textId="77777777" w:rsidR="00145C4D" w:rsidRPr="00B53386" w:rsidRDefault="00145C4D" w:rsidP="00145C4D">
            <w:pPr>
              <w:pStyle w:val="Tabletexte"/>
            </w:pPr>
            <w:r w:rsidRPr="00B53386">
              <w:rPr>
                <w:rtl/>
              </w:rPr>
              <w:t>995 50</w:t>
            </w:r>
          </w:p>
        </w:tc>
        <w:tc>
          <w:tcPr>
            <w:tcW w:w="990" w:type="dxa"/>
            <w:tcBorders>
              <w:top w:val="single" w:sz="8" w:space="0" w:color="auto"/>
              <w:left w:val="single" w:sz="8" w:space="0" w:color="auto"/>
              <w:bottom w:val="single" w:sz="8" w:space="0" w:color="auto"/>
              <w:right w:val="single" w:sz="8" w:space="0" w:color="auto"/>
            </w:tcBorders>
          </w:tcPr>
          <w:p w14:paraId="68D285FA" w14:textId="1F962A75" w:rsidR="00145C4D" w:rsidRPr="00B53386" w:rsidRDefault="00145C4D" w:rsidP="00A97061">
            <w:pPr>
              <w:pStyle w:val="Tabletexte"/>
              <w:jc w:val="right"/>
            </w:pPr>
            <w:r>
              <w:t>%28</w:t>
            </w:r>
          </w:p>
        </w:tc>
        <w:tc>
          <w:tcPr>
            <w:tcW w:w="990" w:type="dxa"/>
            <w:tcBorders>
              <w:top w:val="single" w:sz="8" w:space="0" w:color="auto"/>
              <w:left w:val="single" w:sz="8" w:space="0" w:color="auto"/>
              <w:bottom w:val="single" w:sz="8" w:space="0" w:color="auto"/>
              <w:right w:val="single" w:sz="8" w:space="0" w:color="auto"/>
            </w:tcBorders>
          </w:tcPr>
          <w:p w14:paraId="6F6AACD2" w14:textId="77777777" w:rsidR="00145C4D" w:rsidRPr="00B53386" w:rsidRDefault="00145C4D" w:rsidP="00145C4D">
            <w:pPr>
              <w:pStyle w:val="Tabletexte"/>
            </w:pPr>
            <w:r w:rsidRPr="00B53386">
              <w:rPr>
                <w:rtl/>
              </w:rPr>
              <w:t>494 44</w:t>
            </w:r>
          </w:p>
        </w:tc>
        <w:tc>
          <w:tcPr>
            <w:tcW w:w="1006" w:type="dxa"/>
            <w:tcBorders>
              <w:top w:val="single" w:sz="8" w:space="0" w:color="auto"/>
              <w:left w:val="single" w:sz="8" w:space="0" w:color="auto"/>
              <w:bottom w:val="single" w:sz="8" w:space="0" w:color="auto"/>
              <w:right w:val="single" w:sz="8" w:space="0" w:color="auto"/>
            </w:tcBorders>
          </w:tcPr>
          <w:p w14:paraId="6A74EECB" w14:textId="1DC60AF3" w:rsidR="00145C4D" w:rsidRPr="00B53386" w:rsidRDefault="00145C4D" w:rsidP="00A97061">
            <w:pPr>
              <w:pStyle w:val="Tabletexte"/>
              <w:jc w:val="right"/>
            </w:pPr>
            <w:r>
              <w:t>%61</w:t>
            </w:r>
          </w:p>
        </w:tc>
        <w:tc>
          <w:tcPr>
            <w:tcW w:w="1085" w:type="dxa"/>
            <w:tcBorders>
              <w:top w:val="single" w:sz="8" w:space="0" w:color="auto"/>
              <w:left w:val="single" w:sz="8" w:space="0" w:color="auto"/>
              <w:bottom w:val="single" w:sz="8" w:space="0" w:color="auto"/>
              <w:right w:val="single" w:sz="8" w:space="0" w:color="auto"/>
            </w:tcBorders>
          </w:tcPr>
          <w:p w14:paraId="22F9E15A" w14:textId="77777777" w:rsidR="00145C4D" w:rsidRPr="00B53386" w:rsidRDefault="00145C4D" w:rsidP="00145C4D">
            <w:pPr>
              <w:pStyle w:val="Tabletexte"/>
            </w:pPr>
            <w:r w:rsidRPr="00B53386">
              <w:rPr>
                <w:rtl/>
              </w:rPr>
              <w:t>691 86</w:t>
            </w:r>
          </w:p>
        </w:tc>
        <w:tc>
          <w:tcPr>
            <w:tcW w:w="1134" w:type="dxa"/>
            <w:tcBorders>
              <w:top w:val="single" w:sz="8" w:space="0" w:color="auto"/>
              <w:left w:val="single" w:sz="8" w:space="0" w:color="auto"/>
              <w:bottom w:val="single" w:sz="8" w:space="0" w:color="auto"/>
              <w:right w:val="single" w:sz="8" w:space="0" w:color="auto"/>
            </w:tcBorders>
          </w:tcPr>
          <w:p w14:paraId="6746F9FB" w14:textId="671B30BD" w:rsidR="00145C4D" w:rsidRPr="00B53386" w:rsidRDefault="00145C4D" w:rsidP="00A97061">
            <w:pPr>
              <w:pStyle w:val="Tabletexte"/>
              <w:jc w:val="right"/>
            </w:pPr>
            <w:r>
              <w:t>%59</w:t>
            </w:r>
          </w:p>
        </w:tc>
      </w:tr>
    </w:tbl>
    <w:p w14:paraId="0317D023" w14:textId="7277A0E2" w:rsidR="00B53386" w:rsidRPr="00B53386" w:rsidRDefault="00B53386" w:rsidP="00A97061">
      <w:pPr>
        <w:spacing w:before="240"/>
      </w:pPr>
      <w:r w:rsidRPr="00B53386">
        <w:rPr>
          <w:rtl/>
        </w:rPr>
        <w:t xml:space="preserve">ويساهم </w:t>
      </w:r>
      <w:hyperlink r:id="rId33" w:anchor="/ar" w:history="1">
        <w:r w:rsidRPr="004A7BA1">
          <w:rPr>
            <w:rStyle w:val="Hyperlink"/>
            <w:rtl/>
          </w:rPr>
          <w:t>برنامج مراكز التدريب التابعة لأكاديمية الاتحاد</w:t>
        </w:r>
        <w:r w:rsidR="004A7BA1" w:rsidRPr="004A7BA1">
          <w:rPr>
            <w:rStyle w:val="Hyperlink"/>
            <w:noProof w:val="0"/>
            <w:rtl/>
            <w:lang w:val="en-US" w:eastAsia="zh-CN"/>
          </w:rPr>
          <w:t xml:space="preserve"> </w:t>
        </w:r>
        <w:r w:rsidR="004A7BA1" w:rsidRPr="004A7BA1">
          <w:rPr>
            <w:rStyle w:val="Hyperlink"/>
            <w:noProof w:val="0"/>
            <w:lang w:eastAsia="zh-CN"/>
          </w:rPr>
          <w:t>(ATC)</w:t>
        </w:r>
      </w:hyperlink>
      <w:r w:rsidRPr="00B53386">
        <w:rPr>
          <w:rtl/>
        </w:rPr>
        <w:t xml:space="preserve"> الذي أطلق في عام 2023 في بناء المعارف والمهارات بين المهنيين في مجال تكنولوجيا المعلومات والاتصالات ومشغلي الاتصالات والمنظمين والمسؤولين الحكوميين والهيئات </w:t>
      </w:r>
      <w:r w:rsidRPr="00B53386">
        <w:rPr>
          <w:rtl/>
        </w:rPr>
        <w:lastRenderedPageBreak/>
        <w:t>الأكاديمية، مما يمكنهم من المساهمة والمشاركة الكاملة في التحول الرقمي. ويجمع البرنامج بين شبكة عالمية من شركاء تنمية القدرات تشمل مؤسسات التدريب الحكومية والأوساط الأكاديمية والقطاع الخاص. ومن بين 14 مؤسسة مشاركة، توجد المؤسستان التاليتان في أقل البلدان نموا</w:t>
      </w:r>
      <w:r w:rsidR="00145C4D">
        <w:rPr>
          <w:rFonts w:hint="cs"/>
          <w:rtl/>
        </w:rPr>
        <w:t>ً</w:t>
      </w:r>
      <w:r w:rsidRPr="00B53386">
        <w:rPr>
          <w:rtl/>
        </w:rPr>
        <w:t xml:space="preserve"> والبلدان النامية غير الساحلية والدول الجزرية الصغيرة النامية والبلدان التي تمر اقتصاداتها بمرحلة انتقالية: فريق الاستجابة لحالات الطوارئ الحاسوبية في موريشيوس؛ وجامعة جزر الهند الغربية - متعددة المجامع التي تقدم خدمات إلى جامايكا وترينيداد وتوباغو وبربادوس. وبحلول نهاية عام 2025، وصل </w:t>
      </w:r>
      <w:r w:rsidR="00D0265C">
        <w:rPr>
          <w:rFonts w:hint="cs"/>
          <w:rtl/>
        </w:rPr>
        <w:t>مركزا</w:t>
      </w:r>
      <w:r w:rsidRPr="00B53386">
        <w:rPr>
          <w:rtl/>
        </w:rPr>
        <w:t xml:space="preserve"> التدريب هذين إلى 288</w:t>
      </w:r>
      <w:r w:rsidR="00145C4D">
        <w:t> </w:t>
      </w:r>
      <w:r w:rsidRPr="00B53386">
        <w:rPr>
          <w:rtl/>
        </w:rPr>
        <w:t>2 مشاركا</w:t>
      </w:r>
      <w:r w:rsidR="00145C4D">
        <w:rPr>
          <w:rFonts w:hint="cs"/>
          <w:rtl/>
        </w:rPr>
        <w:t>ً</w:t>
      </w:r>
      <w:r w:rsidRPr="00B53386">
        <w:rPr>
          <w:rtl/>
        </w:rPr>
        <w:t xml:space="preserve"> (23 في المائة من الإناث)، مع منح ما مجموعه 659 شهادة. وركز التدريب على مواضيع مثل المدن الذكية والشمول الرقمي والأمن السيبراني.</w:t>
      </w:r>
      <w:hyperlink r:id="rId34" w:history="1"/>
    </w:p>
    <w:p w14:paraId="43987FB8" w14:textId="034F128D" w:rsidR="00B53386" w:rsidRPr="00B53386" w:rsidRDefault="00D0265C" w:rsidP="00145C4D">
      <w:pPr>
        <w:pStyle w:val="Headingb"/>
      </w:pPr>
      <w:r>
        <w:rPr>
          <w:rFonts w:hint="cs"/>
          <w:rtl/>
          <w:lang w:bidi="ar-EG"/>
        </w:rPr>
        <w:t>ال</w:t>
      </w:r>
      <w:r w:rsidR="00B53386" w:rsidRPr="00B53386">
        <w:rPr>
          <w:rtl/>
        </w:rPr>
        <w:t>مشاريع و</w:t>
      </w:r>
      <w:r>
        <w:rPr>
          <w:rFonts w:hint="cs"/>
          <w:rtl/>
        </w:rPr>
        <w:t>ال</w:t>
      </w:r>
      <w:r w:rsidR="00B53386" w:rsidRPr="00B53386">
        <w:rPr>
          <w:rtl/>
        </w:rPr>
        <w:t>أنشطة</w:t>
      </w:r>
    </w:p>
    <w:p w14:paraId="4C6887BE" w14:textId="6285537E" w:rsidR="00B53386" w:rsidRPr="00B53386" w:rsidRDefault="00B53386" w:rsidP="00B53386">
      <w:r w:rsidRPr="00B53386">
        <w:rPr>
          <w:rtl/>
        </w:rPr>
        <w:t>تماشيا</w:t>
      </w:r>
      <w:r w:rsidR="00145C4D">
        <w:rPr>
          <w:rFonts w:hint="cs"/>
          <w:rtl/>
        </w:rPr>
        <w:t>ً</w:t>
      </w:r>
      <w:r w:rsidRPr="00B53386">
        <w:rPr>
          <w:rtl/>
        </w:rPr>
        <w:t xml:space="preserve"> مع المتطلبات التشغيلية لتنفيذ المشاريع وتعبئة الموارد المبينة في القرار 30، تظل قدرة المكتب على التنفيذ أمر</w:t>
      </w:r>
      <w:r w:rsidR="00D0265C">
        <w:rPr>
          <w:rFonts w:hint="cs"/>
          <w:rtl/>
        </w:rPr>
        <w:t>اً</w:t>
      </w:r>
      <w:r w:rsidRPr="00B53386">
        <w:rPr>
          <w:rtl/>
        </w:rPr>
        <w:t xml:space="preserve"> محوريا</w:t>
      </w:r>
      <w:r w:rsidR="00145C4D">
        <w:rPr>
          <w:rFonts w:hint="cs"/>
          <w:rtl/>
        </w:rPr>
        <w:t>ً</w:t>
      </w:r>
      <w:r w:rsidRPr="00B53386">
        <w:rPr>
          <w:rtl/>
        </w:rPr>
        <w:t xml:space="preserve"> بالنسبة إلى استراتيجيته. وتقع على عاتق الاتحاد مسؤولية مزدوجة بصفته وكالة من وكالات الأمم المتحدة المتخصصة ووكالة منفِّذة. ويتمتع مكتب تنمية الاتصالات بالاتحاد بخبرة طويلة في إنجاز وتنفيذ مشاريع تكنولوجيا المعلومات والاتصالات لأغراض التنمية، فضلاً عن خبرته في مجال تعبئة الموارد وإعداد المشاريع وإدارتها وتنفيذها، وكذلك في مجال المراقبة والتقييم. ولمزيد من المعلومات عن العمل المضطلع به في مشاريع قطاع تنمية الاتصالات، انظر الوثيقتين </w:t>
      </w:r>
      <w:hyperlink r:id="rId35" w:history="1">
        <w:r w:rsidRPr="00B53386">
          <w:rPr>
            <w:rStyle w:val="Hyperlink"/>
            <w:rtl/>
          </w:rPr>
          <w:t>TDAG-26/2</w:t>
        </w:r>
      </w:hyperlink>
      <w:r w:rsidRPr="00B53386">
        <w:rPr>
          <w:rtl/>
        </w:rPr>
        <w:t xml:space="preserve"> و</w:t>
      </w:r>
      <w:hyperlink r:id="rId36" w:history="1">
        <w:r w:rsidRPr="00B53386">
          <w:rPr>
            <w:rStyle w:val="Hyperlink"/>
            <w:rtl/>
          </w:rPr>
          <w:t>WTDC-25/2</w:t>
        </w:r>
      </w:hyperlink>
      <w:r w:rsidRPr="00B53386">
        <w:rPr>
          <w:rtl/>
        </w:rPr>
        <w:t>.</w:t>
      </w:r>
      <w:hyperlink r:id="rId37"/>
      <w:hyperlink r:id="rId38"/>
    </w:p>
    <w:p w14:paraId="612C62F5" w14:textId="417AB949" w:rsidR="00B53386" w:rsidRPr="00B53386" w:rsidRDefault="00B53386" w:rsidP="00B53386">
      <w:r w:rsidRPr="00B53386">
        <w:rPr>
          <w:rtl/>
        </w:rPr>
        <w:t xml:space="preserve">وتتألف حافظة مشاريع الاتحاد من مشاريع تُنَفَّذ في جميع مناطق الاتحاد بما يغطي مجموعة واسعة من مجالات الخبرة المتخصصة للاتحاد. وتموَّل مشاريع قطاع تنمية الاتصالات في معظمها من خلال مساهمات شركاء التمويل، وتموَّل أيضاً في بعض الحالات، ورهناً بمعايير الأهلية، من خلال استخدام صندوق تنمية تكنولوجيا المعلومات والاتصالات </w:t>
      </w:r>
      <w:r w:rsidRPr="00B53386">
        <w:t>(ICT-DF)</w:t>
      </w:r>
      <w:r w:rsidRPr="00B53386">
        <w:rPr>
          <w:rtl/>
        </w:rPr>
        <w:t>. ويدعم هذا الصندوق، الذي أُطلق في عام 1997، تنفيذ مشاريع تقوم على شراكات متعددة أصحاب المصلحة مع الدول الأعضاء في الاتحاد، وأعضاء القطاع، والقطاعين العام والخاص، ومنظمات متعددة الأطراف، ومؤسسات، ومؤسسات مالية، ووكالات إنمائية. ويستهدف الصندوق بوجه خاص دعم أقل البلدان نمواً والبلدان النامية غير الساحلية والدول الجزرية الصغيرة النامية والبلدان التي تمر اقتصاداتها بمرحلة انتقالية و/أو البلدان ذات الاحتياجات الخاصة. ومنذ عام</w:t>
      </w:r>
      <w:r w:rsidR="00145C4D">
        <w:rPr>
          <w:rFonts w:hint="cs"/>
          <w:rtl/>
        </w:rPr>
        <w:t> </w:t>
      </w:r>
      <w:r w:rsidRPr="00B53386">
        <w:rPr>
          <w:rtl/>
        </w:rPr>
        <w:t>2023، يدعم الصندوق أيضاً المشاريع التي تساهم في تنفيذ المبادرات الإقليمية للمؤتمر العالمي لتنمية الاتصالات.</w:t>
      </w:r>
    </w:p>
    <w:p w14:paraId="7EDD3029" w14:textId="02BFDFB9" w:rsidR="00B53386" w:rsidRPr="00B53386" w:rsidRDefault="00B53386" w:rsidP="00B53386">
      <w:r w:rsidRPr="00B53386">
        <w:rPr>
          <w:rtl/>
        </w:rPr>
        <w:t>وتستفيد أقل البلدان نمواً والبلدان النامية غير الساحلية والدول الجزرية الصغيرة النامية بانتظام من مشاريع قطاع تنمية الاتصالات. وخلال دورة 2022-2025، وقّع مكتب تنمية الاتصالات ما مجموعه 41 مشروعاً جديداً كانت لها أنشطة في</w:t>
      </w:r>
      <w:r w:rsidR="00145C4D">
        <w:rPr>
          <w:rFonts w:hint="cs"/>
          <w:rtl/>
        </w:rPr>
        <w:t> </w:t>
      </w:r>
      <w:r w:rsidRPr="00B53386">
        <w:rPr>
          <w:rtl/>
        </w:rPr>
        <w:t>بلد واحد على الأقل من هذه البلدان المستهدفة. وكانت هذه المشاريع، بطبيعتها، إما وطنية أو إقليمية أو متعددة المناطق، وأُعدت بالشراكة مع مجموعة واسعة من أصحاب المصلحة من القطاعين العام والخاص، وكذلك مع وكالات أخرى للأمم المتحدة ومؤسسات غير هادفة إلى الربح.</w:t>
      </w:r>
    </w:p>
    <w:p w14:paraId="068D88F6" w14:textId="15F66C8A" w:rsidR="00B53386" w:rsidRPr="00B53386" w:rsidRDefault="00B53386" w:rsidP="00B53386">
      <w:r w:rsidRPr="00B53386">
        <w:rPr>
          <w:rtl/>
        </w:rPr>
        <w:t>وتعالج هذه المشاريع مباشرة الاختصاصات المحددة للقرار 30 المتمثلة في استعراض حالة خدمات تكنولوجيا المعلومات والاتصالات وتحديد مواطن الضعف الحرجة، وتعزيز مشاركة الهيئات الأكاديمية ودوائر الصناعة من خلال منصات بناء القدرات مثل أكاديمية الاتحاد ومراكز التحول الرقمي.</w:t>
      </w:r>
    </w:p>
    <w:p w14:paraId="7ECC06C7" w14:textId="38432B78" w:rsidR="00B53386" w:rsidRPr="00B53386" w:rsidRDefault="00B53386" w:rsidP="00B53386">
      <w:r w:rsidRPr="00B53386">
        <w:rPr>
          <w:rtl/>
        </w:rPr>
        <w:t>وعلاوةً على ذلك، اقترح الاتحاد، من خلال التحالف الرقمي للشراكة من أجل التوصيل</w:t>
      </w:r>
      <w:r w:rsidR="00145C4D">
        <w:rPr>
          <w:rFonts w:hint="cs"/>
          <w:rtl/>
        </w:rPr>
        <w:t xml:space="preserve"> </w:t>
      </w:r>
      <w:r w:rsidR="00145C4D">
        <w:rPr>
          <w:lang w:val="en-GB"/>
        </w:rPr>
        <w:t>(P2C)</w:t>
      </w:r>
      <w:r w:rsidRPr="00B53386">
        <w:rPr>
          <w:rtl/>
        </w:rPr>
        <w:t>، تدابير وتحالفات مبتكرة لتوليد الأموال الإضافية اللازمة لسد الفجوة الرقمية في أكثر مناطق العالم هشاشة. ووصل الدعم إلى 39 من أقل البلدان نموا</w:t>
      </w:r>
      <w:r w:rsidR="00145C4D">
        <w:rPr>
          <w:rFonts w:hint="cs"/>
          <w:rtl/>
        </w:rPr>
        <w:t>ً</w:t>
      </w:r>
      <w:r w:rsidRPr="00B53386">
        <w:rPr>
          <w:rtl/>
        </w:rPr>
        <w:t xml:space="preserve"> و27 بلد</w:t>
      </w:r>
      <w:r w:rsidR="00D0265C">
        <w:rPr>
          <w:rFonts w:hint="cs"/>
          <w:rtl/>
        </w:rPr>
        <w:t>اً</w:t>
      </w:r>
      <w:r w:rsidRPr="00B53386">
        <w:rPr>
          <w:rtl/>
        </w:rPr>
        <w:t xml:space="preserve"> من البلدان النامية غير الساحلية و31 دولة من الدول الجزرية الصغيرة النامية من خلال المساعدة التقنية ووضع السياسات والمنتجات المعرفية وجلسات التوعية وتوفير البيانات. وتلقت بعض البلدان تدخلات متعددة، وصلت إلى خمس حالات مثل مالي والسنغال وزمبابوي وجامايكا.</w:t>
      </w:r>
    </w:p>
    <w:p w14:paraId="742CF015" w14:textId="196D027B" w:rsidR="00B53386" w:rsidRPr="00B53386" w:rsidRDefault="00B53386" w:rsidP="00B53386">
      <w:r w:rsidRPr="00B53386">
        <w:rPr>
          <w:rtl/>
        </w:rPr>
        <w:t>وفي البلدان النامية غير الساحلية، سرّع 21 مشروعا</w:t>
      </w:r>
      <w:r w:rsidR="00145C4D">
        <w:rPr>
          <w:rFonts w:hint="cs"/>
          <w:rtl/>
        </w:rPr>
        <w:t>ً</w:t>
      </w:r>
      <w:r w:rsidRPr="00B53386">
        <w:rPr>
          <w:rtl/>
        </w:rPr>
        <w:t xml:space="preserve"> أقاليميا</w:t>
      </w:r>
      <w:r w:rsidR="00145C4D">
        <w:rPr>
          <w:rFonts w:hint="cs"/>
          <w:rtl/>
        </w:rPr>
        <w:t>ً</w:t>
      </w:r>
      <w:r w:rsidRPr="00B53386">
        <w:rPr>
          <w:rtl/>
        </w:rPr>
        <w:t xml:space="preserve"> التحول الرقمي خلال عام 2025. وشمل ذلك التدريب على المهارات الرقمية من خلال مراكز التحول والأكاديميات عبر الإنترنت؛ ودعم الخدمات العامة الرقمية الفعالة من حيث التكلفة في رواندا وكازاخستان؛ ورسم خرائط البنية التحتية للنطاق العريض في بوتسوانا وبوروندي وإثيوبيا وملاوي وأوغندا وزامبيا </w:t>
      </w:r>
      <w:r w:rsidR="00145C4D">
        <w:rPr>
          <w:rFonts w:hint="cs"/>
          <w:rtl/>
        </w:rPr>
        <w:t>وزمبابوي</w:t>
      </w:r>
      <w:r w:rsidRPr="00B53386">
        <w:rPr>
          <w:rtl/>
        </w:rPr>
        <w:t xml:space="preserve">؛ ومبادرات بشأن سياسة المخلفات الإلكترونية وتطوير الشبكات الريفية لتعزيز </w:t>
      </w:r>
      <w:r w:rsidR="00D0265C">
        <w:rPr>
          <w:rFonts w:hint="cs"/>
          <w:rtl/>
        </w:rPr>
        <w:t>الاقتصاد</w:t>
      </w:r>
      <w:r w:rsidR="00D0265C">
        <w:rPr>
          <w:rFonts w:hint="eastAsia"/>
          <w:rtl/>
        </w:rPr>
        <w:t> </w:t>
      </w:r>
      <w:r w:rsidR="00D0265C">
        <w:rPr>
          <w:rFonts w:hint="cs"/>
          <w:rtl/>
        </w:rPr>
        <w:t>الدائري</w:t>
      </w:r>
      <w:r w:rsidRPr="00B53386">
        <w:rPr>
          <w:rtl/>
        </w:rPr>
        <w:t>.</w:t>
      </w:r>
    </w:p>
    <w:p w14:paraId="7B035621" w14:textId="360D9A71" w:rsidR="00B53386" w:rsidRPr="00B53386" w:rsidRDefault="00B53386" w:rsidP="00B53386">
      <w:r w:rsidRPr="00B53386">
        <w:rPr>
          <w:rtl/>
        </w:rPr>
        <w:t>وفي أقل البلدان نموا</w:t>
      </w:r>
      <w:r w:rsidR="00145C4D">
        <w:rPr>
          <w:rFonts w:hint="cs"/>
          <w:rtl/>
        </w:rPr>
        <w:t>ً</w:t>
      </w:r>
      <w:r w:rsidRPr="00B53386">
        <w:rPr>
          <w:rtl/>
        </w:rPr>
        <w:t>، كان 19 مشروعا</w:t>
      </w:r>
      <w:r w:rsidR="00145C4D">
        <w:rPr>
          <w:rFonts w:hint="cs"/>
          <w:rtl/>
        </w:rPr>
        <w:t>ً</w:t>
      </w:r>
      <w:r w:rsidRPr="00B53386">
        <w:rPr>
          <w:rtl/>
        </w:rPr>
        <w:t xml:space="preserve"> قيد التنفيذ للنهوض بأنظمة الإنذار المبكر والأمن السيبراني ورسم خرائط النطاق العريض والتكامل الرقمي والتوصيلية والبنية التحتية الرقمية والنفاذ إلى تكنولوجيا المعلومات والاتصالات خلال عام</w:t>
      </w:r>
      <w:r w:rsidR="00145C4D">
        <w:rPr>
          <w:rFonts w:hint="cs"/>
          <w:rtl/>
        </w:rPr>
        <w:t> </w:t>
      </w:r>
      <w:r w:rsidRPr="00B53386">
        <w:rPr>
          <w:rtl/>
        </w:rPr>
        <w:t>2025.</w:t>
      </w:r>
    </w:p>
    <w:p w14:paraId="4A0C1D9C" w14:textId="05535E68" w:rsidR="00B53386" w:rsidRPr="00B53386" w:rsidRDefault="00B53386" w:rsidP="00B53386">
      <w:r w:rsidRPr="00B53386">
        <w:rPr>
          <w:rtl/>
        </w:rPr>
        <w:lastRenderedPageBreak/>
        <w:t>وفي الدول الجزرية الصغيرة النامية، كان 16 مشروعا</w:t>
      </w:r>
      <w:r w:rsidR="00145C4D">
        <w:rPr>
          <w:rFonts w:hint="cs"/>
          <w:rtl/>
        </w:rPr>
        <w:t>ً</w:t>
      </w:r>
      <w:r w:rsidRPr="00B53386">
        <w:rPr>
          <w:rtl/>
        </w:rPr>
        <w:t xml:space="preserve"> يحدث فرقا</w:t>
      </w:r>
      <w:r w:rsidR="00145C4D">
        <w:rPr>
          <w:rFonts w:hint="cs"/>
          <w:rtl/>
        </w:rPr>
        <w:t>ً</w:t>
      </w:r>
      <w:r w:rsidRPr="00B53386">
        <w:rPr>
          <w:rtl/>
        </w:rPr>
        <w:t xml:space="preserve"> في التحول الرقمي والمهارات الرقمية والأمن السيبراني خلال عام 2025.</w:t>
      </w:r>
    </w:p>
    <w:p w14:paraId="4DD8B99F" w14:textId="56B69A76" w:rsidR="00B53386" w:rsidRPr="00B53386" w:rsidRDefault="00B53386" w:rsidP="00145C4D">
      <w:pPr>
        <w:pStyle w:val="Headingb"/>
      </w:pPr>
      <w:r w:rsidRPr="00B53386">
        <w:rPr>
          <w:rtl/>
        </w:rPr>
        <w:t>الإطار الإداري والتشغيلي</w:t>
      </w:r>
    </w:p>
    <w:p w14:paraId="0E55DB56" w14:textId="42B87C61" w:rsidR="00B53386" w:rsidRPr="00B53386" w:rsidRDefault="00B53386" w:rsidP="00B53386">
      <w:r w:rsidRPr="00B53386">
        <w:rPr>
          <w:rtl/>
        </w:rPr>
        <w:t>تحقيق</w:t>
      </w:r>
      <w:r w:rsidR="00145C4D">
        <w:rPr>
          <w:rFonts w:hint="cs"/>
          <w:rtl/>
        </w:rPr>
        <w:t>اً</w:t>
      </w:r>
      <w:r w:rsidRPr="00B53386">
        <w:rPr>
          <w:rtl/>
        </w:rPr>
        <w:t xml:space="preserve"> لهذه الولايات، اعتمد مكتب تنمية الاتصالات نهجا</w:t>
      </w:r>
      <w:r w:rsidR="00145C4D">
        <w:rPr>
          <w:rFonts w:hint="cs"/>
          <w:rtl/>
        </w:rPr>
        <w:t>ً</w:t>
      </w:r>
      <w:r w:rsidRPr="00B53386">
        <w:rPr>
          <w:rtl/>
        </w:rPr>
        <w:t xml:space="preserve"> شاملا</w:t>
      </w:r>
      <w:r w:rsidR="00145C4D">
        <w:rPr>
          <w:rFonts w:hint="cs"/>
          <w:rtl/>
        </w:rPr>
        <w:t>ً</w:t>
      </w:r>
      <w:r w:rsidRPr="00B53386">
        <w:rPr>
          <w:rtl/>
        </w:rPr>
        <w:t xml:space="preserve"> للنظام الإيكولوجي الرقمي، وانتقل إلى ما هو أبعد من التوصيلية الأساسية نحو مزيد من التقدم التكنولوجي ووضع السياسات القائمة على الأدلة. ويعكس هذا النهج الاعتراف بأن التوصيلية الشاملة الهادفة والتحول الرقمي الأوسع هما محركات حاسمة للتنمية الاجتماعية والاقتصادية، ولا</w:t>
      </w:r>
      <w:r w:rsidR="00145C4D">
        <w:rPr>
          <w:rFonts w:hint="cs"/>
          <w:rtl/>
        </w:rPr>
        <w:t> </w:t>
      </w:r>
      <w:r w:rsidRPr="00B53386">
        <w:rPr>
          <w:rtl/>
        </w:rPr>
        <w:t>سيما بالنسبة لأقل البلدان نموا</w:t>
      </w:r>
      <w:r w:rsidR="00145C4D">
        <w:rPr>
          <w:rFonts w:hint="cs"/>
          <w:rtl/>
        </w:rPr>
        <w:t>ً</w:t>
      </w:r>
      <w:r w:rsidRPr="00B53386">
        <w:rPr>
          <w:rtl/>
        </w:rPr>
        <w:t xml:space="preserve"> والبلدان النامية غير الساحلية والدول الجزرية الصغيرة النامية.</w:t>
      </w:r>
    </w:p>
    <w:p w14:paraId="0ECC2C2A" w14:textId="1F1E1DA2" w:rsidR="00B53386" w:rsidRPr="00B53386" w:rsidRDefault="00B53386" w:rsidP="00B53386">
      <w:r w:rsidRPr="00B53386">
        <w:rPr>
          <w:rtl/>
        </w:rPr>
        <w:t>ومن المعالم المؤسسية الرئيسية في تنفيذ القرار 30 الذي يدعو إلى هيكل إداري وتشغيلي مناسب، إعادة تنظيم مكتب تنمية الاتصالات في عام 2024. وأنشأ هذا الإصلاح شعبة مكرسة في مكتب تنمية الاتصالات لتقديم مساعدة منسقة وهادفة للبلدان ذات الاحتياجات الخاصة عبر كامل طيف التنمية الرقمية. وكجزء من هذا الإطار المعزز، زاد مكتب تنمية الاتصالات من تعزيز قدرته التشغيلية من خلال تعيين رئيس لوحدة أقل البلدان نموا</w:t>
      </w:r>
      <w:r w:rsidR="00145C4D">
        <w:rPr>
          <w:rFonts w:hint="cs"/>
          <w:rtl/>
        </w:rPr>
        <w:t>ً</w:t>
      </w:r>
      <w:r w:rsidRPr="00B53386">
        <w:rPr>
          <w:rtl/>
        </w:rPr>
        <w:t xml:space="preserve"> والبلدان النامية غير الساحلية والدول الجزرية الصغيرة النامية مؤخرا</w:t>
      </w:r>
      <w:r w:rsidR="00145C4D">
        <w:rPr>
          <w:rFonts w:hint="cs"/>
          <w:rtl/>
        </w:rPr>
        <w:t>ً</w:t>
      </w:r>
      <w:r w:rsidRPr="00B53386">
        <w:rPr>
          <w:rtl/>
        </w:rPr>
        <w:t>، مما يعزز الرقابة الاستراتيجية ويحسن فعالية تنفيذ البرامج.</w:t>
      </w:r>
    </w:p>
    <w:p w14:paraId="49C70A65" w14:textId="12755EC2" w:rsidR="00B53386" w:rsidRPr="00D0265C" w:rsidRDefault="00B53386" w:rsidP="00145C4D">
      <w:pPr>
        <w:pStyle w:val="Headingb"/>
        <w:rPr>
          <w:spacing w:val="-6"/>
        </w:rPr>
      </w:pPr>
      <w:r w:rsidRPr="00D0265C">
        <w:rPr>
          <w:spacing w:val="-6"/>
          <w:rtl/>
        </w:rPr>
        <w:t xml:space="preserve">المنصات الرقمية والأنظمة الإيكولوجية للمعلومات من أجل </w:t>
      </w:r>
      <w:r w:rsidR="00D0265C">
        <w:rPr>
          <w:rFonts w:hint="cs"/>
          <w:spacing w:val="-6"/>
          <w:rtl/>
        </w:rPr>
        <w:t>التطوير</w:t>
      </w:r>
      <w:r w:rsidRPr="00D0265C">
        <w:rPr>
          <w:spacing w:val="-6"/>
          <w:rtl/>
        </w:rPr>
        <w:t xml:space="preserve"> الشامل</w:t>
      </w:r>
      <w:r w:rsidR="00D0265C">
        <w:rPr>
          <w:rFonts w:hint="cs"/>
          <w:spacing w:val="-6"/>
          <w:rtl/>
        </w:rPr>
        <w:t xml:space="preserve"> </w:t>
      </w:r>
      <w:r w:rsidRPr="00D0265C">
        <w:rPr>
          <w:spacing w:val="-6"/>
          <w:rtl/>
        </w:rPr>
        <w:t>لتكنولوجيا المعلومات والاتصالات</w:t>
      </w:r>
    </w:p>
    <w:p w14:paraId="73E694F0" w14:textId="53625CE3" w:rsidR="00B53386" w:rsidRPr="00B53386" w:rsidRDefault="00B53386" w:rsidP="00B53386">
      <w:r w:rsidRPr="00B53386">
        <w:rPr>
          <w:rtl/>
        </w:rPr>
        <w:t>تؤدي المنصات الرقمية للاتحاد دورا</w:t>
      </w:r>
      <w:r w:rsidR="00145C4D">
        <w:rPr>
          <w:rFonts w:hint="cs"/>
          <w:rtl/>
        </w:rPr>
        <w:t>ً</w:t>
      </w:r>
      <w:r w:rsidRPr="00B53386">
        <w:rPr>
          <w:rtl/>
        </w:rPr>
        <w:t xml:space="preserve"> حاسما</w:t>
      </w:r>
      <w:r w:rsidR="00145C4D">
        <w:rPr>
          <w:rFonts w:hint="cs"/>
          <w:rtl/>
        </w:rPr>
        <w:t>ً</w:t>
      </w:r>
      <w:r w:rsidRPr="00B53386">
        <w:rPr>
          <w:rtl/>
        </w:rPr>
        <w:t xml:space="preserve"> في تعزيز النفاذ إلى المعلومات وتعزيز التنسيق ودعم صنع القرار القائم على الأدلة سعيا</w:t>
      </w:r>
      <w:r w:rsidR="00145C4D">
        <w:rPr>
          <w:rFonts w:hint="cs"/>
          <w:rtl/>
        </w:rPr>
        <w:t>ً</w:t>
      </w:r>
      <w:r w:rsidRPr="00B53386">
        <w:rPr>
          <w:rtl/>
        </w:rPr>
        <w:t xml:space="preserve"> إلى تحقيق تحول رقمي شامل لأقل البلدان نموا</w:t>
      </w:r>
      <w:r w:rsidR="00145C4D">
        <w:rPr>
          <w:rFonts w:hint="cs"/>
          <w:rtl/>
        </w:rPr>
        <w:t>ً</w:t>
      </w:r>
      <w:r w:rsidRPr="00B53386">
        <w:rPr>
          <w:rtl/>
        </w:rPr>
        <w:t xml:space="preserve"> والبلدان النامية غير الساحلية والدول الجزرية الصغيرة النامية. وتعمل صفحة الويب</w:t>
      </w:r>
      <w:r w:rsidRPr="00145C4D">
        <w:rPr>
          <w:rStyle w:val="FootnoteReference"/>
          <w:rtl/>
        </w:rPr>
        <w:footnoteReference w:id="1"/>
      </w:r>
      <w:r w:rsidRPr="00B53386">
        <w:rPr>
          <w:rtl/>
        </w:rPr>
        <w:t xml:space="preserve"> التي يديرها مكتب تنمية الاتصالات كمستودع مركزي للبيانات والموارد والمبادرات الجارية، ويجري تحديثها بانتظام لضمان نشر المنشورات ذات الصلة ونواتج البرامج والمواد الق</w:t>
      </w:r>
      <w:r w:rsidR="00D0265C">
        <w:rPr>
          <w:rFonts w:hint="cs"/>
          <w:rtl/>
        </w:rPr>
        <w:t>ُ</w:t>
      </w:r>
      <w:r w:rsidRPr="00B53386">
        <w:rPr>
          <w:rtl/>
        </w:rPr>
        <w:t>طرية ذات الصلة في الوقت المناسب. وتسلط الضوء على مجالات الأولوية الرئيسية، بما في ذلك الشمول الرقمي وتطوير البنية التحتية وبناء القدرات ودعم السياسات، مما يسهل تبادل المعارف وإشراك أصحاب المصلحة.</w:t>
      </w:r>
    </w:p>
    <w:p w14:paraId="6FECA9A1" w14:textId="7F925D2F" w:rsidR="00B53386" w:rsidRPr="00B53386" w:rsidRDefault="00B53386" w:rsidP="00B53386">
      <w:r w:rsidRPr="00B53386">
        <w:rPr>
          <w:rtl/>
        </w:rPr>
        <w:t>واستكمالا</w:t>
      </w:r>
      <w:r w:rsidR="00145C4D">
        <w:rPr>
          <w:rFonts w:hint="cs"/>
          <w:rtl/>
        </w:rPr>
        <w:t xml:space="preserve">ً </w:t>
      </w:r>
      <w:r w:rsidRPr="00B53386">
        <w:rPr>
          <w:rtl/>
        </w:rPr>
        <w:t>لذلك، تزيد المجموعة الأوسع نطاق</w:t>
      </w:r>
      <w:r w:rsidR="00145C4D">
        <w:rPr>
          <w:rFonts w:hint="cs"/>
          <w:rtl/>
        </w:rPr>
        <w:t>اً</w:t>
      </w:r>
      <w:r w:rsidRPr="00B53386">
        <w:rPr>
          <w:rtl/>
        </w:rPr>
        <w:t xml:space="preserve"> من المنصات الرقمية للاتحاد من تعزيز الشفافية والتنسيق والتعاون بين أصحاب المصلحة المتعددين. وعلى وجه الخصوص، توفر منصة التحالف الرقمي للشراكة من أجل التوصيل معلومات شاملة ومحدثة بانتظام عن التعهدات الطوعية والشراكات وجهود تعبئة الموارد التي تساهم في تحقيق توصيلية عالمية وهادفة وتحول رقمي مستدام. وتمكن المنصة من التتبع الشفاف للالتزامات في مجالات التركيز الأربعة للشراكة من أجل التوصيل، وتدعم تنفيذ مبادرات التنمية الرقمية، وتركز بشكل خاص على المجتمعات التي تعاني من نقص الخدمات والتي يصعب توصيلها، ولا</w:t>
      </w:r>
      <w:r w:rsidR="0018225A">
        <w:rPr>
          <w:rFonts w:hint="cs"/>
          <w:rtl/>
        </w:rPr>
        <w:t> </w:t>
      </w:r>
      <w:r w:rsidRPr="00B53386">
        <w:rPr>
          <w:rtl/>
        </w:rPr>
        <w:t>سيما في أقل البلدان نموا</w:t>
      </w:r>
      <w:r w:rsidR="0018225A">
        <w:rPr>
          <w:rFonts w:hint="cs"/>
          <w:rtl/>
        </w:rPr>
        <w:t>ً</w:t>
      </w:r>
      <w:r w:rsidRPr="00B53386">
        <w:rPr>
          <w:rtl/>
        </w:rPr>
        <w:t xml:space="preserve"> والبلدان النامية غير الساحلية والدول الجزرية الصغيرة النامية. ويمكن لأصحاب المصلحة، من خلال لوحة المعلومات التفاعلية الخاصة بالمنصة،</w:t>
      </w:r>
      <w:r w:rsidRPr="0018225A">
        <w:rPr>
          <w:rStyle w:val="FootnoteReference"/>
          <w:rtl/>
        </w:rPr>
        <w:footnoteReference w:id="2"/>
      </w:r>
      <w:r w:rsidRPr="00B53386">
        <w:rPr>
          <w:rtl/>
        </w:rPr>
        <w:t xml:space="preserve"> تحديد التعهدات التي تستهدف هذه المجموعات الق</w:t>
      </w:r>
      <w:r w:rsidR="00D0265C">
        <w:rPr>
          <w:rFonts w:hint="cs"/>
          <w:rtl/>
        </w:rPr>
        <w:t>ُ</w:t>
      </w:r>
      <w:r w:rsidRPr="00B53386">
        <w:rPr>
          <w:rtl/>
        </w:rPr>
        <w:t>طرية ورصدها وتحليلها، مما يعزز المساءلة والوضوح والمواءمة الاستراتيجية مع تيسير الشراكات التي تساعد على تسريع التنفيذ والتأثير.</w:t>
      </w:r>
    </w:p>
    <w:p w14:paraId="65347BCC" w14:textId="77777777" w:rsidR="00B53386" w:rsidRPr="00B53386" w:rsidRDefault="00B53386" w:rsidP="00145C4D">
      <w:pPr>
        <w:pStyle w:val="Headingb"/>
      </w:pPr>
      <w:r w:rsidRPr="00B53386">
        <w:rPr>
          <w:rtl/>
        </w:rPr>
        <w:t>الخلاصة</w:t>
      </w:r>
    </w:p>
    <w:p w14:paraId="297E3A1F" w14:textId="6F9B8AF4" w:rsidR="00B53386" w:rsidRPr="00B53386" w:rsidRDefault="00B53386" w:rsidP="00B53386">
      <w:r w:rsidRPr="00B53386">
        <w:rPr>
          <w:rtl/>
        </w:rPr>
        <w:t>توفر تعليمات الدول الأعضاء الموجهة إلى مكتب تنمية الاتصالات على النحو المبين في القرار 30 (المراج</w:t>
      </w:r>
      <w:r w:rsidR="0018225A">
        <w:rPr>
          <w:rFonts w:hint="cs"/>
          <w:rtl/>
        </w:rPr>
        <w:t>َ</w:t>
      </w:r>
      <w:r w:rsidRPr="00B53386">
        <w:rPr>
          <w:rtl/>
        </w:rPr>
        <w:t>ع في بوخارست، 2022) لمؤتمر المندوبين المفوضين</w:t>
      </w:r>
      <w:r w:rsidRPr="0018225A">
        <w:rPr>
          <w:rStyle w:val="FootnoteReference"/>
          <w:rtl/>
        </w:rPr>
        <w:footnoteReference w:id="3"/>
      </w:r>
      <w:r w:rsidRPr="00B53386">
        <w:rPr>
          <w:rtl/>
        </w:rPr>
        <w:t xml:space="preserve"> والقرار 16 (المراج</w:t>
      </w:r>
      <w:r w:rsidR="0018225A">
        <w:rPr>
          <w:rFonts w:hint="cs"/>
          <w:rtl/>
        </w:rPr>
        <w:t>َ</w:t>
      </w:r>
      <w:r w:rsidRPr="00B53386">
        <w:rPr>
          <w:rtl/>
        </w:rPr>
        <w:t>ع في باكو، 2025) للمؤتمر العالمي لتنمية الاتصالات</w:t>
      </w:r>
      <w:r w:rsidRPr="0018225A">
        <w:rPr>
          <w:rStyle w:val="FootnoteReference"/>
          <w:rtl/>
        </w:rPr>
        <w:footnoteReference w:id="4"/>
      </w:r>
      <w:r w:rsidRPr="00B53386">
        <w:rPr>
          <w:rtl/>
        </w:rPr>
        <w:t>، إلى جانب نتائج المؤتمر العالمي لتنمية الاتصالات لعام 2025، ولاية معززة ومتماسكة لمكتب تنمية الاتصالات لتقديم دعم هادف وقابل للقياس وقائم على الشراكات لأقل البلدان نموا</w:t>
      </w:r>
      <w:r w:rsidR="0018225A">
        <w:rPr>
          <w:rFonts w:hint="cs"/>
          <w:rtl/>
        </w:rPr>
        <w:t>ً</w:t>
      </w:r>
      <w:r w:rsidRPr="00B53386">
        <w:rPr>
          <w:rtl/>
        </w:rPr>
        <w:t xml:space="preserve"> والبلدان النامية غير الساحلية والدول الجزرية الصغيرة النامية والبلدان التي تمر اقتصاداتها بمرحلة انتقالية. ومن خلال تنفيذ إعلان باكو وخطة عمل باكو والمبادرات الإقليمية </w:t>
      </w:r>
      <w:r w:rsidRPr="00B53386">
        <w:rPr>
          <w:rtl/>
        </w:rPr>
        <w:lastRenderedPageBreak/>
        <w:t xml:space="preserve">المتفق عليها في المؤتمر العالمي لتنمية الاتصالات لعام 2025، سيواصل مكتب تنمية الاتصالات تحويل هذه الولاية إلى إجراءات ملموسة تركز على البنية التحتية القادرة على الصمود، والتوصيلية الميسورة التكلفة والهادفة، والتكنولوجيات الناشئة، ووضع السياسات القائمة على الأدلة، والشمول الرقمي. وللحصول على مزيد من المعلومات، يرجى الاطلاع على الوثيقة </w:t>
      </w:r>
      <w:hyperlink r:id="rId39" w:history="1">
        <w:r w:rsidRPr="00B53386">
          <w:rPr>
            <w:rStyle w:val="Hyperlink"/>
            <w:rtl/>
          </w:rPr>
          <w:t>TDAG-26/22</w:t>
        </w:r>
      </w:hyperlink>
      <w:r w:rsidRPr="00B53386">
        <w:rPr>
          <w:rtl/>
        </w:rPr>
        <w:t>. وسينصب التركيز على الاتصالات في حالات الطوارئ وخفض تكاليف التوصيلية والتصدي للتحديات الإقليمية للتوصيل البيني والعبور، خاصة في الدول الجزرية الصغيرة النامية والبلدان النامية غير الساحلية في</w:t>
      </w:r>
      <w:r w:rsidR="0018225A">
        <w:t> </w:t>
      </w:r>
      <w:r w:rsidRPr="00B53386">
        <w:rPr>
          <w:rtl/>
        </w:rPr>
        <w:t>المحيط الهادئ.</w:t>
      </w:r>
      <w:hyperlink r:id="rId40" w:history="1"/>
    </w:p>
    <w:p w14:paraId="6A887826" w14:textId="104EAA89" w:rsidR="00B53386" w:rsidRPr="00B53386" w:rsidRDefault="00B53386" w:rsidP="00B53386">
      <w:r w:rsidRPr="00B53386">
        <w:rPr>
          <w:rtl/>
        </w:rPr>
        <w:t>وتتماشى هذه الجهود مع أطر التنمية الدولية الأوسع نطاق</w:t>
      </w:r>
      <w:r w:rsidR="0018225A">
        <w:rPr>
          <w:rFonts w:hint="cs"/>
          <w:rtl/>
        </w:rPr>
        <w:t>اً</w:t>
      </w:r>
      <w:r w:rsidRPr="00B53386">
        <w:rPr>
          <w:rtl/>
        </w:rPr>
        <w:t>، بما في ذلك برنامج عمل أفازا للبلدان النامية غير الساحلية، و</w:t>
      </w:r>
      <w:r w:rsidR="00D42615">
        <w:rPr>
          <w:rFonts w:hint="cs"/>
          <w:rtl/>
        </w:rPr>
        <w:t xml:space="preserve">خطة </w:t>
      </w:r>
      <w:r w:rsidRPr="00B53386">
        <w:rPr>
          <w:rtl/>
        </w:rPr>
        <w:t>أنتيغوا وبربودا للدول الجزرية الصغيرة النامية، واستعراض منتصف المدة المقبل لبرنامج عمل الدوحة لأقل البلدان نموا</w:t>
      </w:r>
      <w:r w:rsidR="0018225A">
        <w:rPr>
          <w:rFonts w:hint="cs"/>
          <w:rtl/>
        </w:rPr>
        <w:t>ً</w:t>
      </w:r>
      <w:r w:rsidRPr="00B53386">
        <w:rPr>
          <w:rtl/>
        </w:rPr>
        <w:t xml:space="preserve"> في عام 2027. وفي هذا السياق، سيكون من الضروري رسم خرائط بشكل منهجي لمواطن الضعف المتداخلة، مثل البلدان الأقل نموا</w:t>
      </w:r>
      <w:r w:rsidR="0018225A">
        <w:rPr>
          <w:rFonts w:hint="cs"/>
          <w:rtl/>
        </w:rPr>
        <w:t>ً</w:t>
      </w:r>
      <w:r w:rsidRPr="00B53386">
        <w:rPr>
          <w:rtl/>
        </w:rPr>
        <w:t xml:space="preserve"> والبلدان النامية غير الساحلية في الوقت ذاته، وأقل البلدان نموا</w:t>
      </w:r>
      <w:r w:rsidR="0018225A">
        <w:rPr>
          <w:rFonts w:hint="cs"/>
          <w:rtl/>
        </w:rPr>
        <w:t>ً</w:t>
      </w:r>
      <w:r w:rsidRPr="00B53386">
        <w:rPr>
          <w:rtl/>
        </w:rPr>
        <w:t xml:space="preserve"> والدول الجزرية الصغيرة النامية من أجل ضمان الدعم المتسق والفعال.</w:t>
      </w:r>
    </w:p>
    <w:p w14:paraId="10762F30" w14:textId="6F4AB409" w:rsidR="00B53386" w:rsidRPr="00B53386" w:rsidRDefault="00B53386" w:rsidP="00B53386">
      <w:r w:rsidRPr="00B53386">
        <w:rPr>
          <w:rtl/>
        </w:rPr>
        <w:t>وفي السنوات المقبلة، سيواصل مكتب تنمية الاتصالات دفع وضع السياسات القائمة على الأدلة من خلال النواتج التحليلية والمواضيعية، مع تعزيز النهج المبتكرة والشراكات متعددة أصحاب المصلحة لتسريع التحول الرقمي. وسيتطلب ذلك اهتماما</w:t>
      </w:r>
      <w:r w:rsidR="0018225A">
        <w:rPr>
          <w:rFonts w:hint="cs"/>
          <w:rtl/>
        </w:rPr>
        <w:t>ً</w:t>
      </w:r>
      <w:r w:rsidRPr="00B53386">
        <w:rPr>
          <w:rtl/>
        </w:rPr>
        <w:t xml:space="preserve"> مستمر</w:t>
      </w:r>
      <w:r w:rsidR="0018225A">
        <w:rPr>
          <w:rFonts w:hint="cs"/>
          <w:rtl/>
        </w:rPr>
        <w:t>اً</w:t>
      </w:r>
      <w:r w:rsidRPr="00B53386">
        <w:rPr>
          <w:rtl/>
        </w:rPr>
        <w:t xml:space="preserve"> بالتوصيلية، والأطر السياساتية والتنظيمية التمكينية، وتنمية المهارات الرقمية، والقدرة على الصمود في وجه تغير المناخ، والتمويل المستدام. ويتمثل الهدف الشامل في ضمان عدم توصيل أقل البلدان نموا</w:t>
      </w:r>
      <w:r w:rsidR="0018225A">
        <w:rPr>
          <w:rFonts w:hint="cs"/>
          <w:rtl/>
        </w:rPr>
        <w:t>ً</w:t>
      </w:r>
      <w:r w:rsidRPr="00B53386">
        <w:rPr>
          <w:rtl/>
        </w:rPr>
        <w:t xml:space="preserve"> والبلدان النامية غير الساحلية والدول الجزرية الصغيرة النامية فحسب، بل تمكينها أيضا</w:t>
      </w:r>
      <w:r w:rsidR="0018225A">
        <w:rPr>
          <w:rFonts w:hint="cs"/>
          <w:rtl/>
        </w:rPr>
        <w:t>ً</w:t>
      </w:r>
      <w:r w:rsidRPr="00B53386">
        <w:rPr>
          <w:rtl/>
        </w:rPr>
        <w:t xml:space="preserve"> من المشاركة بشكل هادف في</w:t>
      </w:r>
      <w:r w:rsidR="0018225A">
        <w:rPr>
          <w:rFonts w:hint="cs"/>
          <w:rtl/>
        </w:rPr>
        <w:t> </w:t>
      </w:r>
      <w:r w:rsidRPr="00B53386">
        <w:rPr>
          <w:rtl/>
        </w:rPr>
        <w:t>الاقتصاد الرقمي وتعزيز القدرة على الصمود وتحقيق نتائج التنمية المستدامة. يدعى المجلس إلى الإحاطة علما</w:t>
      </w:r>
      <w:r w:rsidR="0018225A">
        <w:rPr>
          <w:rFonts w:hint="cs"/>
          <w:rtl/>
        </w:rPr>
        <w:t>ً</w:t>
      </w:r>
      <w:r w:rsidRPr="00B53386">
        <w:rPr>
          <w:rtl/>
        </w:rPr>
        <w:t xml:space="preserve"> بهذا التقرير وتقديم توجيهات بشأن الاتجاه الاستراتيجي المقترح.</w:t>
      </w:r>
    </w:p>
    <w:p w14:paraId="60B8CA3D" w14:textId="77777777" w:rsidR="00F50E3F" w:rsidRDefault="00D63735" w:rsidP="0018225A">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41"/>
      <w:headerReference w:type="first" r:id="rId42"/>
      <w:footerReference w:type="first" r:id="rId43"/>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7223" w14:textId="77777777" w:rsidR="007A3CA8" w:rsidRDefault="007A3CA8" w:rsidP="006C3242">
      <w:pPr>
        <w:spacing w:before="0" w:line="240" w:lineRule="auto"/>
      </w:pPr>
      <w:r>
        <w:separator/>
      </w:r>
    </w:p>
  </w:endnote>
  <w:endnote w:type="continuationSeparator" w:id="0">
    <w:p w14:paraId="78B8F5EA" w14:textId="77777777" w:rsidR="007A3CA8" w:rsidRDefault="007A3CA8"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4303406" w14:textId="77777777" w:rsidTr="00A67F05">
      <w:trPr>
        <w:jc w:val="center"/>
      </w:trPr>
      <w:tc>
        <w:tcPr>
          <w:tcW w:w="868" w:type="pct"/>
          <w:vAlign w:val="center"/>
        </w:tcPr>
        <w:p w14:paraId="2677F494" w14:textId="2F3BC106" w:rsidR="00F50E3F" w:rsidRPr="007B0AA0" w:rsidRDefault="00B53386"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2600730</w:t>
          </w:r>
        </w:p>
      </w:tc>
      <w:tc>
        <w:tcPr>
          <w:tcW w:w="3912" w:type="pct"/>
        </w:tcPr>
        <w:p w14:paraId="62EE8B15" w14:textId="0CB2CDE2"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B53386">
            <w:rPr>
              <w:rFonts w:ascii="Calibri" w:hAnsi="Calibri" w:cs="Arial"/>
              <w:bCs/>
              <w:color w:val="7F7F7F"/>
              <w:sz w:val="18"/>
            </w:rPr>
            <w:t>74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45AA31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848B5B3"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B176E0A" w14:textId="77777777" w:rsidTr="00A67F05">
      <w:trPr>
        <w:jc w:val="center"/>
      </w:trPr>
      <w:tc>
        <w:tcPr>
          <w:tcW w:w="1013" w:type="pct"/>
          <w:vAlign w:val="center"/>
        </w:tcPr>
        <w:p w14:paraId="0509A4BD"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5E019171" w14:textId="4BC3457F"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B53386">
            <w:rPr>
              <w:rFonts w:ascii="Calibri" w:hAnsi="Calibri" w:cs="Arial"/>
              <w:bCs/>
              <w:color w:val="7F7F7F"/>
              <w:sz w:val="18"/>
            </w:rPr>
            <w:t>74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D35916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CE53ED7"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2EC7" w14:textId="77777777" w:rsidR="007A3CA8" w:rsidRDefault="007A3CA8" w:rsidP="006C3242">
      <w:pPr>
        <w:spacing w:before="0" w:line="240" w:lineRule="auto"/>
      </w:pPr>
      <w:r>
        <w:separator/>
      </w:r>
    </w:p>
  </w:footnote>
  <w:footnote w:type="continuationSeparator" w:id="0">
    <w:p w14:paraId="0978AF7B" w14:textId="77777777" w:rsidR="007A3CA8" w:rsidRDefault="007A3CA8" w:rsidP="006C3242">
      <w:pPr>
        <w:spacing w:before="0" w:line="240" w:lineRule="auto"/>
      </w:pPr>
      <w:r>
        <w:continuationSeparator/>
      </w:r>
    </w:p>
  </w:footnote>
  <w:footnote w:id="1">
    <w:p w14:paraId="0D3C150D" w14:textId="3FC660D6" w:rsidR="00B53386" w:rsidRPr="0018225A" w:rsidRDefault="00B53386" w:rsidP="0018225A">
      <w:pPr>
        <w:pStyle w:val="Footnotetexte"/>
        <w:rPr>
          <w:lang w:bidi="en-GB"/>
        </w:rPr>
      </w:pPr>
      <w:r w:rsidRPr="0018225A">
        <w:rPr>
          <w:rStyle w:val="FootnoteReference"/>
          <w:position w:val="0"/>
          <w:sz w:val="20"/>
          <w:szCs w:val="20"/>
          <w:rtl/>
        </w:rPr>
        <w:footnoteRef/>
      </w:r>
      <w:r w:rsidRPr="0018225A">
        <w:rPr>
          <w:rtl/>
        </w:rPr>
        <w:tab/>
        <w:t>أقل البلدان نموا</w:t>
      </w:r>
      <w:r w:rsidR="0018225A">
        <w:rPr>
          <w:rFonts w:hint="cs"/>
          <w:rtl/>
        </w:rPr>
        <w:t>ً</w:t>
      </w:r>
      <w:r w:rsidRPr="0018225A">
        <w:rPr>
          <w:rtl/>
        </w:rPr>
        <w:t xml:space="preserve"> والبلدان النامية غير الساحلية والدول الجزرية الصغيرة النامية</w:t>
      </w:r>
      <w:r w:rsidRPr="0018225A">
        <w:t>:</w:t>
      </w:r>
      <w:r w:rsidR="0018225A">
        <w:rPr>
          <w:rtl/>
        </w:rPr>
        <w:tab/>
      </w:r>
      <w:r w:rsidR="0018225A">
        <w:rPr>
          <w:rtl/>
        </w:rPr>
        <w:br/>
      </w:r>
      <w:r w:rsidRPr="0018225A">
        <w:rPr>
          <w:rtl/>
        </w:rPr>
        <w:t xml:space="preserve"> </w:t>
      </w:r>
      <w:hyperlink r:id="rId1" w:anchor="/ar" w:history="1">
        <w:r w:rsidRPr="0018225A">
          <w:rPr>
            <w:rStyle w:val="Hyperlink"/>
            <w:noProof w:val="0"/>
            <w:rtl/>
            <w:lang w:val="en-US" w:eastAsia="zh-CN"/>
          </w:rPr>
          <w:t>https://www.itu.int/itu-d/sites/ldcs/?lang</w:t>
        </w:r>
      </w:hyperlink>
      <w:r w:rsidRPr="0018225A">
        <w:rPr>
          <w:rtl/>
        </w:rPr>
        <w:t>.</w:t>
      </w:r>
      <w:hyperlink r:id="rId2" w:history="1"/>
    </w:p>
  </w:footnote>
  <w:footnote w:id="2">
    <w:p w14:paraId="55005A3B" w14:textId="1858C901" w:rsidR="00B53386" w:rsidRPr="0018225A" w:rsidRDefault="00B53386" w:rsidP="0018225A">
      <w:pPr>
        <w:pStyle w:val="Footnotetexte"/>
        <w:rPr>
          <w:color w:val="5B9BD5" w:themeColor="accent1"/>
          <w:lang w:bidi="en-GB"/>
        </w:rPr>
      </w:pPr>
      <w:r w:rsidRPr="0018225A">
        <w:rPr>
          <w:rStyle w:val="FootnoteReference"/>
          <w:position w:val="0"/>
          <w:sz w:val="20"/>
          <w:szCs w:val="20"/>
          <w:rtl/>
        </w:rPr>
        <w:footnoteRef/>
      </w:r>
      <w:r w:rsidRPr="0018225A">
        <w:rPr>
          <w:rtl/>
        </w:rPr>
        <w:tab/>
      </w:r>
      <w:hyperlink r:id="rId3" w:anchor="/ar" w:history="1">
        <w:r w:rsidRPr="0018225A">
          <w:rPr>
            <w:rStyle w:val="Hyperlink"/>
            <w:noProof w:val="0"/>
            <w:color w:val="5B9BD5" w:themeColor="accent1"/>
            <w:u w:val="none"/>
            <w:rtl/>
            <w:lang w:val="en-US" w:eastAsia="zh-CN"/>
          </w:rPr>
          <w:t>الشراكة من أجل التوصيل - بوابة التعهدات</w:t>
        </w:r>
      </w:hyperlink>
      <w:r w:rsidRPr="0018225A">
        <w:rPr>
          <w:rtl/>
        </w:rPr>
        <w:t>.</w:t>
      </w:r>
      <w:hyperlink r:id="rId4"/>
    </w:p>
  </w:footnote>
  <w:footnote w:id="3">
    <w:p w14:paraId="0992605B" w14:textId="7413438A" w:rsidR="00B53386" w:rsidRPr="0018225A" w:rsidRDefault="00B53386" w:rsidP="0018225A">
      <w:pPr>
        <w:pStyle w:val="Footnotetexte"/>
        <w:rPr>
          <w:lang w:bidi="en-GB"/>
        </w:rPr>
      </w:pPr>
      <w:r w:rsidRPr="0018225A">
        <w:rPr>
          <w:rStyle w:val="FootnoteReference"/>
          <w:color w:val="5B9BD5" w:themeColor="accent1"/>
          <w:position w:val="0"/>
          <w:sz w:val="20"/>
          <w:szCs w:val="20"/>
          <w:rtl/>
        </w:rPr>
        <w:footnoteRef/>
      </w:r>
      <w:r w:rsidRPr="0018225A">
        <w:rPr>
          <w:color w:val="5B9BD5" w:themeColor="accent1"/>
          <w:rtl/>
        </w:rPr>
        <w:tab/>
      </w:r>
      <w:hyperlink r:id="rId5" w:history="1">
        <w:r w:rsidRPr="0018225A">
          <w:rPr>
            <w:rStyle w:val="Hyperlink"/>
            <w:noProof w:val="0"/>
            <w:color w:val="5B9BD5" w:themeColor="accent1"/>
            <w:u w:val="none"/>
            <w:rtl/>
            <w:lang w:val="en-US" w:eastAsia="zh-CN"/>
          </w:rPr>
          <w:t>مجموعة النصوص الأساسية للاتحاد الدولي للاتصالات التي اعتمدها مؤتمر المندوبين المفوضين - إصدار عام 2023</w:t>
        </w:r>
      </w:hyperlink>
      <w:r w:rsidRPr="0018225A">
        <w:rPr>
          <w:rtl/>
        </w:rPr>
        <w:t>.</w:t>
      </w:r>
      <w:hyperlink r:id="rId6"/>
    </w:p>
  </w:footnote>
  <w:footnote w:id="4">
    <w:p w14:paraId="4F872B25" w14:textId="77777777" w:rsidR="00B53386" w:rsidRPr="0018225A" w:rsidRDefault="00B53386" w:rsidP="0018225A">
      <w:pPr>
        <w:pStyle w:val="Footnotetexte"/>
        <w:rPr>
          <w:lang w:bidi="en-GB"/>
        </w:rPr>
      </w:pPr>
      <w:r w:rsidRPr="0018225A">
        <w:rPr>
          <w:rStyle w:val="FootnoteReference"/>
          <w:position w:val="0"/>
          <w:sz w:val="20"/>
          <w:szCs w:val="20"/>
          <w:rtl/>
        </w:rPr>
        <w:footnoteRef/>
      </w:r>
      <w:r w:rsidRPr="0018225A">
        <w:rPr>
          <w:rtl/>
        </w:rPr>
        <w:tab/>
      </w:r>
      <w:hyperlink r:id="rId7" w:history="1">
        <w:r w:rsidRPr="0018225A">
          <w:rPr>
            <w:rStyle w:val="Hyperlink"/>
            <w:noProof w:val="0"/>
            <w:color w:val="5B9BD5" w:themeColor="accent1"/>
            <w:u w:val="none"/>
            <w:rtl/>
            <w:lang w:val="en-US" w:eastAsia="zh-CN"/>
          </w:rPr>
          <w:t>التقرير النهائي المؤقت للمؤتمر العالمي لتنمية الاتصالات لعام 2025</w:t>
        </w:r>
      </w:hyperlink>
      <w:r w:rsidRPr="0018225A">
        <w:rPr>
          <w:color w:val="5B9BD5" w:themeColor="accent1"/>
          <w:rtl/>
        </w:rPr>
        <w:t xml:space="preserve"> </w:t>
      </w:r>
      <w:r w:rsidRPr="0018225A">
        <w:rPr>
          <w:rtl/>
        </w:rPr>
        <w:t>(الصفحة 179).</w:t>
      </w:r>
      <w:hyperlink r:id="r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A3FE" w14:textId="77777777" w:rsidR="001A3E13" w:rsidRPr="00057769" w:rsidRDefault="001A3E13" w:rsidP="001A3E13">
    <w:pPr>
      <w:pStyle w:val="Header"/>
    </w:pPr>
    <w:r>
      <w:rPr>
        <w:noProof/>
      </w:rPr>
      <w:drawing>
        <wp:inline distT="0" distB="0" distL="0" distR="0" wp14:anchorId="5D4BC3F3" wp14:editId="3EA91B91">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16026525">
    <w:abstractNumId w:val="9"/>
  </w:num>
  <w:num w:numId="2" w16cid:durableId="1442408250">
    <w:abstractNumId w:val="7"/>
  </w:num>
  <w:num w:numId="3" w16cid:durableId="651831314">
    <w:abstractNumId w:val="6"/>
  </w:num>
  <w:num w:numId="4" w16cid:durableId="404760132">
    <w:abstractNumId w:val="5"/>
  </w:num>
  <w:num w:numId="5" w16cid:durableId="833379910">
    <w:abstractNumId w:val="4"/>
  </w:num>
  <w:num w:numId="6" w16cid:durableId="1664551064">
    <w:abstractNumId w:val="8"/>
  </w:num>
  <w:num w:numId="7" w16cid:durableId="738862696">
    <w:abstractNumId w:val="3"/>
  </w:num>
  <w:num w:numId="8" w16cid:durableId="958806046">
    <w:abstractNumId w:val="2"/>
  </w:num>
  <w:num w:numId="9" w16cid:durableId="1667905302">
    <w:abstractNumId w:val="1"/>
  </w:num>
  <w:num w:numId="10" w16cid:durableId="1089500867">
    <w:abstractNumId w:val="0"/>
  </w:num>
  <w:num w:numId="11" w16cid:durableId="1596546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17"/>
    <w:rsid w:val="000116AF"/>
    <w:rsid w:val="00021A17"/>
    <w:rsid w:val="0006468A"/>
    <w:rsid w:val="00077A58"/>
    <w:rsid w:val="00090574"/>
    <w:rsid w:val="000C1C0E"/>
    <w:rsid w:val="000C548A"/>
    <w:rsid w:val="00145C4D"/>
    <w:rsid w:val="0018225A"/>
    <w:rsid w:val="00191059"/>
    <w:rsid w:val="001A3E13"/>
    <w:rsid w:val="001B6E2B"/>
    <w:rsid w:val="001C0169"/>
    <w:rsid w:val="001C0C21"/>
    <w:rsid w:val="001D1D50"/>
    <w:rsid w:val="001D64C7"/>
    <w:rsid w:val="001D6745"/>
    <w:rsid w:val="001E0380"/>
    <w:rsid w:val="001E446E"/>
    <w:rsid w:val="002154EE"/>
    <w:rsid w:val="002276D2"/>
    <w:rsid w:val="00230C7C"/>
    <w:rsid w:val="0023283D"/>
    <w:rsid w:val="00254393"/>
    <w:rsid w:val="0026373E"/>
    <w:rsid w:val="00271C43"/>
    <w:rsid w:val="00290728"/>
    <w:rsid w:val="002978F4"/>
    <w:rsid w:val="002B028D"/>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A7BA1"/>
    <w:rsid w:val="004B7334"/>
    <w:rsid w:val="004E11DC"/>
    <w:rsid w:val="005130DE"/>
    <w:rsid w:val="00513157"/>
    <w:rsid w:val="00525DDD"/>
    <w:rsid w:val="005349B2"/>
    <w:rsid w:val="005409AC"/>
    <w:rsid w:val="005434E0"/>
    <w:rsid w:val="005546CF"/>
    <w:rsid w:val="0055516A"/>
    <w:rsid w:val="0058491B"/>
    <w:rsid w:val="00592EA5"/>
    <w:rsid w:val="005A3170"/>
    <w:rsid w:val="00630F85"/>
    <w:rsid w:val="00657019"/>
    <w:rsid w:val="00660DEA"/>
    <w:rsid w:val="00677396"/>
    <w:rsid w:val="00683F16"/>
    <w:rsid w:val="0069200F"/>
    <w:rsid w:val="006A65CB"/>
    <w:rsid w:val="006B12E5"/>
    <w:rsid w:val="006C3242"/>
    <w:rsid w:val="006C7CC0"/>
    <w:rsid w:val="006F363C"/>
    <w:rsid w:val="006F63F7"/>
    <w:rsid w:val="007025C7"/>
    <w:rsid w:val="00706D7A"/>
    <w:rsid w:val="00717840"/>
    <w:rsid w:val="00722F0D"/>
    <w:rsid w:val="00735081"/>
    <w:rsid w:val="0074420E"/>
    <w:rsid w:val="007648A6"/>
    <w:rsid w:val="0077110E"/>
    <w:rsid w:val="00783E26"/>
    <w:rsid w:val="007A3CA8"/>
    <w:rsid w:val="007A6684"/>
    <w:rsid w:val="007B0AA0"/>
    <w:rsid w:val="007C3BC7"/>
    <w:rsid w:val="007C3BCD"/>
    <w:rsid w:val="007D4ACF"/>
    <w:rsid w:val="007F0787"/>
    <w:rsid w:val="00807B17"/>
    <w:rsid w:val="00810B7B"/>
    <w:rsid w:val="0082358A"/>
    <w:rsid w:val="008235CD"/>
    <w:rsid w:val="008247DE"/>
    <w:rsid w:val="00831CDE"/>
    <w:rsid w:val="008339C0"/>
    <w:rsid w:val="00840B10"/>
    <w:rsid w:val="008513CB"/>
    <w:rsid w:val="00874E9F"/>
    <w:rsid w:val="00877031"/>
    <w:rsid w:val="008A7F84"/>
    <w:rsid w:val="0091702E"/>
    <w:rsid w:val="00923B0C"/>
    <w:rsid w:val="00924F46"/>
    <w:rsid w:val="00935AAC"/>
    <w:rsid w:val="0093725D"/>
    <w:rsid w:val="0094021C"/>
    <w:rsid w:val="00952F86"/>
    <w:rsid w:val="0096716C"/>
    <w:rsid w:val="00982B28"/>
    <w:rsid w:val="009868AC"/>
    <w:rsid w:val="009D313F"/>
    <w:rsid w:val="00A47A5A"/>
    <w:rsid w:val="00A63AE6"/>
    <w:rsid w:val="00A6683B"/>
    <w:rsid w:val="00A67F05"/>
    <w:rsid w:val="00A97061"/>
    <w:rsid w:val="00A97F94"/>
    <w:rsid w:val="00AA7EA2"/>
    <w:rsid w:val="00AB5A56"/>
    <w:rsid w:val="00B03099"/>
    <w:rsid w:val="00B05BC8"/>
    <w:rsid w:val="00B30F5E"/>
    <w:rsid w:val="00B53386"/>
    <w:rsid w:val="00B64B47"/>
    <w:rsid w:val="00B95654"/>
    <w:rsid w:val="00B97F32"/>
    <w:rsid w:val="00BA04B2"/>
    <w:rsid w:val="00C002DE"/>
    <w:rsid w:val="00C0602B"/>
    <w:rsid w:val="00C224DA"/>
    <w:rsid w:val="00C25BCA"/>
    <w:rsid w:val="00C53BF8"/>
    <w:rsid w:val="00C66157"/>
    <w:rsid w:val="00C674FE"/>
    <w:rsid w:val="00C67501"/>
    <w:rsid w:val="00C75633"/>
    <w:rsid w:val="00CE2EE1"/>
    <w:rsid w:val="00CE3349"/>
    <w:rsid w:val="00CE36E5"/>
    <w:rsid w:val="00CE4360"/>
    <w:rsid w:val="00CF27F5"/>
    <w:rsid w:val="00CF3FFD"/>
    <w:rsid w:val="00D0265C"/>
    <w:rsid w:val="00D10CCF"/>
    <w:rsid w:val="00D13941"/>
    <w:rsid w:val="00D23F5F"/>
    <w:rsid w:val="00D42615"/>
    <w:rsid w:val="00D43F7D"/>
    <w:rsid w:val="00D63735"/>
    <w:rsid w:val="00D77D0F"/>
    <w:rsid w:val="00DA1CF0"/>
    <w:rsid w:val="00DA6A30"/>
    <w:rsid w:val="00DC1237"/>
    <w:rsid w:val="00DC1E02"/>
    <w:rsid w:val="00DC24B4"/>
    <w:rsid w:val="00DC5FB0"/>
    <w:rsid w:val="00DF16DC"/>
    <w:rsid w:val="00E45211"/>
    <w:rsid w:val="00E473C5"/>
    <w:rsid w:val="00E61BE8"/>
    <w:rsid w:val="00E81C25"/>
    <w:rsid w:val="00E83FF1"/>
    <w:rsid w:val="00E92863"/>
    <w:rsid w:val="00E979B2"/>
    <w:rsid w:val="00EB796D"/>
    <w:rsid w:val="00F058DC"/>
    <w:rsid w:val="00F24FC4"/>
    <w:rsid w:val="00F2676C"/>
    <w:rsid w:val="00F363FE"/>
    <w:rsid w:val="00F50E3F"/>
    <w:rsid w:val="00F84366"/>
    <w:rsid w:val="00F85089"/>
    <w:rsid w:val="00F974C5"/>
    <w:rsid w:val="00FA1408"/>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78C6"/>
  <w15:chartTrackingRefBased/>
  <w15:docId w15:val="{02F79A7E-4A6D-452D-BFDA-64F97774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D42615"/>
    <w:pPr>
      <w:keepNext/>
      <w:spacing w:before="240"/>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customStyle="1" w:styleId="Tabletext">
    <w:name w:val="Table_text"/>
    <w:basedOn w:val="Normal"/>
    <w:rsid w:val="00B53386"/>
    <w:pPr>
      <w:tabs>
        <w:tab w:val="clear" w:pos="794"/>
      </w:tabs>
      <w:overflowPunct w:val="0"/>
      <w:autoSpaceDE w:val="0"/>
      <w:autoSpaceDN w:val="0"/>
      <w:bidi w:val="0"/>
      <w:adjustRightInd w:val="0"/>
      <w:spacing w:before="40" w:after="40" w:line="240" w:lineRule="auto"/>
      <w:jc w:val="left"/>
      <w:textAlignment w:val="baseline"/>
    </w:pPr>
    <w:rPr>
      <w:rFonts w:ascii="Times New Roman" w:eastAsia="Times New Roman" w:hAnsi="CG Times" w:cs="Simplified Arabic" w:hint="cs"/>
      <w:szCs w:val="30"/>
    </w:rPr>
  </w:style>
  <w:style w:type="paragraph" w:customStyle="1" w:styleId="Figurewithlegend">
    <w:name w:val="Figure_with_legend"/>
    <w:basedOn w:val="Normal"/>
    <w:rsid w:val="00B53386"/>
    <w:pPr>
      <w:keepNext/>
      <w:keepLines/>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center"/>
      <w:textAlignment w:val="baseline"/>
    </w:pPr>
    <w:rPr>
      <w:rFonts w:ascii="Times New Roman" w:eastAsia="Times New Roman" w:hAnsi="CG Times" w:cs="Simplified Arabic" w:hint="cs"/>
      <w:noProof/>
      <w:sz w:val="24"/>
      <w:szCs w:val="30"/>
    </w:rPr>
  </w:style>
  <w:style w:type="paragraph" w:customStyle="1" w:styleId="Tablefin">
    <w:name w:val="Table_fin"/>
    <w:basedOn w:val="Tabletext"/>
    <w:rsid w:val="00B53386"/>
    <w:pPr>
      <w:spacing w:before="0" w:after="0"/>
    </w:pPr>
  </w:style>
  <w:style w:type="paragraph" w:customStyle="1" w:styleId="Figure">
    <w:name w:val="Figure"/>
    <w:basedOn w:val="FigureNo"/>
    <w:qFormat/>
    <w:rsid w:val="00717840"/>
    <w:pPr>
      <w:spacing w:before="12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w.officeapps.live.com/op/view.aspx?src=https%3A%2F%2Fwww.itu.int%2Fdms_pub%2Fitu-d%2Fmd%2F22%2Fwtdc25%2Fc%2FD22-WTDC25-C-0016!R1!MSW-A.docx&amp;wdOrigin=BROWSELINK" TargetMode="External"/><Relationship Id="rId18" Type="http://schemas.openxmlformats.org/officeDocument/2006/relationships/hyperlink" Target="https://view.officeapps.live.com/op/view.aspx?src=https%3A%2F%2Fwww.itu.int%2Fdms_pub%2Fitu-d%2Fmd%2F26%2Ftdag33%2Fc%2FD26-TDAG33-C-0002!!MSW-E.docx&amp;wdOrigin=BROWSELINK" TargetMode="External"/><Relationship Id="rId26" Type="http://schemas.openxmlformats.org/officeDocument/2006/relationships/hyperlink" Target="https://www.itu.int/itu-d/reports/statistics/facts-figures-for-ldc/" TargetMode="External"/><Relationship Id="rId39" Type="http://schemas.openxmlformats.org/officeDocument/2006/relationships/hyperlink" Target="https://www.itu.int/md/D26-TDAG33-C-0022/en" TargetMode="External"/><Relationship Id="rId21" Type="http://schemas.openxmlformats.org/officeDocument/2006/relationships/hyperlink" Target="https://www.itu.int/itu-d/reports/statistics/facts-figures-2025/" TargetMode="External"/><Relationship Id="rId34" Type="http://schemas.openxmlformats.org/officeDocument/2006/relationships/hyperlink" Target="https://academy.itu.int/digital-capacity-governments/itu-academy-training-centres"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iew.officeapps.live.com/op/view.aspx?src=https%3A%2F%2Fwww.itu.int%2Fdms_pub%2Fitu-d%2Fmd%2F22%2Fwtdc25%2Fc%2FD22-WTDC25-C-0002!R2!MSW-A.docx&amp;wdOrigin=BROWSELINK" TargetMode="External"/><Relationship Id="rId29" Type="http://schemas.openxmlformats.org/officeDocument/2006/relationships/hyperlink" Target="https://www.itu.int/en/ITU-D/Statistics/Pages/capacitydev/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D26-TDAG33-C-0022/en" TargetMode="External"/><Relationship Id="rId24" Type="http://schemas.openxmlformats.org/officeDocument/2006/relationships/hyperlink" Target="https://www.itu.int/itu-d/reports/statistics/facts-figures-for-sids/" TargetMode="External"/><Relationship Id="rId32" Type="http://schemas.openxmlformats.org/officeDocument/2006/relationships/hyperlink" Target="https://academy.itu.int/index.php/main-activities/digital-transformation-centres-initiative" TargetMode="External"/><Relationship Id="rId37" Type="http://schemas.openxmlformats.org/officeDocument/2006/relationships/hyperlink" Target="https://view.officeapps.live.com/op/view.aspx?src=https%3A%2F%2Fwww.itu.int%2Fdms_pub%2Fitu-d%2Fmd%2F26%2Ftdag33%2Fc%2FD26-TDAG33-C-0002!!MSW-E.docx&amp;wdOrigin=BROWSELINK" TargetMode="External"/><Relationship Id="rId40" Type="http://schemas.openxmlformats.org/officeDocument/2006/relationships/hyperlink" Target="https://ituint.sharepoint.com/:w:/r/sites/TDAG/_layouts/15/Doc.aspx?sourcedoc=%7B2D880161-E588-44DE-A847-4654D1899B5D%7D&amp;file=002E_V_clean_TDAG26_Reporting%20on%20the%20%20Implementation%20of%20WTDC-25%20%20BAP.docx&amp;action=default&amp;mobileredirect=tru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iew.officeapps.live.com/op/view.aspx?src=https%3A%2F%2Fwww.itu.int%2Fdms_pub%2Fitu-d%2Fmd%2F26%2Ftdag33%2Fc%2FD26-TDAG33-C-0002!!MSW-A.docx&amp;wdOrigin=BROWSELINK" TargetMode="External"/><Relationship Id="rId23" Type="http://schemas.openxmlformats.org/officeDocument/2006/relationships/hyperlink" Target="https://www.itu.int/itu-d/reports/statistics/facts-figures-for-lldc/" TargetMode="External"/><Relationship Id="rId28" Type="http://schemas.openxmlformats.org/officeDocument/2006/relationships/hyperlink" Target="https://www.itu.int/itu-d/reports/statistics/facts-figures-for-sids/" TargetMode="External"/><Relationship Id="rId36" Type="http://schemas.openxmlformats.org/officeDocument/2006/relationships/hyperlink" Target="https://view.officeapps.live.com/op/view.aspx?src=https%3A%2F%2Fwww.itu.int%2Fdms_pub%2Fitu-d%2Fmd%2F22%2Fwtdc25%2Fc%2FD22-WTDC25-C-0002!R2!MSW-A.docx&amp;wdOrigin=BROWSELINK" TargetMode="External"/><Relationship Id="rId10" Type="http://schemas.openxmlformats.org/officeDocument/2006/relationships/hyperlink" Target="https://www.itu.int/md/D26-TDAG33-C-0004/en" TargetMode="External"/><Relationship Id="rId19" Type="http://schemas.openxmlformats.org/officeDocument/2006/relationships/hyperlink" Target="https://view.officeapps.live.com/op/view.aspx?src=https%3A%2F%2Fwww.itu.int%2Fdms_pub%2Fitu-d%2Fmd%2F22%2Fwtdc25%2Fc%2FD22-WTDC25-C-0002!R2!MSW-E.docx&amp;wdOrigin=BROWSELINK" TargetMode="External"/><Relationship Id="rId31" Type="http://schemas.openxmlformats.org/officeDocument/2006/relationships/hyperlink" Target="https://academy.itu.int/digital-skills-communities/digital-transformation-centres-initiativ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D26-TDAG33-C-0002/en" TargetMode="External"/><Relationship Id="rId14" Type="http://schemas.openxmlformats.org/officeDocument/2006/relationships/hyperlink" Target="chrome-extension://efaidnbmnnnibpcajpcglclefindmkaj/https:/bdmsweb.itu.int/dms_pub/itu-d/opb/tdc/D-TDC-WTDC-2025-PDF-A.pdf" TargetMode="External"/><Relationship Id="rId22" Type="http://schemas.openxmlformats.org/officeDocument/2006/relationships/hyperlink" Target="https://www.itu.int/itu-d/reports/statistics/facts-figures-for-ldc/" TargetMode="External"/><Relationship Id="rId27" Type="http://schemas.openxmlformats.org/officeDocument/2006/relationships/hyperlink" Target="https://www.itu.int/itu-d/reports/statistics/facts-figures-for-lldc/" TargetMode="External"/><Relationship Id="rId30" Type="http://schemas.openxmlformats.org/officeDocument/2006/relationships/hyperlink" Target="https://www.itu.int/en/ITU-D/Statistics/Pages/capacitydev/default.aspx" TargetMode="External"/><Relationship Id="rId35" Type="http://schemas.openxmlformats.org/officeDocument/2006/relationships/hyperlink" Target="https://view.officeapps.live.com/op/view.aspx?src=https%3A%2F%2Fwww.itu.int%2Fdms_pub%2Fitu-d%2Fmd%2F26%2Ftdag33%2Fc%2FD26-TDAG33-C-0002!!MSW-A.docx&amp;wdOrigin=BROWSELINK" TargetMode="External"/><Relationship Id="rId43" Type="http://schemas.openxmlformats.org/officeDocument/2006/relationships/footer" Target="footer2.xml"/><Relationship Id="rId8" Type="http://schemas.openxmlformats.org/officeDocument/2006/relationships/hyperlink" Target="https://view.officeapps.live.com/op/view.aspx?src=https%3A%2F%2Fwww.itu.int%2Fdms_pub%2Fitu-d%2Fmd%2F26%2Ftdag33%2Fc%2FD26-TDAG33-C-0002!!MSW-A.docx&amp;wdOrigin=BROWSELINK" TargetMode="External"/><Relationship Id="rId3" Type="http://schemas.openxmlformats.org/officeDocument/2006/relationships/styles" Target="styles.xml"/><Relationship Id="rId12" Type="http://schemas.openxmlformats.org/officeDocument/2006/relationships/hyperlink" Target="https://view.officeapps.live.com/op/view.aspx?src=https%3A%2F%2Fwww.itu.int%2Fdms_pub%2Fitu-d%2Fmd%2F22%2Fwtdc25%2Fc%2FD22-WTDC25-C-0002!N2!MSW-A.docx&amp;wdOrigin=BROWSELINK" TargetMode="External"/><Relationship Id="rId17" Type="http://schemas.openxmlformats.org/officeDocument/2006/relationships/hyperlink" Target="https://www.itu.int/itu-d/meetings/wtdc25/wp-content/uploads/sites/29/2025/11/090-E.pdf" TargetMode="External"/><Relationship Id="rId25" Type="http://schemas.openxmlformats.org/officeDocument/2006/relationships/hyperlink" Target="https://www.itu.int/itu-d/reports/statistics/facts-figures-2025/" TargetMode="External"/><Relationship Id="rId33" Type="http://schemas.openxmlformats.org/officeDocument/2006/relationships/hyperlink" Target="https://academy.itu.int/digital-capacity-governments/itu-academy-training-centres" TargetMode="External"/><Relationship Id="rId38" Type="http://schemas.openxmlformats.org/officeDocument/2006/relationships/hyperlink" Target="https://view.officeapps.live.com/op/view.aspx?src=https%3A%2F%2Fwww.itu.int%2Fdms_pub%2Fitu-d%2Fmd%2F22%2Fwtdc25%2Fc%2FD22-WTDC25-C-0002!R2!MSW-E.docx&amp;wdOrigin=BROWSELINK" TargetMode="External"/><Relationship Id="rId20" Type="http://schemas.openxmlformats.org/officeDocument/2006/relationships/image" Target="media/image1.png"/><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tu.int/itu-d/meetings/wtdc25/wp-content/uploads/sites/29/2025/11/090-E.pdf" TargetMode="External"/><Relationship Id="rId3" Type="http://schemas.openxmlformats.org/officeDocument/2006/relationships/hyperlink" Target="https://www.itu.int/partner2connect/pledges/explore-pledges/" TargetMode="External"/><Relationship Id="rId7" Type="http://schemas.openxmlformats.org/officeDocument/2006/relationships/hyperlink" Target="https://www.itu.int/itu-d/meetings/wtdc25/wp-content/uploads/sites/29/2025/11/090-E.pdf" TargetMode="External"/><Relationship Id="rId2" Type="http://schemas.openxmlformats.org/officeDocument/2006/relationships/hyperlink" Target="http://www.itu.int/itu-d/sites/ldcs/?lang=en" TargetMode="External"/><Relationship Id="rId1" Type="http://schemas.openxmlformats.org/officeDocument/2006/relationships/hyperlink" Target="https://www.itu.int/itu-d/sites/ldcs/?lang=en" TargetMode="External"/><Relationship Id="rId6" Type="http://schemas.openxmlformats.org/officeDocument/2006/relationships/hyperlink" Target="https://www.itu.int/en/council/Documents/basic-texts-2023/RES-030-E.pdf" TargetMode="External"/><Relationship Id="rId5" Type="http://schemas.openxmlformats.org/officeDocument/2006/relationships/hyperlink" Target="https://www.itu.int/en/council/Documents/basic-texts-2023/RES-030-A.pdf" TargetMode="External"/><Relationship Id="rId4" Type="http://schemas.openxmlformats.org/officeDocument/2006/relationships/hyperlink" Target="https://www.itu.int/partner2connect/pledges/explore-pled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7</Pages>
  <Words>2767</Words>
  <Characters>19708</Characters>
  <Application>Microsoft Office Word</Application>
  <DocSecurity>0</DocSecurity>
  <Lines>379</Lines>
  <Paragraphs>192</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implementation of Resolution 30 (Rev. Bucharest, 2022) on Special measures for least developed countries, landlocked developing countries, small island developing states and countries with economies in transition, 2025</dc:title>
  <dc:subject>ITU Council 2026</dc:subject>
  <cp:keywords>C26; C2026; Council 2026; PP26</cp:keywords>
  <dc:description/>
  <dcterms:created xsi:type="dcterms:W3CDTF">2026-04-28T17:17:00Z</dcterms:created>
  <dcterms:modified xsi:type="dcterms:W3CDTF">2026-04-28T17:17:00Z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