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32C7A" w14:paraId="1284F544" w14:textId="77777777" w:rsidTr="00C4421B">
        <w:trPr>
          <w:cantSplit/>
          <w:trHeight w:val="23"/>
        </w:trPr>
        <w:tc>
          <w:tcPr>
            <w:tcW w:w="3969" w:type="dxa"/>
            <w:vMerge w:val="restart"/>
            <w:tcMar>
              <w:left w:w="0" w:type="dxa"/>
            </w:tcMar>
          </w:tcPr>
          <w:p w14:paraId="1F62152E" w14:textId="69422334" w:rsidR="00FE57F6" w:rsidRPr="00B32C7A" w:rsidRDefault="00CC1FAF" w:rsidP="00C4421B">
            <w:pPr>
              <w:tabs>
                <w:tab w:val="left" w:pos="851"/>
              </w:tabs>
              <w:spacing w:before="0" w:line="240" w:lineRule="atLeast"/>
              <w:rPr>
                <w:b/>
                <w:lang w:val="es-ES"/>
              </w:rPr>
            </w:pPr>
            <w:bookmarkStart w:id="0" w:name="_Hlk133421839"/>
            <w:r w:rsidRPr="00B32C7A">
              <w:rPr>
                <w:b/>
                <w:lang w:val="es-ES"/>
              </w:rPr>
              <w:t>Punto del o</w:t>
            </w:r>
            <w:r w:rsidR="00BB6FD8" w:rsidRPr="00B32C7A">
              <w:rPr>
                <w:b/>
                <w:lang w:val="es-ES"/>
              </w:rPr>
              <w:t>rden del día</w:t>
            </w:r>
            <w:r w:rsidR="00FE57F6" w:rsidRPr="00B32C7A">
              <w:rPr>
                <w:b/>
                <w:lang w:val="es-ES"/>
              </w:rPr>
              <w:t xml:space="preserve">: </w:t>
            </w:r>
            <w:r w:rsidR="0044523E" w:rsidRPr="00B32C7A">
              <w:rPr>
                <w:b/>
                <w:lang w:val="es-ES"/>
              </w:rPr>
              <w:t>ADM 1</w:t>
            </w:r>
          </w:p>
        </w:tc>
        <w:tc>
          <w:tcPr>
            <w:tcW w:w="5245" w:type="dxa"/>
          </w:tcPr>
          <w:p w14:paraId="10D33AD7" w14:textId="0723F4BA" w:rsidR="00FE57F6" w:rsidRPr="00B32C7A" w:rsidRDefault="00FE57F6" w:rsidP="00C4421B">
            <w:pPr>
              <w:tabs>
                <w:tab w:val="left" w:pos="851"/>
              </w:tabs>
              <w:spacing w:before="0" w:line="240" w:lineRule="atLeast"/>
              <w:jc w:val="right"/>
              <w:rPr>
                <w:b/>
                <w:lang w:val="es-ES"/>
              </w:rPr>
            </w:pPr>
            <w:r w:rsidRPr="00B32C7A">
              <w:rPr>
                <w:b/>
                <w:lang w:val="es-ES"/>
              </w:rPr>
              <w:t>Document</w:t>
            </w:r>
            <w:r w:rsidR="00F24B71" w:rsidRPr="00B32C7A">
              <w:rPr>
                <w:b/>
                <w:lang w:val="es-ES"/>
              </w:rPr>
              <w:t>o</w:t>
            </w:r>
            <w:r w:rsidRPr="00B32C7A">
              <w:rPr>
                <w:b/>
                <w:lang w:val="es-ES"/>
              </w:rPr>
              <w:t xml:space="preserve"> </w:t>
            </w:r>
            <w:proofErr w:type="spellStart"/>
            <w:r w:rsidRPr="00B32C7A">
              <w:rPr>
                <w:b/>
                <w:lang w:val="es-ES"/>
              </w:rPr>
              <w:t>C2</w:t>
            </w:r>
            <w:r w:rsidR="00F85E5C" w:rsidRPr="00B32C7A">
              <w:rPr>
                <w:b/>
                <w:lang w:val="es-ES"/>
              </w:rPr>
              <w:t>6</w:t>
            </w:r>
            <w:proofErr w:type="spellEnd"/>
            <w:r w:rsidRPr="00B32C7A">
              <w:rPr>
                <w:b/>
                <w:lang w:val="es-ES"/>
              </w:rPr>
              <w:t>/</w:t>
            </w:r>
            <w:r w:rsidR="0044523E" w:rsidRPr="00B32C7A">
              <w:rPr>
                <w:b/>
                <w:lang w:val="es-ES"/>
              </w:rPr>
              <w:t>73</w:t>
            </w:r>
            <w:r w:rsidRPr="00B32C7A">
              <w:rPr>
                <w:b/>
                <w:lang w:val="es-ES"/>
              </w:rPr>
              <w:t>-</w:t>
            </w:r>
            <w:r w:rsidR="00F24B71" w:rsidRPr="00B32C7A">
              <w:rPr>
                <w:b/>
                <w:lang w:val="es-ES"/>
              </w:rPr>
              <w:t>S</w:t>
            </w:r>
          </w:p>
        </w:tc>
      </w:tr>
      <w:tr w:rsidR="00FE57F6" w:rsidRPr="00B32C7A" w14:paraId="289AD101" w14:textId="77777777" w:rsidTr="00C4421B">
        <w:trPr>
          <w:cantSplit/>
        </w:trPr>
        <w:tc>
          <w:tcPr>
            <w:tcW w:w="3969" w:type="dxa"/>
            <w:vMerge/>
          </w:tcPr>
          <w:p w14:paraId="11C1FD29" w14:textId="77777777" w:rsidR="00FE57F6" w:rsidRPr="00B32C7A" w:rsidRDefault="00FE57F6" w:rsidP="00C4421B">
            <w:pPr>
              <w:tabs>
                <w:tab w:val="left" w:pos="851"/>
              </w:tabs>
              <w:spacing w:line="240" w:lineRule="atLeast"/>
              <w:rPr>
                <w:b/>
                <w:lang w:val="es-ES"/>
              </w:rPr>
            </w:pPr>
          </w:p>
        </w:tc>
        <w:tc>
          <w:tcPr>
            <w:tcW w:w="5245" w:type="dxa"/>
          </w:tcPr>
          <w:p w14:paraId="5A19BDFF" w14:textId="69C85174" w:rsidR="00FE57F6" w:rsidRPr="00B32C7A" w:rsidRDefault="0044523E" w:rsidP="00C4421B">
            <w:pPr>
              <w:tabs>
                <w:tab w:val="left" w:pos="851"/>
              </w:tabs>
              <w:spacing w:before="0"/>
              <w:jc w:val="right"/>
              <w:rPr>
                <w:b/>
                <w:lang w:val="es-ES"/>
              </w:rPr>
            </w:pPr>
            <w:r w:rsidRPr="00B32C7A">
              <w:rPr>
                <w:b/>
                <w:lang w:val="es-ES"/>
              </w:rPr>
              <w:t>29 de marzo de 2026</w:t>
            </w:r>
          </w:p>
        </w:tc>
      </w:tr>
      <w:tr w:rsidR="00FE57F6" w:rsidRPr="00B32C7A" w14:paraId="25428AA7" w14:textId="77777777" w:rsidTr="00C4421B">
        <w:trPr>
          <w:cantSplit/>
          <w:trHeight w:val="23"/>
        </w:trPr>
        <w:tc>
          <w:tcPr>
            <w:tcW w:w="3969" w:type="dxa"/>
            <w:vMerge/>
          </w:tcPr>
          <w:p w14:paraId="5650E662" w14:textId="77777777" w:rsidR="00FE57F6" w:rsidRPr="00B32C7A" w:rsidRDefault="00FE57F6" w:rsidP="00C4421B">
            <w:pPr>
              <w:tabs>
                <w:tab w:val="left" w:pos="851"/>
              </w:tabs>
              <w:spacing w:line="240" w:lineRule="atLeast"/>
              <w:rPr>
                <w:b/>
                <w:lang w:val="es-ES"/>
              </w:rPr>
            </w:pPr>
          </w:p>
        </w:tc>
        <w:tc>
          <w:tcPr>
            <w:tcW w:w="5245" w:type="dxa"/>
          </w:tcPr>
          <w:p w14:paraId="78A32154" w14:textId="77777777" w:rsidR="00FE57F6" w:rsidRPr="00B32C7A" w:rsidRDefault="00F24B71" w:rsidP="00C4421B">
            <w:pPr>
              <w:tabs>
                <w:tab w:val="left" w:pos="851"/>
              </w:tabs>
              <w:spacing w:before="0" w:line="240" w:lineRule="atLeast"/>
              <w:jc w:val="right"/>
              <w:rPr>
                <w:b/>
                <w:bCs/>
                <w:lang w:val="es-ES"/>
              </w:rPr>
            </w:pPr>
            <w:r w:rsidRPr="00B32C7A">
              <w:rPr>
                <w:rFonts w:cstheme="minorHAnsi"/>
                <w:b/>
                <w:bCs/>
                <w:lang w:val="es-ES"/>
              </w:rPr>
              <w:t>Original: inglés</w:t>
            </w:r>
          </w:p>
        </w:tc>
      </w:tr>
      <w:tr w:rsidR="00FE57F6" w:rsidRPr="00B32C7A" w14:paraId="4204C971" w14:textId="77777777" w:rsidTr="00C4421B">
        <w:trPr>
          <w:cantSplit/>
          <w:trHeight w:val="23"/>
        </w:trPr>
        <w:tc>
          <w:tcPr>
            <w:tcW w:w="3969" w:type="dxa"/>
          </w:tcPr>
          <w:p w14:paraId="04CDFB51" w14:textId="77777777" w:rsidR="00FE57F6" w:rsidRPr="00B32C7A" w:rsidRDefault="00FE57F6" w:rsidP="00C4421B">
            <w:pPr>
              <w:tabs>
                <w:tab w:val="left" w:pos="851"/>
              </w:tabs>
              <w:spacing w:line="240" w:lineRule="atLeast"/>
              <w:rPr>
                <w:b/>
                <w:lang w:val="es-ES"/>
              </w:rPr>
            </w:pPr>
          </w:p>
        </w:tc>
        <w:tc>
          <w:tcPr>
            <w:tcW w:w="5245" w:type="dxa"/>
          </w:tcPr>
          <w:p w14:paraId="6D2F1350" w14:textId="77777777" w:rsidR="00FE57F6" w:rsidRPr="00B32C7A" w:rsidRDefault="00FE57F6" w:rsidP="00C4421B">
            <w:pPr>
              <w:tabs>
                <w:tab w:val="left" w:pos="851"/>
              </w:tabs>
              <w:spacing w:before="0" w:line="240" w:lineRule="atLeast"/>
              <w:jc w:val="right"/>
              <w:rPr>
                <w:b/>
                <w:lang w:val="es-ES"/>
              </w:rPr>
            </w:pPr>
          </w:p>
        </w:tc>
      </w:tr>
      <w:tr w:rsidR="00FE57F6" w:rsidRPr="009B543B" w14:paraId="3478C547" w14:textId="77777777" w:rsidTr="00C4421B">
        <w:trPr>
          <w:cantSplit/>
        </w:trPr>
        <w:tc>
          <w:tcPr>
            <w:tcW w:w="9214" w:type="dxa"/>
            <w:gridSpan w:val="2"/>
            <w:tcMar>
              <w:left w:w="0" w:type="dxa"/>
            </w:tcMar>
          </w:tcPr>
          <w:p w14:paraId="4CB0C4C0" w14:textId="77777777" w:rsidR="00FE57F6" w:rsidRPr="00B32C7A" w:rsidRDefault="00157AC4" w:rsidP="00C4421B">
            <w:pPr>
              <w:pStyle w:val="Source"/>
              <w:jc w:val="left"/>
              <w:rPr>
                <w:sz w:val="34"/>
                <w:szCs w:val="34"/>
                <w:lang w:val="es-ES"/>
              </w:rPr>
            </w:pPr>
            <w:r w:rsidRPr="00B32C7A">
              <w:rPr>
                <w:rFonts w:cstheme="minorHAnsi"/>
                <w:sz w:val="34"/>
                <w:szCs w:val="34"/>
                <w:lang w:val="es-ES"/>
              </w:rPr>
              <w:t>Informe de la Secretaria General</w:t>
            </w:r>
          </w:p>
        </w:tc>
      </w:tr>
      <w:tr w:rsidR="00FE57F6" w:rsidRPr="009B543B" w14:paraId="47092851" w14:textId="77777777" w:rsidTr="00C4421B">
        <w:trPr>
          <w:cantSplit/>
        </w:trPr>
        <w:tc>
          <w:tcPr>
            <w:tcW w:w="9214" w:type="dxa"/>
            <w:gridSpan w:val="2"/>
            <w:tcMar>
              <w:left w:w="0" w:type="dxa"/>
            </w:tcMar>
          </w:tcPr>
          <w:p w14:paraId="1835123B" w14:textId="3CC33FE9" w:rsidR="00FE57F6" w:rsidRPr="00B32C7A" w:rsidRDefault="008973FA" w:rsidP="00C4421B">
            <w:pPr>
              <w:pStyle w:val="Subtitle"/>
              <w:framePr w:hSpace="0" w:wrap="auto" w:hAnchor="text" w:xAlign="left" w:yAlign="inline"/>
              <w:rPr>
                <w:lang w:val="es-ES"/>
              </w:rPr>
            </w:pPr>
            <w:r w:rsidRPr="00B32C7A">
              <w:rPr>
                <w:rFonts w:asciiTheme="minorHAnsi" w:hAnsiTheme="minorHAnsi" w:cstheme="minorBidi"/>
                <w:lang w:val="es-ES"/>
              </w:rPr>
              <w:t>NOVEDADES SOBRE LA APLICACIÓN DE LA ESTRATEGIA DE MOVILIZACIÓN DE RECURSOS DE LA UIT</w:t>
            </w:r>
          </w:p>
        </w:tc>
      </w:tr>
      <w:tr w:rsidR="00FE57F6" w:rsidRPr="009B543B" w14:paraId="2A4310E5" w14:textId="77777777" w:rsidTr="00C4421B">
        <w:trPr>
          <w:cantSplit/>
        </w:trPr>
        <w:tc>
          <w:tcPr>
            <w:tcW w:w="9214" w:type="dxa"/>
            <w:gridSpan w:val="2"/>
            <w:tcBorders>
              <w:top w:val="single" w:sz="4" w:space="0" w:color="auto"/>
              <w:bottom w:val="single" w:sz="4" w:space="0" w:color="auto"/>
            </w:tcBorders>
            <w:tcMar>
              <w:left w:w="0" w:type="dxa"/>
            </w:tcMar>
          </w:tcPr>
          <w:p w14:paraId="455C7ED2" w14:textId="77777777" w:rsidR="00FE57F6" w:rsidRPr="00B32C7A" w:rsidRDefault="00F24B71" w:rsidP="00C4421B">
            <w:pPr>
              <w:spacing w:before="160"/>
              <w:rPr>
                <w:b/>
                <w:bCs/>
                <w:sz w:val="26"/>
                <w:szCs w:val="26"/>
                <w:lang w:val="es-ES"/>
              </w:rPr>
            </w:pPr>
            <w:r w:rsidRPr="00B32C7A">
              <w:rPr>
                <w:b/>
                <w:bCs/>
                <w:sz w:val="26"/>
                <w:szCs w:val="26"/>
                <w:lang w:val="es-ES"/>
              </w:rPr>
              <w:t>Finalidad</w:t>
            </w:r>
          </w:p>
          <w:p w14:paraId="0DB6F020" w14:textId="1EF29C95" w:rsidR="0044523E" w:rsidRPr="00B32C7A" w:rsidRDefault="0044523E" w:rsidP="008973FA">
            <w:pPr>
              <w:jc w:val="both"/>
              <w:rPr>
                <w:lang w:val="es-ES"/>
              </w:rPr>
            </w:pPr>
            <w:r w:rsidRPr="00B32C7A">
              <w:rPr>
                <w:lang w:val="es-ES"/>
              </w:rPr>
              <w:t xml:space="preserve">La Conferencia de Plenipotenciarios (Bucarest, 2022) encargó a la Secretaria General en su Decisión 5 (Rev. Bucarest, 2022) que elaborara una estrategia de movilización de recursos para toda la UIT y la presentara al Consejo de la UIT. La estrategia de movilización de recursos adoptada por el Consejo en 2024 (véase el Documento </w:t>
            </w:r>
            <w:hyperlink r:id="rId6">
              <w:proofErr w:type="spellStart"/>
              <w:r w:rsidRPr="00B32C7A">
                <w:rPr>
                  <w:rStyle w:val="Hyperlink"/>
                  <w:rFonts w:asciiTheme="minorHAnsi" w:hAnsiTheme="minorHAnsi"/>
                  <w:lang w:val="es-ES"/>
                </w:rPr>
                <w:t>C24</w:t>
              </w:r>
              <w:proofErr w:type="spellEnd"/>
              <w:r w:rsidRPr="00B32C7A">
                <w:rPr>
                  <w:rStyle w:val="Hyperlink"/>
                  <w:rFonts w:asciiTheme="minorHAnsi" w:hAnsiTheme="minorHAnsi"/>
                  <w:lang w:val="es-ES"/>
                </w:rPr>
                <w:t>/70</w:t>
              </w:r>
            </w:hyperlink>
            <w:r w:rsidRPr="00B32C7A">
              <w:rPr>
                <w:lang w:val="es-ES"/>
              </w:rPr>
              <w:t>) se articula en torno a tres grandes áreas de acción: fortalecer las contribuciones de los Miembros, impulsar los eventos, productos y servicios y aumentar las contribuciones voluntarias.</w:t>
            </w:r>
          </w:p>
          <w:p w14:paraId="087A1E80" w14:textId="19CE514F" w:rsidR="00FE57F6" w:rsidRPr="00B32C7A" w:rsidRDefault="0044523E" w:rsidP="008973FA">
            <w:pPr>
              <w:jc w:val="both"/>
              <w:rPr>
                <w:lang w:val="es-ES"/>
              </w:rPr>
            </w:pPr>
            <w:r w:rsidRPr="00B32C7A">
              <w:rPr>
                <w:lang w:val="es-ES"/>
              </w:rPr>
              <w:t xml:space="preserve">Se presentó información actualizada sobre la aplicación en curso a la reunión de 2025 del Consejo (Documento </w:t>
            </w:r>
            <w:hyperlink r:id="rId7" w:history="1">
              <w:proofErr w:type="spellStart"/>
              <w:r w:rsidRPr="00B32C7A">
                <w:rPr>
                  <w:rStyle w:val="Hyperlink"/>
                  <w:rFonts w:asciiTheme="minorHAnsi" w:hAnsiTheme="minorHAnsi" w:cstheme="minorHAnsi"/>
                  <w:lang w:val="es-ES"/>
                </w:rPr>
                <w:t>C25</w:t>
              </w:r>
              <w:proofErr w:type="spellEnd"/>
              <w:r w:rsidRPr="00B32C7A">
                <w:rPr>
                  <w:rStyle w:val="Hyperlink"/>
                  <w:rFonts w:asciiTheme="minorHAnsi" w:hAnsiTheme="minorHAnsi" w:cstheme="minorHAnsi"/>
                  <w:lang w:val="es-ES"/>
                </w:rPr>
                <w:t>/67</w:t>
              </w:r>
            </w:hyperlink>
            <w:r w:rsidRPr="00B32C7A">
              <w:rPr>
                <w:lang w:val="es-ES"/>
              </w:rPr>
              <w:t xml:space="preserve">) y al GTC-RHF (Documento </w:t>
            </w:r>
            <w:hyperlink r:id="rId8" w:history="1">
              <w:proofErr w:type="spellStart"/>
              <w:r w:rsidRPr="00B32C7A">
                <w:rPr>
                  <w:rStyle w:val="Hyperlink"/>
                  <w:rFonts w:asciiTheme="minorHAnsi" w:hAnsiTheme="minorHAnsi" w:cstheme="minorHAnsi"/>
                  <w:bCs/>
                  <w:lang w:val="es-ES"/>
                </w:rPr>
                <w:t>CWG</w:t>
              </w:r>
              <w:proofErr w:type="spellEnd"/>
              <w:r w:rsidRPr="00B32C7A">
                <w:rPr>
                  <w:rStyle w:val="Hyperlink"/>
                  <w:rFonts w:asciiTheme="minorHAnsi" w:hAnsiTheme="minorHAnsi" w:cstheme="minorHAnsi"/>
                  <w:bCs/>
                  <w:lang w:val="es-ES"/>
                </w:rPr>
                <w:t>-</w:t>
              </w:r>
              <w:proofErr w:type="spellStart"/>
              <w:r w:rsidRPr="00B32C7A">
                <w:rPr>
                  <w:rStyle w:val="Hyperlink"/>
                  <w:rFonts w:asciiTheme="minorHAnsi" w:hAnsiTheme="minorHAnsi" w:cstheme="minorHAnsi"/>
                  <w:bCs/>
                  <w:lang w:val="es-ES"/>
                </w:rPr>
                <w:t>FHR</w:t>
              </w:r>
              <w:proofErr w:type="spellEnd"/>
              <w:r w:rsidRPr="00B32C7A">
                <w:rPr>
                  <w:rStyle w:val="Hyperlink"/>
                  <w:rFonts w:asciiTheme="minorHAnsi" w:hAnsiTheme="minorHAnsi" w:cstheme="minorHAnsi"/>
                  <w:bCs/>
                  <w:lang w:val="es-ES"/>
                </w:rPr>
                <w:t>-22/16</w:t>
              </w:r>
            </w:hyperlink>
            <w:r w:rsidRPr="00B32C7A">
              <w:rPr>
                <w:lang w:val="es-ES"/>
              </w:rPr>
              <w:t>) para recabar sus comentarios, considerarlos y preparar la contribución a la reunión de 2026 del Consejo.</w:t>
            </w:r>
          </w:p>
          <w:p w14:paraId="4FF0D0AB" w14:textId="77777777" w:rsidR="00FE57F6" w:rsidRPr="00B32C7A" w:rsidRDefault="00F24B71" w:rsidP="00C4421B">
            <w:pPr>
              <w:spacing w:before="160"/>
              <w:rPr>
                <w:b/>
                <w:bCs/>
                <w:sz w:val="26"/>
                <w:szCs w:val="26"/>
                <w:lang w:val="es-ES"/>
              </w:rPr>
            </w:pPr>
            <w:r w:rsidRPr="00B32C7A">
              <w:rPr>
                <w:b/>
                <w:bCs/>
                <w:sz w:val="26"/>
                <w:szCs w:val="26"/>
                <w:lang w:val="es-ES"/>
              </w:rPr>
              <w:t xml:space="preserve">Acción solicitada </w:t>
            </w:r>
            <w:r w:rsidR="00677A97" w:rsidRPr="00B32C7A">
              <w:rPr>
                <w:b/>
                <w:bCs/>
                <w:sz w:val="26"/>
                <w:szCs w:val="26"/>
                <w:lang w:val="es-ES"/>
              </w:rPr>
              <w:t>al</w:t>
            </w:r>
            <w:r w:rsidRPr="00B32C7A">
              <w:rPr>
                <w:b/>
                <w:bCs/>
                <w:sz w:val="26"/>
                <w:szCs w:val="26"/>
                <w:lang w:val="es-ES"/>
              </w:rPr>
              <w:t xml:space="preserve"> Consejo</w:t>
            </w:r>
          </w:p>
          <w:p w14:paraId="4369531B" w14:textId="77777777" w:rsidR="0044523E" w:rsidRPr="00B32C7A" w:rsidRDefault="0044523E" w:rsidP="00942324">
            <w:pPr>
              <w:rPr>
                <w:rFonts w:cstheme="minorHAnsi"/>
                <w:lang w:val="es-ES"/>
              </w:rPr>
            </w:pPr>
            <w:r w:rsidRPr="00B32C7A">
              <w:rPr>
                <w:lang w:val="es-ES"/>
              </w:rPr>
              <w:t xml:space="preserve">Se invita al Consejo a </w:t>
            </w:r>
            <w:r w:rsidRPr="00B32C7A">
              <w:rPr>
                <w:b/>
                <w:bCs/>
                <w:lang w:val="es-ES"/>
              </w:rPr>
              <w:t xml:space="preserve">tomar nota </w:t>
            </w:r>
            <w:r w:rsidRPr="00B32C7A">
              <w:rPr>
                <w:lang w:val="es-ES"/>
              </w:rPr>
              <w:t>de este documento.</w:t>
            </w:r>
          </w:p>
          <w:p w14:paraId="6AF31D7A" w14:textId="77777777" w:rsidR="00F92BED" w:rsidRPr="00B32C7A" w:rsidRDefault="00F92BED" w:rsidP="00C4421B">
            <w:pPr>
              <w:spacing w:before="160"/>
              <w:rPr>
                <w:b/>
                <w:bCs/>
                <w:sz w:val="26"/>
                <w:szCs w:val="26"/>
                <w:lang w:val="es-ES"/>
              </w:rPr>
            </w:pPr>
            <w:r w:rsidRPr="00B32C7A">
              <w:rPr>
                <w:b/>
                <w:bCs/>
                <w:sz w:val="26"/>
                <w:szCs w:val="26"/>
                <w:lang w:val="es-ES"/>
              </w:rPr>
              <w:t>Vínculo(s) pertinente(s) con el Plan Estratégico</w:t>
            </w:r>
          </w:p>
          <w:p w14:paraId="0BBECB02" w14:textId="6E15E9AF" w:rsidR="00F92BED" w:rsidRPr="00B32C7A" w:rsidRDefault="0044523E" w:rsidP="00942324">
            <w:pPr>
              <w:rPr>
                <w:lang w:val="es-ES"/>
              </w:rPr>
            </w:pPr>
            <w:r w:rsidRPr="00B32C7A">
              <w:rPr>
                <w:lang w:val="es-ES"/>
              </w:rPr>
              <w:t>Movilización de recursos.</w:t>
            </w:r>
          </w:p>
          <w:p w14:paraId="317EBE9B" w14:textId="77777777" w:rsidR="00F92BED" w:rsidRPr="00B32C7A" w:rsidRDefault="00F92BED" w:rsidP="00C4421B">
            <w:pPr>
              <w:spacing w:before="160"/>
              <w:rPr>
                <w:b/>
                <w:bCs/>
                <w:sz w:val="26"/>
                <w:szCs w:val="26"/>
                <w:lang w:val="es-ES"/>
              </w:rPr>
            </w:pPr>
            <w:r w:rsidRPr="00B32C7A">
              <w:rPr>
                <w:b/>
                <w:bCs/>
                <w:sz w:val="26"/>
                <w:szCs w:val="26"/>
                <w:lang w:val="es-ES"/>
              </w:rPr>
              <w:t>Repercusiones financieras</w:t>
            </w:r>
          </w:p>
          <w:p w14:paraId="2C871CCC" w14:textId="77777777" w:rsidR="0044523E" w:rsidRPr="00B32C7A" w:rsidRDefault="0044523E" w:rsidP="00942324">
            <w:pPr>
              <w:rPr>
                <w:lang w:val="es-ES"/>
              </w:rPr>
            </w:pPr>
            <w:r w:rsidRPr="00B32C7A">
              <w:rPr>
                <w:lang w:val="es-ES"/>
              </w:rPr>
              <w:t>Posibilidad de aumentar el presupuesto ordinario y la financiación extrapresupuestaria.</w:t>
            </w:r>
          </w:p>
          <w:p w14:paraId="7F1AC193" w14:textId="77777777" w:rsidR="00FE57F6" w:rsidRPr="00B32C7A" w:rsidRDefault="00FE57F6" w:rsidP="00C4421B">
            <w:pPr>
              <w:spacing w:before="160"/>
              <w:rPr>
                <w:caps/>
                <w:sz w:val="22"/>
                <w:lang w:val="es-ES"/>
              </w:rPr>
            </w:pPr>
            <w:r w:rsidRPr="00B32C7A">
              <w:rPr>
                <w:sz w:val="22"/>
                <w:lang w:val="es-ES"/>
              </w:rPr>
              <w:t>__________________</w:t>
            </w:r>
          </w:p>
          <w:p w14:paraId="408115FE" w14:textId="39B30C16" w:rsidR="00FE57F6" w:rsidRPr="00B32C7A" w:rsidRDefault="00F24B71" w:rsidP="00C4421B">
            <w:pPr>
              <w:spacing w:before="160"/>
              <w:rPr>
                <w:b/>
                <w:bCs/>
                <w:sz w:val="26"/>
                <w:szCs w:val="26"/>
                <w:lang w:val="es-ES"/>
              </w:rPr>
            </w:pPr>
            <w:r w:rsidRPr="00B32C7A">
              <w:rPr>
                <w:b/>
                <w:bCs/>
                <w:sz w:val="26"/>
                <w:szCs w:val="26"/>
                <w:lang w:val="es-ES"/>
              </w:rPr>
              <w:t>Referencia</w:t>
            </w:r>
            <w:r w:rsidR="00F92BED" w:rsidRPr="00B32C7A">
              <w:rPr>
                <w:b/>
                <w:bCs/>
                <w:sz w:val="26"/>
                <w:szCs w:val="26"/>
                <w:lang w:val="es-ES"/>
              </w:rPr>
              <w:t>s</w:t>
            </w:r>
          </w:p>
          <w:p w14:paraId="33359933" w14:textId="08C181F4" w:rsidR="00FE57F6" w:rsidRPr="008973FA" w:rsidRDefault="0044523E" w:rsidP="00C4421B">
            <w:pPr>
              <w:spacing w:after="160"/>
              <w:rPr>
                <w:i/>
                <w:iCs/>
                <w:sz w:val="22"/>
                <w:szCs w:val="22"/>
                <w:lang w:val="es-ES"/>
              </w:rPr>
            </w:pPr>
            <w:hyperlink r:id="rId9" w:history="1">
              <w:r w:rsidRPr="008973FA">
                <w:rPr>
                  <w:rStyle w:val="Hyperlink"/>
                  <w:rFonts w:asciiTheme="minorHAnsi" w:hAnsiTheme="minorHAnsi"/>
                  <w:i/>
                  <w:iCs/>
                  <w:spacing w:val="-2"/>
                  <w:sz w:val="22"/>
                  <w:lang w:val="es-ES"/>
                </w:rPr>
                <w:t>Sitio web del GTC-RHF</w:t>
              </w:r>
            </w:hyperlink>
            <w:r w:rsidRPr="008973FA">
              <w:rPr>
                <w:rFonts w:asciiTheme="minorHAnsi" w:hAnsiTheme="minorHAnsi" w:cstheme="minorBidi"/>
                <w:i/>
                <w:iCs/>
                <w:spacing w:val="-2"/>
                <w:sz w:val="22"/>
                <w:szCs w:val="22"/>
                <w:lang w:val="es-ES"/>
              </w:rPr>
              <w:t xml:space="preserve">; Decisión </w:t>
            </w:r>
            <w:hyperlink r:id="rId10" w:tgtFrame="_blank" w:history="1">
              <w:r w:rsidRPr="008973FA">
                <w:rPr>
                  <w:rStyle w:val="Hyperlink"/>
                  <w:rFonts w:asciiTheme="minorHAnsi" w:hAnsiTheme="minorHAnsi"/>
                  <w:i/>
                  <w:iCs/>
                  <w:spacing w:val="-2"/>
                  <w:sz w:val="22"/>
                  <w:shd w:val="clear" w:color="auto" w:fill="FFFFFF"/>
                  <w:lang w:val="es-ES"/>
                </w:rPr>
                <w:t>5 (Rev. Bucarest, 2022)</w:t>
              </w:r>
            </w:hyperlink>
            <w:r w:rsidRPr="008973FA">
              <w:rPr>
                <w:rFonts w:asciiTheme="minorHAnsi" w:hAnsiTheme="minorHAnsi" w:cstheme="minorBidi"/>
                <w:i/>
                <w:iCs/>
                <w:color w:val="000000"/>
                <w:spacing w:val="-2"/>
                <w:sz w:val="22"/>
                <w:szCs w:val="22"/>
                <w:shd w:val="clear" w:color="auto" w:fill="FFFFFF"/>
                <w:lang w:val="es-ES"/>
              </w:rPr>
              <w:t xml:space="preserve"> de la Conferencia de Plenipotenciarios; Documentos </w:t>
            </w:r>
            <w:hyperlink r:id="rId11" w:tgtFrame="_blank" w:history="1">
              <w:proofErr w:type="spellStart"/>
              <w:r w:rsidRPr="008973FA">
                <w:rPr>
                  <w:rFonts w:asciiTheme="minorHAnsi" w:hAnsiTheme="minorHAnsi" w:cstheme="minorBidi"/>
                  <w:i/>
                  <w:iCs/>
                  <w:color w:val="4F81BD"/>
                  <w:spacing w:val="-2"/>
                  <w:sz w:val="22"/>
                  <w:szCs w:val="22"/>
                  <w:shd w:val="clear" w:color="auto" w:fill="FFFFFF"/>
                  <w:lang w:val="es-ES"/>
                </w:rPr>
                <w:t>C17</w:t>
              </w:r>
              <w:proofErr w:type="spellEnd"/>
              <w:r w:rsidRPr="008973FA">
                <w:rPr>
                  <w:rFonts w:asciiTheme="minorHAnsi" w:hAnsiTheme="minorHAnsi" w:cstheme="minorBidi"/>
                  <w:i/>
                  <w:iCs/>
                  <w:color w:val="4F81BD"/>
                  <w:spacing w:val="-2"/>
                  <w:sz w:val="22"/>
                  <w:szCs w:val="22"/>
                  <w:shd w:val="clear" w:color="auto" w:fill="FFFFFF"/>
                  <w:lang w:val="es-ES"/>
                </w:rPr>
                <w:t>/67</w:t>
              </w:r>
            </w:hyperlink>
            <w:r w:rsidRPr="008973FA">
              <w:rPr>
                <w:rFonts w:asciiTheme="minorHAnsi" w:hAnsiTheme="minorHAnsi" w:cstheme="minorBidi"/>
                <w:i/>
                <w:iCs/>
                <w:color w:val="000000"/>
                <w:spacing w:val="-2"/>
                <w:sz w:val="22"/>
                <w:szCs w:val="22"/>
                <w:shd w:val="clear" w:color="auto" w:fill="FFFFFF"/>
                <w:lang w:val="es-ES"/>
              </w:rPr>
              <w:t xml:space="preserve"> y </w:t>
            </w:r>
            <w:hyperlink r:id="rId12" w:tgtFrame="_blank" w:history="1">
              <w:proofErr w:type="spellStart"/>
              <w:r w:rsidRPr="008973FA">
                <w:rPr>
                  <w:rFonts w:asciiTheme="minorHAnsi" w:hAnsiTheme="minorHAnsi" w:cstheme="minorBidi"/>
                  <w:i/>
                  <w:iCs/>
                  <w:color w:val="4F81BD"/>
                  <w:spacing w:val="-2"/>
                  <w:sz w:val="22"/>
                  <w:szCs w:val="22"/>
                  <w:shd w:val="clear" w:color="auto" w:fill="FFFFFF"/>
                  <w:lang w:val="es-ES"/>
                </w:rPr>
                <w:t>C23</w:t>
              </w:r>
              <w:proofErr w:type="spellEnd"/>
              <w:r w:rsidRPr="008973FA">
                <w:rPr>
                  <w:rFonts w:asciiTheme="minorHAnsi" w:hAnsiTheme="minorHAnsi" w:cstheme="minorBidi"/>
                  <w:i/>
                  <w:iCs/>
                  <w:color w:val="4F81BD"/>
                  <w:spacing w:val="-2"/>
                  <w:sz w:val="22"/>
                  <w:szCs w:val="22"/>
                  <w:shd w:val="clear" w:color="auto" w:fill="FFFFFF"/>
                  <w:lang w:val="es-ES"/>
                </w:rPr>
                <w:t>/INF/12</w:t>
              </w:r>
            </w:hyperlink>
            <w:r w:rsidRPr="008973FA">
              <w:rPr>
                <w:rFonts w:asciiTheme="minorHAnsi" w:hAnsiTheme="minorHAnsi" w:cstheme="minorBidi"/>
                <w:i/>
                <w:iCs/>
                <w:color w:val="000000"/>
                <w:spacing w:val="-2"/>
                <w:sz w:val="22"/>
                <w:szCs w:val="22"/>
                <w:shd w:val="clear" w:color="auto" w:fill="FFFFFF"/>
                <w:lang w:val="es-ES"/>
              </w:rPr>
              <w:t xml:space="preserve">; </w:t>
            </w:r>
            <w:hyperlink r:id="rId13" w:tgtFrame="_blank" w:history="1">
              <w:r w:rsidRPr="008973FA">
                <w:rPr>
                  <w:rFonts w:asciiTheme="minorHAnsi" w:hAnsiTheme="minorHAnsi" w:cstheme="minorBidi"/>
                  <w:i/>
                  <w:iCs/>
                  <w:color w:val="4F81BD"/>
                  <w:spacing w:val="-2"/>
                  <w:sz w:val="22"/>
                  <w:szCs w:val="22"/>
                  <w:shd w:val="clear" w:color="auto" w:fill="FFFFFF"/>
                  <w:lang w:val="es-ES"/>
                </w:rPr>
                <w:t>Plan de Acción de Kigali</w:t>
              </w:r>
            </w:hyperlink>
            <w:r w:rsidRPr="008973FA">
              <w:rPr>
                <w:rFonts w:asciiTheme="minorHAnsi" w:hAnsiTheme="minorHAnsi" w:cstheme="minorBidi"/>
                <w:i/>
                <w:iCs/>
                <w:color w:val="000000"/>
                <w:spacing w:val="-2"/>
                <w:sz w:val="22"/>
                <w:szCs w:val="22"/>
                <w:shd w:val="clear" w:color="auto" w:fill="FFFFFF"/>
                <w:lang w:val="es-ES"/>
              </w:rPr>
              <w:t xml:space="preserve">; Documentos </w:t>
            </w:r>
            <w:hyperlink r:id="rId14" w:tgtFrame="_blank" w:history="1">
              <w:proofErr w:type="spellStart"/>
              <w:r w:rsidRPr="008973FA">
                <w:rPr>
                  <w:rFonts w:asciiTheme="minorHAnsi" w:hAnsiTheme="minorHAnsi" w:cstheme="minorBidi"/>
                  <w:i/>
                  <w:iCs/>
                  <w:color w:val="4F81BD"/>
                  <w:spacing w:val="-2"/>
                  <w:sz w:val="22"/>
                  <w:szCs w:val="22"/>
                  <w:shd w:val="clear" w:color="auto" w:fill="FFFFFF"/>
                  <w:lang w:val="es-ES"/>
                </w:rPr>
                <w:t>C23</w:t>
              </w:r>
              <w:proofErr w:type="spellEnd"/>
              <w:r w:rsidRPr="008973FA">
                <w:rPr>
                  <w:rFonts w:asciiTheme="minorHAnsi" w:hAnsiTheme="minorHAnsi" w:cstheme="minorBidi"/>
                  <w:i/>
                  <w:iCs/>
                  <w:color w:val="4F81BD"/>
                  <w:spacing w:val="-2"/>
                  <w:sz w:val="22"/>
                  <w:szCs w:val="22"/>
                  <w:shd w:val="clear" w:color="auto" w:fill="FFFFFF"/>
                  <w:lang w:val="es-ES"/>
                </w:rPr>
                <w:t>/62(</w:t>
              </w:r>
              <w:proofErr w:type="spellStart"/>
              <w:r w:rsidRPr="008973FA">
                <w:rPr>
                  <w:rFonts w:asciiTheme="minorHAnsi" w:hAnsiTheme="minorHAnsi" w:cstheme="minorBidi"/>
                  <w:i/>
                  <w:iCs/>
                  <w:color w:val="4F81BD"/>
                  <w:spacing w:val="-2"/>
                  <w:sz w:val="22"/>
                  <w:szCs w:val="22"/>
                  <w:shd w:val="clear" w:color="auto" w:fill="FFFFFF"/>
                  <w:lang w:val="es-ES"/>
                </w:rPr>
                <w:t>Rev.1</w:t>
              </w:r>
              <w:proofErr w:type="spellEnd"/>
              <w:r w:rsidRPr="008973FA">
                <w:rPr>
                  <w:rFonts w:asciiTheme="minorHAnsi" w:hAnsiTheme="minorHAnsi" w:cstheme="minorBidi"/>
                  <w:i/>
                  <w:iCs/>
                  <w:color w:val="4F81BD"/>
                  <w:spacing w:val="-2"/>
                  <w:sz w:val="22"/>
                  <w:szCs w:val="22"/>
                  <w:shd w:val="clear" w:color="auto" w:fill="FFFFFF"/>
                  <w:lang w:val="es-ES"/>
                </w:rPr>
                <w:t>)</w:t>
              </w:r>
            </w:hyperlink>
            <w:r w:rsidRPr="008973FA">
              <w:rPr>
                <w:rFonts w:asciiTheme="minorHAnsi" w:hAnsiTheme="minorHAnsi" w:cstheme="minorBidi"/>
                <w:i/>
                <w:iCs/>
                <w:color w:val="000000"/>
                <w:spacing w:val="-2"/>
                <w:sz w:val="22"/>
                <w:szCs w:val="22"/>
                <w:shd w:val="clear" w:color="auto" w:fill="FFFFFF"/>
                <w:lang w:val="es-ES"/>
              </w:rPr>
              <w:t xml:space="preserve">; </w:t>
            </w:r>
            <w:hyperlink r:id="rId15" w:tgtFrame="_blank" w:history="1">
              <w:proofErr w:type="spellStart"/>
              <w:r w:rsidRPr="008973FA">
                <w:rPr>
                  <w:rFonts w:asciiTheme="minorHAnsi" w:hAnsiTheme="minorHAnsi" w:cstheme="minorBidi"/>
                  <w:i/>
                  <w:iCs/>
                  <w:color w:val="4F81BD"/>
                  <w:spacing w:val="-2"/>
                  <w:sz w:val="22"/>
                  <w:szCs w:val="22"/>
                  <w:shd w:val="clear" w:color="auto" w:fill="FFFFFF"/>
                  <w:lang w:val="es-ES"/>
                </w:rPr>
                <w:t>CWG</w:t>
              </w:r>
              <w:proofErr w:type="spellEnd"/>
              <w:r w:rsidR="00942324" w:rsidRPr="008973FA">
                <w:rPr>
                  <w:rFonts w:asciiTheme="minorHAnsi" w:hAnsiTheme="minorHAnsi" w:cstheme="minorBidi"/>
                  <w:i/>
                  <w:iCs/>
                  <w:color w:val="4F81BD"/>
                  <w:spacing w:val="-2"/>
                  <w:sz w:val="22"/>
                  <w:szCs w:val="22"/>
                  <w:shd w:val="clear" w:color="auto" w:fill="FFFFFF"/>
                  <w:lang w:val="es-ES"/>
                </w:rPr>
                <w:noBreakHyphen/>
              </w:r>
              <w:proofErr w:type="spellStart"/>
              <w:r w:rsidRPr="008973FA">
                <w:rPr>
                  <w:rFonts w:asciiTheme="minorHAnsi" w:hAnsiTheme="minorHAnsi" w:cstheme="minorBidi"/>
                  <w:i/>
                  <w:iCs/>
                  <w:color w:val="4F81BD"/>
                  <w:spacing w:val="-2"/>
                  <w:sz w:val="22"/>
                  <w:szCs w:val="22"/>
                  <w:shd w:val="clear" w:color="auto" w:fill="FFFFFF"/>
                  <w:lang w:val="es-ES"/>
                </w:rPr>
                <w:t>FHR</w:t>
              </w:r>
              <w:proofErr w:type="spellEnd"/>
              <w:r w:rsidR="00942324" w:rsidRPr="008973FA">
                <w:rPr>
                  <w:rFonts w:asciiTheme="minorHAnsi" w:hAnsiTheme="minorHAnsi" w:cstheme="minorBidi"/>
                  <w:i/>
                  <w:iCs/>
                  <w:color w:val="4F81BD"/>
                  <w:spacing w:val="-2"/>
                  <w:sz w:val="22"/>
                  <w:szCs w:val="22"/>
                  <w:shd w:val="clear" w:color="auto" w:fill="FFFFFF"/>
                  <w:lang w:val="es-ES"/>
                </w:rPr>
                <w:noBreakHyphen/>
              </w:r>
              <w:r w:rsidRPr="008973FA">
                <w:rPr>
                  <w:rFonts w:asciiTheme="minorHAnsi" w:hAnsiTheme="minorHAnsi" w:cstheme="minorBidi"/>
                  <w:i/>
                  <w:iCs/>
                  <w:color w:val="4F81BD"/>
                  <w:spacing w:val="-2"/>
                  <w:sz w:val="22"/>
                  <w:szCs w:val="22"/>
                  <w:shd w:val="clear" w:color="auto" w:fill="FFFFFF"/>
                  <w:lang w:val="es-ES"/>
                </w:rPr>
                <w:t>16/11</w:t>
              </w:r>
            </w:hyperlink>
            <w:r w:rsidRPr="008973FA">
              <w:rPr>
                <w:rFonts w:asciiTheme="minorHAnsi" w:hAnsiTheme="minorHAnsi" w:cstheme="minorBidi"/>
                <w:i/>
                <w:iCs/>
                <w:color w:val="000000"/>
                <w:spacing w:val="-2"/>
                <w:sz w:val="22"/>
                <w:szCs w:val="22"/>
                <w:shd w:val="clear" w:color="auto" w:fill="FFFFFF"/>
                <w:lang w:val="es-ES"/>
              </w:rPr>
              <w:t xml:space="preserve">, </w:t>
            </w:r>
            <w:hyperlink r:id="rId16" w:tgtFrame="_blank" w:history="1">
              <w:proofErr w:type="spellStart"/>
              <w:r w:rsidRPr="008973FA">
                <w:rPr>
                  <w:rFonts w:asciiTheme="minorHAnsi" w:hAnsiTheme="minorHAnsi" w:cstheme="minorBidi"/>
                  <w:i/>
                  <w:iCs/>
                  <w:color w:val="4F81BD"/>
                  <w:spacing w:val="-2"/>
                  <w:sz w:val="22"/>
                  <w:szCs w:val="22"/>
                  <w:shd w:val="clear" w:color="auto" w:fill="FFFFFF"/>
                  <w:lang w:val="es-ES"/>
                </w:rPr>
                <w:t>CWG</w:t>
              </w:r>
              <w:proofErr w:type="spellEnd"/>
              <w:r w:rsidRPr="008973FA">
                <w:rPr>
                  <w:rFonts w:asciiTheme="minorHAnsi" w:hAnsiTheme="minorHAnsi" w:cstheme="minorBidi"/>
                  <w:i/>
                  <w:iCs/>
                  <w:color w:val="4F81BD"/>
                  <w:spacing w:val="-2"/>
                  <w:sz w:val="22"/>
                  <w:szCs w:val="22"/>
                  <w:shd w:val="clear" w:color="auto" w:fill="FFFFFF"/>
                  <w:lang w:val="es-ES"/>
                </w:rPr>
                <w:t>-</w:t>
              </w:r>
              <w:proofErr w:type="spellStart"/>
              <w:r w:rsidRPr="008973FA">
                <w:rPr>
                  <w:rFonts w:asciiTheme="minorHAnsi" w:hAnsiTheme="minorHAnsi" w:cstheme="minorBidi"/>
                  <w:i/>
                  <w:iCs/>
                  <w:color w:val="4F81BD"/>
                  <w:spacing w:val="-2"/>
                  <w:sz w:val="22"/>
                  <w:szCs w:val="22"/>
                  <w:shd w:val="clear" w:color="auto" w:fill="FFFFFF"/>
                  <w:lang w:val="es-ES"/>
                </w:rPr>
                <w:t>FHR</w:t>
              </w:r>
              <w:proofErr w:type="spellEnd"/>
              <w:r w:rsidRPr="008973FA">
                <w:rPr>
                  <w:rFonts w:asciiTheme="minorHAnsi" w:hAnsiTheme="minorHAnsi" w:cstheme="minorBidi"/>
                  <w:i/>
                  <w:iCs/>
                  <w:color w:val="4F81BD"/>
                  <w:spacing w:val="-2"/>
                  <w:sz w:val="22"/>
                  <w:szCs w:val="22"/>
                  <w:shd w:val="clear" w:color="auto" w:fill="FFFFFF"/>
                  <w:lang w:val="es-ES"/>
                </w:rPr>
                <w:t>-17/3</w:t>
              </w:r>
            </w:hyperlink>
            <w:r w:rsidRPr="008973FA">
              <w:rPr>
                <w:rFonts w:asciiTheme="minorHAnsi" w:hAnsiTheme="minorHAnsi" w:cstheme="minorBidi"/>
                <w:i/>
                <w:iCs/>
                <w:color w:val="000000"/>
                <w:spacing w:val="-2"/>
                <w:sz w:val="22"/>
                <w:szCs w:val="22"/>
                <w:shd w:val="clear" w:color="auto" w:fill="FFFFFF"/>
                <w:lang w:val="es-ES"/>
              </w:rPr>
              <w:t xml:space="preserve">, </w:t>
            </w:r>
            <w:hyperlink r:id="rId17" w:tgtFrame="_blank" w:history="1">
              <w:proofErr w:type="spellStart"/>
              <w:r w:rsidRPr="008973FA">
                <w:rPr>
                  <w:rFonts w:asciiTheme="minorHAnsi" w:hAnsiTheme="minorHAnsi" w:cstheme="minorBidi"/>
                  <w:i/>
                  <w:iCs/>
                  <w:color w:val="4F81BD"/>
                  <w:spacing w:val="-2"/>
                  <w:sz w:val="22"/>
                  <w:szCs w:val="22"/>
                  <w:shd w:val="clear" w:color="auto" w:fill="FFFFFF"/>
                  <w:lang w:val="es-ES"/>
                </w:rPr>
                <w:t>CWG</w:t>
              </w:r>
              <w:proofErr w:type="spellEnd"/>
              <w:r w:rsidRPr="008973FA">
                <w:rPr>
                  <w:rFonts w:asciiTheme="minorHAnsi" w:hAnsiTheme="minorHAnsi" w:cstheme="minorHAnsi"/>
                  <w:i/>
                  <w:iCs/>
                  <w:color w:val="4F81BD"/>
                  <w:spacing w:val="-2"/>
                  <w:sz w:val="22"/>
                  <w:szCs w:val="22"/>
                  <w:shd w:val="clear" w:color="auto" w:fill="FFFFFF"/>
                  <w:lang w:val="es-ES"/>
                </w:rPr>
                <w:noBreakHyphen/>
              </w:r>
              <w:proofErr w:type="spellStart"/>
              <w:r w:rsidRPr="008973FA">
                <w:rPr>
                  <w:rFonts w:asciiTheme="minorHAnsi" w:hAnsiTheme="minorHAnsi" w:cstheme="minorBidi"/>
                  <w:i/>
                  <w:iCs/>
                  <w:color w:val="4F81BD"/>
                  <w:spacing w:val="-2"/>
                  <w:sz w:val="22"/>
                  <w:szCs w:val="22"/>
                  <w:shd w:val="clear" w:color="auto" w:fill="FFFFFF"/>
                  <w:lang w:val="es-ES"/>
                </w:rPr>
                <w:t>FHR</w:t>
              </w:r>
              <w:proofErr w:type="spellEnd"/>
              <w:r w:rsidRPr="008973FA">
                <w:rPr>
                  <w:rFonts w:asciiTheme="minorHAnsi" w:hAnsiTheme="minorHAnsi" w:cstheme="minorBidi"/>
                  <w:i/>
                  <w:iCs/>
                  <w:color w:val="4F81BD"/>
                  <w:spacing w:val="-2"/>
                  <w:sz w:val="22"/>
                  <w:szCs w:val="22"/>
                  <w:shd w:val="clear" w:color="auto" w:fill="FFFFFF"/>
                  <w:lang w:val="es-ES"/>
                </w:rPr>
                <w:t>-17/INF/9</w:t>
              </w:r>
            </w:hyperlink>
            <w:r w:rsidRPr="008973FA">
              <w:rPr>
                <w:rFonts w:asciiTheme="minorHAnsi" w:hAnsiTheme="minorHAnsi" w:cstheme="minorBidi"/>
                <w:i/>
                <w:iCs/>
                <w:spacing w:val="-2"/>
                <w:sz w:val="22"/>
                <w:szCs w:val="22"/>
                <w:lang w:val="es-ES"/>
              </w:rPr>
              <w:t>;</w:t>
            </w:r>
            <w:r w:rsidRPr="008973FA">
              <w:rPr>
                <w:rFonts w:asciiTheme="minorHAnsi" w:hAnsiTheme="minorHAnsi" w:cstheme="minorBidi"/>
                <w:i/>
                <w:iCs/>
                <w:color w:val="000000"/>
                <w:spacing w:val="-2"/>
                <w:sz w:val="22"/>
                <w:szCs w:val="22"/>
                <w:shd w:val="clear" w:color="auto" w:fill="FFFFFF"/>
                <w:lang w:val="es-ES"/>
              </w:rPr>
              <w:t xml:space="preserve"> </w:t>
            </w:r>
            <w:hyperlink r:id="rId18" w:tgtFrame="_blank" w:history="1">
              <w:proofErr w:type="spellStart"/>
              <w:r w:rsidRPr="008973FA">
                <w:rPr>
                  <w:rFonts w:asciiTheme="minorHAnsi" w:hAnsiTheme="minorHAnsi" w:cstheme="minorBidi"/>
                  <w:i/>
                  <w:iCs/>
                  <w:color w:val="4F81BD"/>
                  <w:spacing w:val="-2"/>
                  <w:sz w:val="22"/>
                  <w:szCs w:val="22"/>
                  <w:shd w:val="clear" w:color="auto" w:fill="FFFFFF"/>
                  <w:lang w:val="es-ES"/>
                </w:rPr>
                <w:t>C24</w:t>
              </w:r>
              <w:proofErr w:type="spellEnd"/>
              <w:r w:rsidRPr="008973FA">
                <w:rPr>
                  <w:rFonts w:asciiTheme="minorHAnsi" w:hAnsiTheme="minorHAnsi" w:cstheme="minorBidi"/>
                  <w:i/>
                  <w:iCs/>
                  <w:color w:val="4F81BD"/>
                  <w:spacing w:val="-2"/>
                  <w:sz w:val="22"/>
                  <w:szCs w:val="22"/>
                  <w:shd w:val="clear" w:color="auto" w:fill="FFFFFF"/>
                  <w:lang w:val="es-ES"/>
                </w:rPr>
                <w:t>/70 (Estrategia de movilización de recursos)</w:t>
              </w:r>
            </w:hyperlink>
            <w:r w:rsidRPr="008973FA">
              <w:rPr>
                <w:rFonts w:asciiTheme="minorHAnsi" w:hAnsiTheme="minorHAnsi" w:cstheme="minorBidi"/>
                <w:i/>
                <w:iCs/>
                <w:spacing w:val="-2"/>
                <w:sz w:val="22"/>
                <w:szCs w:val="22"/>
                <w:lang w:val="es-ES"/>
              </w:rPr>
              <w:t xml:space="preserve">; </w:t>
            </w:r>
            <w:hyperlink r:id="rId19" w:history="1">
              <w:proofErr w:type="spellStart"/>
              <w:r w:rsidRPr="008973FA">
                <w:rPr>
                  <w:rStyle w:val="Hyperlink"/>
                  <w:rFonts w:asciiTheme="minorHAnsi" w:hAnsiTheme="minorHAnsi"/>
                  <w:i/>
                  <w:iCs/>
                  <w:spacing w:val="-2"/>
                  <w:sz w:val="22"/>
                  <w:lang w:val="es-ES"/>
                </w:rPr>
                <w:t>C25</w:t>
              </w:r>
              <w:proofErr w:type="spellEnd"/>
              <w:r w:rsidRPr="008973FA">
                <w:rPr>
                  <w:rStyle w:val="Hyperlink"/>
                  <w:rFonts w:asciiTheme="minorHAnsi" w:hAnsiTheme="minorHAnsi"/>
                  <w:i/>
                  <w:iCs/>
                  <w:spacing w:val="-2"/>
                  <w:sz w:val="22"/>
                  <w:lang w:val="es-ES"/>
                </w:rPr>
                <w:t>/67 (Aplicación de la Estrategia de movilización de recursos de la UIT)</w:t>
              </w:r>
            </w:hyperlink>
            <w:r w:rsidRPr="008973FA">
              <w:rPr>
                <w:rFonts w:asciiTheme="minorHAnsi" w:hAnsiTheme="minorHAnsi" w:cstheme="minorBidi"/>
                <w:i/>
                <w:iCs/>
                <w:color w:val="000000"/>
                <w:spacing w:val="-2"/>
                <w:sz w:val="22"/>
                <w:szCs w:val="22"/>
                <w:shd w:val="clear" w:color="auto" w:fill="FFFFFF"/>
                <w:lang w:val="es-ES"/>
              </w:rPr>
              <w:t xml:space="preserve">; Carta Circular </w:t>
            </w:r>
            <w:hyperlink r:id="rId20" w:history="1">
              <w:r w:rsidRPr="008973FA">
                <w:rPr>
                  <w:rStyle w:val="Hyperlink"/>
                  <w:rFonts w:asciiTheme="minorHAnsi" w:hAnsiTheme="minorHAnsi"/>
                  <w:i/>
                  <w:iCs/>
                  <w:spacing w:val="-2"/>
                  <w:sz w:val="22"/>
                  <w:shd w:val="clear" w:color="auto" w:fill="FFFFFF"/>
                  <w:lang w:val="es-ES"/>
                </w:rPr>
                <w:t>CL-25/36 (Invertir en la UIT y en nuestro futuro digital común)</w:t>
              </w:r>
            </w:hyperlink>
            <w:r w:rsidRPr="008973FA">
              <w:rPr>
                <w:rFonts w:asciiTheme="minorHAnsi" w:hAnsiTheme="minorHAnsi" w:cstheme="minorBidi"/>
                <w:i/>
                <w:iCs/>
                <w:color w:val="000000"/>
                <w:spacing w:val="-2"/>
                <w:sz w:val="22"/>
                <w:szCs w:val="22"/>
                <w:shd w:val="clear" w:color="auto" w:fill="FFFFFF"/>
                <w:lang w:val="es-ES"/>
              </w:rPr>
              <w:t xml:space="preserve">; </w:t>
            </w:r>
            <w:hyperlink r:id="rId21" w:history="1">
              <w:r w:rsidRPr="008973FA">
                <w:rPr>
                  <w:rStyle w:val="Hyperlink"/>
                  <w:rFonts w:asciiTheme="minorHAnsi" w:hAnsiTheme="minorHAnsi"/>
                  <w:i/>
                  <w:iCs/>
                  <w:spacing w:val="-2"/>
                  <w:sz w:val="22"/>
                  <w:shd w:val="clear" w:color="auto" w:fill="FFFFFF"/>
                  <w:lang w:val="es-ES"/>
                </w:rPr>
                <w:t>Por qué es importante la UIT: Argumentos a favor de la inversión</w:t>
              </w:r>
            </w:hyperlink>
            <w:r w:rsidRPr="008973FA">
              <w:rPr>
                <w:i/>
                <w:iCs/>
                <w:spacing w:val="-2"/>
                <w:sz w:val="22"/>
                <w:szCs w:val="22"/>
                <w:lang w:val="es-ES"/>
              </w:rPr>
              <w:t xml:space="preserve">; Documentos </w:t>
            </w:r>
            <w:hyperlink r:id="rId22" w:history="1">
              <w:proofErr w:type="spellStart"/>
              <w:r w:rsidRPr="008973FA">
                <w:rPr>
                  <w:rStyle w:val="Hyperlink"/>
                  <w:i/>
                  <w:iCs/>
                  <w:spacing w:val="-2"/>
                  <w:sz w:val="22"/>
                  <w:lang w:val="es-ES"/>
                </w:rPr>
                <w:t>CWG</w:t>
              </w:r>
              <w:proofErr w:type="spellEnd"/>
              <w:r w:rsidRPr="008973FA">
                <w:rPr>
                  <w:rStyle w:val="Hyperlink"/>
                  <w:i/>
                  <w:iCs/>
                  <w:spacing w:val="-2"/>
                  <w:sz w:val="22"/>
                  <w:lang w:val="es-ES"/>
                </w:rPr>
                <w:t>-</w:t>
              </w:r>
              <w:proofErr w:type="spellStart"/>
              <w:r w:rsidRPr="008973FA">
                <w:rPr>
                  <w:rStyle w:val="Hyperlink"/>
                  <w:i/>
                  <w:iCs/>
                  <w:spacing w:val="-2"/>
                  <w:sz w:val="22"/>
                  <w:lang w:val="es-ES"/>
                </w:rPr>
                <w:t>FHR</w:t>
              </w:r>
              <w:proofErr w:type="spellEnd"/>
              <w:r w:rsidRPr="008973FA">
                <w:rPr>
                  <w:rStyle w:val="Hyperlink"/>
                  <w:i/>
                  <w:iCs/>
                  <w:spacing w:val="-2"/>
                  <w:sz w:val="22"/>
                  <w:lang w:val="es-ES"/>
                </w:rPr>
                <w:t>-22/16</w:t>
              </w:r>
            </w:hyperlink>
            <w:r w:rsidRPr="008973FA">
              <w:rPr>
                <w:i/>
                <w:iCs/>
                <w:spacing w:val="-2"/>
                <w:sz w:val="22"/>
                <w:szCs w:val="22"/>
                <w:lang w:val="es-ES"/>
              </w:rPr>
              <w:t xml:space="preserve"> y </w:t>
            </w:r>
            <w:hyperlink r:id="rId23" w:history="1">
              <w:proofErr w:type="spellStart"/>
              <w:r w:rsidRPr="008973FA">
                <w:rPr>
                  <w:rStyle w:val="Hyperlink"/>
                  <w:i/>
                  <w:iCs/>
                  <w:spacing w:val="-2"/>
                  <w:sz w:val="22"/>
                  <w:lang w:val="es-ES"/>
                </w:rPr>
                <w:t>C26</w:t>
              </w:r>
              <w:proofErr w:type="spellEnd"/>
              <w:r w:rsidRPr="008973FA">
                <w:rPr>
                  <w:rStyle w:val="Hyperlink"/>
                  <w:i/>
                  <w:iCs/>
                  <w:spacing w:val="-2"/>
                  <w:sz w:val="22"/>
                  <w:lang w:val="es-ES"/>
                </w:rPr>
                <w:t>/</w:t>
              </w:r>
              <w:bookmarkStart w:id="1" w:name="_Hlt225175939"/>
              <w:bookmarkStart w:id="2" w:name="_Hlt225175940"/>
              <w:bookmarkEnd w:id="1"/>
              <w:bookmarkEnd w:id="2"/>
              <w:r w:rsidRPr="008973FA">
                <w:rPr>
                  <w:rStyle w:val="Hyperlink"/>
                  <w:i/>
                  <w:iCs/>
                  <w:spacing w:val="-2"/>
                  <w:sz w:val="22"/>
                  <w:lang w:val="es-ES"/>
                </w:rPr>
                <w:t>47</w:t>
              </w:r>
            </w:hyperlink>
            <w:r w:rsidRPr="008973FA">
              <w:rPr>
                <w:i/>
                <w:iCs/>
                <w:sz w:val="22"/>
                <w:szCs w:val="22"/>
                <w:lang w:val="es-ES"/>
              </w:rPr>
              <w:t>;</w:t>
            </w:r>
            <w:r w:rsidRPr="008973FA">
              <w:rPr>
                <w:rFonts w:eastAsia="Calibri" w:cs="Calibri"/>
                <w:i/>
                <w:iCs/>
                <w:sz w:val="22"/>
                <w:szCs w:val="22"/>
                <w:lang w:val="es-ES"/>
              </w:rPr>
              <w:t xml:space="preserve"> </w:t>
            </w:r>
            <w:hyperlink r:id="rId24" w:history="1">
              <w:proofErr w:type="spellStart"/>
              <w:r w:rsidRPr="008973FA">
                <w:rPr>
                  <w:rStyle w:val="Hyperlink"/>
                  <w:rFonts w:eastAsia="Calibri" w:cs="Calibri"/>
                  <w:i/>
                  <w:iCs/>
                  <w:sz w:val="22"/>
                  <w:lang w:val="es-ES"/>
                </w:rPr>
                <w:t>C26</w:t>
              </w:r>
              <w:proofErr w:type="spellEnd"/>
              <w:r w:rsidRPr="008973FA">
                <w:rPr>
                  <w:rStyle w:val="Hyperlink"/>
                  <w:rFonts w:eastAsia="Calibri" w:cs="Calibri"/>
                  <w:i/>
                  <w:iCs/>
                  <w:sz w:val="22"/>
                  <w:lang w:val="es-ES"/>
                </w:rPr>
                <w:t>/INF/14</w:t>
              </w:r>
            </w:hyperlink>
          </w:p>
        </w:tc>
      </w:tr>
      <w:bookmarkEnd w:id="0"/>
    </w:tbl>
    <w:p w14:paraId="1BD9814A" w14:textId="77777777" w:rsidR="001559F5" w:rsidRPr="00B32C7A"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B32C7A">
        <w:rPr>
          <w:lang w:val="es-ES"/>
        </w:rPr>
        <w:br w:type="page"/>
      </w:r>
    </w:p>
    <w:p w14:paraId="7B38FAAB" w14:textId="77777777" w:rsidR="0044523E" w:rsidRPr="00B32C7A" w:rsidRDefault="0044523E" w:rsidP="0044523E">
      <w:pPr>
        <w:pStyle w:val="Headingb"/>
        <w:rPr>
          <w:lang w:val="es-ES"/>
        </w:rPr>
      </w:pPr>
      <w:r w:rsidRPr="00B32C7A">
        <w:rPr>
          <w:lang w:val="es-ES"/>
        </w:rPr>
        <w:lastRenderedPageBreak/>
        <w:t>Antecedentes</w:t>
      </w:r>
    </w:p>
    <w:p w14:paraId="53F56476" w14:textId="0240F7A0" w:rsidR="0044523E" w:rsidRPr="00107CBE" w:rsidRDefault="0044523E" w:rsidP="008973FA">
      <w:pPr>
        <w:jc w:val="both"/>
        <w:rPr>
          <w:spacing w:val="-2"/>
          <w:lang w:val="es-ES"/>
        </w:rPr>
      </w:pPr>
      <w:r w:rsidRPr="00107CBE">
        <w:rPr>
          <w:spacing w:val="-2"/>
          <w:lang w:val="es-ES"/>
        </w:rPr>
        <w:t xml:space="preserve">La Conferencia de Plenipotenciarios (Bucarest, 2022) encargó a la Secretaria General en su Decisión 5 (Rev. Bucarest, 2022) que elaborara una estrategia de movilización de recursos para toda la UIT y la presentara al Consejo de la UIT para su examen y orientación sobre su aplicación. La estrategia de movilización de recursos adoptada por el Consejo en 2024 (véase el Documento </w:t>
      </w:r>
      <w:hyperlink r:id="rId25">
        <w:proofErr w:type="spellStart"/>
        <w:r w:rsidRPr="00107CBE">
          <w:rPr>
            <w:rStyle w:val="Hyperlink"/>
            <w:rFonts w:asciiTheme="minorHAnsi" w:hAnsiTheme="minorHAnsi"/>
            <w:spacing w:val="-2"/>
            <w:lang w:val="es-ES"/>
          </w:rPr>
          <w:t>C24</w:t>
        </w:r>
        <w:proofErr w:type="spellEnd"/>
        <w:r w:rsidRPr="00107CBE">
          <w:rPr>
            <w:rStyle w:val="Hyperlink"/>
            <w:rFonts w:asciiTheme="minorHAnsi" w:hAnsiTheme="minorHAnsi"/>
            <w:spacing w:val="-2"/>
            <w:lang w:val="es-ES"/>
          </w:rPr>
          <w:t>/70</w:t>
        </w:r>
      </w:hyperlink>
      <w:r w:rsidRPr="00107CBE">
        <w:rPr>
          <w:spacing w:val="-2"/>
          <w:lang w:val="es-ES"/>
        </w:rPr>
        <w:t>) se articula en torno a tres grandes áreas de acción: fortalecer las contribuciones de los Miembros, impulsar los eventos, productos y servicios y aumentar las contribuciones voluntarias. Todas estas áreas debían seguir siendo desarrolladas y mejoradas mediante los esfuerzos coordinados de la Secretaría General, las Oficinas y las Oficinas en el terreno. En la estrategia de movilización de recursos se recomienda la evaluación y, de ser factible, aplicación de 24 líneas de acción pertenecientes a tres grandes áreas de acción con los siguientes objetivos:</w:t>
      </w:r>
    </w:p>
    <w:p w14:paraId="081BE3E7" w14:textId="331D006F" w:rsidR="0044523E" w:rsidRPr="00B32C7A" w:rsidRDefault="0044523E" w:rsidP="008973FA">
      <w:pPr>
        <w:pStyle w:val="enumlev1"/>
        <w:jc w:val="both"/>
        <w:rPr>
          <w:lang w:val="es-ES"/>
        </w:rPr>
      </w:pPr>
      <w:r w:rsidRPr="00B32C7A">
        <w:rPr>
          <w:lang w:val="es-ES"/>
        </w:rPr>
        <w:t>–</w:t>
      </w:r>
      <w:r w:rsidRPr="00B32C7A">
        <w:rPr>
          <w:lang w:val="es-ES"/>
        </w:rPr>
        <w:tab/>
      </w:r>
      <w:r w:rsidR="008973FA" w:rsidRPr="00B32C7A">
        <w:rPr>
          <w:lang w:val="es-ES"/>
        </w:rPr>
        <w:t xml:space="preserve">alentar </w:t>
      </w:r>
      <w:r w:rsidRPr="00B32C7A">
        <w:rPr>
          <w:lang w:val="es-ES"/>
        </w:rPr>
        <w:t>a los Estados Miembros a mantener o incrementar su número de unidades contributivas;</w:t>
      </w:r>
    </w:p>
    <w:p w14:paraId="3102D103" w14:textId="59E484CE" w:rsidR="0044523E" w:rsidRPr="00B32C7A" w:rsidRDefault="0044523E" w:rsidP="008973FA">
      <w:pPr>
        <w:pStyle w:val="enumlev1"/>
        <w:jc w:val="both"/>
        <w:rPr>
          <w:lang w:val="es-ES"/>
        </w:rPr>
      </w:pPr>
      <w:r w:rsidRPr="00B32C7A">
        <w:rPr>
          <w:lang w:val="es-ES"/>
        </w:rPr>
        <w:t>–</w:t>
      </w:r>
      <w:r w:rsidRPr="00B32C7A">
        <w:rPr>
          <w:lang w:val="es-ES"/>
        </w:rPr>
        <w:tab/>
      </w:r>
      <w:r w:rsidR="008973FA" w:rsidRPr="00B32C7A">
        <w:rPr>
          <w:lang w:val="es-ES"/>
        </w:rPr>
        <w:t xml:space="preserve">aumentar </w:t>
      </w:r>
      <w:r w:rsidRPr="00B32C7A">
        <w:rPr>
          <w:lang w:val="es-ES"/>
        </w:rPr>
        <w:t>la participación de los Miembros de Sector y los ingresos correspondientes;</w:t>
      </w:r>
    </w:p>
    <w:p w14:paraId="54192D7D" w14:textId="11986038" w:rsidR="0044523E" w:rsidRPr="00B32C7A" w:rsidRDefault="0044523E" w:rsidP="008973FA">
      <w:pPr>
        <w:pStyle w:val="enumlev1"/>
        <w:jc w:val="both"/>
        <w:rPr>
          <w:lang w:val="es-ES"/>
        </w:rPr>
      </w:pPr>
      <w:r w:rsidRPr="00B32C7A">
        <w:rPr>
          <w:lang w:val="es-ES"/>
        </w:rPr>
        <w:t>–</w:t>
      </w:r>
      <w:r w:rsidRPr="00B32C7A">
        <w:rPr>
          <w:lang w:val="es-ES"/>
        </w:rPr>
        <w:tab/>
      </w:r>
      <w:r w:rsidR="008973FA" w:rsidRPr="00B32C7A">
        <w:rPr>
          <w:lang w:val="es-ES"/>
        </w:rPr>
        <w:t xml:space="preserve">aumentar </w:t>
      </w:r>
      <w:r w:rsidRPr="00B32C7A">
        <w:rPr>
          <w:lang w:val="es-ES"/>
        </w:rPr>
        <w:t>globalmente la participación de los Miembros;</w:t>
      </w:r>
    </w:p>
    <w:p w14:paraId="64F30699" w14:textId="6698B960" w:rsidR="0044523E" w:rsidRPr="00B32C7A" w:rsidRDefault="0044523E" w:rsidP="008973FA">
      <w:pPr>
        <w:pStyle w:val="enumlev1"/>
        <w:jc w:val="both"/>
        <w:rPr>
          <w:lang w:val="es-ES"/>
        </w:rPr>
      </w:pPr>
      <w:r w:rsidRPr="00B32C7A">
        <w:rPr>
          <w:lang w:val="es-ES"/>
        </w:rPr>
        <w:t>–</w:t>
      </w:r>
      <w:r w:rsidRPr="00B32C7A">
        <w:rPr>
          <w:lang w:val="es-ES"/>
        </w:rPr>
        <w:tab/>
      </w:r>
      <w:r w:rsidR="008973FA" w:rsidRPr="00B32C7A">
        <w:rPr>
          <w:lang w:val="es-ES"/>
        </w:rPr>
        <w:t xml:space="preserve">impulsar </w:t>
      </w:r>
      <w:r w:rsidRPr="00B32C7A">
        <w:rPr>
          <w:lang w:val="es-ES"/>
        </w:rPr>
        <w:t>mejor los eventos, productos y servicios;</w:t>
      </w:r>
    </w:p>
    <w:p w14:paraId="5A5114E4" w14:textId="198C6B6C" w:rsidR="0044523E" w:rsidRPr="00B32C7A" w:rsidRDefault="0044523E" w:rsidP="008973FA">
      <w:pPr>
        <w:pStyle w:val="enumlev1"/>
        <w:jc w:val="both"/>
        <w:rPr>
          <w:lang w:val="es-ES"/>
        </w:rPr>
      </w:pPr>
      <w:r w:rsidRPr="00B32C7A">
        <w:rPr>
          <w:lang w:val="es-ES"/>
        </w:rPr>
        <w:t>–</w:t>
      </w:r>
      <w:r w:rsidRPr="00B32C7A">
        <w:rPr>
          <w:lang w:val="es-ES"/>
        </w:rPr>
        <w:tab/>
      </w:r>
      <w:r w:rsidR="008973FA" w:rsidRPr="00B32C7A">
        <w:rPr>
          <w:lang w:val="es-ES"/>
        </w:rPr>
        <w:t xml:space="preserve">aumentar </w:t>
      </w:r>
      <w:r w:rsidRPr="00B32C7A">
        <w:rPr>
          <w:lang w:val="es-ES"/>
        </w:rPr>
        <w:t>las contribuciones voluntarias.</w:t>
      </w:r>
    </w:p>
    <w:p w14:paraId="739B4B96" w14:textId="73DE7403" w:rsidR="0044523E" w:rsidRPr="00B32C7A" w:rsidRDefault="0044523E" w:rsidP="008973FA">
      <w:pPr>
        <w:jc w:val="both"/>
        <w:rPr>
          <w:lang w:val="es-ES"/>
        </w:rPr>
      </w:pPr>
      <w:r w:rsidRPr="00B32C7A">
        <w:rPr>
          <w:lang w:val="es-ES"/>
        </w:rPr>
        <w:t>Se han iniciado los trabajos sobre 18 (75 %) de</w:t>
      </w:r>
      <w:r w:rsidR="00942324" w:rsidRPr="00B32C7A">
        <w:rPr>
          <w:lang w:val="es-ES"/>
        </w:rPr>
        <w:t xml:space="preserve"> </w:t>
      </w:r>
      <w:r w:rsidRPr="00B32C7A">
        <w:rPr>
          <w:lang w:val="es-ES"/>
        </w:rPr>
        <w:t>las 24 líneas de acción. Dos líneas de acción se consideraron muy prioritarias y se completaron en 2025 y las seis restantes seguirán evaluándose, previéndose su implementación y compleción durante el periodo</w:t>
      </w:r>
      <w:r w:rsidRPr="00B32C7A">
        <w:rPr>
          <w:rFonts w:eastAsiaTheme="minorEastAsia"/>
          <w:lang w:val="es-ES"/>
        </w:rPr>
        <w:t xml:space="preserve"> 2026-2028.</w:t>
      </w:r>
      <w:r w:rsidRPr="00B32C7A">
        <w:rPr>
          <w:rFonts w:eastAsia="Calibri"/>
          <w:lang w:val="es-ES"/>
        </w:rPr>
        <w:t xml:space="preserve"> Como primer paso hacia una hoja de ruta con plazos y objetivos, la Secretaría ha preparado un panel (véase</w:t>
      </w:r>
      <w:r w:rsidRPr="00B32C7A">
        <w:rPr>
          <w:lang w:val="es-ES"/>
        </w:rPr>
        <w:t xml:space="preserve"> </w:t>
      </w:r>
      <w:r w:rsidR="008973FA">
        <w:rPr>
          <w:lang w:val="es-ES"/>
        </w:rPr>
        <w:t xml:space="preserve">Documento </w:t>
      </w:r>
      <w:hyperlink r:id="rId26" w:history="1">
        <w:proofErr w:type="spellStart"/>
        <w:r w:rsidRPr="00B32C7A">
          <w:rPr>
            <w:rStyle w:val="Hyperlink"/>
            <w:rFonts w:eastAsia="Calibri" w:cs="Calibri"/>
            <w:szCs w:val="24"/>
            <w:lang w:val="es-ES"/>
          </w:rPr>
          <w:t>C26</w:t>
        </w:r>
        <w:proofErr w:type="spellEnd"/>
        <w:r w:rsidRPr="00B32C7A">
          <w:rPr>
            <w:rStyle w:val="Hyperlink"/>
            <w:rFonts w:eastAsia="Calibri" w:cs="Calibri"/>
            <w:szCs w:val="24"/>
            <w:lang w:val="es-ES"/>
          </w:rPr>
          <w:t>/INF/14</w:t>
        </w:r>
      </w:hyperlink>
      <w:r w:rsidRPr="00B32C7A">
        <w:rPr>
          <w:lang w:val="es-ES"/>
        </w:rPr>
        <w:t xml:space="preserve">) donde se consigna la situación de la implementación de cada una de las líneas de acción. </w:t>
      </w:r>
    </w:p>
    <w:p w14:paraId="27AFB4C0" w14:textId="77777777" w:rsidR="0044523E" w:rsidRPr="00B32C7A" w:rsidRDefault="0044523E" w:rsidP="008973FA">
      <w:pPr>
        <w:jc w:val="both"/>
        <w:rPr>
          <w:lang w:val="es-ES"/>
        </w:rPr>
      </w:pPr>
      <w:r w:rsidRPr="00B32C7A">
        <w:rPr>
          <w:lang w:val="es-ES"/>
        </w:rPr>
        <w:t xml:space="preserve">A </w:t>
      </w:r>
      <w:proofErr w:type="gramStart"/>
      <w:r w:rsidRPr="00B32C7A">
        <w:rPr>
          <w:lang w:val="es-ES"/>
        </w:rPr>
        <w:t>continuación</w:t>
      </w:r>
      <w:proofErr w:type="gramEnd"/>
      <w:r w:rsidRPr="00B32C7A">
        <w:rPr>
          <w:lang w:val="es-ES"/>
        </w:rPr>
        <w:t xml:space="preserve"> se destacan las prioridades para 2025 y 2026; puede consultarse la información resumida sobre la implementación en el </w:t>
      </w:r>
      <w:hyperlink w:anchor="Annex1" w:history="1">
        <w:r w:rsidRPr="00B32C7A">
          <w:rPr>
            <w:rStyle w:val="Hyperlink"/>
            <w:rFonts w:asciiTheme="minorHAnsi" w:hAnsiTheme="minorHAnsi" w:cstheme="minorHAnsi"/>
            <w:lang w:val="es-ES"/>
          </w:rPr>
          <w:t>Anexo 1</w:t>
        </w:r>
      </w:hyperlink>
      <w:r w:rsidRPr="00B32C7A">
        <w:rPr>
          <w:lang w:val="es-ES"/>
        </w:rPr>
        <w:t>.</w:t>
      </w:r>
    </w:p>
    <w:p w14:paraId="1AB5FBF3" w14:textId="77777777" w:rsidR="0044523E" w:rsidRPr="00B32C7A" w:rsidRDefault="0044523E" w:rsidP="0044523E">
      <w:pPr>
        <w:pStyle w:val="Headingb"/>
        <w:rPr>
          <w:lang w:val="es-ES"/>
        </w:rPr>
      </w:pPr>
      <w:r w:rsidRPr="00B32C7A">
        <w:rPr>
          <w:lang w:val="es-ES"/>
        </w:rPr>
        <w:t>Áreas prioritarias para acción inmediata</w:t>
      </w:r>
    </w:p>
    <w:p w14:paraId="528F56B8" w14:textId="5760F745" w:rsidR="0044523E" w:rsidRPr="00B32C7A" w:rsidRDefault="0044523E" w:rsidP="00107CBE">
      <w:pPr>
        <w:jc w:val="both"/>
        <w:rPr>
          <w:lang w:val="es-ES"/>
        </w:rPr>
      </w:pPr>
      <w:r w:rsidRPr="00B32C7A">
        <w:rPr>
          <w:lang w:val="es-ES"/>
        </w:rPr>
        <w:t>Cerca del 70 % del presupuesto ordinario de la UIT procede de las contribuciones unitarias de los Estados Miembros, por lo que garantizar esta fuente de ingresos ha sido la principal prioridad de la estrategia en 2025 y 2026, seguida de las contribuciones de los Miembros de Sector, que representan otro 10 %. En lo que respecta a los eventos, productos y servicios, así como a las contribuciones voluntarias, hay margen para ampliar esos ingresos, pero para ello serán necesarias importantes inversiones en competencias nuevas/mejoradas, racionalización de procesos y plataformas digitales, que en la actualidad se están evaluando y desarrollando en el marco de la hoja de ruta para la transformación de la UIT.</w:t>
      </w:r>
    </w:p>
    <w:p w14:paraId="5FFEA895" w14:textId="77777777" w:rsidR="0044523E" w:rsidRPr="00B32C7A" w:rsidRDefault="0044523E" w:rsidP="0044523E">
      <w:pPr>
        <w:pStyle w:val="Heading1"/>
        <w:rPr>
          <w:lang w:val="es-ES"/>
        </w:rPr>
      </w:pPr>
      <w:r w:rsidRPr="00B32C7A">
        <w:rPr>
          <w:lang w:val="es-ES"/>
        </w:rPr>
        <w:t>1</w:t>
      </w:r>
      <w:r w:rsidRPr="00B32C7A">
        <w:rPr>
          <w:lang w:val="es-ES"/>
        </w:rPr>
        <w:tab/>
        <w:t>Garantizar los ingresos unitarios de los Estados Miembros</w:t>
      </w:r>
    </w:p>
    <w:p w14:paraId="479650DE" w14:textId="0DF6541B" w:rsidR="0044523E" w:rsidRPr="00107CBE" w:rsidRDefault="0044523E" w:rsidP="00107CBE">
      <w:pPr>
        <w:jc w:val="both"/>
        <w:rPr>
          <w:spacing w:val="-2"/>
          <w:lang w:val="es-ES"/>
        </w:rPr>
      </w:pPr>
      <w:r w:rsidRPr="00107CBE">
        <w:rPr>
          <w:spacing w:val="-2"/>
          <w:lang w:val="es-ES"/>
        </w:rPr>
        <w:t>De conformidad con el Acuerdo 5 (Rev. Bucarest, 2022), el Consejo de 2025 fijó el importe preliminar la unidad contributiva para el periodo 2028-2031. A continuación, la Secretaría envió una Carta Circular (</w:t>
      </w:r>
      <w:hyperlink r:id="rId27">
        <w:r w:rsidRPr="00107CBE">
          <w:rPr>
            <w:rStyle w:val="Hyperlink"/>
            <w:rFonts w:asciiTheme="minorHAnsi" w:hAnsiTheme="minorHAnsi"/>
            <w:spacing w:val="-2"/>
            <w:lang w:val="es-ES"/>
          </w:rPr>
          <w:t>CL-25/36</w:t>
        </w:r>
      </w:hyperlink>
      <w:r w:rsidRPr="00107CBE">
        <w:rPr>
          <w:spacing w:val="-2"/>
          <w:lang w:val="es-ES"/>
        </w:rPr>
        <w:t xml:space="preserve">) en la que solicitaba a los Estados Miembros que anunciasen su clase de contribución provisional para el periodo 2028-2031 antes de que finalizase el año civil 2025. Como se indica en el Documento </w:t>
      </w:r>
      <w:hyperlink r:id="rId28" w:history="1">
        <w:proofErr w:type="spellStart"/>
        <w:r w:rsidRPr="00107CBE">
          <w:rPr>
            <w:rStyle w:val="Hyperlink"/>
            <w:rFonts w:asciiTheme="minorHAnsi" w:hAnsiTheme="minorHAnsi"/>
            <w:spacing w:val="-2"/>
            <w:lang w:val="es-ES"/>
          </w:rPr>
          <w:t>C26</w:t>
        </w:r>
        <w:proofErr w:type="spellEnd"/>
        <w:r w:rsidRPr="00107CBE">
          <w:rPr>
            <w:rStyle w:val="Hyperlink"/>
            <w:rFonts w:asciiTheme="minorHAnsi" w:hAnsiTheme="minorHAnsi"/>
            <w:spacing w:val="-2"/>
            <w:lang w:val="es-ES"/>
          </w:rPr>
          <w:t>/47</w:t>
        </w:r>
      </w:hyperlink>
      <w:r w:rsidRPr="00107CBE">
        <w:rPr>
          <w:spacing w:val="-2"/>
          <w:lang w:val="es-ES"/>
        </w:rPr>
        <w:t>, se han recibido las respuestas de 42 Estados Miembros, en las que 40 de ellos confirman que mantendrán su nivel de contribución actual y los dos restantes anuncian su intención de reducir su nivel de contribución.</w:t>
      </w:r>
      <w:r w:rsidR="00942324" w:rsidRPr="00107CBE">
        <w:rPr>
          <w:spacing w:val="-2"/>
          <w:lang w:val="es-ES"/>
        </w:rPr>
        <w:t xml:space="preserve"> </w:t>
      </w:r>
    </w:p>
    <w:p w14:paraId="6CA92E56" w14:textId="2A715EA5" w:rsidR="0044523E" w:rsidRPr="00B32C7A" w:rsidRDefault="0044523E" w:rsidP="00107CBE">
      <w:pPr>
        <w:jc w:val="both"/>
        <w:rPr>
          <w:lang w:val="es-ES"/>
        </w:rPr>
      </w:pPr>
      <w:r w:rsidRPr="00B32C7A">
        <w:rPr>
          <w:lang w:val="es-ES"/>
        </w:rPr>
        <w:lastRenderedPageBreak/>
        <w:t>En su empeño por incitar a los Estados Miembros a garantizar o aumentar su número de unidades contributivas a la UIT en el marco de sus administraciones nacionales, y de acuerdo con la estrategia de movilización de recursos, la Secretaría preparó un folleto-e titulado</w:t>
      </w:r>
      <w:r w:rsidR="00F03CDC" w:rsidRPr="00B32C7A">
        <w:rPr>
          <w:lang w:val="es-ES"/>
        </w:rPr>
        <w:t xml:space="preserve"> </w:t>
      </w:r>
      <w:r w:rsidR="00942324" w:rsidRPr="00B32C7A">
        <w:rPr>
          <w:lang w:val="es-ES"/>
        </w:rPr>
        <w:t>"</w:t>
      </w:r>
      <w:hyperlink r:id="rId29" w:history="1">
        <w:r w:rsidRPr="00B32C7A">
          <w:rPr>
            <w:rStyle w:val="Hyperlink"/>
            <w:lang w:val="es-ES"/>
          </w:rPr>
          <w:t>Por qué es importante la UIT: Argumentos a favor de la inversión</w:t>
        </w:r>
      </w:hyperlink>
      <w:r w:rsidR="00942324" w:rsidRPr="00B32C7A">
        <w:rPr>
          <w:lang w:val="es-ES"/>
        </w:rPr>
        <w:t>"</w:t>
      </w:r>
      <w:r w:rsidRPr="00B32C7A">
        <w:rPr>
          <w:lang w:val="es-ES"/>
        </w:rPr>
        <w:t xml:space="preserve">, distribuido a los Miembros en la Carta Circular </w:t>
      </w:r>
      <w:hyperlink r:id="rId30" w:history="1">
        <w:r w:rsidRPr="00B32C7A">
          <w:rPr>
            <w:rStyle w:val="Hyperlink"/>
            <w:rFonts w:asciiTheme="minorHAnsi" w:hAnsiTheme="minorHAnsi" w:cstheme="minorHAnsi"/>
            <w:lang w:val="es-ES"/>
          </w:rPr>
          <w:t>CL-25/36</w:t>
        </w:r>
      </w:hyperlink>
      <w:r w:rsidRPr="00B32C7A">
        <w:rPr>
          <w:lang w:val="es-ES"/>
        </w:rPr>
        <w:t>.</w:t>
      </w:r>
    </w:p>
    <w:p w14:paraId="31638358" w14:textId="77777777" w:rsidR="0044523E" w:rsidRPr="00B32C7A" w:rsidRDefault="0044523E" w:rsidP="0044523E">
      <w:pPr>
        <w:pStyle w:val="Heading1"/>
        <w:rPr>
          <w:lang w:val="es-ES"/>
        </w:rPr>
      </w:pPr>
      <w:r w:rsidRPr="00B32C7A">
        <w:rPr>
          <w:lang w:val="es-ES"/>
        </w:rPr>
        <w:t>2</w:t>
      </w:r>
      <w:r w:rsidRPr="00B32C7A">
        <w:rPr>
          <w:lang w:val="es-ES"/>
        </w:rPr>
        <w:tab/>
        <w:t>Aumentar la participación de los Miembros de Sector</w:t>
      </w:r>
    </w:p>
    <w:p w14:paraId="51B2823C" w14:textId="77777777" w:rsidR="0044523E" w:rsidRPr="00B32C7A" w:rsidRDefault="0044523E" w:rsidP="00107CBE">
      <w:pPr>
        <w:jc w:val="both"/>
        <w:rPr>
          <w:rFonts w:asciiTheme="minorHAnsi" w:hAnsiTheme="minorHAnsi" w:cstheme="minorBidi"/>
          <w:lang w:val="es-ES"/>
        </w:rPr>
      </w:pPr>
      <w:r w:rsidRPr="00B32C7A">
        <w:rPr>
          <w:rFonts w:asciiTheme="minorHAnsi" w:hAnsiTheme="minorHAnsi" w:cstheme="minorBidi"/>
          <w:lang w:val="es-ES"/>
        </w:rPr>
        <w:t xml:space="preserve">La Secretaría está revisando los beneficios de que disfrutan los Miembros de Sector y ha celebrado consultas con los Grupos Asesores de los Sectores para garantizar que esos beneficios responden a las expectativas. También se han celebrado consultas con los Miembros de Sector en cuanto a sus prioridades. Los resultados de esa consulta ayudarán a la UIT a </w:t>
      </w:r>
      <w:r w:rsidRPr="00B32C7A">
        <w:rPr>
          <w:lang w:val="es-ES"/>
        </w:rPr>
        <w:t>armonizar</w:t>
      </w:r>
      <w:r w:rsidRPr="00B32C7A">
        <w:rPr>
          <w:rFonts w:asciiTheme="minorHAnsi" w:hAnsiTheme="minorHAnsi" w:cstheme="minorBidi"/>
          <w:lang w:val="es-ES"/>
        </w:rPr>
        <w:t xml:space="preserve"> su oferta con los intereses de los Miembros. Se están llevando a cabo campañas de venta cruzada para animar a los Miembros de Sector existentes a adherirse a múltiples Sectores y a los Asociados a elevar su categoría a Miembro de Sector.</w:t>
      </w:r>
    </w:p>
    <w:p w14:paraId="483B2BA3" w14:textId="0FD98C73" w:rsidR="0044523E" w:rsidRPr="00B32C7A" w:rsidRDefault="0044523E" w:rsidP="00107CBE">
      <w:pPr>
        <w:jc w:val="both"/>
        <w:rPr>
          <w:lang w:val="es-ES"/>
        </w:rPr>
      </w:pPr>
      <w:r w:rsidRPr="00B32C7A">
        <w:rPr>
          <w:lang w:val="es-ES"/>
        </w:rPr>
        <w:t>Se han identificado las partes subrepresentadas del ecosistema digital, así como 70 Estados Miembros que carecen de representación a nivel de Miembros de Sector, Asociados o Instituciones Académicas, a fin de emprender campañas personalizadas para garantizar la mayor diversidad posible entre la membresía de la UIT. Se están revisando los materiales promocionales, que podrán consultarse en el sitio web de la UIT (</w:t>
      </w:r>
      <w:hyperlink r:id="rId31">
        <w:r w:rsidRPr="00B32C7A">
          <w:rPr>
            <w:rStyle w:val="Hyperlink"/>
            <w:lang w:val="es-ES"/>
          </w:rPr>
          <w:t>aquí</w:t>
        </w:r>
      </w:hyperlink>
      <w:r w:rsidRPr="00B32C7A">
        <w:rPr>
          <w:lang w:val="es-ES"/>
        </w:rPr>
        <w:t>). Estas campañas tendrán por objetivo sensibilizar a todos los sectores y promover la adhesión.</w:t>
      </w:r>
    </w:p>
    <w:p w14:paraId="2105DF03" w14:textId="53483428" w:rsidR="0044523E" w:rsidRPr="00B32C7A" w:rsidRDefault="0044523E" w:rsidP="00107CBE">
      <w:pPr>
        <w:jc w:val="both"/>
        <w:rPr>
          <w:lang w:val="es-ES"/>
        </w:rPr>
      </w:pPr>
      <w:r w:rsidRPr="00B32C7A">
        <w:rPr>
          <w:lang w:val="es-ES"/>
        </w:rPr>
        <w:t>Pueden encontrarse los datos específicos sobre la composición de los Sectores (Miembros de Sector, Asociados e Instituciones Académicas) al 31 de diciembre de 2025 en el Documento</w:t>
      </w:r>
      <w:r w:rsidR="00107CBE">
        <w:rPr>
          <w:lang w:val="es-ES"/>
        </w:rPr>
        <w:t> </w:t>
      </w:r>
      <w:proofErr w:type="spellStart"/>
      <w:r>
        <w:fldChar w:fldCharType="begin"/>
      </w:r>
      <w:r w:rsidRPr="009B543B">
        <w:rPr>
          <w:lang w:val="es-ES"/>
        </w:rPr>
        <w:instrText>HYPERLINK "https://www.itu.int/md/S26-CL-INF-0014/es"</w:instrText>
      </w:r>
      <w:r>
        <w:fldChar w:fldCharType="separate"/>
      </w:r>
      <w:r w:rsidRPr="00B32C7A">
        <w:rPr>
          <w:rStyle w:val="Hyperlink"/>
          <w:rFonts w:eastAsia="Calibri" w:cs="Calibri"/>
          <w:szCs w:val="24"/>
          <w:lang w:val="es-ES"/>
        </w:rPr>
        <w:t>C26</w:t>
      </w:r>
      <w:proofErr w:type="spellEnd"/>
      <w:r w:rsidRPr="00B32C7A">
        <w:rPr>
          <w:rStyle w:val="Hyperlink"/>
          <w:rFonts w:eastAsia="Calibri" w:cs="Calibri"/>
          <w:szCs w:val="24"/>
          <w:lang w:val="es-ES"/>
        </w:rPr>
        <w:t>/INF/14</w:t>
      </w:r>
      <w:r>
        <w:fldChar w:fldCharType="end"/>
      </w:r>
      <w:r w:rsidRPr="00B32C7A">
        <w:rPr>
          <w:lang w:val="es-ES"/>
        </w:rPr>
        <w:t>.</w:t>
      </w:r>
    </w:p>
    <w:p w14:paraId="794944E9" w14:textId="77777777" w:rsidR="0044523E" w:rsidRPr="00B32C7A" w:rsidRDefault="0044523E" w:rsidP="0044523E">
      <w:pPr>
        <w:pStyle w:val="Heading1"/>
        <w:rPr>
          <w:lang w:val="es-ES"/>
        </w:rPr>
      </w:pPr>
      <w:r w:rsidRPr="00B32C7A">
        <w:rPr>
          <w:lang w:val="es-ES"/>
        </w:rPr>
        <w:t>3</w:t>
      </w:r>
      <w:r w:rsidRPr="00B32C7A">
        <w:rPr>
          <w:lang w:val="es-ES"/>
        </w:rPr>
        <w:tab/>
        <w:t>Transformación como factor habilitador de la aplicación de la estrategia de movilización de recursos</w:t>
      </w:r>
    </w:p>
    <w:p w14:paraId="0AE5A226" w14:textId="12B4B11C" w:rsidR="0044523E" w:rsidRPr="00B32C7A" w:rsidRDefault="0044523E" w:rsidP="00107CBE">
      <w:pPr>
        <w:jc w:val="both"/>
        <w:rPr>
          <w:rFonts w:asciiTheme="minorHAnsi" w:hAnsiTheme="minorHAnsi" w:cstheme="minorBidi"/>
          <w:lang w:val="es-ES"/>
        </w:rPr>
      </w:pPr>
      <w:r w:rsidRPr="00B32C7A">
        <w:rPr>
          <w:rFonts w:asciiTheme="minorHAnsi" w:hAnsiTheme="minorHAnsi" w:cstheme="minorBidi"/>
          <w:lang w:val="es-ES"/>
        </w:rPr>
        <w:t xml:space="preserve">Como parte de la hoja de ruta de transformación se están implementando nuevos sistemas digitales y de IA para permitir una gestión de cuentas coordinada más efectiva y mejorar el alcance informativo de la UIT a los Miembros, donantes y socios, cuya configuración técnica se efectuará </w:t>
      </w:r>
      <w:r w:rsidRPr="00B32C7A">
        <w:rPr>
          <w:lang w:val="es-ES"/>
        </w:rPr>
        <w:t>durante</w:t>
      </w:r>
      <w:r w:rsidRPr="00B32C7A">
        <w:rPr>
          <w:rFonts w:asciiTheme="minorHAnsi" w:hAnsiTheme="minorHAnsi" w:cstheme="minorBidi"/>
          <w:lang w:val="es-ES"/>
        </w:rPr>
        <w:t xml:space="preserve"> el primer y segundo trimestres de 2026, a lo que seguirá la aplicación piloto durante el resto de 2026 y parte de 2027. Esta inversión apoyará las áreas de acción 1)</w:t>
      </w:r>
      <w:r w:rsidR="00943622" w:rsidRPr="00B32C7A">
        <w:rPr>
          <w:rFonts w:asciiTheme="minorHAnsi" w:hAnsiTheme="minorHAnsi" w:cstheme="minorBidi"/>
          <w:lang w:val="es-ES"/>
        </w:rPr>
        <w:t> </w:t>
      </w:r>
      <w:r w:rsidRPr="00B32C7A">
        <w:rPr>
          <w:rFonts w:asciiTheme="minorHAnsi" w:hAnsiTheme="minorHAnsi" w:cstheme="minorBidi"/>
          <w:lang w:val="es-ES"/>
        </w:rPr>
        <w:t>fortalecer las contribuciones de los Miembros y 3) aumentar las contribuciones voluntarias.</w:t>
      </w:r>
    </w:p>
    <w:p w14:paraId="268A36E4" w14:textId="38FB2F5A" w:rsidR="0044523E" w:rsidRPr="00B32C7A" w:rsidRDefault="0044523E" w:rsidP="00107CBE">
      <w:pPr>
        <w:jc w:val="both"/>
        <w:rPr>
          <w:lang w:val="es-ES"/>
        </w:rPr>
      </w:pPr>
      <w:r w:rsidRPr="00B32C7A">
        <w:rPr>
          <w:lang w:val="es-ES"/>
        </w:rPr>
        <w:t>Otros esfuerzos de transformación para racionalizar y automatizar los procesos institucionales correspondientes a la contratación de expertos y la adquisición de servicios en 2026 aumentarán la capacidad de la UIT para ejecutar proyectos dentro de los límites temporales y presupuestarios impartidos, por lo que son factores habilitadores fundamentales para el área de acción 3: aumentar las contribuciones voluntarias. Una rápida obtención de resultados generará confianza en los donantes y alentará la renovación del apoyo prestado durante periodos más largos, lo que permitirá a la UIT adaptar la movilización de recursos. Se necesitan importantes inversiones en plataformas digitales adicionales y en dotar al personal de las capacidades y competencias especializadas necesarias para implementar las recomendaciones en el área de acción 2) impulsar los eventos, productos y servicios.</w:t>
      </w:r>
    </w:p>
    <w:p w14:paraId="4AE46DFC" w14:textId="1F059F06" w:rsidR="00943622" w:rsidRPr="00B32C7A" w:rsidRDefault="0044523E" w:rsidP="00107CBE">
      <w:pPr>
        <w:spacing w:before="480"/>
        <w:jc w:val="both"/>
        <w:rPr>
          <w:rFonts w:asciiTheme="minorHAnsi" w:hAnsiTheme="minorHAnsi" w:cstheme="minorBidi"/>
          <w:lang w:val="es-ES"/>
        </w:rPr>
      </w:pPr>
      <w:r w:rsidRPr="00B32C7A">
        <w:rPr>
          <w:b/>
          <w:bCs/>
          <w:lang w:val="es-ES"/>
        </w:rPr>
        <w:t xml:space="preserve">Anexo: </w:t>
      </w:r>
      <w:r w:rsidRPr="00B32C7A">
        <w:rPr>
          <w:lang w:val="es-ES"/>
        </w:rPr>
        <w:t>1</w:t>
      </w:r>
      <w:r w:rsidR="00943622" w:rsidRPr="00B32C7A">
        <w:rPr>
          <w:rFonts w:asciiTheme="minorHAnsi" w:hAnsiTheme="minorHAnsi" w:cstheme="minorBidi"/>
          <w:lang w:val="es-ES"/>
        </w:rPr>
        <w:br w:type="page"/>
      </w:r>
    </w:p>
    <w:p w14:paraId="2F45A14C" w14:textId="77777777" w:rsidR="0044523E" w:rsidRPr="00B32C7A" w:rsidRDefault="0044523E" w:rsidP="0044523E">
      <w:pPr>
        <w:pStyle w:val="AnnexNo"/>
        <w:rPr>
          <w:lang w:val="es-ES"/>
        </w:rPr>
      </w:pPr>
      <w:bookmarkStart w:id="3" w:name="Annex1"/>
      <w:bookmarkEnd w:id="3"/>
      <w:r w:rsidRPr="00B32C7A">
        <w:rPr>
          <w:lang w:val="es-ES"/>
        </w:rPr>
        <w:lastRenderedPageBreak/>
        <w:t>AnexO 1</w:t>
      </w:r>
    </w:p>
    <w:p w14:paraId="1D49B727" w14:textId="77777777" w:rsidR="0044523E" w:rsidRPr="00B32C7A" w:rsidRDefault="0044523E" w:rsidP="0044523E">
      <w:pPr>
        <w:pStyle w:val="Annextitle"/>
        <w:rPr>
          <w:lang w:val="es-ES"/>
        </w:rPr>
      </w:pPr>
      <w:r w:rsidRPr="00B32C7A">
        <w:rPr>
          <w:lang w:val="es-ES"/>
        </w:rPr>
        <w:t>Prioridades para 2025 y 2026</w:t>
      </w:r>
    </w:p>
    <w:tbl>
      <w:tblPr>
        <w:tblW w:w="9340" w:type="dxa"/>
        <w:tblLook w:val="04A0" w:firstRow="1" w:lastRow="0" w:firstColumn="1" w:lastColumn="0" w:noHBand="0" w:noVBand="1"/>
      </w:tblPr>
      <w:tblGrid>
        <w:gridCol w:w="5240"/>
        <w:gridCol w:w="2268"/>
        <w:gridCol w:w="1832"/>
      </w:tblGrid>
      <w:tr w:rsidR="0044523E" w:rsidRPr="00B32C7A" w14:paraId="5FC4C759" w14:textId="77777777" w:rsidTr="009D68C9">
        <w:tc>
          <w:tcPr>
            <w:tcW w:w="5240" w:type="dxa"/>
            <w:tcBorders>
              <w:top w:val="single" w:sz="4" w:space="0" w:color="auto"/>
              <w:left w:val="single" w:sz="4" w:space="0" w:color="auto"/>
              <w:bottom w:val="single" w:sz="4" w:space="0" w:color="auto"/>
              <w:right w:val="single" w:sz="4" w:space="0" w:color="auto"/>
            </w:tcBorders>
            <w:noWrap/>
            <w:hideMark/>
          </w:tcPr>
          <w:p w14:paraId="30042524" w14:textId="77777777" w:rsidR="0044523E" w:rsidRPr="00B32C7A" w:rsidRDefault="0044523E" w:rsidP="009D68C9">
            <w:pPr>
              <w:pStyle w:val="Tablehead"/>
              <w:rPr>
                <w:lang w:val="es-ES" w:eastAsia="en-GB"/>
              </w:rPr>
            </w:pPr>
            <w:r w:rsidRPr="00B32C7A">
              <w:rPr>
                <w:lang w:val="es-ES" w:eastAsia="en-GB"/>
              </w:rPr>
              <w:t>Acción</w:t>
            </w:r>
          </w:p>
        </w:tc>
        <w:tc>
          <w:tcPr>
            <w:tcW w:w="2268" w:type="dxa"/>
            <w:tcBorders>
              <w:top w:val="single" w:sz="4" w:space="0" w:color="auto"/>
              <w:left w:val="nil"/>
              <w:bottom w:val="single" w:sz="4" w:space="0" w:color="auto"/>
              <w:right w:val="single" w:sz="4" w:space="0" w:color="auto"/>
            </w:tcBorders>
            <w:noWrap/>
            <w:vAlign w:val="center"/>
            <w:hideMark/>
          </w:tcPr>
          <w:p w14:paraId="2A11A4FB" w14:textId="77777777" w:rsidR="0044523E" w:rsidRPr="00B32C7A" w:rsidRDefault="0044523E" w:rsidP="009D68C9">
            <w:pPr>
              <w:pStyle w:val="Tablehead"/>
              <w:rPr>
                <w:lang w:val="es-ES" w:eastAsia="en-GB"/>
              </w:rPr>
            </w:pPr>
            <w:r w:rsidRPr="00B32C7A">
              <w:rPr>
                <w:lang w:val="es-ES" w:eastAsia="en-GB"/>
              </w:rPr>
              <w:t>Objetivo</w:t>
            </w:r>
          </w:p>
        </w:tc>
        <w:tc>
          <w:tcPr>
            <w:tcW w:w="1832" w:type="dxa"/>
            <w:tcBorders>
              <w:top w:val="single" w:sz="4" w:space="0" w:color="auto"/>
              <w:left w:val="nil"/>
              <w:bottom w:val="single" w:sz="4" w:space="0" w:color="auto"/>
              <w:right w:val="single" w:sz="4" w:space="0" w:color="auto"/>
            </w:tcBorders>
            <w:noWrap/>
            <w:vAlign w:val="center"/>
            <w:hideMark/>
          </w:tcPr>
          <w:p w14:paraId="01F2EEEE" w14:textId="77777777" w:rsidR="0044523E" w:rsidRPr="00B32C7A" w:rsidRDefault="0044523E" w:rsidP="009D68C9">
            <w:pPr>
              <w:pStyle w:val="Tablehead"/>
              <w:rPr>
                <w:lang w:val="es-ES" w:eastAsia="en-GB"/>
              </w:rPr>
            </w:pPr>
            <w:r w:rsidRPr="00B32C7A">
              <w:rPr>
                <w:lang w:val="es-ES" w:eastAsia="en-GB"/>
              </w:rPr>
              <w:t>Plazo</w:t>
            </w:r>
          </w:p>
        </w:tc>
      </w:tr>
      <w:tr w:rsidR="0044523E" w:rsidRPr="00B32C7A" w14:paraId="5C2E8C14" w14:textId="77777777" w:rsidTr="009D68C9">
        <w:tc>
          <w:tcPr>
            <w:tcW w:w="5240" w:type="dxa"/>
            <w:tcBorders>
              <w:top w:val="nil"/>
              <w:left w:val="single" w:sz="4" w:space="0" w:color="auto"/>
              <w:bottom w:val="single" w:sz="4" w:space="0" w:color="auto"/>
              <w:right w:val="single" w:sz="4" w:space="0" w:color="auto"/>
            </w:tcBorders>
            <w:hideMark/>
          </w:tcPr>
          <w:p w14:paraId="1B208597" w14:textId="77777777" w:rsidR="0044523E" w:rsidRPr="00B32C7A" w:rsidRDefault="0044523E" w:rsidP="009D68C9">
            <w:pPr>
              <w:pStyle w:val="Tabletext"/>
              <w:rPr>
                <w:color w:val="000000"/>
                <w:lang w:val="es-ES" w:eastAsia="en-GB"/>
              </w:rPr>
            </w:pPr>
            <w:r w:rsidRPr="00B32C7A">
              <w:rPr>
                <w:color w:val="000000"/>
                <w:lang w:val="es-ES" w:eastAsia="en-GB"/>
              </w:rPr>
              <w:t>Nuevos materiales informativos y promocionales destinados a los directivos que los delegados podrán utilizar cuando recurran a la asistencia de la UIT en sus administraciones nacionales.</w:t>
            </w:r>
          </w:p>
        </w:tc>
        <w:tc>
          <w:tcPr>
            <w:tcW w:w="2268" w:type="dxa"/>
            <w:tcBorders>
              <w:top w:val="nil"/>
              <w:left w:val="nil"/>
              <w:bottom w:val="single" w:sz="4" w:space="0" w:color="auto"/>
              <w:right w:val="single" w:sz="4" w:space="0" w:color="auto"/>
            </w:tcBorders>
            <w:noWrap/>
            <w:vAlign w:val="center"/>
            <w:hideMark/>
          </w:tcPr>
          <w:p w14:paraId="49B1BDAF" w14:textId="77777777" w:rsidR="0044523E" w:rsidRPr="00B32C7A" w:rsidRDefault="0044523E" w:rsidP="009D68C9">
            <w:pPr>
              <w:pStyle w:val="Tabletext"/>
              <w:jc w:val="center"/>
              <w:rPr>
                <w:color w:val="000000"/>
                <w:lang w:val="es-ES" w:eastAsia="en-GB"/>
              </w:rPr>
            </w:pPr>
            <w:r w:rsidRPr="00B32C7A">
              <w:rPr>
                <w:color w:val="000000"/>
                <w:lang w:val="es-ES" w:eastAsia="en-GB"/>
              </w:rPr>
              <w:t>Completado</w:t>
            </w:r>
          </w:p>
        </w:tc>
        <w:tc>
          <w:tcPr>
            <w:tcW w:w="1832" w:type="dxa"/>
            <w:tcBorders>
              <w:top w:val="nil"/>
              <w:left w:val="nil"/>
              <w:bottom w:val="single" w:sz="4" w:space="0" w:color="auto"/>
              <w:right w:val="single" w:sz="4" w:space="0" w:color="auto"/>
            </w:tcBorders>
            <w:noWrap/>
            <w:vAlign w:val="center"/>
            <w:hideMark/>
          </w:tcPr>
          <w:p w14:paraId="42C6B585" w14:textId="77777777" w:rsidR="0044523E" w:rsidRPr="00B32C7A" w:rsidRDefault="0044523E" w:rsidP="009D68C9">
            <w:pPr>
              <w:pStyle w:val="Tabletext"/>
              <w:jc w:val="center"/>
              <w:rPr>
                <w:color w:val="000000"/>
                <w:lang w:val="es-ES" w:eastAsia="en-GB"/>
              </w:rPr>
            </w:pPr>
            <w:proofErr w:type="spellStart"/>
            <w:r w:rsidRPr="00B32C7A">
              <w:rPr>
                <w:color w:val="000000"/>
                <w:lang w:val="es-ES" w:eastAsia="en-GB"/>
              </w:rPr>
              <w:t>T3</w:t>
            </w:r>
            <w:proofErr w:type="spellEnd"/>
            <w:r w:rsidRPr="00B32C7A">
              <w:rPr>
                <w:color w:val="000000"/>
                <w:lang w:val="es-ES" w:eastAsia="en-GB"/>
              </w:rPr>
              <w:t xml:space="preserve"> 2025</w:t>
            </w:r>
          </w:p>
        </w:tc>
      </w:tr>
      <w:tr w:rsidR="0044523E" w:rsidRPr="00B32C7A" w14:paraId="17023B5D" w14:textId="77777777" w:rsidTr="009D68C9">
        <w:tc>
          <w:tcPr>
            <w:tcW w:w="5240" w:type="dxa"/>
            <w:tcBorders>
              <w:top w:val="nil"/>
              <w:left w:val="single" w:sz="4" w:space="0" w:color="auto"/>
              <w:bottom w:val="single" w:sz="4" w:space="0" w:color="auto"/>
              <w:right w:val="single" w:sz="4" w:space="0" w:color="auto"/>
            </w:tcBorders>
            <w:hideMark/>
          </w:tcPr>
          <w:p w14:paraId="00C0B02A" w14:textId="77777777" w:rsidR="0044523E" w:rsidRPr="00B32C7A" w:rsidRDefault="0044523E" w:rsidP="009D68C9">
            <w:pPr>
              <w:pStyle w:val="Tabletext"/>
              <w:rPr>
                <w:color w:val="000000"/>
                <w:lang w:val="es-ES" w:eastAsia="en-GB"/>
              </w:rPr>
            </w:pPr>
            <w:r w:rsidRPr="00B32C7A">
              <w:rPr>
                <w:color w:val="000000"/>
                <w:lang w:val="es-ES" w:eastAsia="en-GB"/>
              </w:rPr>
              <w:t>Identificar en los sectores menos representados del ecosistema digital empresas no miembros para que se adhieran a la UIT.</w:t>
            </w:r>
          </w:p>
        </w:tc>
        <w:tc>
          <w:tcPr>
            <w:tcW w:w="2268" w:type="dxa"/>
            <w:tcBorders>
              <w:top w:val="nil"/>
              <w:left w:val="nil"/>
              <w:bottom w:val="single" w:sz="4" w:space="0" w:color="auto"/>
              <w:right w:val="single" w:sz="4" w:space="0" w:color="auto"/>
            </w:tcBorders>
            <w:noWrap/>
            <w:vAlign w:val="center"/>
            <w:hideMark/>
          </w:tcPr>
          <w:p w14:paraId="7B32E703" w14:textId="77777777" w:rsidR="0044523E" w:rsidRPr="00B32C7A" w:rsidRDefault="0044523E" w:rsidP="009D68C9">
            <w:pPr>
              <w:pStyle w:val="Tabletext"/>
              <w:jc w:val="center"/>
              <w:rPr>
                <w:color w:val="000000"/>
                <w:lang w:val="es-ES" w:eastAsia="en-GB"/>
              </w:rPr>
            </w:pPr>
            <w:r w:rsidRPr="00B32C7A">
              <w:rPr>
                <w:color w:val="000000"/>
                <w:lang w:val="es-ES" w:eastAsia="en-GB"/>
              </w:rPr>
              <w:t>Completado</w:t>
            </w:r>
          </w:p>
        </w:tc>
        <w:tc>
          <w:tcPr>
            <w:tcW w:w="1832" w:type="dxa"/>
            <w:tcBorders>
              <w:top w:val="nil"/>
              <w:left w:val="nil"/>
              <w:bottom w:val="single" w:sz="4" w:space="0" w:color="auto"/>
              <w:right w:val="single" w:sz="4" w:space="0" w:color="auto"/>
            </w:tcBorders>
            <w:noWrap/>
            <w:vAlign w:val="center"/>
            <w:hideMark/>
          </w:tcPr>
          <w:p w14:paraId="6AD5614A" w14:textId="77777777" w:rsidR="0044523E" w:rsidRPr="00B32C7A" w:rsidRDefault="0044523E" w:rsidP="009D68C9">
            <w:pPr>
              <w:pStyle w:val="Tabletext"/>
              <w:jc w:val="center"/>
              <w:rPr>
                <w:color w:val="000000"/>
                <w:lang w:val="es-ES" w:eastAsia="en-GB"/>
              </w:rPr>
            </w:pPr>
            <w:proofErr w:type="spellStart"/>
            <w:r w:rsidRPr="00B32C7A">
              <w:rPr>
                <w:color w:val="000000" w:themeColor="text1"/>
                <w:lang w:val="es-ES" w:eastAsia="en-GB"/>
              </w:rPr>
              <w:t>T3</w:t>
            </w:r>
            <w:proofErr w:type="spellEnd"/>
            <w:r w:rsidRPr="00B32C7A">
              <w:rPr>
                <w:color w:val="000000" w:themeColor="text1"/>
                <w:lang w:val="es-ES" w:eastAsia="en-GB"/>
              </w:rPr>
              <w:t xml:space="preserve"> 2025</w:t>
            </w:r>
          </w:p>
        </w:tc>
      </w:tr>
      <w:tr w:rsidR="0044523E" w:rsidRPr="00B32C7A" w14:paraId="6EC67F17" w14:textId="77777777" w:rsidTr="009D68C9">
        <w:tc>
          <w:tcPr>
            <w:tcW w:w="5240" w:type="dxa"/>
            <w:tcBorders>
              <w:top w:val="nil"/>
              <w:left w:val="single" w:sz="4" w:space="0" w:color="auto"/>
              <w:bottom w:val="single" w:sz="4" w:space="0" w:color="auto"/>
              <w:right w:val="single" w:sz="4" w:space="0" w:color="auto"/>
            </w:tcBorders>
            <w:hideMark/>
          </w:tcPr>
          <w:p w14:paraId="4BAC0C6B" w14:textId="77777777" w:rsidR="0044523E" w:rsidRPr="00B32C7A" w:rsidRDefault="0044523E" w:rsidP="009D68C9">
            <w:pPr>
              <w:pStyle w:val="Tabletext"/>
              <w:rPr>
                <w:color w:val="000000" w:themeColor="text1"/>
                <w:lang w:val="es-ES" w:eastAsia="en-GB"/>
              </w:rPr>
            </w:pPr>
            <w:r w:rsidRPr="00B32C7A">
              <w:rPr>
                <w:color w:val="000000" w:themeColor="text1"/>
                <w:lang w:val="es-ES" w:eastAsia="en-GB"/>
              </w:rPr>
              <w:t>Examinar los beneficios y cuotas de los Miembros de Sector en consulta con los Grupos Asesores de los Sectores, a fin de garantizar que los beneficios sean los previstos y que los Miembros de Sector sigan cubriendo los costes. Evaluar cualesquiera riesgos relacionados con posibles cambios de las cuotas. Entre otras cosas, examinar los beneficios que harían que los actuales Miembros de Sector se adhirieran como miembros en los distintos Sectores y Asociados a fin de elevar su categoría a Miembro de Sector.</w:t>
            </w:r>
          </w:p>
        </w:tc>
        <w:tc>
          <w:tcPr>
            <w:tcW w:w="2268" w:type="dxa"/>
            <w:tcBorders>
              <w:top w:val="nil"/>
              <w:left w:val="nil"/>
              <w:bottom w:val="single" w:sz="4" w:space="0" w:color="auto"/>
              <w:right w:val="single" w:sz="4" w:space="0" w:color="auto"/>
            </w:tcBorders>
            <w:noWrap/>
            <w:vAlign w:val="center"/>
            <w:hideMark/>
          </w:tcPr>
          <w:p w14:paraId="2265301A" w14:textId="77777777" w:rsidR="0044523E" w:rsidRPr="00B32C7A" w:rsidRDefault="0044523E" w:rsidP="009D68C9">
            <w:pPr>
              <w:pStyle w:val="Tabletext"/>
              <w:jc w:val="center"/>
              <w:rPr>
                <w:color w:val="000000" w:themeColor="text1"/>
                <w:lang w:val="es-ES" w:eastAsia="en-GB"/>
              </w:rPr>
            </w:pPr>
            <w:r w:rsidRPr="00B32C7A">
              <w:rPr>
                <w:color w:val="000000" w:themeColor="text1"/>
                <w:lang w:val="es-ES" w:eastAsia="en-GB"/>
              </w:rPr>
              <w:t>En curso</w:t>
            </w:r>
          </w:p>
        </w:tc>
        <w:tc>
          <w:tcPr>
            <w:tcW w:w="1832" w:type="dxa"/>
            <w:tcBorders>
              <w:top w:val="nil"/>
              <w:left w:val="nil"/>
              <w:bottom w:val="single" w:sz="4" w:space="0" w:color="auto"/>
              <w:right w:val="single" w:sz="4" w:space="0" w:color="auto"/>
            </w:tcBorders>
            <w:vAlign w:val="center"/>
          </w:tcPr>
          <w:p w14:paraId="1EF31703" w14:textId="77777777" w:rsidR="0044523E" w:rsidRPr="00B32C7A" w:rsidRDefault="0044523E" w:rsidP="009D68C9">
            <w:pPr>
              <w:pStyle w:val="Tabletext"/>
              <w:jc w:val="center"/>
              <w:rPr>
                <w:color w:val="000000" w:themeColor="text1"/>
                <w:lang w:val="es-ES" w:eastAsia="en-GB"/>
              </w:rPr>
            </w:pPr>
            <w:proofErr w:type="spellStart"/>
            <w:r w:rsidRPr="00B32C7A">
              <w:rPr>
                <w:color w:val="000000" w:themeColor="text1"/>
                <w:lang w:val="es-ES" w:eastAsia="en-GB"/>
              </w:rPr>
              <w:t>T2</w:t>
            </w:r>
            <w:proofErr w:type="spellEnd"/>
            <w:r w:rsidRPr="00B32C7A">
              <w:rPr>
                <w:color w:val="000000" w:themeColor="text1"/>
                <w:lang w:val="es-ES" w:eastAsia="en-GB"/>
              </w:rPr>
              <w:t xml:space="preserve"> 2026</w:t>
            </w:r>
          </w:p>
        </w:tc>
      </w:tr>
      <w:tr w:rsidR="0044523E" w:rsidRPr="00B32C7A" w14:paraId="14B013CB" w14:textId="77777777" w:rsidTr="009D68C9">
        <w:tc>
          <w:tcPr>
            <w:tcW w:w="5240" w:type="dxa"/>
            <w:tcBorders>
              <w:top w:val="nil"/>
              <w:left w:val="single" w:sz="4" w:space="0" w:color="auto"/>
              <w:bottom w:val="single" w:sz="4" w:space="0" w:color="auto"/>
              <w:right w:val="single" w:sz="4" w:space="0" w:color="auto"/>
            </w:tcBorders>
            <w:hideMark/>
          </w:tcPr>
          <w:p w14:paraId="50068D9D" w14:textId="77777777" w:rsidR="0044523E" w:rsidRPr="00B32C7A" w:rsidRDefault="0044523E" w:rsidP="009D68C9">
            <w:pPr>
              <w:pStyle w:val="Tabletext"/>
              <w:rPr>
                <w:color w:val="000000"/>
                <w:lang w:val="es-ES" w:eastAsia="en-GB"/>
              </w:rPr>
            </w:pPr>
            <w:r w:rsidRPr="00B32C7A">
              <w:rPr>
                <w:color w:val="000000"/>
                <w:lang w:val="es-ES" w:eastAsia="en-GB"/>
              </w:rPr>
              <w:t>Considerar la posibilidad de adoptar nuevos enfoques para promover la participación de los Miembros de Sector, como el material promocional y marketing mediante las plataformas digitales, y crear conciencia en todos los sectores durante las principales conferencias.</w:t>
            </w:r>
          </w:p>
        </w:tc>
        <w:tc>
          <w:tcPr>
            <w:tcW w:w="2268" w:type="dxa"/>
            <w:tcBorders>
              <w:top w:val="nil"/>
              <w:left w:val="nil"/>
              <w:bottom w:val="single" w:sz="4" w:space="0" w:color="auto"/>
              <w:right w:val="single" w:sz="4" w:space="0" w:color="auto"/>
            </w:tcBorders>
            <w:noWrap/>
            <w:vAlign w:val="center"/>
            <w:hideMark/>
          </w:tcPr>
          <w:p w14:paraId="2673AE68" w14:textId="77777777" w:rsidR="0044523E" w:rsidRPr="00B32C7A" w:rsidRDefault="0044523E" w:rsidP="009D68C9">
            <w:pPr>
              <w:pStyle w:val="Tabletext"/>
              <w:jc w:val="center"/>
              <w:rPr>
                <w:color w:val="000000"/>
                <w:lang w:val="es-ES" w:eastAsia="en-GB"/>
              </w:rPr>
            </w:pPr>
            <w:r w:rsidRPr="00B32C7A">
              <w:rPr>
                <w:color w:val="000000"/>
                <w:lang w:val="es-ES" w:eastAsia="en-GB"/>
              </w:rPr>
              <w:t>En curso</w:t>
            </w:r>
          </w:p>
        </w:tc>
        <w:tc>
          <w:tcPr>
            <w:tcW w:w="1832" w:type="dxa"/>
            <w:tcBorders>
              <w:top w:val="nil"/>
              <w:left w:val="nil"/>
              <w:bottom w:val="single" w:sz="4" w:space="0" w:color="auto"/>
              <w:right w:val="single" w:sz="4" w:space="0" w:color="auto"/>
            </w:tcBorders>
            <w:noWrap/>
            <w:vAlign w:val="center"/>
            <w:hideMark/>
          </w:tcPr>
          <w:p w14:paraId="3EF6949D" w14:textId="77777777" w:rsidR="0044523E" w:rsidRPr="00B32C7A" w:rsidRDefault="0044523E" w:rsidP="009D68C9">
            <w:pPr>
              <w:pStyle w:val="Tabletext"/>
              <w:jc w:val="center"/>
              <w:rPr>
                <w:color w:val="000000"/>
                <w:lang w:val="es-ES" w:eastAsia="en-GB"/>
              </w:rPr>
            </w:pPr>
            <w:proofErr w:type="spellStart"/>
            <w:r w:rsidRPr="00B32C7A">
              <w:rPr>
                <w:color w:val="000000"/>
                <w:lang w:val="es-ES" w:eastAsia="en-GB"/>
              </w:rPr>
              <w:t>T3</w:t>
            </w:r>
            <w:proofErr w:type="spellEnd"/>
            <w:r w:rsidRPr="00B32C7A">
              <w:rPr>
                <w:color w:val="000000"/>
                <w:lang w:val="es-ES" w:eastAsia="en-GB"/>
              </w:rPr>
              <w:t xml:space="preserve"> 2026</w:t>
            </w:r>
          </w:p>
        </w:tc>
      </w:tr>
      <w:tr w:rsidR="0044523E" w:rsidRPr="00B32C7A" w14:paraId="07B8B972" w14:textId="77777777" w:rsidTr="009D68C9">
        <w:tc>
          <w:tcPr>
            <w:tcW w:w="5240" w:type="dxa"/>
            <w:tcBorders>
              <w:top w:val="nil"/>
              <w:left w:val="single" w:sz="4" w:space="0" w:color="auto"/>
              <w:bottom w:val="single" w:sz="4" w:space="0" w:color="auto"/>
              <w:right w:val="single" w:sz="4" w:space="0" w:color="auto"/>
            </w:tcBorders>
            <w:hideMark/>
          </w:tcPr>
          <w:p w14:paraId="41F41489" w14:textId="77777777" w:rsidR="0044523E" w:rsidRPr="00B32C7A" w:rsidRDefault="0044523E" w:rsidP="009D68C9">
            <w:pPr>
              <w:pStyle w:val="Tabletext"/>
              <w:rPr>
                <w:lang w:val="es-ES" w:eastAsia="en-GB"/>
              </w:rPr>
            </w:pPr>
            <w:r w:rsidRPr="00B32C7A">
              <w:rPr>
                <w:color w:val="000000" w:themeColor="text1"/>
                <w:lang w:val="es-ES" w:eastAsia="en-GB"/>
              </w:rPr>
              <w:t xml:space="preserve">Examinar el potencial de nuevas contribuciones voluntarias, aprovechando el Plan de Acción de Bakú de la </w:t>
            </w:r>
            <w:proofErr w:type="spellStart"/>
            <w:r w:rsidRPr="00B32C7A">
              <w:rPr>
                <w:color w:val="000000" w:themeColor="text1"/>
                <w:lang w:val="es-ES" w:eastAsia="en-GB"/>
              </w:rPr>
              <w:t>CMDT</w:t>
            </w:r>
            <w:proofErr w:type="spellEnd"/>
            <w:r w:rsidRPr="00B32C7A">
              <w:rPr>
                <w:color w:val="000000" w:themeColor="text1"/>
                <w:lang w:val="es-ES" w:eastAsia="en-GB"/>
              </w:rPr>
              <w:t xml:space="preserve">-25 recientemente aprobado, así como las iniciativas de asociación como </w:t>
            </w:r>
            <w:proofErr w:type="spellStart"/>
            <w:r w:rsidRPr="00B32C7A">
              <w:rPr>
                <w:color w:val="000000" w:themeColor="text1"/>
                <w:lang w:val="es-ES" w:eastAsia="en-GB"/>
              </w:rPr>
              <w:t>P2C</w:t>
            </w:r>
            <w:proofErr w:type="spellEnd"/>
            <w:r w:rsidRPr="00B32C7A">
              <w:rPr>
                <w:lang w:val="es-ES" w:eastAsia="en-GB"/>
              </w:rPr>
              <w:t xml:space="preserve">. </w:t>
            </w:r>
          </w:p>
        </w:tc>
        <w:tc>
          <w:tcPr>
            <w:tcW w:w="2268" w:type="dxa"/>
            <w:tcBorders>
              <w:top w:val="nil"/>
              <w:left w:val="nil"/>
              <w:bottom w:val="single" w:sz="4" w:space="0" w:color="auto"/>
              <w:right w:val="single" w:sz="4" w:space="0" w:color="auto"/>
            </w:tcBorders>
            <w:noWrap/>
            <w:vAlign w:val="center"/>
            <w:hideMark/>
          </w:tcPr>
          <w:p w14:paraId="4BC491AD" w14:textId="77777777" w:rsidR="0044523E" w:rsidRPr="00B32C7A" w:rsidRDefault="0044523E" w:rsidP="009D68C9">
            <w:pPr>
              <w:pStyle w:val="Tabletext"/>
              <w:jc w:val="center"/>
              <w:rPr>
                <w:color w:val="000000" w:themeColor="text1"/>
                <w:lang w:val="es-ES" w:eastAsia="en-GB"/>
              </w:rPr>
            </w:pPr>
            <w:r w:rsidRPr="00B32C7A">
              <w:rPr>
                <w:color w:val="000000" w:themeColor="text1"/>
                <w:lang w:val="es-ES" w:eastAsia="en-GB"/>
              </w:rPr>
              <w:t>Por comenzar</w:t>
            </w:r>
          </w:p>
        </w:tc>
        <w:tc>
          <w:tcPr>
            <w:tcW w:w="1832" w:type="dxa"/>
            <w:tcBorders>
              <w:top w:val="nil"/>
              <w:left w:val="nil"/>
              <w:bottom w:val="single" w:sz="4" w:space="0" w:color="auto"/>
              <w:right w:val="single" w:sz="4" w:space="0" w:color="auto"/>
            </w:tcBorders>
            <w:noWrap/>
            <w:vAlign w:val="center"/>
            <w:hideMark/>
          </w:tcPr>
          <w:p w14:paraId="4F1585BE" w14:textId="77777777" w:rsidR="0044523E" w:rsidRPr="00B32C7A" w:rsidRDefault="0044523E" w:rsidP="009D68C9">
            <w:pPr>
              <w:pStyle w:val="Tabletext"/>
              <w:jc w:val="center"/>
              <w:rPr>
                <w:color w:val="000000" w:themeColor="text1"/>
                <w:lang w:val="es-ES" w:eastAsia="en-GB"/>
              </w:rPr>
            </w:pPr>
            <w:proofErr w:type="spellStart"/>
            <w:r w:rsidRPr="00B32C7A">
              <w:rPr>
                <w:color w:val="000000" w:themeColor="text1"/>
                <w:lang w:val="es-ES" w:eastAsia="en-GB"/>
              </w:rPr>
              <w:t>T4</w:t>
            </w:r>
            <w:proofErr w:type="spellEnd"/>
            <w:r w:rsidRPr="00B32C7A">
              <w:rPr>
                <w:color w:val="000000" w:themeColor="text1"/>
                <w:lang w:val="es-ES" w:eastAsia="en-GB"/>
              </w:rPr>
              <w:t xml:space="preserve"> 2026</w:t>
            </w:r>
          </w:p>
        </w:tc>
      </w:tr>
      <w:tr w:rsidR="0044523E" w:rsidRPr="00B32C7A" w14:paraId="4F124B65" w14:textId="77777777" w:rsidTr="009D68C9">
        <w:tc>
          <w:tcPr>
            <w:tcW w:w="5240" w:type="dxa"/>
            <w:tcBorders>
              <w:top w:val="nil"/>
              <w:left w:val="single" w:sz="4" w:space="0" w:color="auto"/>
              <w:bottom w:val="single" w:sz="4" w:space="0" w:color="auto"/>
              <w:right w:val="single" w:sz="4" w:space="0" w:color="auto"/>
            </w:tcBorders>
            <w:hideMark/>
          </w:tcPr>
          <w:p w14:paraId="54AF01B6" w14:textId="77777777" w:rsidR="0044523E" w:rsidRPr="00B32C7A" w:rsidRDefault="0044523E" w:rsidP="009D68C9">
            <w:pPr>
              <w:pStyle w:val="Tabletext"/>
              <w:rPr>
                <w:color w:val="000000" w:themeColor="text1"/>
                <w:lang w:val="es-ES" w:eastAsia="en-GB"/>
              </w:rPr>
            </w:pPr>
            <w:r w:rsidRPr="00B32C7A">
              <w:rPr>
                <w:color w:val="000000" w:themeColor="text1"/>
                <w:lang w:val="es-ES" w:eastAsia="en-GB"/>
              </w:rPr>
              <w:t>Examinar las posibles mejoras en la forma en que la UIT reconoce las contribuciones voluntarias para armonizarlas con la evolución de las expectativas de los donantes.</w:t>
            </w:r>
          </w:p>
        </w:tc>
        <w:tc>
          <w:tcPr>
            <w:tcW w:w="2268" w:type="dxa"/>
            <w:tcBorders>
              <w:top w:val="nil"/>
              <w:left w:val="nil"/>
              <w:bottom w:val="single" w:sz="4" w:space="0" w:color="auto"/>
              <w:right w:val="single" w:sz="4" w:space="0" w:color="auto"/>
            </w:tcBorders>
            <w:noWrap/>
            <w:vAlign w:val="center"/>
            <w:hideMark/>
          </w:tcPr>
          <w:p w14:paraId="58E17EE7" w14:textId="77777777" w:rsidR="0044523E" w:rsidRPr="00B32C7A" w:rsidRDefault="0044523E" w:rsidP="009D68C9">
            <w:pPr>
              <w:pStyle w:val="Tabletext"/>
              <w:jc w:val="center"/>
              <w:rPr>
                <w:color w:val="000000" w:themeColor="text1"/>
                <w:lang w:val="es-ES" w:eastAsia="en-GB"/>
              </w:rPr>
            </w:pPr>
            <w:r w:rsidRPr="00B32C7A">
              <w:rPr>
                <w:color w:val="000000" w:themeColor="text1"/>
                <w:lang w:val="es-ES" w:eastAsia="en-GB"/>
              </w:rPr>
              <w:t>Por comenzar</w:t>
            </w:r>
          </w:p>
        </w:tc>
        <w:tc>
          <w:tcPr>
            <w:tcW w:w="1832" w:type="dxa"/>
            <w:tcBorders>
              <w:top w:val="nil"/>
              <w:left w:val="nil"/>
              <w:bottom w:val="single" w:sz="4" w:space="0" w:color="auto"/>
              <w:right w:val="single" w:sz="4" w:space="0" w:color="auto"/>
            </w:tcBorders>
            <w:noWrap/>
            <w:vAlign w:val="center"/>
            <w:hideMark/>
          </w:tcPr>
          <w:p w14:paraId="5DCE5150" w14:textId="77777777" w:rsidR="0044523E" w:rsidRPr="00B32C7A" w:rsidRDefault="0044523E" w:rsidP="009D68C9">
            <w:pPr>
              <w:pStyle w:val="Tabletext"/>
              <w:jc w:val="center"/>
              <w:rPr>
                <w:color w:val="000000" w:themeColor="text1"/>
                <w:lang w:val="es-ES" w:eastAsia="en-GB"/>
              </w:rPr>
            </w:pPr>
            <w:proofErr w:type="spellStart"/>
            <w:r w:rsidRPr="00B32C7A">
              <w:rPr>
                <w:color w:val="000000" w:themeColor="text1"/>
                <w:lang w:val="es-ES" w:eastAsia="en-GB"/>
              </w:rPr>
              <w:t>T4</w:t>
            </w:r>
            <w:proofErr w:type="spellEnd"/>
            <w:r w:rsidRPr="00B32C7A">
              <w:rPr>
                <w:color w:val="000000" w:themeColor="text1"/>
                <w:lang w:val="es-ES" w:eastAsia="en-GB"/>
              </w:rPr>
              <w:t xml:space="preserve"> 2026</w:t>
            </w:r>
          </w:p>
        </w:tc>
      </w:tr>
      <w:tr w:rsidR="0044523E" w:rsidRPr="00B32C7A" w14:paraId="36C3D030" w14:textId="77777777" w:rsidTr="009D68C9">
        <w:tc>
          <w:tcPr>
            <w:tcW w:w="5240" w:type="dxa"/>
            <w:tcBorders>
              <w:top w:val="nil"/>
              <w:left w:val="single" w:sz="4" w:space="0" w:color="auto"/>
              <w:bottom w:val="single" w:sz="4" w:space="0" w:color="auto"/>
              <w:right w:val="single" w:sz="4" w:space="0" w:color="auto"/>
            </w:tcBorders>
            <w:hideMark/>
          </w:tcPr>
          <w:p w14:paraId="0BE339A9" w14:textId="77777777" w:rsidR="0044523E" w:rsidRPr="00B32C7A" w:rsidRDefault="0044523E" w:rsidP="009D68C9">
            <w:pPr>
              <w:pStyle w:val="Tabletext"/>
              <w:rPr>
                <w:color w:val="000000"/>
                <w:lang w:val="es-ES" w:eastAsia="en-GB"/>
              </w:rPr>
            </w:pPr>
            <w:r w:rsidRPr="00B32C7A">
              <w:rPr>
                <w:color w:val="000000"/>
                <w:lang w:val="es-ES" w:eastAsia="en-GB"/>
              </w:rPr>
              <w:t>Implementar nuevas medidas y sistemas para coordinar mejor la gestión contable y mejorar el servicio prestado en toda la UIT a los Estados Miembros, los Miembros de Sector, los donantes, etc. Esto incluye abordar facilitadores internos como parte del plan de transformación: sistemas informáticos, desarrollo de la capacidad y las competencias del personal, racionalización, y modernización de las normas y procesos financieros y administrativos, etc.</w:t>
            </w:r>
          </w:p>
        </w:tc>
        <w:tc>
          <w:tcPr>
            <w:tcW w:w="2268" w:type="dxa"/>
            <w:tcBorders>
              <w:top w:val="nil"/>
              <w:left w:val="nil"/>
              <w:bottom w:val="single" w:sz="4" w:space="0" w:color="auto"/>
              <w:right w:val="single" w:sz="4" w:space="0" w:color="auto"/>
            </w:tcBorders>
            <w:noWrap/>
            <w:vAlign w:val="center"/>
            <w:hideMark/>
          </w:tcPr>
          <w:p w14:paraId="2727C550" w14:textId="77777777" w:rsidR="0044523E" w:rsidRPr="00B32C7A" w:rsidRDefault="0044523E" w:rsidP="009D68C9">
            <w:pPr>
              <w:pStyle w:val="Tabletext"/>
              <w:jc w:val="center"/>
              <w:rPr>
                <w:color w:val="000000"/>
                <w:lang w:val="es-ES" w:eastAsia="en-GB"/>
              </w:rPr>
            </w:pPr>
            <w:r w:rsidRPr="00B32C7A">
              <w:rPr>
                <w:color w:val="000000"/>
                <w:lang w:val="es-ES" w:eastAsia="en-GB"/>
              </w:rPr>
              <w:t>En curso</w:t>
            </w:r>
          </w:p>
        </w:tc>
        <w:tc>
          <w:tcPr>
            <w:tcW w:w="1832" w:type="dxa"/>
            <w:tcBorders>
              <w:top w:val="nil"/>
              <w:left w:val="nil"/>
              <w:bottom w:val="single" w:sz="4" w:space="0" w:color="auto"/>
              <w:right w:val="single" w:sz="4" w:space="0" w:color="auto"/>
            </w:tcBorders>
            <w:noWrap/>
            <w:vAlign w:val="center"/>
            <w:hideMark/>
          </w:tcPr>
          <w:p w14:paraId="3BC95B64" w14:textId="77777777" w:rsidR="0044523E" w:rsidRPr="00B32C7A" w:rsidRDefault="0044523E" w:rsidP="009D68C9">
            <w:pPr>
              <w:pStyle w:val="Tabletext"/>
              <w:jc w:val="center"/>
              <w:rPr>
                <w:color w:val="000000"/>
                <w:lang w:val="es-ES" w:eastAsia="en-GB"/>
              </w:rPr>
            </w:pPr>
            <w:r w:rsidRPr="00B32C7A">
              <w:rPr>
                <w:color w:val="000000"/>
                <w:lang w:val="es-ES" w:eastAsia="en-GB"/>
              </w:rPr>
              <w:t xml:space="preserve">Fase 1: </w:t>
            </w:r>
            <w:proofErr w:type="spellStart"/>
            <w:r w:rsidRPr="00B32C7A">
              <w:rPr>
                <w:color w:val="000000"/>
                <w:lang w:val="es-ES" w:eastAsia="en-GB"/>
              </w:rPr>
              <w:t>T2</w:t>
            </w:r>
            <w:proofErr w:type="spellEnd"/>
            <w:r w:rsidRPr="00B32C7A">
              <w:rPr>
                <w:color w:val="000000"/>
                <w:lang w:val="es-ES" w:eastAsia="en-GB"/>
              </w:rPr>
              <w:t xml:space="preserve"> 2026</w:t>
            </w:r>
          </w:p>
        </w:tc>
      </w:tr>
    </w:tbl>
    <w:p w14:paraId="214C8F5A" w14:textId="77777777" w:rsidR="0044523E" w:rsidRPr="00B32C7A" w:rsidRDefault="0044523E" w:rsidP="00411C49">
      <w:pPr>
        <w:pStyle w:val="Reasons"/>
        <w:rPr>
          <w:lang w:val="es-ES"/>
        </w:rPr>
      </w:pPr>
      <w:bookmarkStart w:id="4" w:name="Annex2"/>
      <w:bookmarkEnd w:id="4"/>
    </w:p>
    <w:p w14:paraId="11242A38" w14:textId="77777777" w:rsidR="0044523E" w:rsidRPr="00B32C7A" w:rsidRDefault="0044523E">
      <w:pPr>
        <w:jc w:val="center"/>
        <w:rPr>
          <w:lang w:val="es-ES"/>
        </w:rPr>
      </w:pPr>
      <w:r w:rsidRPr="00B32C7A">
        <w:rPr>
          <w:lang w:val="es-ES"/>
        </w:rPr>
        <w:t>______________</w:t>
      </w:r>
    </w:p>
    <w:sectPr w:rsidR="0044523E" w:rsidRPr="00B32C7A" w:rsidSect="00C538FC">
      <w:footerReference w:type="default" r:id="rId32"/>
      <w:headerReference w:type="first" r:id="rId33"/>
      <w:footerReference w:type="first" r:id="rId3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121D" w14:textId="77777777" w:rsidR="006847AE" w:rsidRDefault="006847AE">
      <w:r>
        <w:separator/>
      </w:r>
    </w:p>
  </w:endnote>
  <w:endnote w:type="continuationSeparator" w:id="0">
    <w:p w14:paraId="2374042C" w14:textId="77777777" w:rsidR="006847AE" w:rsidRDefault="0068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37E8880" w14:textId="77777777" w:rsidTr="00E31DCE">
      <w:trPr>
        <w:jc w:val="center"/>
      </w:trPr>
      <w:tc>
        <w:tcPr>
          <w:tcW w:w="1803" w:type="dxa"/>
          <w:vAlign w:val="center"/>
        </w:tcPr>
        <w:p w14:paraId="474823CC" w14:textId="6C61183B" w:rsidR="003273A4" w:rsidRDefault="0044523E" w:rsidP="003273A4">
          <w:pPr>
            <w:pStyle w:val="Header"/>
            <w:jc w:val="left"/>
            <w:rPr>
              <w:noProof/>
            </w:rPr>
          </w:pPr>
          <w:r>
            <w:rPr>
              <w:noProof/>
            </w:rPr>
            <w:t>2600706</w:t>
          </w:r>
        </w:p>
      </w:tc>
      <w:tc>
        <w:tcPr>
          <w:tcW w:w="8261" w:type="dxa"/>
        </w:tcPr>
        <w:p w14:paraId="35922ABE" w14:textId="2BE8042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4523E">
            <w:rPr>
              <w:bCs/>
            </w:rPr>
            <w:t>73</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847694B"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234F627" w14:textId="77777777" w:rsidTr="00E31DCE">
      <w:trPr>
        <w:jc w:val="center"/>
      </w:trPr>
      <w:tc>
        <w:tcPr>
          <w:tcW w:w="1803" w:type="dxa"/>
          <w:vAlign w:val="center"/>
        </w:tcPr>
        <w:p w14:paraId="702AF230"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A9A0816" w14:textId="1F2D2A9E"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4523E">
            <w:rPr>
              <w:bCs/>
            </w:rPr>
            <w:t>73</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4D41EE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F407" w14:textId="77777777" w:rsidR="006847AE" w:rsidRDefault="006847AE">
      <w:r>
        <w:t>____________________</w:t>
      </w:r>
    </w:p>
  </w:footnote>
  <w:footnote w:type="continuationSeparator" w:id="0">
    <w:p w14:paraId="315DD607" w14:textId="77777777" w:rsidR="006847AE" w:rsidRDefault="0068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1A75" w14:textId="77777777" w:rsidR="001559F5" w:rsidRPr="00B1560D" w:rsidRDefault="00B1560D" w:rsidP="00B1560D">
    <w:pPr>
      <w:pStyle w:val="Header"/>
    </w:pPr>
    <w:r>
      <w:rPr>
        <w:noProof/>
      </w:rPr>
      <w:drawing>
        <wp:inline distT="0" distB="0" distL="0" distR="0" wp14:anchorId="74CB73FD" wp14:editId="3C2D98C3">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AE"/>
    <w:rsid w:val="000007D1"/>
    <w:rsid w:val="0006007D"/>
    <w:rsid w:val="00093EEB"/>
    <w:rsid w:val="000B0D00"/>
    <w:rsid w:val="000B7C15"/>
    <w:rsid w:val="000D1D0F"/>
    <w:rsid w:val="000E3F07"/>
    <w:rsid w:val="000F5290"/>
    <w:rsid w:val="000F5A95"/>
    <w:rsid w:val="0010165C"/>
    <w:rsid w:val="00107CBE"/>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104E"/>
    <w:rsid w:val="0031300A"/>
    <w:rsid w:val="003273A4"/>
    <w:rsid w:val="0034796E"/>
    <w:rsid w:val="003B6467"/>
    <w:rsid w:val="0044523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847AE"/>
    <w:rsid w:val="006C1B56"/>
    <w:rsid w:val="006D4761"/>
    <w:rsid w:val="00726872"/>
    <w:rsid w:val="00760F1C"/>
    <w:rsid w:val="007657F0"/>
    <w:rsid w:val="0077110E"/>
    <w:rsid w:val="0077252D"/>
    <w:rsid w:val="007955DA"/>
    <w:rsid w:val="007E5DD3"/>
    <w:rsid w:val="007F350B"/>
    <w:rsid w:val="00820BE4"/>
    <w:rsid w:val="008451E8"/>
    <w:rsid w:val="0084546D"/>
    <w:rsid w:val="008973FA"/>
    <w:rsid w:val="008F6ABC"/>
    <w:rsid w:val="00913B9C"/>
    <w:rsid w:val="00927F93"/>
    <w:rsid w:val="00942324"/>
    <w:rsid w:val="00943622"/>
    <w:rsid w:val="00956E77"/>
    <w:rsid w:val="009A338E"/>
    <w:rsid w:val="009A76A8"/>
    <w:rsid w:val="009B543B"/>
    <w:rsid w:val="009F4811"/>
    <w:rsid w:val="00A01F4F"/>
    <w:rsid w:val="00A109AF"/>
    <w:rsid w:val="00A93B80"/>
    <w:rsid w:val="00A94438"/>
    <w:rsid w:val="00AA390C"/>
    <w:rsid w:val="00AD5A4D"/>
    <w:rsid w:val="00AF0EAC"/>
    <w:rsid w:val="00B0200A"/>
    <w:rsid w:val="00B060DF"/>
    <w:rsid w:val="00B1560D"/>
    <w:rsid w:val="00B32C7A"/>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03CDC"/>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BB56EC"/>
  <w15:docId w15:val="{D0D5D53F-A3B8-4C0E-9463-6610CE1C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d/opb/tdc/D-TDC-WTDC-2022-PDF-S.pdf" TargetMode="External"/><Relationship Id="rId18" Type="http://schemas.openxmlformats.org/officeDocument/2006/relationships/hyperlink" Target="https://www.itu.int/md/S24-CL-C-0070/es" TargetMode="External"/><Relationship Id="rId26" Type="http://schemas.openxmlformats.org/officeDocument/2006/relationships/hyperlink" Target="https://www.itu.int/md/S26-CL-INF-0014/es" TargetMode="External"/><Relationship Id="rId3" Type="http://schemas.openxmlformats.org/officeDocument/2006/relationships/webSettings" Target="webSettings.xml"/><Relationship Id="rId21" Type="http://schemas.openxmlformats.org/officeDocument/2006/relationships/hyperlink" Target="https://www.itu.int/md/S25-CL-INF-0006/es" TargetMode="External"/><Relationship Id="rId34" Type="http://schemas.openxmlformats.org/officeDocument/2006/relationships/footer" Target="footer2.xml"/><Relationship Id="rId7" Type="http://schemas.openxmlformats.org/officeDocument/2006/relationships/hyperlink" Target="https://www.itu.int/md/S25-CL-C-0067/es" TargetMode="External"/><Relationship Id="rId12" Type="http://schemas.openxmlformats.org/officeDocument/2006/relationships/hyperlink" Target="https://www.itu.int/md/S23-CL-INF-0012/es" TargetMode="External"/><Relationship Id="rId17" Type="http://schemas.openxmlformats.org/officeDocument/2006/relationships/hyperlink" Target="https://www.itu.int/md/S24-CWGFHR17-INF-0009/es" TargetMode="External"/><Relationship Id="rId25" Type="http://schemas.openxmlformats.org/officeDocument/2006/relationships/hyperlink" Target="https://www.itu.int/md/S24-CL-C-0070/es"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S24-CWGFHR17-C-0003/es" TargetMode="External"/><Relationship Id="rId20" Type="http://schemas.openxmlformats.org/officeDocument/2006/relationships/hyperlink" Target="https://www.itu.int/md/S25-SG-CIR-0036/es" TargetMode="External"/><Relationship Id="rId29" Type="http://schemas.openxmlformats.org/officeDocument/2006/relationships/hyperlink" Target="https://www.itu.int/md/S25-CL-INF-0006/es" TargetMode="External"/><Relationship Id="rId1" Type="http://schemas.openxmlformats.org/officeDocument/2006/relationships/styles" Target="styles.xml"/><Relationship Id="rId6" Type="http://schemas.openxmlformats.org/officeDocument/2006/relationships/hyperlink" Target="https://www.itu.int/md/S24-CL-C-0070/es" TargetMode="External"/><Relationship Id="rId11" Type="http://schemas.openxmlformats.org/officeDocument/2006/relationships/hyperlink" Target="https://www.itu.int/md/S17-CL-C-0067/es" TargetMode="External"/><Relationship Id="rId24" Type="http://schemas.openxmlformats.org/officeDocument/2006/relationships/hyperlink" Target="https://www.itu.int/md/S26-CL-INF-0014/es"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itu.int/md/S23-CWGFHR16-C-0011/es" TargetMode="External"/><Relationship Id="rId23" Type="http://schemas.openxmlformats.org/officeDocument/2006/relationships/hyperlink" Target="https://www.itu.int/md/S26-CL-C-0047/es" TargetMode="External"/><Relationship Id="rId28" Type="http://schemas.openxmlformats.org/officeDocument/2006/relationships/hyperlink" Target="https://www.itu.int/dms_pub/itu-s/md/26/cl/c/S26-CL-C-0047!!MSW-S.docx" TargetMode="External"/><Relationship Id="rId36" Type="http://schemas.openxmlformats.org/officeDocument/2006/relationships/theme" Target="theme/theme1.xml"/><Relationship Id="rId10" Type="http://schemas.openxmlformats.org/officeDocument/2006/relationships/hyperlink" Target="https://www.itu.int/en/council/Documents/basic-texts-2023/DEC-005-S.pdf" TargetMode="External"/><Relationship Id="rId19" Type="http://schemas.openxmlformats.org/officeDocument/2006/relationships/hyperlink" Target="https://www.itu.int/md/S25-CL-C-0067/es" TargetMode="External"/><Relationship Id="rId31" Type="http://schemas.openxmlformats.org/officeDocument/2006/relationships/hyperlink" Target="https://www.itu.int/hub/membership/become-a-member/resources/" TargetMode="External"/><Relationship Id="rId4" Type="http://schemas.openxmlformats.org/officeDocument/2006/relationships/footnotes" Target="footnotes.xml"/><Relationship Id="rId9" Type="http://schemas.openxmlformats.org/officeDocument/2006/relationships/hyperlink" Target="https://www.itu.int/en/council/cwg-fhr/Pages/default.aspx" TargetMode="External"/><Relationship Id="rId14" Type="http://schemas.openxmlformats.org/officeDocument/2006/relationships/hyperlink" Target="https://www.itu.int/md/S23-CL-C-0062/es" TargetMode="External"/><Relationship Id="rId22" Type="http://schemas.openxmlformats.org/officeDocument/2006/relationships/hyperlink" Target="https://www.itu.int/dms_pub/itu-s/md/26/cwgfhr22/c/S26-CWGFHR22-C-0016!!MSW-E.docx" TargetMode="External"/><Relationship Id="rId27" Type="http://schemas.openxmlformats.org/officeDocument/2006/relationships/hyperlink" Target="https://www.itu.int/md/S25-SG-CIR-0036/es" TargetMode="External"/><Relationship Id="rId30" Type="http://schemas.openxmlformats.org/officeDocument/2006/relationships/hyperlink" Target="https://www.itu.int/md/S25-SG-CIR-0036/es" TargetMode="External"/><Relationship Id="rId35" Type="http://schemas.openxmlformats.org/officeDocument/2006/relationships/fontTable" Target="fontTable.xml"/><Relationship Id="rId8" Type="http://schemas.openxmlformats.org/officeDocument/2006/relationships/hyperlink" Target="https://www.itu.int/dms_pub/itu-s/md/26/cwgfhr22/c/S26-CWGFHR22-C-0016!!MSW-E.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5</TotalTime>
  <Pages>4</Pages>
  <Words>1628</Words>
  <Characters>10922</Characters>
  <Application>Microsoft Office Word</Application>
  <DocSecurity>0</DocSecurity>
  <Lines>182</Lines>
  <Paragraphs>50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12500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Novedades sobre la aplicación de la estrategia de movilización de recursos de la UIT</dc:title>
  <dc:subject>Consejo 2026 de la UIT</dc:subject>
  <cp:keywords>C26; C2026; Council 2026; PP26</cp:keywords>
  <dc:description/>
  <cp:lastPrinted>2006-03-24T09:51:00Z</cp:lastPrinted>
  <dcterms:created xsi:type="dcterms:W3CDTF">2026-04-08T15:42:00Z</dcterms:created>
  <dcterms:modified xsi:type="dcterms:W3CDTF">2026-04-08T15:46:00Z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