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946B29" w14:paraId="25E24DB9" w14:textId="77777777" w:rsidTr="00796BDB">
        <w:trPr>
          <w:cantSplit/>
          <w:trHeight w:val="23"/>
        </w:trPr>
        <w:tc>
          <w:tcPr>
            <w:tcW w:w="3969" w:type="dxa"/>
            <w:vMerge w:val="restart"/>
            <w:tcMar>
              <w:left w:w="0" w:type="dxa"/>
            </w:tcMar>
          </w:tcPr>
          <w:p w14:paraId="546F0BC0" w14:textId="18353D0D" w:rsidR="00D72F49" w:rsidRPr="00946B29" w:rsidRDefault="00D72F49" w:rsidP="00796BDB">
            <w:pPr>
              <w:tabs>
                <w:tab w:val="left" w:pos="851"/>
              </w:tabs>
              <w:spacing w:before="0" w:line="240" w:lineRule="atLeast"/>
              <w:rPr>
                <w:b/>
              </w:rPr>
            </w:pPr>
            <w:r w:rsidRPr="00946B29">
              <w:rPr>
                <w:b/>
              </w:rPr>
              <w:t>Point de l'ordre du jour:</w:t>
            </w:r>
            <w:r w:rsidR="006153D5" w:rsidRPr="00946B29">
              <w:rPr>
                <w:b/>
              </w:rPr>
              <w:t xml:space="preserve"> ADM 1</w:t>
            </w:r>
          </w:p>
        </w:tc>
        <w:tc>
          <w:tcPr>
            <w:tcW w:w="5245" w:type="dxa"/>
          </w:tcPr>
          <w:p w14:paraId="4322B764" w14:textId="54ED24A2" w:rsidR="00D72F49" w:rsidRPr="00946B29" w:rsidRDefault="00D72F49" w:rsidP="00796BDB">
            <w:pPr>
              <w:tabs>
                <w:tab w:val="left" w:pos="851"/>
              </w:tabs>
              <w:spacing w:before="0" w:line="240" w:lineRule="atLeast"/>
              <w:jc w:val="right"/>
              <w:rPr>
                <w:b/>
              </w:rPr>
            </w:pPr>
            <w:r w:rsidRPr="00946B29">
              <w:rPr>
                <w:b/>
              </w:rPr>
              <w:t>Document C2</w:t>
            </w:r>
            <w:r w:rsidR="00E4448E" w:rsidRPr="00946B29">
              <w:rPr>
                <w:b/>
              </w:rPr>
              <w:t>6</w:t>
            </w:r>
            <w:r w:rsidRPr="00946B29">
              <w:rPr>
                <w:b/>
              </w:rPr>
              <w:t>/</w:t>
            </w:r>
            <w:r w:rsidR="006153D5" w:rsidRPr="00946B29">
              <w:rPr>
                <w:b/>
              </w:rPr>
              <w:t>73</w:t>
            </w:r>
            <w:r w:rsidRPr="00946B29">
              <w:rPr>
                <w:b/>
              </w:rPr>
              <w:t>-F</w:t>
            </w:r>
          </w:p>
        </w:tc>
      </w:tr>
      <w:tr w:rsidR="00D72F49" w:rsidRPr="00946B29" w14:paraId="35BD0030" w14:textId="77777777" w:rsidTr="00796BDB">
        <w:trPr>
          <w:cantSplit/>
        </w:trPr>
        <w:tc>
          <w:tcPr>
            <w:tcW w:w="3969" w:type="dxa"/>
            <w:vMerge/>
          </w:tcPr>
          <w:p w14:paraId="75CC763D" w14:textId="77777777" w:rsidR="00D72F49" w:rsidRPr="00946B29" w:rsidRDefault="00D72F49" w:rsidP="00796BDB">
            <w:pPr>
              <w:tabs>
                <w:tab w:val="left" w:pos="851"/>
              </w:tabs>
              <w:spacing w:line="240" w:lineRule="atLeast"/>
              <w:rPr>
                <w:b/>
              </w:rPr>
            </w:pPr>
          </w:p>
        </w:tc>
        <w:tc>
          <w:tcPr>
            <w:tcW w:w="5245" w:type="dxa"/>
          </w:tcPr>
          <w:p w14:paraId="3FE0FFAA" w14:textId="6E041C6F" w:rsidR="00D72F49" w:rsidRPr="00946B29" w:rsidRDefault="006153D5" w:rsidP="00796BDB">
            <w:pPr>
              <w:tabs>
                <w:tab w:val="left" w:pos="851"/>
              </w:tabs>
              <w:spacing w:before="0"/>
              <w:jc w:val="right"/>
              <w:rPr>
                <w:b/>
              </w:rPr>
            </w:pPr>
            <w:r w:rsidRPr="00946B29">
              <w:rPr>
                <w:b/>
              </w:rPr>
              <w:t>29 mars 2026</w:t>
            </w:r>
          </w:p>
        </w:tc>
      </w:tr>
      <w:tr w:rsidR="00D72F49" w:rsidRPr="00946B29" w14:paraId="15C8AE8C" w14:textId="77777777" w:rsidTr="00796BDB">
        <w:trPr>
          <w:cantSplit/>
          <w:trHeight w:val="23"/>
        </w:trPr>
        <w:tc>
          <w:tcPr>
            <w:tcW w:w="3969" w:type="dxa"/>
            <w:vMerge/>
          </w:tcPr>
          <w:p w14:paraId="2EBD0CB4" w14:textId="77777777" w:rsidR="00D72F49" w:rsidRPr="00946B29" w:rsidRDefault="00D72F49" w:rsidP="00796BDB">
            <w:pPr>
              <w:tabs>
                <w:tab w:val="left" w:pos="851"/>
              </w:tabs>
              <w:spacing w:line="240" w:lineRule="atLeast"/>
              <w:rPr>
                <w:b/>
              </w:rPr>
            </w:pPr>
          </w:p>
        </w:tc>
        <w:tc>
          <w:tcPr>
            <w:tcW w:w="5245" w:type="dxa"/>
          </w:tcPr>
          <w:p w14:paraId="259D1202" w14:textId="77777777" w:rsidR="00D72F49" w:rsidRPr="00946B29" w:rsidRDefault="00D72F49" w:rsidP="00796BDB">
            <w:pPr>
              <w:tabs>
                <w:tab w:val="left" w:pos="851"/>
              </w:tabs>
              <w:spacing w:before="0" w:line="240" w:lineRule="atLeast"/>
              <w:jc w:val="right"/>
              <w:rPr>
                <w:b/>
              </w:rPr>
            </w:pPr>
            <w:r w:rsidRPr="00946B29">
              <w:rPr>
                <w:b/>
              </w:rPr>
              <w:t>Original: anglais</w:t>
            </w:r>
          </w:p>
        </w:tc>
      </w:tr>
      <w:tr w:rsidR="00D72F49" w:rsidRPr="00946B29" w14:paraId="078080F6" w14:textId="77777777" w:rsidTr="00796BDB">
        <w:trPr>
          <w:cantSplit/>
          <w:trHeight w:val="23"/>
        </w:trPr>
        <w:tc>
          <w:tcPr>
            <w:tcW w:w="3969" w:type="dxa"/>
          </w:tcPr>
          <w:p w14:paraId="4EDCDFD7" w14:textId="77777777" w:rsidR="00D72F49" w:rsidRPr="00946B29" w:rsidRDefault="00D72F49" w:rsidP="00796BDB">
            <w:pPr>
              <w:tabs>
                <w:tab w:val="left" w:pos="851"/>
              </w:tabs>
              <w:spacing w:line="240" w:lineRule="atLeast"/>
              <w:rPr>
                <w:b/>
              </w:rPr>
            </w:pPr>
          </w:p>
        </w:tc>
        <w:tc>
          <w:tcPr>
            <w:tcW w:w="5245" w:type="dxa"/>
          </w:tcPr>
          <w:p w14:paraId="0A8410AD" w14:textId="77777777" w:rsidR="00D72F49" w:rsidRPr="00946B29" w:rsidRDefault="00D72F49" w:rsidP="00796BDB">
            <w:pPr>
              <w:tabs>
                <w:tab w:val="left" w:pos="851"/>
              </w:tabs>
              <w:spacing w:before="0" w:line="240" w:lineRule="atLeast"/>
              <w:jc w:val="right"/>
              <w:rPr>
                <w:b/>
              </w:rPr>
            </w:pPr>
          </w:p>
        </w:tc>
      </w:tr>
      <w:tr w:rsidR="00D72F49" w:rsidRPr="00946B29" w14:paraId="1A96D8C6" w14:textId="77777777" w:rsidTr="00796BDB">
        <w:trPr>
          <w:cantSplit/>
        </w:trPr>
        <w:tc>
          <w:tcPr>
            <w:tcW w:w="9214" w:type="dxa"/>
            <w:gridSpan w:val="2"/>
            <w:tcMar>
              <w:left w:w="0" w:type="dxa"/>
            </w:tcMar>
          </w:tcPr>
          <w:p w14:paraId="67E0151D" w14:textId="77777777" w:rsidR="00D72F49" w:rsidRPr="00946B29" w:rsidRDefault="00D72F49" w:rsidP="003F68FF">
            <w:pPr>
              <w:pStyle w:val="Source"/>
              <w:framePr w:hSpace="0" w:wrap="auto" w:vAnchor="margin" w:hAnchor="text" w:xAlign="left" w:yAlign="inline"/>
              <w:spacing w:before="720"/>
            </w:pPr>
            <w:r w:rsidRPr="00946B29">
              <w:t xml:space="preserve">Rapport </w:t>
            </w:r>
            <w:r w:rsidR="00E95647" w:rsidRPr="00946B29">
              <w:t xml:space="preserve">de la </w:t>
            </w:r>
            <w:r w:rsidRPr="00946B29">
              <w:t xml:space="preserve">Secrétaire </w:t>
            </w:r>
            <w:r w:rsidRPr="003F68FF">
              <w:t>général</w:t>
            </w:r>
            <w:r w:rsidR="00E95647" w:rsidRPr="003F68FF">
              <w:t>e</w:t>
            </w:r>
          </w:p>
        </w:tc>
      </w:tr>
      <w:tr w:rsidR="00D72F49" w:rsidRPr="00946B29" w14:paraId="28BC2B61" w14:textId="77777777" w:rsidTr="003F68FF">
        <w:trPr>
          <w:cantSplit/>
        </w:trPr>
        <w:tc>
          <w:tcPr>
            <w:tcW w:w="9214" w:type="dxa"/>
            <w:gridSpan w:val="2"/>
            <w:tcBorders>
              <w:bottom w:val="single" w:sz="4" w:space="0" w:color="auto"/>
            </w:tcBorders>
            <w:tcMar>
              <w:left w:w="0" w:type="dxa"/>
            </w:tcMar>
          </w:tcPr>
          <w:p w14:paraId="2806D23D" w14:textId="083A9D1E" w:rsidR="00D72F49" w:rsidRPr="00946B29" w:rsidRDefault="003F68FF" w:rsidP="00796BDB">
            <w:pPr>
              <w:pStyle w:val="Subtitle"/>
              <w:framePr w:hSpace="0" w:wrap="auto" w:hAnchor="text" w:xAlign="left" w:yAlign="inline"/>
              <w:rPr>
                <w:sz w:val="32"/>
                <w:szCs w:val="32"/>
                <w:lang w:val="fr-FR"/>
              </w:rPr>
            </w:pPr>
            <w:r w:rsidRPr="00946B29">
              <w:rPr>
                <w:rFonts w:cstheme="minorHAnsi"/>
                <w:sz w:val="32"/>
                <w:szCs w:val="32"/>
                <w:lang w:val="fr-FR"/>
              </w:rPr>
              <w:t>Informations actualisées sur la mise en œuvre de la stratégie de mobilisation des ressources de l'UIT</w:t>
            </w:r>
          </w:p>
        </w:tc>
      </w:tr>
      <w:tr w:rsidR="00D72F49" w:rsidRPr="00946B29" w14:paraId="2FCAE370" w14:textId="77777777" w:rsidTr="003F68FF">
        <w:trPr>
          <w:cantSplit/>
        </w:trPr>
        <w:tc>
          <w:tcPr>
            <w:tcW w:w="9214" w:type="dxa"/>
            <w:gridSpan w:val="2"/>
            <w:tcBorders>
              <w:top w:val="single" w:sz="4" w:space="0" w:color="auto"/>
              <w:bottom w:val="single" w:sz="4" w:space="0" w:color="auto"/>
            </w:tcBorders>
            <w:tcMar>
              <w:left w:w="0" w:type="dxa"/>
            </w:tcMar>
          </w:tcPr>
          <w:p w14:paraId="55D8EB13" w14:textId="77777777" w:rsidR="00D72F49" w:rsidRPr="00946B29" w:rsidRDefault="00F37FE5" w:rsidP="00796BDB">
            <w:pPr>
              <w:spacing w:before="160"/>
              <w:rPr>
                <w:b/>
                <w:bCs/>
                <w:sz w:val="26"/>
                <w:szCs w:val="26"/>
              </w:rPr>
            </w:pPr>
            <w:r w:rsidRPr="00946B29">
              <w:rPr>
                <w:b/>
                <w:bCs/>
                <w:sz w:val="26"/>
                <w:szCs w:val="26"/>
              </w:rPr>
              <w:t>Objet</w:t>
            </w:r>
          </w:p>
          <w:p w14:paraId="71598D86" w14:textId="0950B125" w:rsidR="006153D5" w:rsidRPr="00946B29" w:rsidRDefault="006153D5" w:rsidP="003F68FF">
            <w:pPr>
              <w:jc w:val="both"/>
            </w:pPr>
            <w:r w:rsidRPr="00946B29">
              <w:t xml:space="preserve">Par sa Décision 5 (Rév. Bucarest, 2022), la Conférence de plénipotentiaires (Bucarest, 2022) a chargé le Secrétaire général d'élaborer une stratégie de mobilisation des ressources financières à l'échelle de l'UIT et de la présenter au Conseil de l'UIT. La stratégie de mobilisation des ressources, adoptée par le Conseil à sa session de 2024 (voir le </w:t>
            </w:r>
            <w:hyperlink r:id="rId8" w:history="1">
              <w:r w:rsidRPr="00946B29">
                <w:rPr>
                  <w:rStyle w:val="Hyperlink"/>
                  <w:rFonts w:eastAsia="Times New Roman" w:cs="Times New Roman"/>
                  <w:szCs w:val="20"/>
                </w:rPr>
                <w:t>Document C24/70</w:t>
              </w:r>
            </w:hyperlink>
            <w:r w:rsidRPr="00946B29">
              <w:t>), s'articule autour de trois grands domaines d'action consistant à renforcer la mobilisation des membres, à tirer parti des manifestations, des produits et des services et à susciter davantage de contributions volontaires.</w:t>
            </w:r>
          </w:p>
          <w:p w14:paraId="7DBF12A3" w14:textId="0B3EE1DE" w:rsidR="00D72F49" w:rsidRPr="00946B29" w:rsidRDefault="006153D5" w:rsidP="003F68FF">
            <w:pPr>
              <w:jc w:val="both"/>
            </w:pPr>
            <w:r w:rsidRPr="00946B29">
              <w:t>Une mise à jour de la mise en œuvre en cours a été présentée à la session de 2025 du Conseil (</w:t>
            </w:r>
            <w:hyperlink r:id="rId9" w:history="1">
              <w:r w:rsidRPr="00946B29">
                <w:rPr>
                  <w:rStyle w:val="Hyperlink"/>
                  <w:rFonts w:eastAsia="Times New Roman" w:cs="Times New Roman"/>
                  <w:szCs w:val="20"/>
                </w:rPr>
                <w:t>Document C25/67</w:t>
              </w:r>
            </w:hyperlink>
            <w:r w:rsidRPr="00946B29">
              <w:t>) et à la réunion du GTC-FHR (</w:t>
            </w:r>
            <w:hyperlink r:id="rId10" w:history="1">
              <w:r w:rsidRPr="00946B29">
                <w:rPr>
                  <w:rStyle w:val="Hyperlink"/>
                  <w:rFonts w:eastAsia="Times New Roman" w:cs="Times New Roman"/>
                  <w:szCs w:val="20"/>
                </w:rPr>
                <w:t>Document CWG-FHR-22/16</w:t>
              </w:r>
            </w:hyperlink>
            <w:r w:rsidRPr="00946B29">
              <w:t>) pour qu'il formule des observations, l'examine et la transmette ensuite au Conseil à sa session de 2026.</w:t>
            </w:r>
          </w:p>
          <w:p w14:paraId="263AF625" w14:textId="77777777" w:rsidR="00D72F49" w:rsidRPr="00946B29" w:rsidRDefault="00D72F49" w:rsidP="00796BDB">
            <w:pPr>
              <w:spacing w:before="160"/>
              <w:rPr>
                <w:b/>
                <w:bCs/>
                <w:sz w:val="26"/>
                <w:szCs w:val="26"/>
              </w:rPr>
            </w:pPr>
            <w:r w:rsidRPr="00946B29">
              <w:rPr>
                <w:b/>
                <w:bCs/>
                <w:sz w:val="26"/>
                <w:szCs w:val="26"/>
              </w:rPr>
              <w:t>Suite à donner par le Conseil</w:t>
            </w:r>
          </w:p>
          <w:p w14:paraId="3F01B7E4" w14:textId="5796E814" w:rsidR="00D72F49" w:rsidRPr="00946B29" w:rsidRDefault="006153D5" w:rsidP="00796BDB">
            <w:r w:rsidRPr="00946B29">
              <w:t xml:space="preserve">Le Conseil est invité à </w:t>
            </w:r>
            <w:r w:rsidRPr="00946B29">
              <w:rPr>
                <w:b/>
                <w:bCs/>
              </w:rPr>
              <w:t>prendre note</w:t>
            </w:r>
            <w:r w:rsidRPr="00946B29">
              <w:t xml:space="preserve"> du présent document.</w:t>
            </w:r>
          </w:p>
          <w:p w14:paraId="3FF8867C" w14:textId="4AD6E4DA" w:rsidR="00D72F49" w:rsidRPr="00946B29" w:rsidRDefault="00D72F49" w:rsidP="00796BDB">
            <w:pPr>
              <w:spacing w:before="160"/>
              <w:rPr>
                <w:b/>
                <w:bCs/>
                <w:sz w:val="26"/>
                <w:szCs w:val="26"/>
              </w:rPr>
            </w:pPr>
            <w:r w:rsidRPr="00946B29">
              <w:rPr>
                <w:b/>
                <w:bCs/>
                <w:sz w:val="26"/>
                <w:szCs w:val="26"/>
              </w:rPr>
              <w:t xml:space="preserve">Lien(s) pertinent(s) avec le </w:t>
            </w:r>
            <w:r w:rsidR="006153D5" w:rsidRPr="00946B29">
              <w:rPr>
                <w:b/>
                <w:bCs/>
                <w:sz w:val="26"/>
                <w:szCs w:val="26"/>
              </w:rPr>
              <w:t>P</w:t>
            </w:r>
            <w:r w:rsidRPr="00946B29">
              <w:rPr>
                <w:b/>
                <w:bCs/>
                <w:sz w:val="26"/>
                <w:szCs w:val="26"/>
              </w:rPr>
              <w:t>lan stratégique</w:t>
            </w:r>
          </w:p>
          <w:p w14:paraId="3C4C2906" w14:textId="4E07182E" w:rsidR="00D72F49" w:rsidRPr="00946B29" w:rsidRDefault="006153D5" w:rsidP="00796BDB">
            <w:r w:rsidRPr="00946B29">
              <w:t>Mobilisation des ressources.</w:t>
            </w:r>
          </w:p>
          <w:p w14:paraId="50CEAD2F" w14:textId="77777777" w:rsidR="00E95647" w:rsidRPr="00946B29" w:rsidRDefault="00D72F49" w:rsidP="00796BDB">
            <w:pPr>
              <w:spacing w:before="160"/>
              <w:rPr>
                <w:b/>
                <w:bCs/>
                <w:sz w:val="26"/>
                <w:szCs w:val="26"/>
              </w:rPr>
            </w:pPr>
            <w:r w:rsidRPr="00946B29">
              <w:rPr>
                <w:b/>
                <w:bCs/>
                <w:sz w:val="26"/>
                <w:szCs w:val="26"/>
              </w:rPr>
              <w:t>Incidences financières</w:t>
            </w:r>
          </w:p>
          <w:p w14:paraId="23D6D465" w14:textId="2C1F5972" w:rsidR="00D72F49" w:rsidRPr="00946B29" w:rsidRDefault="006153D5" w:rsidP="00796BDB">
            <w:pPr>
              <w:rPr>
                <w:szCs w:val="24"/>
              </w:rPr>
            </w:pPr>
            <w:r w:rsidRPr="00946B29">
              <w:rPr>
                <w:szCs w:val="24"/>
              </w:rPr>
              <w:t>Augmentation possible du budget ordinaire et des fonds extrabudgétaires.</w:t>
            </w:r>
          </w:p>
          <w:p w14:paraId="752D5775" w14:textId="77777777" w:rsidR="00D72F49" w:rsidRPr="00946B29" w:rsidRDefault="00D72F49" w:rsidP="003F68FF">
            <w:pPr>
              <w:rPr>
                <w:sz w:val="22"/>
              </w:rPr>
            </w:pPr>
            <w:r w:rsidRPr="00946B29">
              <w:rPr>
                <w:sz w:val="22"/>
              </w:rPr>
              <w:t>__________________</w:t>
            </w:r>
          </w:p>
          <w:p w14:paraId="6342DB95" w14:textId="77777777" w:rsidR="003F68FF" w:rsidRPr="00946B29" w:rsidRDefault="003F68FF" w:rsidP="003F68FF">
            <w:pPr>
              <w:spacing w:before="160"/>
              <w:rPr>
                <w:b/>
                <w:bCs/>
                <w:sz w:val="26"/>
                <w:szCs w:val="26"/>
              </w:rPr>
            </w:pPr>
            <w:r w:rsidRPr="00946B29">
              <w:rPr>
                <w:b/>
                <w:bCs/>
                <w:sz w:val="26"/>
                <w:szCs w:val="26"/>
              </w:rPr>
              <w:t>Références</w:t>
            </w:r>
          </w:p>
          <w:p w14:paraId="2B09BE01" w14:textId="16EEC2AA" w:rsidR="006153D5" w:rsidRPr="003F68FF" w:rsidRDefault="003F68FF" w:rsidP="003F68FF">
            <w:pPr>
              <w:spacing w:after="120"/>
              <w:jc w:val="both"/>
              <w:rPr>
                <w:caps/>
                <w:spacing w:val="-2"/>
                <w:sz w:val="22"/>
              </w:rPr>
            </w:pPr>
            <w:hyperlink r:id="rId11" w:anchor="/fr" w:history="1">
              <w:r w:rsidRPr="003F68FF">
                <w:rPr>
                  <w:rStyle w:val="Hyperlink"/>
                  <w:rFonts w:eastAsia="Times New Roman" w:cs="Times New Roman"/>
                  <w:i/>
                  <w:iCs/>
                  <w:spacing w:val="-2"/>
                  <w:sz w:val="22"/>
                </w:rPr>
                <w:t xml:space="preserve">Site web du </w:t>
              </w:r>
              <w:proofErr w:type="spellStart"/>
              <w:r w:rsidRPr="003F68FF">
                <w:rPr>
                  <w:rStyle w:val="Hyperlink"/>
                  <w:rFonts w:eastAsia="Times New Roman" w:cs="Times New Roman"/>
                  <w:i/>
                  <w:iCs/>
                  <w:spacing w:val="-2"/>
                  <w:sz w:val="22"/>
                </w:rPr>
                <w:t>GTC-FHR</w:t>
              </w:r>
              <w:proofErr w:type="spellEnd"/>
            </w:hyperlink>
            <w:r w:rsidRPr="003F68FF">
              <w:rPr>
                <w:i/>
                <w:iCs/>
                <w:spacing w:val="-2"/>
                <w:sz w:val="22"/>
                <w:szCs w:val="22"/>
              </w:rPr>
              <w:t xml:space="preserve">; </w:t>
            </w:r>
            <w:hyperlink r:id="rId12" w:history="1">
              <w:r w:rsidRPr="003F68FF">
                <w:rPr>
                  <w:rStyle w:val="Hyperlink"/>
                  <w:rFonts w:eastAsia="Times New Roman" w:cs="Times New Roman"/>
                  <w:i/>
                  <w:iCs/>
                  <w:spacing w:val="-2"/>
                  <w:sz w:val="22"/>
                </w:rPr>
                <w:t>Décision 5</w:t>
              </w:r>
            </w:hyperlink>
            <w:r w:rsidRPr="003F68FF">
              <w:rPr>
                <w:i/>
                <w:iCs/>
                <w:spacing w:val="-2"/>
                <w:sz w:val="22"/>
                <w:szCs w:val="22"/>
              </w:rPr>
              <w:t xml:space="preserve"> (Rév. Bucarest, 2022) de la Conférence de plénipotentiaires; </w:t>
            </w:r>
            <w:hyperlink r:id="rId13" w:history="1">
              <w:r w:rsidRPr="003F68FF">
                <w:rPr>
                  <w:rStyle w:val="Hyperlink"/>
                  <w:rFonts w:eastAsia="Times New Roman" w:cs="Times New Roman"/>
                  <w:i/>
                  <w:iCs/>
                  <w:spacing w:val="-2"/>
                  <w:sz w:val="22"/>
                </w:rPr>
                <w:t xml:space="preserve">Documents </w:t>
              </w:r>
              <w:proofErr w:type="spellStart"/>
              <w:r w:rsidRPr="003F68FF">
                <w:rPr>
                  <w:rStyle w:val="Hyperlink"/>
                  <w:rFonts w:eastAsia="Times New Roman" w:cs="Times New Roman"/>
                  <w:i/>
                  <w:iCs/>
                  <w:spacing w:val="-2"/>
                  <w:sz w:val="22"/>
                </w:rPr>
                <w:t>C17</w:t>
              </w:r>
              <w:proofErr w:type="spellEnd"/>
              <w:r w:rsidRPr="003F68FF">
                <w:rPr>
                  <w:rStyle w:val="Hyperlink"/>
                  <w:rFonts w:eastAsia="Times New Roman" w:cs="Times New Roman"/>
                  <w:i/>
                  <w:iCs/>
                  <w:spacing w:val="-2"/>
                  <w:sz w:val="22"/>
                </w:rPr>
                <w:t>/67</w:t>
              </w:r>
            </w:hyperlink>
            <w:r w:rsidRPr="003F68FF">
              <w:rPr>
                <w:i/>
                <w:iCs/>
                <w:spacing w:val="-2"/>
                <w:sz w:val="22"/>
                <w:szCs w:val="22"/>
              </w:rPr>
              <w:t xml:space="preserve"> et </w:t>
            </w:r>
            <w:hyperlink r:id="rId14" w:history="1">
              <w:proofErr w:type="spellStart"/>
              <w:r w:rsidRPr="003F68FF">
                <w:rPr>
                  <w:rStyle w:val="Hyperlink"/>
                  <w:rFonts w:eastAsia="Times New Roman" w:cs="Times New Roman"/>
                  <w:i/>
                  <w:iCs/>
                  <w:spacing w:val="-2"/>
                  <w:sz w:val="22"/>
                </w:rPr>
                <w:t>C23</w:t>
              </w:r>
              <w:proofErr w:type="spellEnd"/>
              <w:r w:rsidRPr="003F68FF">
                <w:rPr>
                  <w:rStyle w:val="Hyperlink"/>
                  <w:rFonts w:eastAsia="Times New Roman" w:cs="Times New Roman"/>
                  <w:i/>
                  <w:iCs/>
                  <w:spacing w:val="-2"/>
                  <w:sz w:val="22"/>
                </w:rPr>
                <w:t>/</w:t>
              </w:r>
              <w:proofErr w:type="spellStart"/>
              <w:r w:rsidRPr="003F68FF">
                <w:rPr>
                  <w:rStyle w:val="Hyperlink"/>
                  <w:rFonts w:eastAsia="Times New Roman" w:cs="Times New Roman"/>
                  <w:i/>
                  <w:iCs/>
                  <w:spacing w:val="-2"/>
                  <w:sz w:val="22"/>
                </w:rPr>
                <w:t>INF</w:t>
              </w:r>
              <w:proofErr w:type="spellEnd"/>
              <w:r w:rsidRPr="003F68FF">
                <w:rPr>
                  <w:rStyle w:val="Hyperlink"/>
                  <w:rFonts w:eastAsia="Times New Roman" w:cs="Times New Roman"/>
                  <w:i/>
                  <w:iCs/>
                  <w:spacing w:val="-2"/>
                  <w:sz w:val="22"/>
                </w:rPr>
                <w:t>/12</w:t>
              </w:r>
            </w:hyperlink>
            <w:r w:rsidRPr="003F68FF">
              <w:rPr>
                <w:i/>
                <w:iCs/>
                <w:spacing w:val="-2"/>
                <w:sz w:val="22"/>
                <w:szCs w:val="22"/>
              </w:rPr>
              <w:t xml:space="preserve"> du Conseil; </w:t>
            </w:r>
            <w:hyperlink r:id="rId15" w:history="1">
              <w:r w:rsidRPr="003F68FF">
                <w:rPr>
                  <w:rStyle w:val="Hyperlink"/>
                  <w:rFonts w:eastAsia="Times New Roman" w:cs="Times New Roman"/>
                  <w:i/>
                  <w:iCs/>
                  <w:spacing w:val="-2"/>
                  <w:sz w:val="22"/>
                </w:rPr>
                <w:t>Plan d'action de Kigali</w:t>
              </w:r>
            </w:hyperlink>
            <w:r w:rsidRPr="003F68FF">
              <w:rPr>
                <w:i/>
                <w:iCs/>
                <w:spacing w:val="-2"/>
                <w:sz w:val="22"/>
                <w:szCs w:val="22"/>
              </w:rPr>
              <w:t xml:space="preserve">; </w:t>
            </w:r>
            <w:hyperlink r:id="rId16" w:history="1">
              <w:r w:rsidRPr="003F68FF">
                <w:rPr>
                  <w:rStyle w:val="Hyperlink"/>
                  <w:rFonts w:eastAsia="Times New Roman" w:cs="Times New Roman"/>
                  <w:i/>
                  <w:iCs/>
                  <w:spacing w:val="-2"/>
                  <w:sz w:val="22"/>
                </w:rPr>
                <w:t>Document </w:t>
              </w:r>
              <w:proofErr w:type="spellStart"/>
              <w:r w:rsidRPr="003F68FF">
                <w:rPr>
                  <w:rStyle w:val="Hyperlink"/>
                  <w:rFonts w:eastAsia="Times New Roman" w:cs="Times New Roman"/>
                  <w:i/>
                  <w:iCs/>
                  <w:spacing w:val="-2"/>
                  <w:sz w:val="22"/>
                </w:rPr>
                <w:t>C23</w:t>
              </w:r>
              <w:proofErr w:type="spellEnd"/>
              <w:r w:rsidRPr="003F68FF">
                <w:rPr>
                  <w:rStyle w:val="Hyperlink"/>
                  <w:rFonts w:eastAsia="Times New Roman" w:cs="Times New Roman"/>
                  <w:i/>
                  <w:iCs/>
                  <w:spacing w:val="-2"/>
                  <w:sz w:val="22"/>
                </w:rPr>
                <w:t>/62(</w:t>
              </w:r>
              <w:proofErr w:type="spellStart"/>
              <w:r w:rsidRPr="003F68FF">
                <w:rPr>
                  <w:rStyle w:val="Hyperlink"/>
                  <w:rFonts w:eastAsia="Times New Roman" w:cs="Times New Roman"/>
                  <w:i/>
                  <w:iCs/>
                  <w:spacing w:val="-2"/>
                  <w:sz w:val="22"/>
                </w:rPr>
                <w:t>Rév.1</w:t>
              </w:r>
              <w:proofErr w:type="spellEnd"/>
              <w:r w:rsidRPr="003F68FF">
                <w:rPr>
                  <w:rStyle w:val="Hyperlink"/>
                  <w:rFonts w:eastAsia="Times New Roman" w:cs="Times New Roman"/>
                  <w:i/>
                  <w:iCs/>
                  <w:spacing w:val="-2"/>
                  <w:sz w:val="22"/>
                </w:rPr>
                <w:t>)</w:t>
              </w:r>
            </w:hyperlink>
            <w:r w:rsidRPr="003F68FF">
              <w:rPr>
                <w:i/>
                <w:iCs/>
                <w:spacing w:val="-2"/>
                <w:sz w:val="22"/>
                <w:szCs w:val="22"/>
              </w:rPr>
              <w:t xml:space="preserve"> du Conseil; </w:t>
            </w:r>
            <w:hyperlink r:id="rId17" w:history="1">
              <w:r w:rsidRPr="003F68FF">
                <w:rPr>
                  <w:rStyle w:val="Hyperlink"/>
                  <w:rFonts w:eastAsia="Times New Roman" w:cs="Times New Roman"/>
                  <w:i/>
                  <w:iCs/>
                  <w:spacing w:val="-2"/>
                  <w:sz w:val="22"/>
                </w:rPr>
                <w:t xml:space="preserve">Documents </w:t>
              </w:r>
              <w:proofErr w:type="spellStart"/>
              <w:r w:rsidRPr="003F68FF">
                <w:rPr>
                  <w:rStyle w:val="Hyperlink"/>
                  <w:rFonts w:eastAsia="Times New Roman" w:cs="Times New Roman"/>
                  <w:i/>
                  <w:iCs/>
                  <w:spacing w:val="-2"/>
                  <w:sz w:val="22"/>
                </w:rPr>
                <w:t>CWG</w:t>
              </w:r>
              <w:proofErr w:type="spellEnd"/>
              <w:r w:rsidRPr="003F68FF">
                <w:rPr>
                  <w:rStyle w:val="Hyperlink"/>
                  <w:rFonts w:eastAsia="Times New Roman" w:cs="Times New Roman"/>
                  <w:i/>
                  <w:iCs/>
                  <w:spacing w:val="-2"/>
                  <w:sz w:val="22"/>
                </w:rPr>
                <w:t>-</w:t>
              </w:r>
              <w:proofErr w:type="spellStart"/>
              <w:r w:rsidRPr="003F68FF">
                <w:rPr>
                  <w:rStyle w:val="Hyperlink"/>
                  <w:rFonts w:eastAsia="Times New Roman" w:cs="Times New Roman"/>
                  <w:i/>
                  <w:iCs/>
                  <w:spacing w:val="-2"/>
                  <w:sz w:val="22"/>
                </w:rPr>
                <w:t>FHR</w:t>
              </w:r>
              <w:proofErr w:type="spellEnd"/>
              <w:r w:rsidRPr="003F68FF">
                <w:rPr>
                  <w:rStyle w:val="Hyperlink"/>
                  <w:rFonts w:eastAsia="Times New Roman" w:cs="Times New Roman"/>
                  <w:i/>
                  <w:iCs/>
                  <w:spacing w:val="-2"/>
                  <w:sz w:val="22"/>
                </w:rPr>
                <w:t>-16/11</w:t>
              </w:r>
            </w:hyperlink>
            <w:r w:rsidRPr="003F68FF">
              <w:rPr>
                <w:i/>
                <w:iCs/>
                <w:spacing w:val="-2"/>
                <w:sz w:val="22"/>
                <w:szCs w:val="22"/>
              </w:rPr>
              <w:t xml:space="preserve">, </w:t>
            </w:r>
            <w:hyperlink r:id="rId18" w:history="1">
              <w:proofErr w:type="spellStart"/>
              <w:r w:rsidRPr="003F68FF">
                <w:rPr>
                  <w:rStyle w:val="Hyperlink"/>
                  <w:rFonts w:eastAsia="Times New Roman" w:cs="Times New Roman"/>
                  <w:i/>
                  <w:iCs/>
                  <w:spacing w:val="-2"/>
                  <w:sz w:val="22"/>
                </w:rPr>
                <w:t>CWG</w:t>
              </w:r>
              <w:proofErr w:type="spellEnd"/>
              <w:r w:rsidRPr="003F68FF">
                <w:rPr>
                  <w:rStyle w:val="Hyperlink"/>
                  <w:rFonts w:eastAsia="Times New Roman" w:cs="Times New Roman"/>
                  <w:i/>
                  <w:iCs/>
                  <w:spacing w:val="-2"/>
                  <w:sz w:val="22"/>
                </w:rPr>
                <w:t>-</w:t>
              </w:r>
              <w:proofErr w:type="spellStart"/>
              <w:r w:rsidRPr="003F68FF">
                <w:rPr>
                  <w:rStyle w:val="Hyperlink"/>
                  <w:rFonts w:eastAsia="Times New Roman" w:cs="Times New Roman"/>
                  <w:i/>
                  <w:iCs/>
                  <w:spacing w:val="-2"/>
                  <w:sz w:val="22"/>
                </w:rPr>
                <w:t>FHR</w:t>
              </w:r>
              <w:proofErr w:type="spellEnd"/>
              <w:r w:rsidRPr="003F68FF">
                <w:rPr>
                  <w:rStyle w:val="Hyperlink"/>
                  <w:rFonts w:eastAsia="Times New Roman" w:cs="Times New Roman"/>
                  <w:i/>
                  <w:iCs/>
                  <w:spacing w:val="-2"/>
                  <w:sz w:val="22"/>
                </w:rPr>
                <w:t>-17/3</w:t>
              </w:r>
            </w:hyperlink>
            <w:r w:rsidRPr="003F68FF">
              <w:rPr>
                <w:i/>
                <w:iCs/>
                <w:spacing w:val="-2"/>
                <w:sz w:val="22"/>
                <w:szCs w:val="22"/>
              </w:rPr>
              <w:t xml:space="preserve"> et </w:t>
            </w:r>
            <w:proofErr w:type="spellStart"/>
            <w:r w:rsidRPr="003F68FF">
              <w:rPr>
                <w:spacing w:val="-2"/>
                <w:sz w:val="22"/>
                <w:szCs w:val="22"/>
              </w:rPr>
              <w:fldChar w:fldCharType="begin"/>
            </w:r>
            <w:r w:rsidRPr="003F68FF">
              <w:rPr>
                <w:spacing w:val="-2"/>
                <w:sz w:val="22"/>
                <w:szCs w:val="22"/>
              </w:rPr>
              <w:instrText>HYPERLINK "https://www.itu.int/md/S24-CWGFHR17-INF-0009/fr"</w:instrText>
            </w:r>
            <w:r w:rsidRPr="003F68FF">
              <w:rPr>
                <w:spacing w:val="-2"/>
                <w:sz w:val="22"/>
                <w:szCs w:val="22"/>
              </w:rPr>
            </w:r>
            <w:r w:rsidRPr="003F68FF">
              <w:rPr>
                <w:spacing w:val="-2"/>
                <w:sz w:val="22"/>
                <w:szCs w:val="22"/>
              </w:rPr>
              <w:fldChar w:fldCharType="separate"/>
            </w:r>
            <w:r w:rsidRPr="003F68FF">
              <w:rPr>
                <w:rStyle w:val="Hyperlink"/>
                <w:rFonts w:eastAsia="Times New Roman" w:cs="Times New Roman"/>
                <w:i/>
                <w:iCs/>
                <w:spacing w:val="-2"/>
                <w:sz w:val="22"/>
              </w:rPr>
              <w:t>CWG</w:t>
            </w:r>
            <w:proofErr w:type="spellEnd"/>
            <w:r w:rsidRPr="003F68FF">
              <w:rPr>
                <w:rStyle w:val="Hyperlink"/>
                <w:rFonts w:eastAsia="Times New Roman" w:cs="Times New Roman"/>
                <w:i/>
                <w:iCs/>
                <w:spacing w:val="-2"/>
                <w:sz w:val="22"/>
              </w:rPr>
              <w:noBreakHyphen/>
            </w:r>
            <w:proofErr w:type="spellStart"/>
            <w:r w:rsidRPr="003F68FF">
              <w:rPr>
                <w:rStyle w:val="Hyperlink"/>
                <w:rFonts w:eastAsia="Times New Roman" w:cs="Times New Roman"/>
                <w:i/>
                <w:iCs/>
                <w:spacing w:val="-2"/>
                <w:sz w:val="22"/>
              </w:rPr>
              <w:t>FHR</w:t>
            </w:r>
            <w:proofErr w:type="spellEnd"/>
            <w:r w:rsidRPr="003F68FF">
              <w:rPr>
                <w:rStyle w:val="Hyperlink"/>
                <w:rFonts w:eastAsia="Times New Roman" w:cs="Times New Roman"/>
                <w:i/>
                <w:iCs/>
                <w:spacing w:val="-2"/>
                <w:sz w:val="22"/>
              </w:rPr>
              <w:t>-17/</w:t>
            </w:r>
            <w:proofErr w:type="spellStart"/>
            <w:r w:rsidRPr="003F68FF">
              <w:rPr>
                <w:rStyle w:val="Hyperlink"/>
                <w:rFonts w:eastAsia="Times New Roman" w:cs="Times New Roman"/>
                <w:i/>
                <w:iCs/>
                <w:spacing w:val="-2"/>
                <w:sz w:val="22"/>
              </w:rPr>
              <w:t>INF</w:t>
            </w:r>
            <w:proofErr w:type="spellEnd"/>
            <w:r w:rsidRPr="003F68FF">
              <w:rPr>
                <w:rStyle w:val="Hyperlink"/>
                <w:rFonts w:eastAsia="Times New Roman" w:cs="Times New Roman"/>
                <w:i/>
                <w:iCs/>
                <w:spacing w:val="-2"/>
                <w:sz w:val="22"/>
              </w:rPr>
              <w:t>/9</w:t>
            </w:r>
            <w:r w:rsidRPr="003F68FF">
              <w:rPr>
                <w:spacing w:val="-2"/>
                <w:sz w:val="22"/>
                <w:szCs w:val="22"/>
              </w:rPr>
              <w:fldChar w:fldCharType="end"/>
            </w:r>
            <w:r w:rsidRPr="003F68FF">
              <w:rPr>
                <w:i/>
                <w:iCs/>
                <w:spacing w:val="-2"/>
                <w:sz w:val="22"/>
                <w:szCs w:val="22"/>
              </w:rPr>
              <w:t xml:space="preserve">; </w:t>
            </w:r>
            <w:hyperlink r:id="rId19" w:history="1">
              <w:r w:rsidRPr="003F68FF">
                <w:rPr>
                  <w:rStyle w:val="Hyperlink"/>
                  <w:rFonts w:eastAsia="Times New Roman" w:cs="Times New Roman"/>
                  <w:i/>
                  <w:iCs/>
                  <w:spacing w:val="-2"/>
                  <w:sz w:val="22"/>
                </w:rPr>
                <w:t xml:space="preserve">Document </w:t>
              </w:r>
              <w:proofErr w:type="spellStart"/>
              <w:r w:rsidRPr="003F68FF">
                <w:rPr>
                  <w:rStyle w:val="Hyperlink"/>
                  <w:rFonts w:eastAsia="Times New Roman" w:cs="Times New Roman"/>
                  <w:i/>
                  <w:iCs/>
                  <w:spacing w:val="-2"/>
                  <w:sz w:val="22"/>
                </w:rPr>
                <w:t>C24</w:t>
              </w:r>
              <w:proofErr w:type="spellEnd"/>
              <w:r w:rsidRPr="003F68FF">
                <w:rPr>
                  <w:rStyle w:val="Hyperlink"/>
                  <w:rFonts w:eastAsia="Times New Roman" w:cs="Times New Roman"/>
                  <w:i/>
                  <w:iCs/>
                  <w:spacing w:val="-2"/>
                  <w:sz w:val="22"/>
                </w:rPr>
                <w:t>/70</w:t>
              </w:r>
            </w:hyperlink>
            <w:r w:rsidRPr="003F68FF">
              <w:rPr>
                <w:i/>
                <w:iCs/>
                <w:spacing w:val="-2"/>
                <w:sz w:val="22"/>
                <w:szCs w:val="22"/>
              </w:rPr>
              <w:t xml:space="preserve"> (Stratégie de mobilisation des ressources) du Conseil; </w:t>
            </w:r>
            <w:hyperlink r:id="rId20" w:history="1">
              <w:r w:rsidRPr="003F68FF">
                <w:rPr>
                  <w:rStyle w:val="Hyperlink"/>
                  <w:rFonts w:eastAsia="Times New Roman" w:cs="Times New Roman"/>
                  <w:i/>
                  <w:iCs/>
                  <w:spacing w:val="-2"/>
                  <w:sz w:val="22"/>
                </w:rPr>
                <w:t xml:space="preserve">Document </w:t>
              </w:r>
              <w:proofErr w:type="spellStart"/>
              <w:r w:rsidRPr="003F68FF">
                <w:rPr>
                  <w:rStyle w:val="Hyperlink"/>
                  <w:rFonts w:eastAsia="Times New Roman" w:cs="Times New Roman"/>
                  <w:i/>
                  <w:iCs/>
                  <w:spacing w:val="-2"/>
                  <w:sz w:val="22"/>
                </w:rPr>
                <w:t>C25</w:t>
              </w:r>
              <w:proofErr w:type="spellEnd"/>
              <w:r w:rsidRPr="003F68FF">
                <w:rPr>
                  <w:rStyle w:val="Hyperlink"/>
                  <w:rFonts w:eastAsia="Times New Roman" w:cs="Times New Roman"/>
                  <w:i/>
                  <w:iCs/>
                  <w:spacing w:val="-2"/>
                  <w:sz w:val="22"/>
                </w:rPr>
                <w:t>/67</w:t>
              </w:r>
            </w:hyperlink>
            <w:r w:rsidRPr="003F68FF">
              <w:rPr>
                <w:i/>
                <w:iCs/>
                <w:spacing w:val="-2"/>
                <w:sz w:val="22"/>
                <w:szCs w:val="22"/>
              </w:rPr>
              <w:t xml:space="preserve"> (Mise en œuvre de la stratégie de mobilisation des ressources de l'UIT) du Conseil; </w:t>
            </w:r>
            <w:hyperlink r:id="rId21" w:history="1">
              <w:r w:rsidRPr="003F68FF">
                <w:rPr>
                  <w:rStyle w:val="Hyperlink"/>
                  <w:rFonts w:eastAsia="Times New Roman" w:cs="Times New Roman"/>
                  <w:i/>
                  <w:iCs/>
                  <w:spacing w:val="-2"/>
                  <w:sz w:val="22"/>
                </w:rPr>
                <w:t xml:space="preserve">Lettre circulaire </w:t>
              </w:r>
              <w:proofErr w:type="spellStart"/>
              <w:r w:rsidRPr="003F68FF">
                <w:rPr>
                  <w:rStyle w:val="Hyperlink"/>
                  <w:rFonts w:eastAsia="Times New Roman" w:cs="Times New Roman"/>
                  <w:i/>
                  <w:iCs/>
                  <w:spacing w:val="-2"/>
                  <w:sz w:val="22"/>
                </w:rPr>
                <w:t>CL-25</w:t>
              </w:r>
              <w:proofErr w:type="spellEnd"/>
              <w:r w:rsidRPr="003F68FF">
                <w:rPr>
                  <w:rStyle w:val="Hyperlink"/>
                  <w:rFonts w:eastAsia="Times New Roman" w:cs="Times New Roman"/>
                  <w:i/>
                  <w:iCs/>
                  <w:spacing w:val="-2"/>
                  <w:sz w:val="22"/>
                </w:rPr>
                <w:t>/36</w:t>
              </w:r>
            </w:hyperlink>
            <w:r w:rsidRPr="003F68FF">
              <w:rPr>
                <w:i/>
                <w:iCs/>
                <w:spacing w:val="-2"/>
                <w:sz w:val="22"/>
                <w:szCs w:val="22"/>
              </w:rPr>
              <w:t xml:space="preserve"> (Investir dans l'UIT et notre avenir numérique commun); </w:t>
            </w:r>
            <w:hyperlink r:id="rId22" w:history="1">
              <w:r w:rsidRPr="003F68FF">
                <w:rPr>
                  <w:rStyle w:val="Hyperlink"/>
                  <w:rFonts w:eastAsia="Times New Roman" w:cs="Times New Roman"/>
                  <w:i/>
                  <w:iCs/>
                  <w:spacing w:val="-2"/>
                  <w:sz w:val="22"/>
                </w:rPr>
                <w:t>Pourquoi l'UIT compte: Convaincre les investisseurs</w:t>
              </w:r>
            </w:hyperlink>
            <w:r w:rsidRPr="003F68FF">
              <w:rPr>
                <w:i/>
                <w:iCs/>
                <w:spacing w:val="-2"/>
                <w:sz w:val="22"/>
                <w:szCs w:val="22"/>
              </w:rPr>
              <w:t xml:space="preserve">; </w:t>
            </w:r>
            <w:hyperlink r:id="rId23" w:history="1">
              <w:r w:rsidRPr="003F68FF">
                <w:rPr>
                  <w:rStyle w:val="Hyperlink"/>
                  <w:rFonts w:eastAsia="Times New Roman" w:cs="Times New Roman"/>
                  <w:i/>
                  <w:iCs/>
                  <w:spacing w:val="-2"/>
                  <w:sz w:val="22"/>
                </w:rPr>
                <w:t xml:space="preserve">Documents </w:t>
              </w:r>
              <w:proofErr w:type="spellStart"/>
              <w:r w:rsidRPr="003F68FF">
                <w:rPr>
                  <w:rStyle w:val="Hyperlink"/>
                  <w:rFonts w:eastAsia="Times New Roman" w:cs="Times New Roman"/>
                  <w:i/>
                  <w:iCs/>
                  <w:spacing w:val="-2"/>
                  <w:sz w:val="22"/>
                </w:rPr>
                <w:t>CWG</w:t>
              </w:r>
              <w:proofErr w:type="spellEnd"/>
              <w:r w:rsidRPr="003F68FF">
                <w:rPr>
                  <w:rStyle w:val="Hyperlink"/>
                  <w:rFonts w:eastAsia="Times New Roman" w:cs="Times New Roman"/>
                  <w:i/>
                  <w:iCs/>
                  <w:spacing w:val="-2"/>
                  <w:sz w:val="22"/>
                </w:rPr>
                <w:t>-</w:t>
              </w:r>
              <w:proofErr w:type="spellStart"/>
              <w:r w:rsidRPr="003F68FF">
                <w:rPr>
                  <w:rStyle w:val="Hyperlink"/>
                  <w:rFonts w:eastAsia="Times New Roman" w:cs="Times New Roman"/>
                  <w:i/>
                  <w:iCs/>
                  <w:spacing w:val="-2"/>
                  <w:sz w:val="22"/>
                </w:rPr>
                <w:t>FHR</w:t>
              </w:r>
              <w:proofErr w:type="spellEnd"/>
              <w:r w:rsidRPr="003F68FF">
                <w:rPr>
                  <w:rStyle w:val="Hyperlink"/>
                  <w:rFonts w:eastAsia="Times New Roman" w:cs="Times New Roman"/>
                  <w:i/>
                  <w:iCs/>
                  <w:spacing w:val="-2"/>
                  <w:sz w:val="22"/>
                </w:rPr>
                <w:t>-22/16</w:t>
              </w:r>
            </w:hyperlink>
            <w:r w:rsidRPr="003F68FF">
              <w:rPr>
                <w:i/>
                <w:iCs/>
                <w:spacing w:val="-2"/>
                <w:sz w:val="22"/>
                <w:szCs w:val="22"/>
              </w:rPr>
              <w:t xml:space="preserve"> et </w:t>
            </w:r>
            <w:hyperlink r:id="rId24" w:history="1">
              <w:proofErr w:type="spellStart"/>
              <w:r w:rsidRPr="003F68FF">
                <w:rPr>
                  <w:rStyle w:val="Hyperlink"/>
                  <w:rFonts w:eastAsia="Times New Roman" w:cs="Times New Roman"/>
                  <w:i/>
                  <w:iCs/>
                  <w:spacing w:val="-2"/>
                  <w:sz w:val="22"/>
                </w:rPr>
                <w:t>C26</w:t>
              </w:r>
              <w:proofErr w:type="spellEnd"/>
              <w:r w:rsidRPr="003F68FF">
                <w:rPr>
                  <w:rStyle w:val="Hyperlink"/>
                  <w:rFonts w:eastAsia="Times New Roman" w:cs="Times New Roman"/>
                  <w:i/>
                  <w:iCs/>
                  <w:spacing w:val="-2"/>
                  <w:sz w:val="22"/>
                </w:rPr>
                <w:t>/47</w:t>
              </w:r>
            </w:hyperlink>
            <w:r w:rsidRPr="003F68FF">
              <w:rPr>
                <w:i/>
                <w:iCs/>
                <w:spacing w:val="-2"/>
                <w:sz w:val="22"/>
                <w:szCs w:val="22"/>
              </w:rPr>
              <w:t xml:space="preserve">; </w:t>
            </w:r>
            <w:hyperlink r:id="rId25" w:history="1">
              <w:r w:rsidRPr="003F68FF">
                <w:rPr>
                  <w:rStyle w:val="Hyperlink"/>
                  <w:rFonts w:eastAsia="Times New Roman" w:cs="Times New Roman"/>
                  <w:i/>
                  <w:iCs/>
                  <w:spacing w:val="-2"/>
                  <w:sz w:val="22"/>
                </w:rPr>
                <w:t xml:space="preserve">Document </w:t>
              </w:r>
              <w:proofErr w:type="spellStart"/>
              <w:r w:rsidRPr="003F68FF">
                <w:rPr>
                  <w:rStyle w:val="Hyperlink"/>
                  <w:rFonts w:eastAsia="Times New Roman" w:cs="Times New Roman"/>
                  <w:i/>
                  <w:iCs/>
                  <w:spacing w:val="-2"/>
                  <w:sz w:val="22"/>
                </w:rPr>
                <w:t>C26</w:t>
              </w:r>
              <w:proofErr w:type="spellEnd"/>
              <w:r w:rsidRPr="003F68FF">
                <w:rPr>
                  <w:rStyle w:val="Hyperlink"/>
                  <w:rFonts w:eastAsia="Times New Roman" w:cs="Times New Roman"/>
                  <w:i/>
                  <w:iCs/>
                  <w:spacing w:val="-2"/>
                  <w:sz w:val="22"/>
                </w:rPr>
                <w:t>/</w:t>
              </w:r>
              <w:proofErr w:type="spellStart"/>
              <w:r w:rsidRPr="003F68FF">
                <w:rPr>
                  <w:rStyle w:val="Hyperlink"/>
                  <w:rFonts w:eastAsia="Times New Roman" w:cs="Times New Roman"/>
                  <w:i/>
                  <w:iCs/>
                  <w:spacing w:val="-2"/>
                  <w:sz w:val="22"/>
                </w:rPr>
                <w:t>INF</w:t>
              </w:r>
              <w:proofErr w:type="spellEnd"/>
              <w:r w:rsidRPr="003F68FF">
                <w:rPr>
                  <w:rStyle w:val="Hyperlink"/>
                  <w:rFonts w:eastAsia="Times New Roman" w:cs="Times New Roman"/>
                  <w:i/>
                  <w:iCs/>
                  <w:spacing w:val="-2"/>
                  <w:sz w:val="22"/>
                </w:rPr>
                <w:t>/14</w:t>
              </w:r>
            </w:hyperlink>
            <w:r w:rsidRPr="003F68FF">
              <w:rPr>
                <w:i/>
                <w:iCs/>
                <w:spacing w:val="-2"/>
                <w:sz w:val="22"/>
                <w:szCs w:val="22"/>
              </w:rPr>
              <w:t xml:space="preserve"> du Conseil</w:t>
            </w:r>
          </w:p>
        </w:tc>
      </w:tr>
    </w:tbl>
    <w:p w14:paraId="086F5ABC" w14:textId="77777777" w:rsidR="00A51849" w:rsidRPr="00946B29" w:rsidRDefault="00A51849">
      <w:pPr>
        <w:tabs>
          <w:tab w:val="clear" w:pos="567"/>
          <w:tab w:val="clear" w:pos="1134"/>
          <w:tab w:val="clear" w:pos="1701"/>
          <w:tab w:val="clear" w:pos="2268"/>
          <w:tab w:val="clear" w:pos="2835"/>
        </w:tabs>
        <w:overflowPunct/>
        <w:autoSpaceDE/>
        <w:autoSpaceDN/>
        <w:adjustRightInd/>
        <w:spacing w:before="0"/>
        <w:textAlignment w:val="auto"/>
      </w:pPr>
      <w:r w:rsidRPr="00946B29">
        <w:br w:type="page"/>
      </w:r>
    </w:p>
    <w:p w14:paraId="21A4289D" w14:textId="77777777" w:rsidR="006153D5" w:rsidRPr="00946B29" w:rsidRDefault="006153D5" w:rsidP="006153D5">
      <w:pPr>
        <w:pStyle w:val="Headingb"/>
      </w:pPr>
      <w:r w:rsidRPr="00946B29">
        <w:lastRenderedPageBreak/>
        <w:t>Contexte</w:t>
      </w:r>
    </w:p>
    <w:p w14:paraId="31B6E282" w14:textId="2F4EAD7B" w:rsidR="006153D5" w:rsidRPr="00946B29" w:rsidRDefault="006153D5" w:rsidP="003F68FF">
      <w:pPr>
        <w:jc w:val="both"/>
      </w:pPr>
      <w:r w:rsidRPr="00946B29">
        <w:t xml:space="preserve">Par sa Décision 5 (Rév. Bucarest, 2022), la Conférence de plénipotentiaires (Bucarest, 2022) a chargé le Secrétaire général d'élaborer une stratégie de mobilisation des ressources financières à l'échelle de l'UIT et de la présenter au Conseil de l'UIT afin qu'il l'examine et fournisse des orientations quant à sa mise en œuvre. La stratégie de mobilisation des ressources, adoptée par le Conseil à sa session de 2024 (voir le </w:t>
      </w:r>
      <w:hyperlink r:id="rId26" w:history="1">
        <w:r w:rsidRPr="00946B29">
          <w:rPr>
            <w:rStyle w:val="Hyperlink"/>
            <w:rFonts w:eastAsia="Times New Roman" w:cs="Times New Roman"/>
            <w:szCs w:val="20"/>
          </w:rPr>
          <w:t>Document C24/70</w:t>
        </w:r>
      </w:hyperlink>
      <w:r w:rsidRPr="00946B29">
        <w:t>), s'articule autour de trois grands domaines d'action consistant à renforcer la mobilisation des membres, à tirer parti des manifestations, des produits et des services; et à susciter davantage de contributions volontaires. Chacun de ces domaines devait être approfondi et exploité dans le cadre de travaux coordonnés entre le Secrétariat général, les Bureaux et les bureaux hors siège. Dans la stratégie de mobilisation des ressources, il a été recommandé d'évaluer et de mettre en œuvre, dans la mesure du possible, 24 grandes orientations dans les trois principaux domaines d'action, avec les objectifs suivants:</w:t>
      </w:r>
    </w:p>
    <w:p w14:paraId="501C560A" w14:textId="6A864702" w:rsidR="006153D5" w:rsidRPr="00946B29" w:rsidRDefault="006153D5" w:rsidP="003F68FF">
      <w:pPr>
        <w:pStyle w:val="enumlev1"/>
        <w:jc w:val="both"/>
      </w:pPr>
      <w:r w:rsidRPr="00946B29">
        <w:t>–</w:t>
      </w:r>
      <w:r w:rsidRPr="00946B29">
        <w:tab/>
        <w:t>Encourager les États Membres à maintenir ou à augmenter leurs unités contributives</w:t>
      </w:r>
      <w:r w:rsidR="007363E1" w:rsidRPr="00946B29">
        <w:t>.</w:t>
      </w:r>
    </w:p>
    <w:p w14:paraId="6A1D9C0A" w14:textId="3C5F03EC" w:rsidR="006153D5" w:rsidRPr="00946B29" w:rsidRDefault="006153D5" w:rsidP="003F68FF">
      <w:pPr>
        <w:pStyle w:val="enumlev1"/>
        <w:jc w:val="both"/>
      </w:pPr>
      <w:r w:rsidRPr="00946B29">
        <w:t>–</w:t>
      </w:r>
      <w:r w:rsidRPr="00946B29">
        <w:tab/>
        <w:t>Renforcer la participation des Membres de Secteur et accroître les produits correspondants</w:t>
      </w:r>
      <w:r w:rsidR="007363E1" w:rsidRPr="00946B29">
        <w:t>.</w:t>
      </w:r>
    </w:p>
    <w:p w14:paraId="0CF826BE" w14:textId="6E4A9BEE" w:rsidR="006153D5" w:rsidRPr="00946B29" w:rsidRDefault="006153D5" w:rsidP="003F68FF">
      <w:pPr>
        <w:pStyle w:val="enumlev1"/>
        <w:jc w:val="both"/>
      </w:pPr>
      <w:r w:rsidRPr="00946B29">
        <w:t>–</w:t>
      </w:r>
      <w:r w:rsidRPr="00946B29">
        <w:tab/>
        <w:t>Renforcer la participation globale des membres</w:t>
      </w:r>
      <w:r w:rsidR="007363E1" w:rsidRPr="00946B29">
        <w:t>.</w:t>
      </w:r>
    </w:p>
    <w:p w14:paraId="26F30B36" w14:textId="3F4CFD1C" w:rsidR="006153D5" w:rsidRPr="00946B29" w:rsidRDefault="006153D5" w:rsidP="003F68FF">
      <w:pPr>
        <w:pStyle w:val="enumlev1"/>
        <w:jc w:val="both"/>
      </w:pPr>
      <w:r w:rsidRPr="00946B29">
        <w:t>–</w:t>
      </w:r>
      <w:r w:rsidRPr="00946B29">
        <w:tab/>
        <w:t>Contribuer à tirer le meilleur parti des manifestations, des produits et des services</w:t>
      </w:r>
      <w:r w:rsidR="007363E1" w:rsidRPr="00946B29">
        <w:t>.</w:t>
      </w:r>
    </w:p>
    <w:p w14:paraId="5501D555" w14:textId="77777777" w:rsidR="006153D5" w:rsidRPr="00946B29" w:rsidRDefault="006153D5" w:rsidP="003F68FF">
      <w:pPr>
        <w:pStyle w:val="enumlev1"/>
        <w:jc w:val="both"/>
      </w:pPr>
      <w:r w:rsidRPr="00946B29">
        <w:t>–</w:t>
      </w:r>
      <w:r w:rsidRPr="00946B29">
        <w:tab/>
        <w:t>Susciter davantage de contributions volontaires.</w:t>
      </w:r>
    </w:p>
    <w:p w14:paraId="4261F8FE" w14:textId="1BCB252D" w:rsidR="006153D5" w:rsidRPr="00946B29" w:rsidRDefault="006153D5" w:rsidP="003F68FF">
      <w:pPr>
        <w:jc w:val="both"/>
      </w:pPr>
      <w:r w:rsidRPr="00946B29">
        <w:t xml:space="preserve">Sur les 24 grandes orientations, les travaux ont commencé pour 18 d'entre elles (75%). Pour deux grandes orientations identifiées comme hautement prioritaires, la mise en œuvre a été menée à bien en 2025, tandis que les six grandes orientations restantes devraient faire l'objet d'une évaluation plus approfondie, avec une mise en œuvre devant commencer et s'achever au cours de la période 2026-2028. Dans un premier temps, en vue de l'élaboration d'une feuille de route assortie d'échéances et d'étapes, le secrétariat a mis au point un tableau de bord (voir le </w:t>
      </w:r>
      <w:hyperlink r:id="rId27" w:history="1">
        <w:r w:rsidRPr="00946B29">
          <w:rPr>
            <w:rStyle w:val="Hyperlink"/>
            <w:rFonts w:eastAsia="Times New Roman" w:cs="Times New Roman"/>
            <w:szCs w:val="20"/>
          </w:rPr>
          <w:t>Document C26/INF/14</w:t>
        </w:r>
      </w:hyperlink>
      <w:r w:rsidRPr="00946B29">
        <w:t>) indiquant l'état d'avancement de la mise en</w:t>
      </w:r>
      <w:r w:rsidR="005755D2" w:rsidRPr="00946B29">
        <w:t> </w:t>
      </w:r>
      <w:r w:rsidRPr="00946B29">
        <w:t>œuvre de chacune des grandes orientations.</w:t>
      </w:r>
    </w:p>
    <w:p w14:paraId="4399FD51" w14:textId="27C888CC" w:rsidR="006153D5" w:rsidRPr="00946B29" w:rsidRDefault="006153D5" w:rsidP="003F68FF">
      <w:pPr>
        <w:jc w:val="both"/>
      </w:pPr>
      <w:r w:rsidRPr="00946B29">
        <w:t>Les priorités pour 2025 et 2026 sont présentées ci-après, et l'</w:t>
      </w:r>
      <w:hyperlink w:anchor="Annexe1" w:history="1">
        <w:r w:rsidRPr="00946B29">
          <w:rPr>
            <w:rStyle w:val="Hyperlink"/>
            <w:rFonts w:eastAsia="Times New Roman" w:cs="Times New Roman"/>
            <w:szCs w:val="20"/>
          </w:rPr>
          <w:t>Annexe 1</w:t>
        </w:r>
      </w:hyperlink>
      <w:r w:rsidRPr="00946B29">
        <w:t xml:space="preserve"> contient un résumé des informations sur leur mise en œuvre.</w:t>
      </w:r>
    </w:p>
    <w:p w14:paraId="0597EC7D" w14:textId="77777777" w:rsidR="006153D5" w:rsidRPr="00946B29" w:rsidRDefault="006153D5" w:rsidP="005755D2">
      <w:pPr>
        <w:pStyle w:val="Headingb"/>
      </w:pPr>
      <w:r w:rsidRPr="00946B29">
        <w:t>Domaines prioritaires appelant des mesures immédiates</w:t>
      </w:r>
    </w:p>
    <w:p w14:paraId="305825A4" w14:textId="67146C26" w:rsidR="006153D5" w:rsidRPr="00946B29" w:rsidRDefault="006153D5" w:rsidP="003F68FF">
      <w:pPr>
        <w:jc w:val="both"/>
      </w:pPr>
      <w:r w:rsidRPr="00946B29">
        <w:t>Étant donné qu'environ 70% du budget ordinaire de l'UIT provient des contributions versées par les États Membres sous la forme d'unités contributives, la consolidation de cette source de financement a constitué la priorité absolue de la stratégie pour 2025 et 2026, suivie par les contributions des Membres de Secteur, qui représentent 10% supplémentaires. En ce qui concerne la mise à profit des manifestations, des produits et des services, ainsi que les contributions volontaires, il est possible d'accroître ces sources, mais cela nécessite des investissements importants dans des compétences nouvelles ou renforcées, des processus rationalisés et des plates-formes numériques, qui sont actuellement évalués et développés dans le cadre de la feuille de route pour la transformation de l'UIT.</w:t>
      </w:r>
    </w:p>
    <w:p w14:paraId="40A8E131" w14:textId="77777777" w:rsidR="006153D5" w:rsidRPr="00946B29" w:rsidRDefault="006153D5" w:rsidP="005755D2">
      <w:pPr>
        <w:pStyle w:val="Heading1"/>
      </w:pPr>
      <w:r w:rsidRPr="00946B29">
        <w:lastRenderedPageBreak/>
        <w:t>1</w:t>
      </w:r>
      <w:r w:rsidRPr="00946B29">
        <w:tab/>
        <w:t>Obtention des unités contributives des États Membres</w:t>
      </w:r>
    </w:p>
    <w:p w14:paraId="29D3DBC2" w14:textId="347171AA" w:rsidR="006153D5" w:rsidRPr="00946B29" w:rsidRDefault="006153D5" w:rsidP="003F68FF">
      <w:pPr>
        <w:keepNext/>
        <w:keepLines/>
        <w:jc w:val="both"/>
      </w:pPr>
      <w:r w:rsidRPr="00946B29">
        <w:t>Conformément à la Décision 5 (Rév. Bucarest, 2022), le Conseil, à sa session de 2025, a fixé le montant préliminaire de l'unité contributive pour la période 2028-2031. En conséquence, le secrétariat a publié une lettre circulaire (</w:t>
      </w:r>
      <w:hyperlink r:id="rId28" w:history="1">
        <w:r w:rsidRPr="00946B29">
          <w:rPr>
            <w:rStyle w:val="Hyperlink"/>
            <w:rFonts w:eastAsia="Times New Roman" w:cs="Times New Roman"/>
            <w:szCs w:val="20"/>
          </w:rPr>
          <w:t>Document CL-25/36</w:t>
        </w:r>
      </w:hyperlink>
      <w:r w:rsidRPr="00946B29">
        <w:t xml:space="preserve">) invitant les États Membres à annoncer leur classe provisoire de contribution pour la période 2028-2031, avant la fin de l'année calendaire 2025. Comme indiqué dans le </w:t>
      </w:r>
      <w:hyperlink r:id="rId29" w:history="1">
        <w:r w:rsidRPr="00946B29">
          <w:rPr>
            <w:rStyle w:val="Hyperlink"/>
            <w:rFonts w:eastAsia="Times New Roman" w:cs="Times New Roman"/>
            <w:szCs w:val="20"/>
          </w:rPr>
          <w:t>Document C26/47</w:t>
        </w:r>
      </w:hyperlink>
      <w:r w:rsidRPr="00946B29">
        <w:t>, 42 États Membres ont répondu, dont 40 ont confirmé qu'ils maintiendraient leur niveau actuel d'unité contributive, tandis que 2 États Membres ont indiqué qu'ils avaient l'intention de réduire le niveau de leur unité contributive.</w:t>
      </w:r>
    </w:p>
    <w:p w14:paraId="3FA27BD7" w14:textId="5E615855" w:rsidR="006153D5" w:rsidRPr="00946B29" w:rsidRDefault="006153D5" w:rsidP="003F68FF">
      <w:pPr>
        <w:jc w:val="both"/>
      </w:pPr>
      <w:r w:rsidRPr="00946B29">
        <w:t>Afin d'aider les États Membres à plaider auprès de leurs administrations nationales afin d'obtenir les unités contributives de l'UIT ou d'en accroître le nombre, et conformément à la stratégie de mobilisation des ressources, le secrétariat a élaboré une brochure électronique intitulée "</w:t>
      </w:r>
      <w:hyperlink r:id="rId30" w:history="1">
        <w:r w:rsidRPr="00946B29">
          <w:rPr>
            <w:rStyle w:val="Hyperlink"/>
            <w:rFonts w:eastAsia="Times New Roman" w:cs="Times New Roman"/>
            <w:szCs w:val="20"/>
          </w:rPr>
          <w:t>Pourquoi l'UIT compte: Convaincre les investisseurs pour 2028-2031</w:t>
        </w:r>
      </w:hyperlink>
      <w:r w:rsidRPr="00946B29">
        <w:t xml:space="preserve">", qui a été communiquée aux États Membres dans la </w:t>
      </w:r>
      <w:hyperlink r:id="rId31" w:history="1">
        <w:r w:rsidRPr="00946B29">
          <w:rPr>
            <w:rStyle w:val="Hyperlink"/>
            <w:rFonts w:eastAsia="Times New Roman" w:cs="Times New Roman"/>
            <w:szCs w:val="20"/>
          </w:rPr>
          <w:t>Lettre circulaire CL-25/36</w:t>
        </w:r>
      </w:hyperlink>
      <w:r w:rsidRPr="00946B29">
        <w:t>.</w:t>
      </w:r>
    </w:p>
    <w:p w14:paraId="5775C331" w14:textId="77777777" w:rsidR="006153D5" w:rsidRPr="00946B29" w:rsidRDefault="006153D5" w:rsidP="005755D2">
      <w:pPr>
        <w:pStyle w:val="Heading1"/>
      </w:pPr>
      <w:r w:rsidRPr="00946B29">
        <w:t>2</w:t>
      </w:r>
      <w:r w:rsidRPr="00946B29">
        <w:tab/>
        <w:t>Accroissement de la participation des Membres de Secteur</w:t>
      </w:r>
    </w:p>
    <w:p w14:paraId="5BCE11B4" w14:textId="5786AAE4" w:rsidR="006153D5" w:rsidRPr="00946B29" w:rsidRDefault="006153D5" w:rsidP="003F68FF">
      <w:pPr>
        <w:jc w:val="both"/>
      </w:pPr>
      <w:r w:rsidRPr="00946B29">
        <w:t>Le secrétariat examine actuellement les avantages offerts aux Membres de Secteur et a consulté les Groupes consultatifs des Secteurs pour s'assurer que les avantages sont conformes aux attentes. Les Membres de Secteur sont également sollicités pour connaître leurs priorités. Les résultats de ces consultations aideront l'UIT à aligner ses offres sur les intérêts des membres. Des campagnes de sensibilisation sont actuellement menées à travers les Secteurs afin d'inciter les Membres de Secteur actuels à être Membres de plusieurs Secteurs et les Associés à devenir des Membres de Secteur à part entière.</w:t>
      </w:r>
    </w:p>
    <w:p w14:paraId="0B8A1D9B" w14:textId="6276F3B5" w:rsidR="006153D5" w:rsidRPr="00946B29" w:rsidRDefault="006153D5" w:rsidP="003F68FF">
      <w:pPr>
        <w:jc w:val="both"/>
      </w:pPr>
      <w:r w:rsidRPr="00946B29">
        <w:t>Les segments sous-représentés de l'écosystème numérique et 70 États Membres n'étant pas représentés au niveau des Membres de Secteur, des Associés ou des établissements universitaires ont été identifiés pour des campagnes ciblées visant à garantir une diversité maximale parmi les membres de l'UIT. Les supports promotionnels sont en cours d'examen et seront disponibles sur le site web de l'UIT (</w:t>
      </w:r>
      <w:hyperlink r:id="rId32" w:anchor="/fr" w:history="1">
        <w:r w:rsidRPr="00946B29">
          <w:rPr>
            <w:rStyle w:val="Hyperlink"/>
            <w:rFonts w:eastAsia="Times New Roman" w:cs="Times New Roman"/>
            <w:szCs w:val="20"/>
          </w:rPr>
          <w:t>ici</w:t>
        </w:r>
      </w:hyperlink>
      <w:r w:rsidRPr="00946B29">
        <w:t xml:space="preserve">). Des campagnes seront prévues pour sensibiliser tous les secteurs et promouvoir la mobilisation. </w:t>
      </w:r>
    </w:p>
    <w:p w14:paraId="4C9E7669" w14:textId="6CB8F313" w:rsidR="006153D5" w:rsidRPr="00946B29" w:rsidRDefault="006153D5" w:rsidP="003F68FF">
      <w:pPr>
        <w:jc w:val="both"/>
      </w:pPr>
      <w:r w:rsidRPr="00946B29">
        <w:t xml:space="preserve">Des données précises sur la composition des Secteurs (Membres de Secteur, Associés et établissements universitaires) au 31 décembre 2025 sont fournies dans le </w:t>
      </w:r>
      <w:hyperlink r:id="rId33" w:history="1">
        <w:r w:rsidRPr="00946B29">
          <w:rPr>
            <w:rStyle w:val="Hyperlink"/>
            <w:rFonts w:eastAsia="Times New Roman" w:cs="Times New Roman"/>
            <w:szCs w:val="20"/>
          </w:rPr>
          <w:t>Document</w:t>
        </w:r>
        <w:r w:rsidR="005755D2" w:rsidRPr="00946B29">
          <w:rPr>
            <w:rStyle w:val="Hyperlink"/>
            <w:rFonts w:eastAsia="Times New Roman" w:cs="Times New Roman"/>
            <w:szCs w:val="20"/>
          </w:rPr>
          <w:t> </w:t>
        </w:r>
        <w:r w:rsidRPr="00946B29">
          <w:rPr>
            <w:rStyle w:val="Hyperlink"/>
            <w:rFonts w:eastAsia="Times New Roman" w:cs="Times New Roman"/>
            <w:szCs w:val="20"/>
          </w:rPr>
          <w:t>C26/INF/14</w:t>
        </w:r>
      </w:hyperlink>
      <w:r w:rsidRPr="00946B29">
        <w:t>.</w:t>
      </w:r>
    </w:p>
    <w:p w14:paraId="76316F56" w14:textId="77777777" w:rsidR="006153D5" w:rsidRPr="00946B29" w:rsidRDefault="006153D5" w:rsidP="005755D2">
      <w:pPr>
        <w:pStyle w:val="Heading1"/>
      </w:pPr>
      <w:r w:rsidRPr="00946B29">
        <w:t>3</w:t>
      </w:r>
      <w:r w:rsidRPr="00946B29">
        <w:tab/>
        <w:t>La transformation comme catalyseur de la mise en œuvre de la stratégie de mobilisation des ressources</w:t>
      </w:r>
    </w:p>
    <w:p w14:paraId="6189243C" w14:textId="53961B0C" w:rsidR="006153D5" w:rsidRPr="00946B29" w:rsidRDefault="006153D5" w:rsidP="003F68FF">
      <w:pPr>
        <w:jc w:val="both"/>
      </w:pPr>
      <w:r w:rsidRPr="00946B29">
        <w:t>Dans le cadre de la feuille de route pour la transformation, de nouveaux systèmes numériques et fondés sur l'IA sont actuellement mis en œuvre pour assurer une gestion plus efficace et coordonnée des comptes et améliorer la communication avec les membres, les donateurs et les partenaires à l'échelle de l'UIT, la configuration technique devant avoir lieu entre le premier et le deuxième trimestre de 2026, suivie d'une mise en œuvre pilote pour le reste de l'année 2026, à plus grande échelle jusqu'en 2027. Cet investissement vise à soutenir les domaines d'action consistant à renforcer la mobilisation des membres (</w:t>
      </w:r>
      <w:r w:rsidR="005755D2" w:rsidRPr="00946B29">
        <w:t>N° </w:t>
      </w:r>
      <w:r w:rsidRPr="00946B29">
        <w:t>1) et à augmenter les contributions volontaires (</w:t>
      </w:r>
      <w:r w:rsidR="005755D2" w:rsidRPr="00946B29">
        <w:t>N° </w:t>
      </w:r>
      <w:r w:rsidRPr="00946B29">
        <w:t>3).</w:t>
      </w:r>
    </w:p>
    <w:p w14:paraId="65400483" w14:textId="649AD0EF" w:rsidR="006153D5" w:rsidRPr="00946B29" w:rsidRDefault="006153D5" w:rsidP="003F68FF">
      <w:pPr>
        <w:jc w:val="both"/>
      </w:pPr>
      <w:r w:rsidRPr="00946B29">
        <w:lastRenderedPageBreak/>
        <w:t xml:space="preserve">Les initiatives de transformation supplémentaires visant à rationaliser et à automatiser les processus opérationnels liés au recrutement d'experts et à l'achat de services en 2026 renforceront la capacité de l'UIT à mettre en œuvre des projets dans les délais et dans les limites budgétaires, et sont donc des catalyseurs essentiels de l'augmentation des contributions volontaires dans le domaine d'action </w:t>
      </w:r>
      <w:r w:rsidR="00946B29" w:rsidRPr="00946B29">
        <w:t>N° 3</w:t>
      </w:r>
      <w:r w:rsidRPr="00946B29">
        <w:t xml:space="preserve">. Une mise en œuvre rapide renforcera la confiance des donateurs et les incitera à renouveler leur soutien sur le long terme, ce qui permettra à l'UIT d'intensifier la mobilisation des ressources. Des investissements importants dans des plates-formes numériques supplémentaires et le renforcement des capacités et des compétences du personnel spécialisé sont autant d'éléments nécessaires pour mettre en œuvre les recommandations du domaine d'action </w:t>
      </w:r>
      <w:r w:rsidR="00946B29" w:rsidRPr="00946B29">
        <w:t>N° </w:t>
      </w:r>
      <w:r w:rsidRPr="00946B29">
        <w:t>2, qui consiste à tirer parti des manifestations, des produits et des services.</w:t>
      </w:r>
    </w:p>
    <w:p w14:paraId="32F898F8" w14:textId="47DF1B9B" w:rsidR="006A11AE" w:rsidRPr="00946B29" w:rsidRDefault="006153D5" w:rsidP="00946B29">
      <w:pPr>
        <w:spacing w:before="840"/>
      </w:pPr>
      <w:r w:rsidRPr="00946B29">
        <w:rPr>
          <w:b/>
          <w:bCs/>
        </w:rPr>
        <w:t>Annexe</w:t>
      </w:r>
      <w:r w:rsidRPr="00946B29">
        <w:t>: 1</w:t>
      </w:r>
    </w:p>
    <w:p w14:paraId="5532DC54" w14:textId="1B3B663F" w:rsidR="00946B29" w:rsidRPr="00946B29" w:rsidRDefault="00946B29">
      <w:pPr>
        <w:tabs>
          <w:tab w:val="clear" w:pos="567"/>
          <w:tab w:val="clear" w:pos="1134"/>
          <w:tab w:val="clear" w:pos="1701"/>
          <w:tab w:val="clear" w:pos="2268"/>
          <w:tab w:val="clear" w:pos="2835"/>
        </w:tabs>
        <w:overflowPunct/>
        <w:autoSpaceDE/>
        <w:autoSpaceDN/>
        <w:adjustRightInd/>
        <w:spacing w:before="0"/>
        <w:textAlignment w:val="auto"/>
      </w:pPr>
      <w:r w:rsidRPr="00946B29">
        <w:br w:type="page"/>
      </w:r>
    </w:p>
    <w:p w14:paraId="198B274B" w14:textId="15D2D8E5" w:rsidR="006153D5" w:rsidRPr="00946B29" w:rsidRDefault="006153D5" w:rsidP="005755D2">
      <w:pPr>
        <w:pStyle w:val="AnnexNo"/>
      </w:pPr>
      <w:bookmarkStart w:id="0" w:name="Annexe1"/>
      <w:r w:rsidRPr="00946B29">
        <w:lastRenderedPageBreak/>
        <w:t>Annexe 1</w:t>
      </w:r>
      <w:bookmarkEnd w:id="0"/>
    </w:p>
    <w:p w14:paraId="54D77C24" w14:textId="7B9AB96D" w:rsidR="00946B29" w:rsidRPr="00946B29" w:rsidRDefault="00946B29" w:rsidP="00946B29">
      <w:pPr>
        <w:pStyle w:val="Annextitle"/>
      </w:pPr>
      <w:r w:rsidRPr="00946B29">
        <w:t>Priorités pour 2025 et 2026</w:t>
      </w:r>
    </w:p>
    <w:tbl>
      <w:tblPr>
        <w:tblStyle w:val="TableGrid"/>
        <w:tblW w:w="0" w:type="auto"/>
        <w:tblLook w:val="04A0" w:firstRow="1" w:lastRow="0" w:firstColumn="1" w:lastColumn="0" w:noHBand="0" w:noVBand="1"/>
      </w:tblPr>
      <w:tblGrid>
        <w:gridCol w:w="5949"/>
        <w:gridCol w:w="1417"/>
        <w:gridCol w:w="1695"/>
      </w:tblGrid>
      <w:tr w:rsidR="006153D5" w:rsidRPr="00946B29" w14:paraId="0DED3FFA" w14:textId="77777777" w:rsidTr="00946B29">
        <w:tc>
          <w:tcPr>
            <w:tcW w:w="5949" w:type="dxa"/>
          </w:tcPr>
          <w:p w14:paraId="3C473B26" w14:textId="583F2094" w:rsidR="006153D5" w:rsidRPr="00946B29" w:rsidRDefault="006153D5" w:rsidP="006153D5">
            <w:pPr>
              <w:pStyle w:val="Tablehead"/>
            </w:pPr>
            <w:r w:rsidRPr="00946B29">
              <w:t>Mesure</w:t>
            </w:r>
          </w:p>
        </w:tc>
        <w:tc>
          <w:tcPr>
            <w:tcW w:w="1417" w:type="dxa"/>
            <w:vAlign w:val="center"/>
          </w:tcPr>
          <w:p w14:paraId="13B4FBD9" w14:textId="08D1BBFD" w:rsidR="006153D5" w:rsidRPr="00946B29" w:rsidRDefault="006153D5" w:rsidP="006153D5">
            <w:pPr>
              <w:pStyle w:val="Tablehead"/>
            </w:pPr>
            <w:r w:rsidRPr="00946B29">
              <w:t>Étape</w:t>
            </w:r>
          </w:p>
        </w:tc>
        <w:tc>
          <w:tcPr>
            <w:tcW w:w="1695" w:type="dxa"/>
            <w:vAlign w:val="center"/>
          </w:tcPr>
          <w:p w14:paraId="212E728D" w14:textId="712593CD" w:rsidR="006153D5" w:rsidRPr="00946B29" w:rsidRDefault="006153D5" w:rsidP="006153D5">
            <w:pPr>
              <w:pStyle w:val="Tablehead"/>
            </w:pPr>
            <w:r w:rsidRPr="00946B29">
              <w:t>Cible</w:t>
            </w:r>
          </w:p>
        </w:tc>
      </w:tr>
      <w:tr w:rsidR="006153D5" w:rsidRPr="00946B29" w14:paraId="5BCCD11B" w14:textId="77777777" w:rsidTr="00946B29">
        <w:tc>
          <w:tcPr>
            <w:tcW w:w="5949" w:type="dxa"/>
          </w:tcPr>
          <w:p w14:paraId="61BC0880" w14:textId="49A416D5" w:rsidR="006153D5" w:rsidRPr="00946B29" w:rsidRDefault="006153D5" w:rsidP="006153D5">
            <w:pPr>
              <w:pStyle w:val="Tabletext"/>
            </w:pPr>
            <w:r w:rsidRPr="00946B29">
              <w:t>De nouveaux supports d'information et de promotion de haut niveau que les délégués peuvent utiliser pour présenter à leur administration les arguments en faveur de la fourniture d'un appui à l'UIT.</w:t>
            </w:r>
          </w:p>
        </w:tc>
        <w:tc>
          <w:tcPr>
            <w:tcW w:w="1417" w:type="dxa"/>
            <w:vAlign w:val="center"/>
          </w:tcPr>
          <w:p w14:paraId="059EF690" w14:textId="370CD0DB" w:rsidR="006153D5" w:rsidRPr="00946B29" w:rsidRDefault="006153D5" w:rsidP="006153D5">
            <w:pPr>
              <w:pStyle w:val="Tabletext"/>
              <w:jc w:val="center"/>
            </w:pPr>
            <w:r w:rsidRPr="00946B29">
              <w:t>Mise en œuvre achevée</w:t>
            </w:r>
          </w:p>
        </w:tc>
        <w:tc>
          <w:tcPr>
            <w:tcW w:w="1695" w:type="dxa"/>
            <w:vAlign w:val="center"/>
          </w:tcPr>
          <w:p w14:paraId="3E65A08B" w14:textId="01B5357B" w:rsidR="006153D5" w:rsidRPr="00946B29" w:rsidRDefault="006153D5" w:rsidP="006153D5">
            <w:pPr>
              <w:pStyle w:val="Tabletext"/>
              <w:jc w:val="center"/>
            </w:pPr>
            <w:r w:rsidRPr="00946B29">
              <w:t>3ème trimestre 2025</w:t>
            </w:r>
          </w:p>
        </w:tc>
      </w:tr>
      <w:tr w:rsidR="006153D5" w:rsidRPr="00946B29" w14:paraId="748C7D8F" w14:textId="77777777" w:rsidTr="00946B29">
        <w:tc>
          <w:tcPr>
            <w:tcW w:w="5949" w:type="dxa"/>
          </w:tcPr>
          <w:p w14:paraId="5B7EE621" w14:textId="1FD173F2" w:rsidR="006153D5" w:rsidRPr="00946B29" w:rsidRDefault="006153D5" w:rsidP="006153D5">
            <w:pPr>
              <w:pStyle w:val="Tabletext"/>
            </w:pPr>
            <w:r w:rsidRPr="00946B29">
              <w:t>Identifier les principales entreprises non membres issues de secteurs sous-représentés de l'écosystème numérique, afin qu'elles deviennent membres de l'UIT.</w:t>
            </w:r>
          </w:p>
        </w:tc>
        <w:tc>
          <w:tcPr>
            <w:tcW w:w="1417" w:type="dxa"/>
            <w:vAlign w:val="center"/>
          </w:tcPr>
          <w:p w14:paraId="2E4F5A5A" w14:textId="4159D09A" w:rsidR="006153D5" w:rsidRPr="00946B29" w:rsidRDefault="006153D5" w:rsidP="006153D5">
            <w:pPr>
              <w:pStyle w:val="Tabletext"/>
              <w:jc w:val="center"/>
            </w:pPr>
            <w:r w:rsidRPr="00946B29">
              <w:t>Mise en œuvre achevée</w:t>
            </w:r>
          </w:p>
        </w:tc>
        <w:tc>
          <w:tcPr>
            <w:tcW w:w="1695" w:type="dxa"/>
            <w:vAlign w:val="center"/>
          </w:tcPr>
          <w:p w14:paraId="354A0AC8" w14:textId="2DA46B94" w:rsidR="006153D5" w:rsidRPr="00946B29" w:rsidRDefault="006153D5" w:rsidP="006153D5">
            <w:pPr>
              <w:pStyle w:val="Tabletext"/>
              <w:jc w:val="center"/>
            </w:pPr>
            <w:r w:rsidRPr="00946B29">
              <w:t>3ème trimestre 2025</w:t>
            </w:r>
          </w:p>
        </w:tc>
      </w:tr>
      <w:tr w:rsidR="006153D5" w:rsidRPr="00946B29" w14:paraId="118AB8EC" w14:textId="77777777" w:rsidTr="00946B29">
        <w:tc>
          <w:tcPr>
            <w:tcW w:w="5949" w:type="dxa"/>
          </w:tcPr>
          <w:p w14:paraId="4CB9CE29" w14:textId="17BFD91F" w:rsidR="006153D5" w:rsidRPr="00946B29" w:rsidRDefault="006153D5" w:rsidP="006153D5">
            <w:pPr>
              <w:pStyle w:val="Tabletext"/>
            </w:pPr>
            <w:r w:rsidRPr="00946B29">
              <w:t>Revoir les avantages offerts aux Membres de Secteur et les droits qu'ils versent en concertation avec les Groupes consultatifs des Secteurs pour s'assurer que ces avantages sont conformes aux attentes et que les Membres de Secteur continuent de couvrir les coûts. Évaluer les risques liés à d'éventuelles modifications des droits. Entre autres, réfléchir à des avantages qui inciteraient les Membres de Secteur actuels à être Membres de plusieurs Secteurs et les Associés à devenir des Membres de Secteur à part entière.</w:t>
            </w:r>
          </w:p>
        </w:tc>
        <w:tc>
          <w:tcPr>
            <w:tcW w:w="1417" w:type="dxa"/>
            <w:vAlign w:val="center"/>
          </w:tcPr>
          <w:p w14:paraId="0F26D470" w14:textId="35F93143" w:rsidR="006153D5" w:rsidRPr="00946B29" w:rsidRDefault="006153D5" w:rsidP="006153D5">
            <w:pPr>
              <w:pStyle w:val="Tabletext"/>
              <w:jc w:val="center"/>
            </w:pPr>
            <w:r w:rsidRPr="00946B29">
              <w:t>En cours</w:t>
            </w:r>
          </w:p>
        </w:tc>
        <w:tc>
          <w:tcPr>
            <w:tcW w:w="1695" w:type="dxa"/>
            <w:vAlign w:val="center"/>
          </w:tcPr>
          <w:p w14:paraId="5FB0827C" w14:textId="33E39741" w:rsidR="006153D5" w:rsidRPr="00946B29" w:rsidRDefault="006153D5" w:rsidP="006153D5">
            <w:pPr>
              <w:pStyle w:val="Tabletext"/>
              <w:jc w:val="center"/>
            </w:pPr>
            <w:r w:rsidRPr="00946B29">
              <w:t>2ème trimestre 2026</w:t>
            </w:r>
          </w:p>
        </w:tc>
      </w:tr>
      <w:tr w:rsidR="006153D5" w:rsidRPr="00946B29" w14:paraId="1CCF8DFD" w14:textId="77777777" w:rsidTr="00946B29">
        <w:tc>
          <w:tcPr>
            <w:tcW w:w="5949" w:type="dxa"/>
          </w:tcPr>
          <w:p w14:paraId="11E50277" w14:textId="3D2E7021" w:rsidR="006153D5" w:rsidRPr="00946B29" w:rsidRDefault="006153D5" w:rsidP="006153D5">
            <w:pPr>
              <w:pStyle w:val="Tabletext"/>
            </w:pPr>
            <w:r w:rsidRPr="00946B29">
              <w:t>Examiner de nouvelles approches en vue de promouvoir la participation des Membres de Secteur, y compris l'utilisation de matériel promotionnel et le marketing par le biais de plates-formes numériques, et mener des activités de sensibilisation destinées à tous les secteurs lors des grandes conférences.</w:t>
            </w:r>
          </w:p>
        </w:tc>
        <w:tc>
          <w:tcPr>
            <w:tcW w:w="1417" w:type="dxa"/>
            <w:vAlign w:val="center"/>
          </w:tcPr>
          <w:p w14:paraId="199C42B5" w14:textId="399081D3" w:rsidR="006153D5" w:rsidRPr="00946B29" w:rsidRDefault="006153D5" w:rsidP="006153D5">
            <w:pPr>
              <w:pStyle w:val="Tabletext"/>
              <w:jc w:val="center"/>
            </w:pPr>
            <w:r w:rsidRPr="00946B29">
              <w:t>En cours</w:t>
            </w:r>
          </w:p>
        </w:tc>
        <w:tc>
          <w:tcPr>
            <w:tcW w:w="1695" w:type="dxa"/>
            <w:vAlign w:val="center"/>
          </w:tcPr>
          <w:p w14:paraId="1AB7EB6E" w14:textId="77D13B57" w:rsidR="006153D5" w:rsidRPr="00946B29" w:rsidRDefault="006153D5" w:rsidP="006153D5">
            <w:pPr>
              <w:pStyle w:val="Tabletext"/>
              <w:jc w:val="center"/>
            </w:pPr>
            <w:r w:rsidRPr="00946B29">
              <w:t>3ème trimestre 2026</w:t>
            </w:r>
          </w:p>
        </w:tc>
      </w:tr>
      <w:tr w:rsidR="006153D5" w:rsidRPr="00946B29" w14:paraId="06519BED" w14:textId="77777777" w:rsidTr="00946B29">
        <w:tc>
          <w:tcPr>
            <w:tcW w:w="5949" w:type="dxa"/>
          </w:tcPr>
          <w:p w14:paraId="6186F122" w14:textId="30DE6195" w:rsidR="006153D5" w:rsidRPr="00946B29" w:rsidRDefault="006153D5" w:rsidP="006153D5">
            <w:pPr>
              <w:pStyle w:val="Tabletext"/>
            </w:pPr>
            <w:r w:rsidRPr="00946B29">
              <w:t xml:space="preserve">Examiner les possibilités de nouvelles contributions volontaires, en s'appuyant sur le Plan d'action de Bakou récemment approuvé à la CMDT-25, ainsi que sur des initiatives de partenariat telles que la Coalition P2C. </w:t>
            </w:r>
          </w:p>
        </w:tc>
        <w:tc>
          <w:tcPr>
            <w:tcW w:w="1417" w:type="dxa"/>
            <w:vAlign w:val="center"/>
          </w:tcPr>
          <w:p w14:paraId="10DD9778" w14:textId="5E525709" w:rsidR="006153D5" w:rsidRPr="00946B29" w:rsidRDefault="006153D5" w:rsidP="006153D5">
            <w:pPr>
              <w:pStyle w:val="Tabletext"/>
              <w:jc w:val="center"/>
            </w:pPr>
            <w:r w:rsidRPr="00946B29">
              <w:t>Mise en œuvre à entamer</w:t>
            </w:r>
          </w:p>
        </w:tc>
        <w:tc>
          <w:tcPr>
            <w:tcW w:w="1695" w:type="dxa"/>
            <w:vAlign w:val="center"/>
          </w:tcPr>
          <w:p w14:paraId="2008A293" w14:textId="17E1E02B" w:rsidR="006153D5" w:rsidRPr="00946B29" w:rsidRDefault="006153D5" w:rsidP="006153D5">
            <w:pPr>
              <w:pStyle w:val="Tabletext"/>
              <w:jc w:val="center"/>
            </w:pPr>
            <w:r w:rsidRPr="00946B29">
              <w:t>4ème trimestre 2026</w:t>
            </w:r>
          </w:p>
        </w:tc>
      </w:tr>
      <w:tr w:rsidR="006153D5" w:rsidRPr="00946B29" w14:paraId="2F84763A" w14:textId="77777777" w:rsidTr="00946B29">
        <w:tc>
          <w:tcPr>
            <w:tcW w:w="5949" w:type="dxa"/>
          </w:tcPr>
          <w:p w14:paraId="03D78142" w14:textId="4F619AAD" w:rsidR="006153D5" w:rsidRPr="00946B29" w:rsidRDefault="006153D5" w:rsidP="006153D5">
            <w:pPr>
              <w:pStyle w:val="Tabletext"/>
            </w:pPr>
            <w:r w:rsidRPr="00946B29">
              <w:t>Examiner les améliorations qui pourraient être apportées à la façon dont l'UIT reconnaît les contributions volontaires, afin de tenir compte de l'évolution des attentes des donateurs.</w:t>
            </w:r>
          </w:p>
        </w:tc>
        <w:tc>
          <w:tcPr>
            <w:tcW w:w="1417" w:type="dxa"/>
            <w:vAlign w:val="center"/>
          </w:tcPr>
          <w:p w14:paraId="7D867041" w14:textId="6E77BC81" w:rsidR="006153D5" w:rsidRPr="00946B29" w:rsidRDefault="006153D5" w:rsidP="006153D5">
            <w:pPr>
              <w:pStyle w:val="Tabletext"/>
              <w:jc w:val="center"/>
            </w:pPr>
            <w:r w:rsidRPr="00946B29">
              <w:t>Mise en œuvre à entamer</w:t>
            </w:r>
          </w:p>
        </w:tc>
        <w:tc>
          <w:tcPr>
            <w:tcW w:w="1695" w:type="dxa"/>
            <w:vAlign w:val="center"/>
          </w:tcPr>
          <w:p w14:paraId="298D5F0E" w14:textId="0287A305" w:rsidR="006153D5" w:rsidRPr="00946B29" w:rsidRDefault="006153D5" w:rsidP="006153D5">
            <w:pPr>
              <w:pStyle w:val="Tabletext"/>
              <w:jc w:val="center"/>
            </w:pPr>
            <w:r w:rsidRPr="00946B29">
              <w:t>4ème trimestre 2026</w:t>
            </w:r>
          </w:p>
        </w:tc>
      </w:tr>
      <w:tr w:rsidR="006153D5" w:rsidRPr="00946B29" w14:paraId="3D8E4DAA" w14:textId="77777777" w:rsidTr="00946B29">
        <w:tc>
          <w:tcPr>
            <w:tcW w:w="5949" w:type="dxa"/>
          </w:tcPr>
          <w:p w14:paraId="07B85642" w14:textId="28859790" w:rsidR="006153D5" w:rsidRPr="00946B29" w:rsidRDefault="006153D5" w:rsidP="006153D5">
            <w:pPr>
              <w:pStyle w:val="Tabletext"/>
            </w:pPr>
            <w:r w:rsidRPr="00946B29">
              <w:t>Mettre en œuvre de nouvelles mesures et de nouveaux systèmes visant à mieux coordonner la gestion des comptes et à améliorer les services fournis à l'échelle de l'UIT aux États Membres, aux Membres de Secteur, aux donateurs, etc. Il s'agit notamment de tenir compte des catalyseurs internes dans le cadre du plan de transformation: systèmes informatiques, renforcement des capacités et des compétences du personnel, rationalisation et modernisation des règles et des processus financiers et administratifs, etc.</w:t>
            </w:r>
          </w:p>
        </w:tc>
        <w:tc>
          <w:tcPr>
            <w:tcW w:w="1417" w:type="dxa"/>
            <w:vAlign w:val="center"/>
          </w:tcPr>
          <w:p w14:paraId="45D1C485" w14:textId="28143141" w:rsidR="006153D5" w:rsidRPr="00946B29" w:rsidRDefault="006153D5" w:rsidP="006153D5">
            <w:pPr>
              <w:pStyle w:val="Tabletext"/>
              <w:jc w:val="center"/>
            </w:pPr>
            <w:r w:rsidRPr="00946B29">
              <w:t>En cours</w:t>
            </w:r>
          </w:p>
        </w:tc>
        <w:tc>
          <w:tcPr>
            <w:tcW w:w="1695" w:type="dxa"/>
            <w:vAlign w:val="center"/>
          </w:tcPr>
          <w:p w14:paraId="1B6CF20B" w14:textId="4922365E" w:rsidR="006153D5" w:rsidRPr="00946B29" w:rsidRDefault="006153D5" w:rsidP="006153D5">
            <w:pPr>
              <w:pStyle w:val="Tabletext"/>
              <w:jc w:val="center"/>
            </w:pPr>
            <w:r w:rsidRPr="00946B29">
              <w:t>Phase 1: 2ème</w:t>
            </w:r>
            <w:r w:rsidR="00946B29" w:rsidRPr="00946B29">
              <w:t> </w:t>
            </w:r>
            <w:r w:rsidRPr="00946B29">
              <w:t>trimestre 2026</w:t>
            </w:r>
          </w:p>
        </w:tc>
      </w:tr>
    </w:tbl>
    <w:p w14:paraId="59BFE4D6" w14:textId="77777777" w:rsidR="00897553" w:rsidRPr="00946B29" w:rsidRDefault="006A11AE" w:rsidP="002D2336">
      <w:pPr>
        <w:jc w:val="center"/>
      </w:pPr>
      <w:r w:rsidRPr="00946B29">
        <w:t>______________</w:t>
      </w:r>
    </w:p>
    <w:sectPr w:rsidR="00897553" w:rsidRPr="00946B29" w:rsidSect="00D72F49">
      <w:headerReference w:type="even" r:id="rId34"/>
      <w:footerReference w:type="even" r:id="rId35"/>
      <w:footerReference w:type="default" r:id="rId36"/>
      <w:headerReference w:type="first" r:id="rId37"/>
      <w:footerReference w:type="first" r:id="rId38"/>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9AE8B" w14:textId="77777777" w:rsidR="006153D5" w:rsidRDefault="006153D5">
      <w:r>
        <w:separator/>
      </w:r>
    </w:p>
  </w:endnote>
  <w:endnote w:type="continuationSeparator" w:id="0">
    <w:p w14:paraId="01CA4784" w14:textId="77777777" w:rsidR="006153D5" w:rsidRDefault="0061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7E57" w14:textId="0714A7EB" w:rsidR="00732045" w:rsidRDefault="00946B29">
    <w:pPr>
      <w:pStyle w:val="Footer"/>
    </w:pPr>
    <w:fldSimple w:instr=" FILENAME \p \* MERGEFORMAT ">
      <w:r w:rsidR="006153D5">
        <w:t>Document16</w:t>
      </w:r>
    </w:fldSimple>
    <w:r w:rsidR="00732045">
      <w:tab/>
    </w:r>
    <w:r w:rsidR="002F1B76">
      <w:fldChar w:fldCharType="begin"/>
    </w:r>
    <w:r w:rsidR="00732045">
      <w:instrText xml:space="preserve"> savedate \@ dd.MM.yy </w:instrText>
    </w:r>
    <w:r w:rsidR="002F1B76">
      <w:fldChar w:fldCharType="separate"/>
    </w:r>
    <w:r w:rsidR="00E069D1">
      <w:t>20.04.26</w:t>
    </w:r>
    <w:r w:rsidR="002F1B76">
      <w:fldChar w:fldCharType="end"/>
    </w:r>
    <w:r w:rsidR="00732045">
      <w:tab/>
    </w:r>
    <w:r w:rsidR="002F1B76">
      <w:fldChar w:fldCharType="begin"/>
    </w:r>
    <w:r w:rsidR="00732045">
      <w:instrText xml:space="preserve"> printdate \@ dd.MM.yy </w:instrText>
    </w:r>
    <w:r w:rsidR="002F1B76">
      <w:fldChar w:fldCharType="separate"/>
    </w:r>
    <w:r w:rsidR="006153D5">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978EFDC" w14:textId="77777777" w:rsidTr="00E31DCE">
      <w:trPr>
        <w:jc w:val="center"/>
      </w:trPr>
      <w:tc>
        <w:tcPr>
          <w:tcW w:w="1803" w:type="dxa"/>
          <w:vAlign w:val="center"/>
        </w:tcPr>
        <w:p w14:paraId="4251FD49" w14:textId="663DC39D" w:rsidR="00A51849" w:rsidRDefault="007363E1" w:rsidP="00A51849">
          <w:pPr>
            <w:pStyle w:val="Header"/>
            <w:jc w:val="left"/>
            <w:rPr>
              <w:noProof/>
            </w:rPr>
          </w:pPr>
          <w:r>
            <w:rPr>
              <w:noProof/>
            </w:rPr>
            <w:t>2600706</w:t>
          </w:r>
        </w:p>
      </w:tc>
      <w:tc>
        <w:tcPr>
          <w:tcW w:w="8261" w:type="dxa"/>
        </w:tcPr>
        <w:p w14:paraId="5E6EBDEC" w14:textId="188A9A3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5755D2">
            <w:rPr>
              <w:bCs/>
            </w:rPr>
            <w:t>73</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F969EB2"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325C2C8" w14:textId="77777777" w:rsidTr="00E31DCE">
      <w:trPr>
        <w:jc w:val="center"/>
      </w:trPr>
      <w:tc>
        <w:tcPr>
          <w:tcW w:w="1803" w:type="dxa"/>
          <w:vAlign w:val="center"/>
        </w:tcPr>
        <w:p w14:paraId="1F972203"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0400861D" w14:textId="255374F3"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7363E1">
            <w:rPr>
              <w:bCs/>
            </w:rPr>
            <w:t>73</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7AAE27A1"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ABEC5" w14:textId="77777777" w:rsidR="006153D5" w:rsidRDefault="006153D5">
      <w:r>
        <w:t>____________________</w:t>
      </w:r>
    </w:p>
  </w:footnote>
  <w:footnote w:type="continuationSeparator" w:id="0">
    <w:p w14:paraId="48303369" w14:textId="77777777" w:rsidR="006153D5" w:rsidRDefault="00615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B770"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2D037C0"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55FD6" w14:textId="77777777" w:rsidR="00A51849" w:rsidRPr="001342E0" w:rsidRDefault="001342E0" w:rsidP="001342E0">
    <w:pPr>
      <w:pStyle w:val="Header"/>
    </w:pPr>
    <w:r>
      <w:rPr>
        <w:noProof/>
      </w:rPr>
      <w:drawing>
        <wp:inline distT="0" distB="0" distL="0" distR="0" wp14:anchorId="11608E10" wp14:editId="4036C5C4">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D5"/>
    <w:rsid w:val="00076A2C"/>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C3F32"/>
    <w:rsid w:val="002C4E3D"/>
    <w:rsid w:val="002D2336"/>
    <w:rsid w:val="002E0BC4"/>
    <w:rsid w:val="002F1B76"/>
    <w:rsid w:val="0033568E"/>
    <w:rsid w:val="00355FF5"/>
    <w:rsid w:val="00361350"/>
    <w:rsid w:val="003C3FAE"/>
    <w:rsid w:val="003F68FF"/>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55D2"/>
    <w:rsid w:val="005768E1"/>
    <w:rsid w:val="005B1938"/>
    <w:rsid w:val="005C3890"/>
    <w:rsid w:val="005F7BFE"/>
    <w:rsid w:val="00600017"/>
    <w:rsid w:val="00602682"/>
    <w:rsid w:val="006153D5"/>
    <w:rsid w:val="006235CA"/>
    <w:rsid w:val="0062366E"/>
    <w:rsid w:val="006643AB"/>
    <w:rsid w:val="006A11AE"/>
    <w:rsid w:val="006B224B"/>
    <w:rsid w:val="006F0A53"/>
    <w:rsid w:val="0071402E"/>
    <w:rsid w:val="007210CD"/>
    <w:rsid w:val="00732045"/>
    <w:rsid w:val="0073275D"/>
    <w:rsid w:val="007363E1"/>
    <w:rsid w:val="007369DB"/>
    <w:rsid w:val="0077110E"/>
    <w:rsid w:val="007956C2"/>
    <w:rsid w:val="00796BDB"/>
    <w:rsid w:val="007A187E"/>
    <w:rsid w:val="007C72C2"/>
    <w:rsid w:val="007D4436"/>
    <w:rsid w:val="007F257A"/>
    <w:rsid w:val="007F3665"/>
    <w:rsid w:val="00800037"/>
    <w:rsid w:val="008138E5"/>
    <w:rsid w:val="0082299A"/>
    <w:rsid w:val="0083391C"/>
    <w:rsid w:val="0084546D"/>
    <w:rsid w:val="00861D73"/>
    <w:rsid w:val="00882919"/>
    <w:rsid w:val="00897553"/>
    <w:rsid w:val="008A4E87"/>
    <w:rsid w:val="008D76E6"/>
    <w:rsid w:val="0092392D"/>
    <w:rsid w:val="0093234A"/>
    <w:rsid w:val="00946B29"/>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069D1"/>
    <w:rsid w:val="00E25AD0"/>
    <w:rsid w:val="00E4428F"/>
    <w:rsid w:val="00E4448E"/>
    <w:rsid w:val="00E47427"/>
    <w:rsid w:val="00E93668"/>
    <w:rsid w:val="00E95647"/>
    <w:rsid w:val="00EB6350"/>
    <w:rsid w:val="00ED799B"/>
    <w:rsid w:val="00F15B57"/>
    <w:rsid w:val="00F35EF4"/>
    <w:rsid w:val="00F37FE5"/>
    <w:rsid w:val="00F427DB"/>
    <w:rsid w:val="00FA2D7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7E72D"/>
  <w15:docId w15:val="{67889F9C-6043-411A-B6B8-1652C7E2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3F68FF"/>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7-CL-C-0067/fr" TargetMode="External"/><Relationship Id="rId18" Type="http://schemas.openxmlformats.org/officeDocument/2006/relationships/hyperlink" Target="https://www.itu.int/md/S24-CWGFHR17-C-0003/fr" TargetMode="External"/><Relationship Id="rId26" Type="http://schemas.openxmlformats.org/officeDocument/2006/relationships/hyperlink" Target="https://www.itu.int/md/S24-CL-C-0070/fr" TargetMode="External"/><Relationship Id="rId39" Type="http://schemas.openxmlformats.org/officeDocument/2006/relationships/fontTable" Target="fontTable.xml"/><Relationship Id="rId21" Type="http://schemas.openxmlformats.org/officeDocument/2006/relationships/hyperlink" Target="https://www.itu.int/md/S25-SG-CIR-0036/f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en/council/Documents/basic-texts-2023/DEC-005-F.pdf" TargetMode="External"/><Relationship Id="rId17" Type="http://schemas.openxmlformats.org/officeDocument/2006/relationships/hyperlink" Target="https://www.itu.int/md/S23-CWGFHR16-C-0011/fr" TargetMode="External"/><Relationship Id="rId25" Type="http://schemas.openxmlformats.org/officeDocument/2006/relationships/hyperlink" Target="https://www.itu.int/md/S26-CL-INF-0014/fr" TargetMode="External"/><Relationship Id="rId33" Type="http://schemas.openxmlformats.org/officeDocument/2006/relationships/hyperlink" Target="https://www.itu.int/md/S26-CL-INF-0014/fr"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itu.int/md/S23-CL-C-0062/fr" TargetMode="External"/><Relationship Id="rId20" Type="http://schemas.openxmlformats.org/officeDocument/2006/relationships/hyperlink" Target="https://www.itu.int/md/S25-CL-C-0067/fr" TargetMode="External"/><Relationship Id="rId29" Type="http://schemas.openxmlformats.org/officeDocument/2006/relationships/hyperlink" Target="https://www.itu.int/dms_pub/itu-s/md/26/cl/c/S26-CL-C-0047!!MSW-F.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cwg-fhr/Pages/default.aspx" TargetMode="External"/><Relationship Id="rId24" Type="http://schemas.openxmlformats.org/officeDocument/2006/relationships/hyperlink" Target="https://www.itu.int/md/S26-CL-C-0047/fr" TargetMode="External"/><Relationship Id="rId32" Type="http://schemas.openxmlformats.org/officeDocument/2006/relationships/hyperlink" Target="https://www.itu.int/hub/membership/become-a-member/resources/"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dms_pub/itu-d/opb/tdc/D-TDC-WTDC-2022-PDF-F.pdf" TargetMode="External"/><Relationship Id="rId23" Type="http://schemas.openxmlformats.org/officeDocument/2006/relationships/hyperlink" Target="https://www.itu.int/dms_pub/itu-s/md/26/cwgfhr22/c/S26-CWGFHR22-C-0016!!MSW-E.docx" TargetMode="External"/><Relationship Id="rId28" Type="http://schemas.openxmlformats.org/officeDocument/2006/relationships/hyperlink" Target="https://www.itu.int/md/S25-SG-CIR-0036/fr" TargetMode="External"/><Relationship Id="rId36" Type="http://schemas.openxmlformats.org/officeDocument/2006/relationships/footer" Target="footer2.xml"/><Relationship Id="rId10" Type="http://schemas.openxmlformats.org/officeDocument/2006/relationships/hyperlink" Target="https://www.itu.int/dms_pub/itu-s/md/26/cwgfhr22/c/S26-CWGFHR22-C-0016!!MSW-E.docx" TargetMode="External"/><Relationship Id="rId19" Type="http://schemas.openxmlformats.org/officeDocument/2006/relationships/hyperlink" Target="https://www.itu.int/md/S24-CL-C-0070/fr" TargetMode="External"/><Relationship Id="rId31" Type="http://schemas.openxmlformats.org/officeDocument/2006/relationships/hyperlink" Target="https://www.itu.int/md/S25-SG-CIR-0036/fr" TargetMode="External"/><Relationship Id="rId4" Type="http://schemas.openxmlformats.org/officeDocument/2006/relationships/settings" Target="settings.xml"/><Relationship Id="rId9" Type="http://schemas.openxmlformats.org/officeDocument/2006/relationships/hyperlink" Target="https://www.itu.int/md/S25-CL-C-0067/fr" TargetMode="External"/><Relationship Id="rId14" Type="http://schemas.openxmlformats.org/officeDocument/2006/relationships/hyperlink" Target="https://www.itu.int/md/S23-CL-INF-0012/fr" TargetMode="External"/><Relationship Id="rId22" Type="http://schemas.openxmlformats.org/officeDocument/2006/relationships/hyperlink" Target="https://www.itu.int/md/S25-CL-INF-0006/fr" TargetMode="External"/><Relationship Id="rId27" Type="http://schemas.openxmlformats.org/officeDocument/2006/relationships/hyperlink" Target="https://www.itu.int/md/S26-CL-INF-0014/fr" TargetMode="External"/><Relationship Id="rId30" Type="http://schemas.openxmlformats.org/officeDocument/2006/relationships/hyperlink" Target="https://www.itu.int/md/S25-CL-INF-0006/fr" TargetMode="External"/><Relationship Id="rId35" Type="http://schemas.openxmlformats.org/officeDocument/2006/relationships/footer" Target="footer1.xml"/><Relationship Id="rId8" Type="http://schemas.openxmlformats.org/officeDocument/2006/relationships/hyperlink" Target="https://www.itu.int/md/S24-CL-C-0070/fr"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72C95-D079-41A9-977F-791AB3975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3</TotalTime>
  <Pages>5</Pages>
  <Words>1753</Words>
  <Characters>11805</Characters>
  <Application>Microsoft Office Word</Application>
  <DocSecurity>0</DocSecurity>
  <Lines>222</Lines>
  <Paragraphs>94</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13464</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 actualisées sur la mise en œuvre de la stratégie de mobilisation des ressources de l'UIT</dc:title>
  <dc:subject>Conseil 2026 de l'UIT</dc:subject>
  <cp:keywords>C26; C2026; Council 2026; PP26</cp:keywords>
  <dc:description/>
  <cp:lastPrinted>2000-07-18T08:55:00Z</cp:lastPrinted>
  <dcterms:created xsi:type="dcterms:W3CDTF">2026-04-21T17:28:00Z</dcterms:created>
  <dcterms:modified xsi:type="dcterms:W3CDTF">2026-04-21T17:30:00Z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