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5ADDC6C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019C066" w14:textId="42240E75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E47F76" w:rsidRPr="00E47F76">
              <w:rPr>
                <w:rFonts w:cstheme="minorHAnsi"/>
                <w:b/>
                <w:bCs/>
              </w:rPr>
              <w:t>ADM 1</w:t>
            </w:r>
          </w:p>
        </w:tc>
        <w:tc>
          <w:tcPr>
            <w:tcW w:w="5245" w:type="dxa"/>
          </w:tcPr>
          <w:p w14:paraId="66F6D09C" w14:textId="3A6E2894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E47F76" w:rsidRPr="00E47F76">
              <w:rPr>
                <w:b/>
              </w:rPr>
              <w:t>73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7B00689E" w14:textId="77777777" w:rsidTr="00555C29">
        <w:trPr>
          <w:cantSplit/>
        </w:trPr>
        <w:tc>
          <w:tcPr>
            <w:tcW w:w="3969" w:type="dxa"/>
            <w:vMerge/>
          </w:tcPr>
          <w:p w14:paraId="19EDD65B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4452099" w14:textId="2E5FCB51" w:rsidR="00E24D59" w:rsidRPr="00E85629" w:rsidRDefault="00E47F76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29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10CA63B3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59BA69D6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F7B1B12" w14:textId="2BC228FB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7946C8" w:rsidRPr="007946C8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E24D59" w:rsidRPr="00813E5E" w14:paraId="0C8E9301" w14:textId="77777777" w:rsidTr="00555C29">
        <w:trPr>
          <w:cantSplit/>
          <w:trHeight w:val="23"/>
        </w:trPr>
        <w:tc>
          <w:tcPr>
            <w:tcW w:w="3969" w:type="dxa"/>
          </w:tcPr>
          <w:p w14:paraId="3F5F7B8E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D13D2E6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2512CC6C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4AA51D9" w14:textId="3F929E2D" w:rsidR="00E24D59" w:rsidRPr="00C24DAC" w:rsidRDefault="003F086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bookmarkEnd w:id="5"/>
      <w:tr w:rsidR="00E24D59" w:rsidRPr="00813E5E" w14:paraId="720895D3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D3915DD" w14:textId="6FD280A7" w:rsidR="00E24D59" w:rsidRPr="00C24DAC" w:rsidRDefault="007946C8" w:rsidP="00C24DAC">
            <w:pPr>
              <w:pStyle w:val="Subtitle"/>
              <w:framePr w:hSpace="0" w:wrap="auto" w:vAnchor="margin" w:hAnchor="text" w:xAlign="left" w:yAlign="inline"/>
            </w:pPr>
            <w:r w:rsidRPr="007946C8">
              <w:rPr>
                <w:rFonts w:hint="eastAsia"/>
              </w:rPr>
              <w:t>国际电联资源筹措战略的最新实施情况</w:t>
            </w:r>
          </w:p>
        </w:tc>
      </w:tr>
      <w:tr w:rsidR="00E24D59" w:rsidRPr="00813E5E" w14:paraId="39B9E3A0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E68B7FD" w14:textId="1585679A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39A31A6A" w14:textId="1ECBB6DF" w:rsidR="00E47F76" w:rsidRPr="00E47F76" w:rsidRDefault="007946C8" w:rsidP="00D542F0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7946C8">
              <w:rPr>
                <w:rFonts w:eastAsiaTheme="majorEastAsia" w:cs="Calibri" w:hint="eastAsia"/>
                <w:lang w:eastAsia="zh-CN"/>
              </w:rPr>
              <w:t>全权代表大会</w:t>
            </w:r>
            <w:r w:rsidR="00D956D6">
              <w:rPr>
                <w:rFonts w:eastAsiaTheme="majorEastAsia" w:cs="Calibri" w:hint="eastAsia"/>
                <w:lang w:eastAsia="zh-CN"/>
              </w:rPr>
              <w:t>（</w:t>
            </w:r>
            <w:r w:rsidR="00D956D6" w:rsidRPr="00E47F76">
              <w:rPr>
                <w:rFonts w:eastAsiaTheme="majorEastAsia" w:cs="Calibri"/>
                <w:lang w:eastAsia="zh-CN"/>
              </w:rPr>
              <w:t>2022</w:t>
            </w:r>
            <w:r w:rsidR="00D956D6" w:rsidRPr="007946C8">
              <w:rPr>
                <w:rFonts w:eastAsiaTheme="majorEastAsia" w:cs="Calibri" w:hint="eastAsia"/>
                <w:lang w:eastAsia="zh-CN"/>
              </w:rPr>
              <w:t>年</w:t>
            </w:r>
            <w:r w:rsidR="00D956D6">
              <w:rPr>
                <w:rFonts w:eastAsiaTheme="majorEastAsia" w:cs="Calibri" w:hint="eastAsia"/>
                <w:lang w:eastAsia="zh-CN"/>
              </w:rPr>
              <w:t>，</w:t>
            </w:r>
            <w:r w:rsidR="00D956D6" w:rsidRPr="007946C8">
              <w:rPr>
                <w:rFonts w:eastAsiaTheme="majorEastAsia" w:cs="Calibri" w:hint="eastAsia"/>
                <w:lang w:eastAsia="zh-CN"/>
              </w:rPr>
              <w:t>布加勒斯特</w:t>
            </w:r>
            <w:r w:rsidR="00D956D6">
              <w:rPr>
                <w:rFonts w:eastAsiaTheme="majorEastAsia" w:cs="Calibri" w:hint="eastAsia"/>
                <w:lang w:eastAsia="zh-CN"/>
              </w:rPr>
              <w:t>）</w:t>
            </w:r>
            <w:r w:rsidRPr="007946C8">
              <w:rPr>
                <w:rFonts w:eastAsiaTheme="majorEastAsia" w:cs="Calibri" w:hint="eastAsia"/>
                <w:lang w:eastAsia="zh-CN"/>
              </w:rPr>
              <w:t>在</w:t>
            </w:r>
            <w:r w:rsidR="00D956D6" w:rsidRPr="00D956D6">
              <w:rPr>
                <w:rFonts w:eastAsiaTheme="majorEastAsia" w:cs="Calibri" w:hint="eastAsia"/>
                <w:lang w:eastAsia="zh-CN"/>
              </w:rPr>
              <w:t>第</w:t>
            </w:r>
            <w:r w:rsidR="00D956D6" w:rsidRPr="00E47F76">
              <w:rPr>
                <w:rFonts w:eastAsiaTheme="majorEastAsia" w:cs="Calibri"/>
                <w:lang w:eastAsia="zh-CN"/>
              </w:rPr>
              <w:t>5</w:t>
            </w:r>
            <w:r w:rsidR="00D956D6" w:rsidRPr="00D956D6">
              <w:rPr>
                <w:rFonts w:eastAsiaTheme="majorEastAsia" w:cs="Calibri" w:hint="eastAsia"/>
                <w:lang w:eastAsia="zh-CN"/>
              </w:rPr>
              <w:t>号决定</w:t>
            </w:r>
            <w:r w:rsidR="00D956D6">
              <w:rPr>
                <w:rFonts w:eastAsiaTheme="majorEastAsia" w:cs="Calibri" w:hint="eastAsia"/>
                <w:lang w:eastAsia="zh-CN"/>
              </w:rPr>
              <w:t>（</w:t>
            </w:r>
            <w:r w:rsidR="00D956D6" w:rsidRPr="00E47F76">
              <w:rPr>
                <w:rFonts w:eastAsiaTheme="majorEastAsia" w:cs="Calibri"/>
                <w:lang w:eastAsia="zh-CN"/>
              </w:rPr>
              <w:t>2022</w:t>
            </w:r>
            <w:r w:rsidR="00D956D6" w:rsidRPr="00D956D6">
              <w:rPr>
                <w:rFonts w:eastAsiaTheme="majorEastAsia" w:cs="Calibri" w:hint="eastAsia"/>
                <w:lang w:eastAsia="zh-CN"/>
              </w:rPr>
              <w:t>年</w:t>
            </w:r>
            <w:r w:rsidR="00D956D6">
              <w:rPr>
                <w:rFonts w:eastAsiaTheme="majorEastAsia" w:cs="Calibri" w:hint="eastAsia"/>
                <w:lang w:eastAsia="zh-CN"/>
              </w:rPr>
              <w:t>，</w:t>
            </w:r>
            <w:r w:rsidR="00D956D6" w:rsidRPr="00D956D6">
              <w:rPr>
                <w:rFonts w:eastAsiaTheme="majorEastAsia" w:cs="Calibri" w:hint="eastAsia"/>
                <w:lang w:eastAsia="zh-CN"/>
              </w:rPr>
              <w:t>布加勒斯特</w:t>
            </w:r>
            <w:r w:rsidR="00D956D6">
              <w:rPr>
                <w:rFonts w:eastAsiaTheme="majorEastAsia" w:cs="Calibri" w:hint="eastAsia"/>
                <w:lang w:eastAsia="zh-CN"/>
              </w:rPr>
              <w:t>，</w:t>
            </w:r>
            <w:r w:rsidR="00D956D6" w:rsidRPr="00D956D6">
              <w:rPr>
                <w:rFonts w:eastAsiaTheme="majorEastAsia" w:cs="Calibri" w:hint="eastAsia"/>
                <w:lang w:eastAsia="zh-CN"/>
              </w:rPr>
              <w:t>修订版</w:t>
            </w:r>
            <w:r w:rsidR="00D956D6">
              <w:rPr>
                <w:rFonts w:eastAsiaTheme="majorEastAsia" w:cs="Calibri" w:hint="eastAsia"/>
                <w:lang w:eastAsia="zh-CN"/>
              </w:rPr>
              <w:t>）</w:t>
            </w:r>
            <w:r w:rsidRPr="007946C8">
              <w:rPr>
                <w:rFonts w:eastAsiaTheme="majorEastAsia" w:cs="Calibri" w:hint="eastAsia"/>
                <w:lang w:eastAsia="zh-CN"/>
              </w:rPr>
              <w:t>中</w:t>
            </w:r>
            <w:r w:rsidR="00D956D6" w:rsidRPr="00D956D6">
              <w:rPr>
                <w:rFonts w:eastAsiaTheme="majorEastAsia" w:cs="Calibri" w:hint="eastAsia"/>
                <w:lang w:eastAsia="zh-CN"/>
              </w:rPr>
              <w:t>责成秘书长制定全国际电联的资源筹措战略</w:t>
            </w:r>
            <w:r w:rsidR="00D956D6">
              <w:rPr>
                <w:rFonts w:eastAsiaTheme="majorEastAsia" w:cs="Calibri" w:hint="eastAsia"/>
                <w:lang w:eastAsia="zh-CN"/>
              </w:rPr>
              <w:t>，</w:t>
            </w:r>
            <w:r w:rsidR="00D956D6" w:rsidRPr="00D956D6">
              <w:rPr>
                <w:rFonts w:eastAsiaTheme="majorEastAsia" w:cs="Calibri" w:hint="eastAsia"/>
                <w:lang w:eastAsia="zh-CN"/>
              </w:rPr>
              <w:t>并将其提交</w:t>
            </w:r>
            <w:r w:rsidR="00D24D69" w:rsidRPr="007946C8">
              <w:rPr>
                <w:rFonts w:eastAsiaTheme="majorEastAsia" w:cs="Calibri" w:hint="eastAsia"/>
                <w:lang w:eastAsia="zh-CN"/>
              </w:rPr>
              <w:t>国际电联理事会</w:t>
            </w:r>
            <w:r w:rsidR="00D24D69">
              <w:rPr>
                <w:rFonts w:eastAsiaTheme="majorEastAsia" w:cs="Calibri" w:hint="eastAsia"/>
                <w:lang w:eastAsia="zh-CN"/>
              </w:rPr>
              <w:t>。</w:t>
            </w:r>
            <w:r w:rsidRPr="007946C8">
              <w:rPr>
                <w:rFonts w:eastAsiaTheme="majorEastAsia" w:cs="Calibri" w:hint="eastAsia"/>
                <w:lang w:eastAsia="zh-CN"/>
              </w:rPr>
              <w:t>理事会</w:t>
            </w:r>
            <w:r w:rsidR="00D24D69">
              <w:rPr>
                <w:rFonts w:eastAsiaTheme="majorEastAsia" w:cs="Calibri" w:hint="eastAsia"/>
                <w:lang w:eastAsia="zh-CN"/>
              </w:rPr>
              <w:t>20</w:t>
            </w:r>
            <w:r w:rsidR="00D24D69" w:rsidRPr="00E47F76">
              <w:rPr>
                <w:rFonts w:eastAsiaTheme="majorEastAsia" w:cs="Calibri"/>
                <w:lang w:eastAsia="zh-CN"/>
              </w:rPr>
              <w:t>24</w:t>
            </w:r>
            <w:r w:rsidRPr="007946C8">
              <w:rPr>
                <w:rFonts w:eastAsiaTheme="majorEastAsia" w:cs="Calibri" w:hint="eastAsia"/>
                <w:lang w:eastAsia="zh-CN"/>
              </w:rPr>
              <w:t>年会议通过的</w:t>
            </w:r>
            <w:r w:rsidR="00D24D69" w:rsidRPr="00D24D69">
              <w:rPr>
                <w:rFonts w:eastAsiaTheme="majorEastAsia" w:cs="Calibri" w:hint="eastAsia"/>
                <w:lang w:eastAsia="zh-CN"/>
              </w:rPr>
              <w:t>资源筹措战略</w:t>
            </w:r>
            <w:r w:rsidR="00D24D69">
              <w:rPr>
                <w:rFonts w:eastAsiaTheme="majorEastAsia" w:cs="Calibri" w:hint="eastAsia"/>
                <w:lang w:eastAsia="zh-CN"/>
              </w:rPr>
              <w:t>（</w:t>
            </w:r>
            <w:r w:rsidR="00D24D69" w:rsidRPr="007946C8">
              <w:rPr>
                <w:rFonts w:eastAsiaTheme="majorEastAsia" w:cs="Calibri" w:hint="eastAsia"/>
                <w:lang w:eastAsia="zh-CN"/>
              </w:rPr>
              <w:t>见</w:t>
            </w:r>
            <w:r w:rsidR="00D24D69">
              <w:fldChar w:fldCharType="begin"/>
            </w:r>
            <w:r w:rsidR="00D24D69">
              <w:rPr>
                <w:lang w:eastAsia="zh-CN"/>
              </w:rPr>
              <w:instrText>HYPERLINK "https://www.itu.int/md/S24-CL-C-0070/"</w:instrText>
            </w:r>
            <w:r w:rsidR="00D24D69">
              <w:fldChar w:fldCharType="separate"/>
            </w:r>
            <w:proofErr w:type="spellStart"/>
            <w:r w:rsidR="00D24D69" w:rsidRPr="00E47F76">
              <w:rPr>
                <w:rStyle w:val="Hyperlink"/>
                <w:rFonts w:eastAsiaTheme="majorEastAsia" w:cs="Calibri"/>
                <w:noProof w:val="0"/>
                <w:lang w:eastAsia="zh-CN"/>
              </w:rPr>
              <w:t>C24</w:t>
            </w:r>
            <w:proofErr w:type="spellEnd"/>
            <w:r w:rsidR="00D24D69" w:rsidRPr="00E47F76">
              <w:rPr>
                <w:rStyle w:val="Hyperlink"/>
                <w:rFonts w:eastAsiaTheme="majorEastAsia" w:cs="Calibri"/>
                <w:noProof w:val="0"/>
                <w:lang w:eastAsia="zh-CN"/>
              </w:rPr>
              <w:t>/70</w:t>
            </w:r>
            <w:r w:rsidR="00D24D69">
              <w:fldChar w:fldCharType="end"/>
            </w:r>
            <w:r w:rsidR="00D24D69" w:rsidRPr="007946C8">
              <w:rPr>
                <w:rFonts w:eastAsiaTheme="majorEastAsia" w:cs="Calibri" w:hint="eastAsia"/>
                <w:lang w:eastAsia="zh-CN"/>
              </w:rPr>
              <w:t>号文件</w:t>
            </w:r>
            <w:r w:rsidR="00D24D69">
              <w:rPr>
                <w:rFonts w:eastAsiaTheme="majorEastAsia" w:cs="Calibri" w:hint="eastAsia"/>
                <w:lang w:eastAsia="zh-CN"/>
              </w:rPr>
              <w:t>）</w:t>
            </w:r>
            <w:r w:rsidR="00C8716E">
              <w:rPr>
                <w:rFonts w:eastAsiaTheme="majorEastAsia" w:cs="Calibri" w:hint="eastAsia"/>
                <w:lang w:eastAsia="zh-CN"/>
              </w:rPr>
              <w:t>基于</w:t>
            </w:r>
            <w:r w:rsidR="00D24D69" w:rsidRPr="00D24D69">
              <w:rPr>
                <w:rFonts w:eastAsiaTheme="majorEastAsia" w:cs="Calibri" w:hint="eastAsia"/>
                <w:lang w:eastAsia="zh-CN"/>
              </w:rPr>
              <w:t>三个主要行动领域</w:t>
            </w:r>
            <w:r w:rsidR="00C8716E">
              <w:rPr>
                <w:rFonts w:eastAsiaTheme="majorEastAsia" w:cs="Calibri" w:hint="eastAsia"/>
                <w:lang w:eastAsia="zh-CN"/>
              </w:rPr>
              <w:t>：</w:t>
            </w:r>
            <w:r w:rsidR="00AC60D2" w:rsidRPr="00AA601A">
              <w:rPr>
                <w:rFonts w:eastAsiaTheme="majorEastAsia" w:cs="Calibri" w:hint="eastAsia"/>
                <w:lang w:eastAsia="zh-CN"/>
              </w:rPr>
              <w:t>强化</w:t>
            </w:r>
            <w:r w:rsidR="00D24D69" w:rsidRPr="00AA601A">
              <w:rPr>
                <w:rFonts w:eastAsiaTheme="majorEastAsia" w:cs="Calibri" w:hint="eastAsia"/>
                <w:lang w:eastAsia="zh-CN"/>
              </w:rPr>
              <w:t>成</w:t>
            </w:r>
            <w:r w:rsidR="00D24D69" w:rsidRPr="00D24D69">
              <w:rPr>
                <w:rFonts w:eastAsiaTheme="majorEastAsia" w:cs="Calibri" w:hint="eastAsia"/>
                <w:lang w:eastAsia="zh-CN"/>
              </w:rPr>
              <w:t>员队伍</w:t>
            </w:r>
            <w:r w:rsidR="00AC60D2">
              <w:rPr>
                <w:rFonts w:eastAsiaTheme="majorEastAsia" w:cs="Calibri" w:hint="eastAsia"/>
                <w:lang w:eastAsia="zh-CN"/>
              </w:rPr>
              <w:t>；</w:t>
            </w:r>
            <w:r w:rsidR="00D24D69" w:rsidRPr="00D24D69">
              <w:rPr>
                <w:rFonts w:eastAsiaTheme="majorEastAsia" w:cs="Calibri" w:hint="eastAsia"/>
                <w:lang w:eastAsia="zh-CN"/>
              </w:rPr>
              <w:t>利用</w:t>
            </w:r>
            <w:r w:rsidR="00AC60D2">
              <w:rPr>
                <w:rFonts w:eastAsiaTheme="majorEastAsia" w:cs="Calibri" w:hint="eastAsia"/>
                <w:lang w:eastAsia="zh-CN"/>
              </w:rPr>
              <w:t>各</w:t>
            </w:r>
            <w:r w:rsidR="006B1BC5">
              <w:rPr>
                <w:rFonts w:eastAsiaTheme="majorEastAsia" w:cs="Calibri" w:hint="eastAsia"/>
                <w:lang w:eastAsia="zh-CN"/>
              </w:rPr>
              <w:t>项</w:t>
            </w:r>
            <w:r w:rsidR="00D24D69" w:rsidRPr="00D24D69">
              <w:rPr>
                <w:rFonts w:eastAsiaTheme="majorEastAsia" w:cs="Calibri" w:hint="eastAsia"/>
                <w:lang w:eastAsia="zh-CN"/>
              </w:rPr>
              <w:t>活动</w:t>
            </w:r>
            <w:r w:rsidR="00482FD0">
              <w:rPr>
                <w:rFonts w:eastAsiaTheme="majorEastAsia" w:cs="Calibri" w:hint="eastAsia"/>
                <w:lang w:eastAsia="zh-CN"/>
              </w:rPr>
              <w:t>、</w:t>
            </w:r>
            <w:r w:rsidR="00D24D69" w:rsidRPr="00D24D69">
              <w:rPr>
                <w:rFonts w:eastAsiaTheme="majorEastAsia" w:cs="Calibri" w:hint="eastAsia"/>
                <w:lang w:eastAsia="zh-CN"/>
              </w:rPr>
              <w:t>产品和服务</w:t>
            </w:r>
            <w:r w:rsidR="00482FD0">
              <w:rPr>
                <w:rFonts w:eastAsiaTheme="majorEastAsia" w:cs="Calibri" w:hint="eastAsia"/>
                <w:lang w:eastAsia="zh-CN"/>
              </w:rPr>
              <w:t>；</w:t>
            </w:r>
            <w:r w:rsidR="00AC60D2">
              <w:rPr>
                <w:rFonts w:eastAsiaTheme="majorEastAsia" w:cs="Calibri" w:hint="eastAsia"/>
                <w:lang w:eastAsia="zh-CN"/>
              </w:rPr>
              <w:t>以及</w:t>
            </w:r>
            <w:r w:rsidR="00D24D69" w:rsidRPr="00D24D69">
              <w:rPr>
                <w:rFonts w:eastAsiaTheme="majorEastAsia" w:cs="Calibri" w:hint="eastAsia"/>
                <w:lang w:eastAsia="zh-CN"/>
              </w:rPr>
              <w:t>增加自愿捐款</w:t>
            </w:r>
            <w:r w:rsidR="00482FD0" w:rsidRPr="00AD1B81">
              <w:rPr>
                <w:rFonts w:eastAsiaTheme="majorEastAsia" w:cs="Calibri" w:hint="eastAsia"/>
                <w:lang w:eastAsia="zh-CN"/>
              </w:rPr>
              <w:t>。</w:t>
            </w:r>
          </w:p>
          <w:p w14:paraId="226733F6" w14:textId="0586CEFD" w:rsidR="003F086E" w:rsidRPr="00E47F76" w:rsidRDefault="00AC60D2" w:rsidP="00D542F0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>
              <w:rPr>
                <w:rFonts w:eastAsiaTheme="majorEastAsia" w:cs="Calibri" w:hint="eastAsia"/>
                <w:lang w:eastAsia="zh-CN"/>
              </w:rPr>
              <w:t>关于该战略</w:t>
            </w:r>
            <w:r w:rsidR="00874114" w:rsidRPr="007946C8">
              <w:rPr>
                <w:rFonts w:eastAsiaTheme="majorEastAsia" w:cs="Calibri" w:hint="eastAsia"/>
                <w:lang w:eastAsia="zh-CN"/>
              </w:rPr>
              <w:t>实施情况</w:t>
            </w:r>
            <w:r>
              <w:rPr>
                <w:rFonts w:eastAsiaTheme="majorEastAsia" w:cs="Calibri" w:hint="eastAsia"/>
                <w:lang w:eastAsia="zh-CN"/>
              </w:rPr>
              <w:t>的</w:t>
            </w:r>
            <w:r w:rsidR="00874114">
              <w:rPr>
                <w:rFonts w:eastAsiaTheme="majorEastAsia" w:cs="Calibri" w:hint="eastAsia"/>
                <w:lang w:eastAsia="zh-CN"/>
              </w:rPr>
              <w:t>进展</w:t>
            </w:r>
            <w:r w:rsidR="006B1BC5">
              <w:rPr>
                <w:rFonts w:eastAsiaTheme="majorEastAsia" w:cs="Calibri" w:hint="eastAsia"/>
                <w:lang w:eastAsia="zh-CN"/>
              </w:rPr>
              <w:t>报告</w:t>
            </w:r>
            <w:r>
              <w:rPr>
                <w:rFonts w:eastAsiaTheme="majorEastAsia" w:cs="Calibri" w:hint="eastAsia"/>
                <w:lang w:eastAsia="zh-CN"/>
              </w:rPr>
              <w:t>已</w:t>
            </w:r>
            <w:r w:rsidR="006B1BC5">
              <w:rPr>
                <w:rFonts w:eastAsiaTheme="majorEastAsia" w:cs="Calibri" w:hint="eastAsia"/>
                <w:lang w:eastAsia="zh-CN"/>
              </w:rPr>
              <w:t>提交</w:t>
            </w:r>
            <w:r w:rsidR="007946C8" w:rsidRPr="007946C8">
              <w:rPr>
                <w:rFonts w:eastAsiaTheme="majorEastAsia" w:cs="Calibri" w:hint="eastAsia"/>
                <w:lang w:eastAsia="zh-CN"/>
              </w:rPr>
              <w:t>理事会</w:t>
            </w:r>
            <w:r w:rsidR="007946C8" w:rsidRPr="007946C8">
              <w:rPr>
                <w:rFonts w:eastAsiaTheme="majorEastAsia" w:cs="Calibri" w:hint="eastAsia"/>
                <w:lang w:eastAsia="zh-CN"/>
              </w:rPr>
              <w:t>2025</w:t>
            </w:r>
            <w:r w:rsidR="007946C8" w:rsidRPr="007946C8">
              <w:rPr>
                <w:rFonts w:eastAsiaTheme="majorEastAsia" w:cs="Calibri" w:hint="eastAsia"/>
                <w:lang w:eastAsia="zh-CN"/>
              </w:rPr>
              <w:t>年会议</w:t>
            </w:r>
            <w:r w:rsidR="00482FD0">
              <w:rPr>
                <w:rFonts w:eastAsiaTheme="majorEastAsia" w:cs="Calibri" w:hint="eastAsia"/>
                <w:lang w:eastAsia="zh-CN"/>
              </w:rPr>
              <w:t>（</w:t>
            </w:r>
            <w:hyperlink r:id="rId8" w:history="1">
              <w:proofErr w:type="spellStart"/>
              <w:r w:rsidR="00482FD0" w:rsidRPr="00E47F76">
                <w:rPr>
                  <w:rStyle w:val="Hyperlink"/>
                  <w:rFonts w:eastAsiaTheme="majorEastAsia" w:cs="Calibri"/>
                  <w:noProof w:val="0"/>
                  <w:lang w:eastAsia="zh-CN"/>
                </w:rPr>
                <w:t>C25</w:t>
              </w:r>
              <w:proofErr w:type="spellEnd"/>
              <w:r w:rsidR="00482FD0" w:rsidRPr="00E47F76">
                <w:rPr>
                  <w:rStyle w:val="Hyperlink"/>
                  <w:rFonts w:eastAsiaTheme="majorEastAsia" w:cs="Calibri"/>
                  <w:noProof w:val="0"/>
                  <w:lang w:eastAsia="zh-CN"/>
                </w:rPr>
                <w:t>/67</w:t>
              </w:r>
            </w:hyperlink>
            <w:r w:rsidR="00482FD0" w:rsidRPr="007946C8">
              <w:rPr>
                <w:rFonts w:eastAsiaTheme="majorEastAsia" w:cs="Calibri" w:hint="eastAsia"/>
                <w:lang w:eastAsia="zh-CN"/>
              </w:rPr>
              <w:t>号文件</w:t>
            </w:r>
            <w:r w:rsidR="00482FD0">
              <w:rPr>
                <w:rFonts w:eastAsiaTheme="majorEastAsia" w:cs="Calibri" w:hint="eastAsia"/>
                <w:lang w:eastAsia="zh-CN"/>
              </w:rPr>
              <w:t>）</w:t>
            </w:r>
            <w:r w:rsidR="007946C8" w:rsidRPr="007946C8">
              <w:rPr>
                <w:rFonts w:eastAsiaTheme="majorEastAsia" w:cs="Calibri" w:hint="eastAsia"/>
                <w:lang w:eastAsia="zh-CN"/>
              </w:rPr>
              <w:t>和</w:t>
            </w:r>
            <w:r w:rsidR="00482FD0" w:rsidRPr="00E47F76">
              <w:rPr>
                <w:rFonts w:eastAsiaTheme="majorEastAsia" w:cs="Calibri"/>
                <w:lang w:eastAsia="zh-CN"/>
              </w:rPr>
              <w:t>CWG-FHR</w:t>
            </w:r>
            <w:r>
              <w:rPr>
                <w:rFonts w:eastAsiaTheme="majorEastAsia" w:cs="Calibri" w:hint="eastAsia"/>
                <w:lang w:eastAsia="zh-CN"/>
              </w:rPr>
              <w:t>会议</w:t>
            </w:r>
            <w:r w:rsidR="00482FD0">
              <w:rPr>
                <w:rFonts w:eastAsiaTheme="majorEastAsia" w:cs="Calibri" w:hint="eastAsia"/>
                <w:lang w:eastAsia="zh-CN"/>
              </w:rPr>
              <w:t>（</w:t>
            </w:r>
            <w:hyperlink r:id="rId9" w:history="1">
              <w:r w:rsidR="00482FD0" w:rsidRPr="00E47F76">
                <w:rPr>
                  <w:rStyle w:val="Hyperlink"/>
                  <w:rFonts w:eastAsiaTheme="majorEastAsia" w:cs="Calibri"/>
                  <w:bCs/>
                  <w:noProof w:val="0"/>
                  <w:lang w:val="it-IT" w:eastAsia="zh-CN"/>
                </w:rPr>
                <w:t>CWG-FHR-22/16</w:t>
              </w:r>
            </w:hyperlink>
            <w:r w:rsidR="007946C8" w:rsidRPr="007946C8">
              <w:rPr>
                <w:rFonts w:eastAsiaTheme="majorEastAsia" w:cs="Calibri" w:hint="eastAsia"/>
                <w:lang w:eastAsia="zh-CN"/>
              </w:rPr>
              <w:t>号文件</w:t>
            </w:r>
            <w:r w:rsidR="00482FD0">
              <w:rPr>
                <w:rFonts w:eastAsiaTheme="majorEastAsia" w:cs="Calibri" w:hint="eastAsia"/>
                <w:lang w:eastAsia="zh-CN"/>
              </w:rPr>
              <w:t>），供各方提出</w:t>
            </w:r>
            <w:r w:rsidR="007946C8" w:rsidRPr="007946C8">
              <w:rPr>
                <w:rFonts w:eastAsiaTheme="majorEastAsia" w:cs="Calibri" w:hint="eastAsia"/>
                <w:lang w:eastAsia="zh-CN"/>
              </w:rPr>
              <w:t>意见</w:t>
            </w:r>
            <w:r w:rsidR="00482FD0">
              <w:rPr>
                <w:rFonts w:eastAsiaTheme="majorEastAsia" w:cs="Calibri" w:hint="eastAsia"/>
                <w:lang w:eastAsia="zh-CN"/>
              </w:rPr>
              <w:t>、进行</w:t>
            </w:r>
            <w:r>
              <w:rPr>
                <w:rFonts w:eastAsiaTheme="majorEastAsia" w:cs="Calibri" w:hint="eastAsia"/>
                <w:lang w:eastAsia="zh-CN"/>
              </w:rPr>
              <w:t>审议</w:t>
            </w:r>
            <w:r w:rsidR="00482FD0">
              <w:rPr>
                <w:rFonts w:eastAsiaTheme="majorEastAsia" w:cs="Calibri" w:hint="eastAsia"/>
                <w:lang w:eastAsia="zh-CN"/>
              </w:rPr>
              <w:t>，</w:t>
            </w:r>
            <w:r w:rsidR="007946C8" w:rsidRPr="007946C8">
              <w:rPr>
                <w:rFonts w:eastAsiaTheme="majorEastAsia" w:cs="Calibri" w:hint="eastAsia"/>
                <w:lang w:eastAsia="zh-CN"/>
              </w:rPr>
              <w:t>并随后提交理事会</w:t>
            </w:r>
            <w:r w:rsidR="00482FD0" w:rsidRPr="00E47F76">
              <w:rPr>
                <w:rFonts w:eastAsiaTheme="majorEastAsia" w:cs="Calibri"/>
                <w:lang w:eastAsia="zh-CN"/>
              </w:rPr>
              <w:t>2026</w:t>
            </w:r>
            <w:r w:rsidR="007946C8" w:rsidRPr="00DB09F9">
              <w:rPr>
                <w:rFonts w:eastAsiaTheme="majorEastAsia" w:cs="Calibri" w:hint="eastAsia"/>
                <w:lang w:eastAsia="zh-CN"/>
              </w:rPr>
              <w:t>年会议</w:t>
            </w:r>
            <w:r w:rsidR="00482FD0" w:rsidRPr="00DB09F9">
              <w:rPr>
                <w:rFonts w:eastAsiaTheme="majorEastAsia" w:cs="Calibri" w:hint="eastAsia"/>
                <w:lang w:eastAsia="zh-CN"/>
              </w:rPr>
              <w:t>。</w:t>
            </w:r>
          </w:p>
          <w:p w14:paraId="6C41300B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1BDD015F" w14:textId="2E6F4976" w:rsidR="003F086E" w:rsidRPr="00E47F76" w:rsidRDefault="007946C8" w:rsidP="00D542F0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7946C8">
              <w:rPr>
                <w:rFonts w:eastAsiaTheme="majorEastAsia" w:cs="Calibri" w:hint="eastAsia"/>
                <w:lang w:eastAsia="zh-CN"/>
              </w:rPr>
              <w:t>请理事会将本文件</w:t>
            </w:r>
            <w:r w:rsidRPr="00482FD0">
              <w:rPr>
                <w:rFonts w:eastAsiaTheme="majorEastAsia" w:cs="Calibri" w:hint="eastAsia"/>
                <w:b/>
                <w:bCs/>
                <w:lang w:eastAsia="zh-CN"/>
              </w:rPr>
              <w:t>记录在案</w:t>
            </w:r>
            <w:r w:rsidR="00482FD0">
              <w:rPr>
                <w:rFonts w:eastAsiaTheme="majorEastAsia" w:cs="Calibri" w:hint="eastAsia"/>
                <w:lang w:eastAsia="zh-CN"/>
              </w:rPr>
              <w:t>。</w:t>
            </w:r>
          </w:p>
          <w:p w14:paraId="088A583B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3E67842F" w14:textId="28A83871" w:rsidR="003F086E" w:rsidRPr="00E47F76" w:rsidRDefault="007946C8" w:rsidP="00D542F0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7946C8">
              <w:rPr>
                <w:rFonts w:eastAsiaTheme="majorEastAsia" w:cs="Calibri" w:hint="eastAsia"/>
                <w:lang w:eastAsia="zh-CN"/>
              </w:rPr>
              <w:t>资源筹措</w:t>
            </w:r>
            <w:r w:rsidR="00482FD0">
              <w:rPr>
                <w:rFonts w:eastAsiaTheme="majorEastAsia" w:cs="Calibri" w:hint="eastAsia"/>
                <w:lang w:eastAsia="zh-CN"/>
              </w:rPr>
              <w:t>。</w:t>
            </w:r>
          </w:p>
          <w:p w14:paraId="2446D41F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4C4462F5" w14:textId="60641FAB" w:rsidR="008F64AD" w:rsidRPr="00E47F76" w:rsidRDefault="00874114" w:rsidP="00D542F0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874114">
              <w:rPr>
                <w:rFonts w:eastAsiaTheme="majorEastAsia" w:cs="Calibri" w:hint="eastAsia"/>
                <w:lang w:eastAsia="zh-CN"/>
              </w:rPr>
              <w:t>有可能</w:t>
            </w:r>
            <w:r w:rsidR="007946C8" w:rsidRPr="007946C8">
              <w:rPr>
                <w:rFonts w:eastAsiaTheme="majorEastAsia" w:cs="Calibri" w:hint="eastAsia"/>
                <w:lang w:eastAsia="zh-CN"/>
              </w:rPr>
              <w:t>增加正常预算和预算外资金</w:t>
            </w:r>
            <w:r w:rsidR="00482FD0">
              <w:rPr>
                <w:rFonts w:eastAsiaTheme="majorEastAsia" w:cs="Calibri" w:hint="eastAsia"/>
                <w:lang w:eastAsia="zh-CN"/>
              </w:rPr>
              <w:t>。</w:t>
            </w:r>
          </w:p>
          <w:p w14:paraId="76952598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52D03B31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197BB420" w14:textId="258D082D" w:rsidR="00E24D59" w:rsidRPr="00E47F76" w:rsidRDefault="00E47F76" w:rsidP="00D542F0">
            <w:pPr>
              <w:spacing w:after="120"/>
              <w:ind w:firstLineChars="200" w:firstLine="480"/>
              <w:rPr>
                <w:rFonts w:eastAsiaTheme="majorEastAsia" w:cs="Calibri"/>
                <w:i/>
                <w:iCs/>
                <w:sz w:val="22"/>
                <w:szCs w:val="22"/>
                <w:lang w:eastAsia="zh-CN"/>
              </w:rPr>
            </w:pPr>
            <w:hyperlink r:id="rId10" w:history="1">
              <w:r w:rsidRPr="00482FD0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CWG-FHR</w:t>
              </w:r>
              <w:r w:rsidR="00482FD0" w:rsidRP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网站</w:t>
              </w:r>
            </w:hyperlink>
            <w:r w:rsidR="00482FD0" w:rsidRPr="00482FD0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r w:rsidR="00482FD0" w:rsidRPr="002E1B8A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全权代表大会</w:t>
            </w:r>
            <w:hyperlink r:id="rId11" w:tgtFrame="_blank" w:history="1">
              <w:r w:rsidR="00482FD0" w:rsidRP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第</w:t>
              </w:r>
              <w:r w:rsidR="00482FD0" w:rsidRPr="00482FD0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5</w:t>
              </w:r>
              <w:r w:rsidR="00482FD0" w:rsidRP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号决定</w:t>
              </w:r>
              <w:r w:rsid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（</w:t>
              </w:r>
              <w:r w:rsidR="00482FD0" w:rsidRPr="00482FD0">
                <w:rPr>
                  <w:rStyle w:val="Hyperlink"/>
                  <w:rFonts w:eastAsia="STKaiti" w:cs="Calibri"/>
                  <w:noProof w:val="0"/>
                  <w:sz w:val="22"/>
                  <w:szCs w:val="22"/>
                  <w:lang w:eastAsia="zh-CN"/>
                </w:rPr>
                <w:t>2022</w:t>
              </w:r>
              <w:r w:rsidR="00482FD0" w:rsidRP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年</w:t>
              </w:r>
              <w:r w:rsid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</w:t>
              </w:r>
              <w:r w:rsidR="00482FD0" w:rsidRP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布加勒斯特</w:t>
              </w:r>
              <w:r w:rsid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，</w:t>
              </w:r>
              <w:r w:rsidR="00482FD0" w:rsidRP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修订版</w:t>
              </w:r>
              <w:r w:rsidR="00482FD0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）</w:t>
              </w:r>
            </w:hyperlink>
            <w:r w:rsidR="00482FD0" w:rsidRPr="00482FD0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"https://www.itu.int/md/S17-CL-C-0067/en" \t "_blank"</w:instrText>
            </w:r>
            <w:r>
              <w:fldChar w:fldCharType="separate"/>
            </w:r>
            <w:proofErr w:type="spellStart"/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C17</w:t>
            </w:r>
            <w:proofErr w:type="spellEnd"/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/67</w:t>
            </w:r>
            <w:r>
              <w:fldChar w:fldCharType="end"/>
            </w:r>
            <w:r w:rsidR="002E1B8A" w:rsidRPr="002E1B8A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和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"https://www.itu.int/md/S23-CL-INF-0012/en" \t "_blank"</w:instrText>
            </w:r>
            <w:r>
              <w:fldChar w:fldCharType="separate"/>
            </w:r>
            <w:proofErr w:type="spellStart"/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C23</w:t>
            </w:r>
            <w:proofErr w:type="spellEnd"/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/INF/12</w:t>
            </w:r>
            <w:r>
              <w:fldChar w:fldCharType="end"/>
            </w:r>
            <w:r w:rsidR="002E1B8A" w:rsidRPr="002E1B8A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号文件；</w:t>
            </w:r>
            <w:r w:rsidR="002E1B8A">
              <w:fldChar w:fldCharType="begin"/>
            </w:r>
            <w:r w:rsidR="002E1B8A">
              <w:rPr>
                <w:lang w:eastAsia="zh-CN"/>
              </w:rPr>
              <w:instrText>HYPERLINK "https://www.itu.int/dms_pub/itu-d/opb/tdc/D-TDC-WTDC-2022-PDF-C.pdf" \t "_blank"</w:instrText>
            </w:r>
            <w:r w:rsidR="002E1B8A">
              <w:fldChar w:fldCharType="separate"/>
            </w:r>
            <w:r w:rsidR="002E1B8A" w:rsidRPr="002E1B8A">
              <w:rPr>
                <w:rStyle w:val="Hyperlink"/>
                <w:rFonts w:ascii="STKaiti" w:eastAsia="STKaiti" w:hAnsi="STKaiti" w:cs="Calibri"/>
                <w:noProof w:val="0"/>
                <w:sz w:val="22"/>
                <w:szCs w:val="22"/>
                <w:lang w:eastAsia="zh-CN"/>
              </w:rPr>
              <w:t>《</w:t>
            </w:r>
            <w:r w:rsidR="002E1B8A" w:rsidRPr="002E1B8A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基加利行动计划</w:t>
            </w:r>
            <w:r w:rsidR="002E1B8A" w:rsidRPr="002E1B8A">
              <w:rPr>
                <w:rStyle w:val="Hyperlink"/>
                <w:rFonts w:ascii="STKaiti" w:eastAsia="STKaiti" w:hAnsi="STKaiti" w:cs="Calibri"/>
                <w:noProof w:val="0"/>
                <w:sz w:val="22"/>
                <w:szCs w:val="22"/>
                <w:lang w:eastAsia="zh-CN"/>
              </w:rPr>
              <w:t>》</w:t>
            </w:r>
            <w:r w:rsidR="002E1B8A">
              <w:fldChar w:fldCharType="end"/>
            </w:r>
            <w:r w:rsidR="002E1B8A" w:rsidRPr="002E1B8A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hyperlink r:id="rId12" w:tgtFrame="_blank" w:history="1">
              <w:proofErr w:type="spellStart"/>
              <w:r w:rsidRPr="00482FD0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C23</w:t>
              </w:r>
              <w:proofErr w:type="spellEnd"/>
              <w:r w:rsidRPr="00482FD0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/62(</w:t>
              </w:r>
              <w:proofErr w:type="spellStart"/>
              <w:r w:rsidRPr="00482FD0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Rev.1</w:t>
              </w:r>
              <w:proofErr w:type="spellEnd"/>
              <w:r w:rsidRPr="00482FD0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)</w:t>
              </w:r>
            </w:hyperlink>
            <w:r w:rsidR="005551A7" w:rsidRPr="002E1B8A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号文件</w:t>
            </w:r>
            <w:r w:rsidR="005551A7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；</w:t>
            </w:r>
            <w:hyperlink r:id="rId13" w:tgtFrame="_blank" w:history="1">
              <w:r w:rsidRPr="00482FD0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CWG-FHR-16/11</w:t>
              </w:r>
            </w:hyperlink>
            <w:r w:rsidR="002E1B8A" w:rsidRPr="002E1B8A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、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"https://www.itu.int/md/S24-CWGFHR17-C-0003/en" \t "_blank"</w:instrText>
            </w:r>
            <w:r>
              <w:fldChar w:fldCharType="separate"/>
            </w:r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CWG-FHR-17/3</w:t>
            </w:r>
            <w:r>
              <w:fldChar w:fldCharType="end"/>
            </w:r>
            <w:r w:rsidR="002E1B8A" w:rsidRPr="002E1B8A">
              <w:rPr>
                <w:rFonts w:ascii="STKaiti" w:eastAsia="STKaiti" w:hAnsi="STKaiti" w:hint="eastAsia"/>
                <w:lang w:eastAsia="zh-CN"/>
              </w:rPr>
              <w:t>、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"https://www.itu.int/md/S24-CWGFHR17-INF-0009/en" \t "_blank"</w:instrText>
            </w:r>
            <w:r>
              <w:fldChar w:fldCharType="separate"/>
            </w:r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CWG</w:t>
            </w:r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noBreakHyphen/>
              <w:t>FHR-17/INF/9</w:t>
            </w:r>
            <w:r>
              <w:fldChar w:fldCharType="end"/>
            </w:r>
            <w:r w:rsidR="005551A7" w:rsidRPr="002E1B8A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号文件</w:t>
            </w:r>
            <w:r w:rsidR="002E1B8A" w:rsidRPr="002E1B8A">
              <w:rPr>
                <w:rFonts w:ascii="STKaiti" w:eastAsia="STKaiti" w:hAnsi="STKaiti" w:hint="eastAsia"/>
                <w:lang w:eastAsia="zh-CN"/>
              </w:rPr>
              <w:t>；</w:t>
            </w:r>
            <w:hyperlink r:id="rId14" w:tgtFrame="_blank" w:history="1">
              <w:proofErr w:type="spellStart"/>
              <w:r w:rsidRPr="00482FD0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C24</w:t>
              </w:r>
              <w:proofErr w:type="spellEnd"/>
              <w:r w:rsidRPr="00482FD0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/70</w:t>
              </w:r>
              <w:r w:rsidR="005551A7" w:rsidRPr="005551A7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号文件</w:t>
              </w:r>
              <w:r w:rsidR="002E1B8A" w:rsidRPr="002E1B8A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（资源筹措战略）</w:t>
              </w:r>
            </w:hyperlink>
            <w:r w:rsidR="002E1B8A" w:rsidRPr="002E1B8A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"https://www.itu.int/md/S25-CL-C-0067/en"</w:instrText>
            </w:r>
            <w:r>
              <w:fldChar w:fldCharType="separate"/>
            </w:r>
            <w:proofErr w:type="spellStart"/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C25</w:t>
            </w:r>
            <w:proofErr w:type="spellEnd"/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/67</w:t>
            </w:r>
            <w:r w:rsidR="005551A7" w:rsidRPr="005551A7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号文件</w:t>
            </w:r>
            <w:r w:rsidR="002E1B8A" w:rsidRPr="002E1B8A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（国际电联资源筹措战略的实施）</w:t>
            </w:r>
            <w:r>
              <w:fldChar w:fldCharType="end"/>
            </w:r>
            <w:r w:rsidR="002E1B8A" w:rsidRPr="002E1B8A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r w:rsidR="002E1B8A">
              <w:fldChar w:fldCharType="begin"/>
            </w:r>
            <w:r w:rsidR="002E1B8A">
              <w:rPr>
                <w:lang w:eastAsia="zh-CN"/>
              </w:rPr>
              <w:instrText>HYPERLINK "https://www.itu.int/md/S25-SG-CIR-0036/en"</w:instrText>
            </w:r>
            <w:r w:rsidR="002E1B8A">
              <w:fldChar w:fldCharType="separate"/>
            </w:r>
            <w:r w:rsidR="002E1B8A" w:rsidRPr="002E1B8A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第</w:t>
            </w:r>
            <w:r w:rsidR="002E1B8A" w:rsidRPr="002E1B8A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CL-25/36</w:t>
            </w:r>
            <w:r w:rsidR="002E1B8A" w:rsidRPr="002E1B8A">
              <w:rPr>
                <w:rStyle w:val="Hyperlink"/>
                <w:rFonts w:ascii="STKaiti" w:eastAsia="STKaiti" w:hAnsi="STKaiti" w:cs="Calibri" w:hint="eastAsia"/>
                <w:noProof w:val="0"/>
                <w:sz w:val="22"/>
                <w:szCs w:val="22"/>
                <w:lang w:eastAsia="zh-CN"/>
              </w:rPr>
              <w:t>号通函（投资于国际电联和我们共同的数字未来）</w:t>
            </w:r>
            <w:r w:rsidR="002E1B8A">
              <w:fldChar w:fldCharType="end"/>
            </w:r>
            <w:r w:rsidR="002E1B8A" w:rsidRPr="002E1B8A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hyperlink r:id="rId15" w:history="1">
              <w:r w:rsidR="001C4621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《</w:t>
              </w:r>
              <w:r w:rsidR="001C4621" w:rsidRPr="001C4621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为何国际电联至关重要：国际电联投资论证</w:t>
              </w:r>
              <w:r w:rsidR="001C4621">
                <w:rPr>
                  <w:rStyle w:val="Hyperlink"/>
                  <w:rFonts w:ascii="STKaiti" w:eastAsia="STKaiti" w:hAnsi="STKaiti" w:cs="Calibri" w:hint="eastAsia"/>
                  <w:noProof w:val="0"/>
                  <w:sz w:val="22"/>
                  <w:szCs w:val="22"/>
                  <w:lang w:eastAsia="zh-CN"/>
                </w:rPr>
                <w:t>》</w:t>
              </w:r>
            </w:hyperlink>
            <w:r w:rsidR="002E1B8A" w:rsidRPr="002E1B8A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hyperlink r:id="rId16" w:history="1">
              <w:r w:rsidRPr="00482FD0">
                <w:rPr>
                  <w:rStyle w:val="Hyperlink"/>
                  <w:rFonts w:eastAsiaTheme="majorEastAsia" w:cs="Calibri"/>
                  <w:noProof w:val="0"/>
                  <w:sz w:val="22"/>
                  <w:szCs w:val="22"/>
                  <w:lang w:eastAsia="zh-CN"/>
                </w:rPr>
                <w:t>CWG-FHR-22/16</w:t>
              </w:r>
            </w:hyperlink>
            <w:r w:rsidR="002E1B8A" w:rsidRPr="002E1B8A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和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"https://www.itu.int/md/S26-CL-C-0047/en"</w:instrText>
            </w:r>
            <w:r>
              <w:fldChar w:fldCharType="separate"/>
            </w:r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C-26/</w:t>
            </w:r>
            <w:bookmarkStart w:id="6" w:name="_Hlt225175939"/>
            <w:bookmarkStart w:id="7" w:name="_Hlt225175940"/>
            <w:bookmarkEnd w:id="6"/>
            <w:bookmarkEnd w:id="7"/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47</w:t>
            </w:r>
            <w:r>
              <w:fldChar w:fldCharType="end"/>
            </w:r>
            <w:r w:rsidR="002E1B8A" w:rsidRPr="002E1B8A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号文件；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"https://www.itu.int/md/S26-CL-INF-0014/en"</w:instrText>
            </w:r>
            <w:r>
              <w:fldChar w:fldCharType="separate"/>
            </w:r>
            <w:proofErr w:type="spellStart"/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C26</w:t>
            </w:r>
            <w:proofErr w:type="spellEnd"/>
            <w:r w:rsidRPr="00482FD0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/INF/14</w:t>
            </w:r>
            <w:r>
              <w:fldChar w:fldCharType="end"/>
            </w:r>
            <w:r w:rsidR="001C4621" w:rsidRPr="002E1B8A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号文件</w:t>
            </w:r>
          </w:p>
        </w:tc>
      </w:tr>
      <w:bookmarkEnd w:id="2"/>
    </w:tbl>
    <w:p w14:paraId="2B5E4D37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5BC4F385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0773663" w14:textId="41AC1E65" w:rsidR="00E47F76" w:rsidRPr="00E47F76" w:rsidRDefault="007946C8" w:rsidP="00E47F76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lang w:eastAsia="zh-CN"/>
        </w:rPr>
      </w:pPr>
      <w:r w:rsidRPr="007946C8">
        <w:rPr>
          <w:rFonts w:ascii="SimSun" w:hAnsi="SimSun" w:cs="SimSun" w:hint="eastAsia"/>
          <w:lang w:eastAsia="zh-CN"/>
        </w:rPr>
        <w:lastRenderedPageBreak/>
        <w:t>背景</w:t>
      </w:r>
    </w:p>
    <w:p w14:paraId="686E2E8E" w14:textId="5396D013" w:rsidR="00E47F76" w:rsidRPr="00E47F76" w:rsidRDefault="007946C8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946C8">
        <w:rPr>
          <w:rFonts w:hint="eastAsia"/>
          <w:lang w:eastAsia="zh-CN"/>
        </w:rPr>
        <w:t>全权代表大会</w:t>
      </w:r>
      <w:r w:rsidR="004611B6">
        <w:rPr>
          <w:rFonts w:hint="eastAsia"/>
          <w:lang w:eastAsia="zh-CN"/>
        </w:rPr>
        <w:t>（</w:t>
      </w:r>
      <w:r w:rsidR="004611B6" w:rsidRPr="00E47F76">
        <w:rPr>
          <w:lang w:eastAsia="zh-CN"/>
        </w:rPr>
        <w:t>2022</w:t>
      </w:r>
      <w:r w:rsidR="004611B6" w:rsidRPr="007946C8">
        <w:rPr>
          <w:rFonts w:hint="eastAsia"/>
          <w:lang w:eastAsia="zh-CN"/>
        </w:rPr>
        <w:t>年</w:t>
      </w:r>
      <w:r w:rsidR="004611B6">
        <w:rPr>
          <w:rFonts w:hint="eastAsia"/>
          <w:lang w:eastAsia="zh-CN"/>
        </w:rPr>
        <w:t>，</w:t>
      </w:r>
      <w:r w:rsidR="004611B6" w:rsidRPr="007946C8">
        <w:rPr>
          <w:rFonts w:hint="eastAsia"/>
          <w:lang w:eastAsia="zh-CN"/>
        </w:rPr>
        <w:t>布加勒斯特</w:t>
      </w:r>
      <w:r w:rsidR="004611B6">
        <w:rPr>
          <w:rFonts w:hint="eastAsia"/>
          <w:lang w:eastAsia="zh-CN"/>
        </w:rPr>
        <w:t>）</w:t>
      </w:r>
      <w:r w:rsidRPr="007946C8">
        <w:rPr>
          <w:rFonts w:hint="eastAsia"/>
          <w:lang w:eastAsia="zh-CN"/>
        </w:rPr>
        <w:t>在</w:t>
      </w:r>
      <w:r w:rsidR="004611B6" w:rsidRPr="004611B6">
        <w:rPr>
          <w:rFonts w:hint="eastAsia"/>
          <w:lang w:eastAsia="zh-CN"/>
        </w:rPr>
        <w:t>第</w:t>
      </w:r>
      <w:r w:rsidR="004611B6" w:rsidRPr="00E47F76">
        <w:rPr>
          <w:lang w:eastAsia="zh-CN"/>
        </w:rPr>
        <w:t>5</w:t>
      </w:r>
      <w:r w:rsidR="004611B6" w:rsidRPr="004611B6">
        <w:rPr>
          <w:rFonts w:hint="eastAsia"/>
          <w:lang w:eastAsia="zh-CN"/>
        </w:rPr>
        <w:t>号决定</w:t>
      </w:r>
      <w:r w:rsidR="004611B6">
        <w:rPr>
          <w:rFonts w:hint="eastAsia"/>
          <w:lang w:eastAsia="zh-CN"/>
        </w:rPr>
        <w:t>（</w:t>
      </w:r>
      <w:r w:rsidR="004611B6" w:rsidRPr="00E47F76">
        <w:rPr>
          <w:lang w:eastAsia="zh-CN"/>
        </w:rPr>
        <w:t>2022</w:t>
      </w:r>
      <w:r w:rsidR="004611B6" w:rsidRPr="004611B6">
        <w:rPr>
          <w:rFonts w:hint="eastAsia"/>
          <w:lang w:eastAsia="zh-CN"/>
        </w:rPr>
        <w:t>年</w:t>
      </w:r>
      <w:r w:rsidR="004611B6">
        <w:rPr>
          <w:rFonts w:hint="eastAsia"/>
          <w:lang w:eastAsia="zh-CN"/>
        </w:rPr>
        <w:t>，</w:t>
      </w:r>
      <w:r w:rsidR="004611B6" w:rsidRPr="004611B6">
        <w:rPr>
          <w:rFonts w:hint="eastAsia"/>
          <w:lang w:eastAsia="zh-CN"/>
        </w:rPr>
        <w:t>布加勒斯特</w:t>
      </w:r>
      <w:r w:rsidR="004611B6">
        <w:rPr>
          <w:rFonts w:hint="eastAsia"/>
          <w:lang w:eastAsia="zh-CN"/>
        </w:rPr>
        <w:t>，</w:t>
      </w:r>
      <w:r w:rsidR="004611B6" w:rsidRPr="004611B6">
        <w:rPr>
          <w:rFonts w:hint="eastAsia"/>
          <w:lang w:eastAsia="zh-CN"/>
        </w:rPr>
        <w:t>修订版</w:t>
      </w:r>
      <w:r w:rsidR="004611B6">
        <w:rPr>
          <w:rFonts w:hint="eastAsia"/>
          <w:lang w:eastAsia="zh-CN"/>
        </w:rPr>
        <w:t>）</w:t>
      </w:r>
      <w:r w:rsidRPr="007946C8">
        <w:rPr>
          <w:rFonts w:hint="eastAsia"/>
          <w:lang w:eastAsia="zh-CN"/>
        </w:rPr>
        <w:t>中</w:t>
      </w:r>
      <w:r w:rsidR="004611B6" w:rsidRPr="004611B6">
        <w:rPr>
          <w:rFonts w:hint="eastAsia"/>
          <w:lang w:eastAsia="zh-CN"/>
        </w:rPr>
        <w:t>责成秘书长制定全国际电联的资源筹措战略</w:t>
      </w:r>
      <w:r w:rsidR="004611B6">
        <w:rPr>
          <w:rFonts w:hint="eastAsia"/>
          <w:lang w:eastAsia="zh-CN"/>
        </w:rPr>
        <w:t>，</w:t>
      </w:r>
      <w:r w:rsidR="004611B6" w:rsidRPr="004611B6">
        <w:rPr>
          <w:rFonts w:hint="eastAsia"/>
          <w:lang w:eastAsia="zh-CN"/>
        </w:rPr>
        <w:t>并将其提交</w:t>
      </w:r>
      <w:r w:rsidR="004611B6" w:rsidRPr="007946C8">
        <w:rPr>
          <w:rFonts w:hint="eastAsia"/>
          <w:lang w:eastAsia="zh-CN"/>
        </w:rPr>
        <w:t>国际电联理事会</w:t>
      </w:r>
      <w:r w:rsidR="004611B6" w:rsidRPr="004611B6">
        <w:rPr>
          <w:rFonts w:hint="eastAsia"/>
          <w:lang w:eastAsia="zh-CN"/>
        </w:rPr>
        <w:t>审议</w:t>
      </w:r>
      <w:r w:rsidR="004611B6">
        <w:rPr>
          <w:rFonts w:hint="eastAsia"/>
          <w:lang w:eastAsia="zh-CN"/>
        </w:rPr>
        <w:t>，</w:t>
      </w:r>
      <w:r w:rsidR="004611B6" w:rsidRPr="004611B6">
        <w:rPr>
          <w:rFonts w:hint="eastAsia"/>
          <w:lang w:eastAsia="zh-CN"/>
        </w:rPr>
        <w:t>同时请</w:t>
      </w:r>
      <w:r w:rsidR="004611B6" w:rsidRPr="007946C8">
        <w:rPr>
          <w:rFonts w:hint="eastAsia"/>
          <w:lang w:eastAsia="zh-CN"/>
        </w:rPr>
        <w:t>理事会</w:t>
      </w:r>
      <w:r w:rsidR="004611B6" w:rsidRPr="004611B6">
        <w:rPr>
          <w:rFonts w:hint="eastAsia"/>
          <w:lang w:eastAsia="zh-CN"/>
        </w:rPr>
        <w:t>指导其落实工作</w:t>
      </w:r>
      <w:r w:rsidR="004611B6">
        <w:rPr>
          <w:rFonts w:hint="eastAsia"/>
          <w:lang w:eastAsia="zh-CN"/>
        </w:rPr>
        <w:t>。</w:t>
      </w:r>
      <w:r w:rsidRPr="007946C8">
        <w:rPr>
          <w:rFonts w:hint="eastAsia"/>
          <w:lang w:eastAsia="zh-CN"/>
        </w:rPr>
        <w:t>理事会</w:t>
      </w:r>
      <w:r w:rsidRPr="007946C8">
        <w:rPr>
          <w:rFonts w:hint="eastAsia"/>
          <w:lang w:eastAsia="zh-CN"/>
        </w:rPr>
        <w:t>2024</w:t>
      </w:r>
      <w:r w:rsidRPr="007946C8">
        <w:rPr>
          <w:rFonts w:hint="eastAsia"/>
          <w:lang w:eastAsia="zh-CN"/>
        </w:rPr>
        <w:t>年会议通过的资源筹措战略</w:t>
      </w:r>
      <w:r w:rsidR="004611B6">
        <w:rPr>
          <w:rFonts w:hint="eastAsia"/>
          <w:lang w:eastAsia="zh-CN"/>
        </w:rPr>
        <w:t>（</w:t>
      </w:r>
      <w:r w:rsidR="004611B6" w:rsidRPr="007946C8">
        <w:rPr>
          <w:rFonts w:hint="eastAsia"/>
          <w:lang w:eastAsia="zh-CN"/>
        </w:rPr>
        <w:t>见</w:t>
      </w:r>
      <w:hyperlink r:id="rId17" w:history="1">
        <w:proofErr w:type="spellStart"/>
        <w:r w:rsidR="004611B6" w:rsidRPr="00E47F76">
          <w:rPr>
            <w:rStyle w:val="Hyperlink"/>
            <w:rFonts w:eastAsia="SimSun"/>
            <w:noProof w:val="0"/>
            <w:lang w:eastAsia="zh-CN"/>
          </w:rPr>
          <w:t>C24</w:t>
        </w:r>
        <w:proofErr w:type="spellEnd"/>
        <w:r w:rsidR="004611B6" w:rsidRPr="00E47F76">
          <w:rPr>
            <w:rStyle w:val="Hyperlink"/>
            <w:rFonts w:eastAsia="SimSun"/>
            <w:noProof w:val="0"/>
            <w:lang w:eastAsia="zh-CN"/>
          </w:rPr>
          <w:t>/70</w:t>
        </w:r>
      </w:hyperlink>
      <w:r w:rsidR="004611B6" w:rsidRPr="007946C8">
        <w:rPr>
          <w:rFonts w:hint="eastAsia"/>
          <w:lang w:eastAsia="zh-CN"/>
        </w:rPr>
        <w:t>号文件</w:t>
      </w:r>
      <w:r w:rsidR="004611B6">
        <w:rPr>
          <w:rFonts w:hint="eastAsia"/>
          <w:lang w:eastAsia="zh-CN"/>
        </w:rPr>
        <w:t>）</w:t>
      </w:r>
      <w:r w:rsidR="0009106C">
        <w:rPr>
          <w:rFonts w:hint="eastAsia"/>
          <w:lang w:eastAsia="zh-CN"/>
        </w:rPr>
        <w:t>基于</w:t>
      </w:r>
      <w:r w:rsidRPr="007946C8">
        <w:rPr>
          <w:rFonts w:hint="eastAsia"/>
          <w:lang w:eastAsia="zh-CN"/>
        </w:rPr>
        <w:t>三个主要行动领域</w:t>
      </w:r>
      <w:r w:rsidR="004611B6">
        <w:rPr>
          <w:rFonts w:hint="eastAsia"/>
          <w:lang w:eastAsia="zh-CN"/>
        </w:rPr>
        <w:t>：</w:t>
      </w:r>
      <w:r w:rsidR="004525DE" w:rsidRPr="00AA601A">
        <w:rPr>
          <w:rFonts w:hint="eastAsia"/>
          <w:lang w:eastAsia="zh-CN"/>
        </w:rPr>
        <w:t>强化</w:t>
      </w:r>
      <w:r w:rsidR="004611B6" w:rsidRPr="00AA601A">
        <w:rPr>
          <w:rFonts w:hint="eastAsia"/>
          <w:lang w:eastAsia="zh-CN"/>
        </w:rPr>
        <w:t>成</w:t>
      </w:r>
      <w:r w:rsidR="004611B6">
        <w:rPr>
          <w:rFonts w:hint="eastAsia"/>
          <w:lang w:eastAsia="zh-CN"/>
        </w:rPr>
        <w:t>员队伍；</w:t>
      </w:r>
      <w:r w:rsidRPr="007946C8">
        <w:rPr>
          <w:rFonts w:hint="eastAsia"/>
          <w:lang w:eastAsia="zh-CN"/>
        </w:rPr>
        <w:t>利用</w:t>
      </w:r>
      <w:r w:rsidR="004525DE">
        <w:rPr>
          <w:rFonts w:hint="eastAsia"/>
          <w:lang w:eastAsia="zh-CN"/>
        </w:rPr>
        <w:t>各项</w:t>
      </w:r>
      <w:r w:rsidRPr="007946C8">
        <w:rPr>
          <w:rFonts w:hint="eastAsia"/>
          <w:lang w:eastAsia="zh-CN"/>
        </w:rPr>
        <w:t>活动</w:t>
      </w:r>
      <w:r w:rsidR="004611B6">
        <w:rPr>
          <w:rFonts w:hint="eastAsia"/>
          <w:lang w:eastAsia="zh-CN"/>
        </w:rPr>
        <w:t>、</w:t>
      </w:r>
      <w:r w:rsidRPr="007946C8">
        <w:rPr>
          <w:rFonts w:hint="eastAsia"/>
          <w:lang w:eastAsia="zh-CN"/>
        </w:rPr>
        <w:t>产品和服务</w:t>
      </w:r>
      <w:r w:rsidR="004611B6">
        <w:rPr>
          <w:rFonts w:hint="eastAsia"/>
          <w:lang w:eastAsia="zh-CN"/>
        </w:rPr>
        <w:t>；</w:t>
      </w:r>
      <w:r w:rsidR="004525DE">
        <w:rPr>
          <w:rFonts w:hint="eastAsia"/>
          <w:lang w:eastAsia="zh-CN"/>
        </w:rPr>
        <w:t>以及</w:t>
      </w:r>
      <w:r w:rsidRPr="007946C8">
        <w:rPr>
          <w:rFonts w:hint="eastAsia"/>
          <w:lang w:eastAsia="zh-CN"/>
        </w:rPr>
        <w:t>增加自愿捐款</w:t>
      </w:r>
      <w:r w:rsidR="004611B6">
        <w:rPr>
          <w:rFonts w:hint="eastAsia"/>
          <w:lang w:eastAsia="zh-CN"/>
        </w:rPr>
        <w:t>。</w:t>
      </w:r>
      <w:r w:rsidR="0009106C">
        <w:rPr>
          <w:rFonts w:hint="eastAsia"/>
          <w:lang w:eastAsia="zh-CN"/>
        </w:rPr>
        <w:t>这</w:t>
      </w:r>
      <w:r w:rsidR="005B0696">
        <w:rPr>
          <w:rFonts w:hint="eastAsia"/>
          <w:lang w:eastAsia="zh-CN"/>
        </w:rPr>
        <w:t>三个</w:t>
      </w:r>
      <w:r w:rsidR="0009106C">
        <w:rPr>
          <w:rFonts w:hint="eastAsia"/>
          <w:lang w:eastAsia="zh-CN"/>
        </w:rPr>
        <w:t>领域均需</w:t>
      </w:r>
      <w:r w:rsidRPr="007946C8">
        <w:rPr>
          <w:rFonts w:hint="eastAsia"/>
          <w:lang w:eastAsia="zh-CN"/>
        </w:rPr>
        <w:t>通过总秘书处</w:t>
      </w:r>
      <w:r w:rsidR="00093E68">
        <w:rPr>
          <w:rFonts w:hint="eastAsia"/>
          <w:lang w:eastAsia="zh-CN"/>
        </w:rPr>
        <w:t>、</w:t>
      </w:r>
      <w:r w:rsidRPr="007946C8">
        <w:rPr>
          <w:rFonts w:hint="eastAsia"/>
          <w:lang w:eastAsia="zh-CN"/>
        </w:rPr>
        <w:t>各局和</w:t>
      </w:r>
      <w:r w:rsidR="00093E68" w:rsidRPr="00093E68">
        <w:rPr>
          <w:rFonts w:hint="eastAsia"/>
          <w:lang w:eastAsia="zh-CN"/>
        </w:rPr>
        <w:t>驻地办事机构</w:t>
      </w:r>
      <w:r w:rsidRPr="007946C8">
        <w:rPr>
          <w:rFonts w:hint="eastAsia"/>
          <w:lang w:eastAsia="zh-CN"/>
        </w:rPr>
        <w:t>的协调努力</w:t>
      </w:r>
      <w:r w:rsidR="0009106C">
        <w:rPr>
          <w:rFonts w:hint="eastAsia"/>
          <w:lang w:eastAsia="zh-CN"/>
        </w:rPr>
        <w:t>得到</w:t>
      </w:r>
      <w:r w:rsidRPr="007946C8">
        <w:rPr>
          <w:rFonts w:hint="eastAsia"/>
          <w:lang w:eastAsia="zh-CN"/>
        </w:rPr>
        <w:t>进一步发展和加强</w:t>
      </w:r>
      <w:r w:rsidR="00093E68">
        <w:rPr>
          <w:rFonts w:hint="eastAsia"/>
          <w:lang w:eastAsia="zh-CN"/>
        </w:rPr>
        <w:t>。</w:t>
      </w:r>
      <w:r w:rsidRPr="00E30E8C">
        <w:rPr>
          <w:rFonts w:hint="eastAsia"/>
          <w:lang w:eastAsia="zh-CN"/>
        </w:rPr>
        <w:t>在资源筹措战略中，</w:t>
      </w:r>
      <w:r w:rsidR="0009106C">
        <w:rPr>
          <w:rFonts w:hint="eastAsia"/>
          <w:lang w:eastAsia="zh-CN"/>
        </w:rPr>
        <w:t>针对</w:t>
      </w:r>
      <w:r w:rsidR="0009106C" w:rsidRPr="007946C8">
        <w:rPr>
          <w:rFonts w:hint="eastAsia"/>
          <w:lang w:eastAsia="zh-CN"/>
        </w:rPr>
        <w:t>三个主要行动领域</w:t>
      </w:r>
      <w:r w:rsidR="0009106C">
        <w:rPr>
          <w:rFonts w:hint="eastAsia"/>
          <w:lang w:eastAsia="zh-CN"/>
        </w:rPr>
        <w:t>提出了</w:t>
      </w:r>
      <w:r w:rsidR="0009106C" w:rsidRPr="00E47F76">
        <w:rPr>
          <w:lang w:eastAsia="zh-CN"/>
        </w:rPr>
        <w:t>24</w:t>
      </w:r>
      <w:r w:rsidR="0009106C" w:rsidRPr="007946C8">
        <w:rPr>
          <w:rFonts w:hint="eastAsia"/>
          <w:lang w:eastAsia="zh-CN"/>
        </w:rPr>
        <w:t>个行动方面</w:t>
      </w:r>
      <w:r w:rsidR="0009106C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建议</w:t>
      </w:r>
      <w:r w:rsidR="0009106C">
        <w:rPr>
          <w:rFonts w:hint="eastAsia"/>
          <w:lang w:eastAsia="zh-CN"/>
        </w:rPr>
        <w:t>对这些行动方面进行</w:t>
      </w:r>
      <w:r w:rsidRPr="007946C8">
        <w:rPr>
          <w:rFonts w:hint="eastAsia"/>
          <w:lang w:eastAsia="zh-CN"/>
        </w:rPr>
        <w:t>评估</w:t>
      </w:r>
      <w:r w:rsidR="0009106C">
        <w:rPr>
          <w:rFonts w:hint="eastAsia"/>
          <w:lang w:eastAsia="zh-CN"/>
        </w:rPr>
        <w:t>，并</w:t>
      </w:r>
      <w:r w:rsidR="0009106C" w:rsidRPr="007946C8">
        <w:rPr>
          <w:rFonts w:hint="eastAsia"/>
          <w:lang w:eastAsia="zh-CN"/>
        </w:rPr>
        <w:t>在可行情况下</w:t>
      </w:r>
      <w:r w:rsidR="0009106C">
        <w:rPr>
          <w:rFonts w:hint="eastAsia"/>
          <w:lang w:eastAsia="zh-CN"/>
        </w:rPr>
        <w:t>予以</w:t>
      </w:r>
      <w:r w:rsidRPr="007946C8">
        <w:rPr>
          <w:rFonts w:hint="eastAsia"/>
          <w:lang w:eastAsia="zh-CN"/>
        </w:rPr>
        <w:t>实施</w:t>
      </w:r>
      <w:r w:rsidR="0009106C">
        <w:rPr>
          <w:rFonts w:hint="eastAsia"/>
          <w:lang w:eastAsia="zh-CN"/>
        </w:rPr>
        <w:t>，</w:t>
      </w:r>
      <w:r w:rsidR="005B0696">
        <w:rPr>
          <w:rFonts w:hint="eastAsia"/>
          <w:lang w:eastAsia="zh-CN"/>
        </w:rPr>
        <w:t>其</w:t>
      </w:r>
      <w:r w:rsidRPr="007946C8">
        <w:rPr>
          <w:rFonts w:hint="eastAsia"/>
          <w:lang w:eastAsia="zh-CN"/>
        </w:rPr>
        <w:t>目标如下</w:t>
      </w:r>
      <w:r w:rsidR="0009106C">
        <w:rPr>
          <w:rFonts w:hint="eastAsia"/>
          <w:lang w:eastAsia="zh-CN"/>
        </w:rPr>
        <w:t>：</w:t>
      </w:r>
    </w:p>
    <w:p w14:paraId="65FCFF6F" w14:textId="7FA7A381" w:rsidR="00E47F76" w:rsidRPr="00E47F76" w:rsidRDefault="00E47F76" w:rsidP="00E47F76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E47F76">
        <w:rPr>
          <w:lang w:eastAsia="zh-CN"/>
        </w:rPr>
        <w:t>–</w:t>
      </w:r>
      <w:r w:rsidRPr="00E47F76">
        <w:rPr>
          <w:lang w:eastAsia="zh-CN"/>
        </w:rPr>
        <w:tab/>
      </w:r>
      <w:r w:rsidR="007946C8" w:rsidRPr="007946C8">
        <w:rPr>
          <w:rFonts w:hint="eastAsia"/>
          <w:lang w:eastAsia="zh-CN"/>
        </w:rPr>
        <w:t>鼓励成员国维持或</w:t>
      </w:r>
      <w:r w:rsidR="005B0696">
        <w:rPr>
          <w:rFonts w:hint="eastAsia"/>
          <w:lang w:eastAsia="zh-CN"/>
        </w:rPr>
        <w:t>增加</w:t>
      </w:r>
      <w:r w:rsidR="007946C8" w:rsidRPr="007946C8">
        <w:rPr>
          <w:rFonts w:hint="eastAsia"/>
          <w:lang w:eastAsia="zh-CN"/>
        </w:rPr>
        <w:t>其</w:t>
      </w:r>
      <w:r w:rsidR="00F15C94" w:rsidRPr="00F15C94">
        <w:rPr>
          <w:rFonts w:hint="eastAsia"/>
          <w:lang w:eastAsia="zh-CN"/>
        </w:rPr>
        <w:t>会费单位</w:t>
      </w:r>
    </w:p>
    <w:p w14:paraId="35E03D36" w14:textId="3867F489" w:rsidR="00E47F76" w:rsidRPr="00E47F76" w:rsidRDefault="00E47F76" w:rsidP="00E47F76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E47F76">
        <w:rPr>
          <w:lang w:eastAsia="zh-CN"/>
        </w:rPr>
        <w:t>–</w:t>
      </w:r>
      <w:r w:rsidRPr="00E47F76">
        <w:rPr>
          <w:lang w:eastAsia="zh-CN"/>
        </w:rPr>
        <w:tab/>
      </w:r>
      <w:r w:rsidR="007946C8" w:rsidRPr="007946C8">
        <w:rPr>
          <w:rFonts w:hint="eastAsia"/>
          <w:lang w:eastAsia="zh-CN"/>
        </w:rPr>
        <w:t>加强部门成员的参与</w:t>
      </w:r>
      <w:r w:rsidR="00F15C94">
        <w:rPr>
          <w:rFonts w:hint="eastAsia"/>
          <w:lang w:eastAsia="zh-CN"/>
        </w:rPr>
        <w:t>度并增加</w:t>
      </w:r>
      <w:r w:rsidR="007946C8" w:rsidRPr="007946C8">
        <w:rPr>
          <w:rFonts w:hint="eastAsia"/>
          <w:lang w:eastAsia="zh-CN"/>
        </w:rPr>
        <w:t>收入</w:t>
      </w:r>
    </w:p>
    <w:p w14:paraId="76990C11" w14:textId="522F5421" w:rsidR="00E47F76" w:rsidRPr="00E47F76" w:rsidRDefault="00E47F76" w:rsidP="00E47F76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E47F76">
        <w:rPr>
          <w:lang w:eastAsia="zh-CN"/>
        </w:rPr>
        <w:t>–</w:t>
      </w:r>
      <w:r w:rsidRPr="00E47F76">
        <w:rPr>
          <w:lang w:eastAsia="zh-CN"/>
        </w:rPr>
        <w:tab/>
      </w:r>
      <w:r w:rsidR="004653A6">
        <w:rPr>
          <w:rFonts w:hint="eastAsia"/>
          <w:lang w:eastAsia="zh-CN"/>
        </w:rPr>
        <w:t>提高</w:t>
      </w:r>
      <w:r w:rsidR="005B0696" w:rsidRPr="005B0696">
        <w:rPr>
          <w:rFonts w:hint="eastAsia"/>
          <w:lang w:eastAsia="zh-CN"/>
        </w:rPr>
        <w:t>成员整体</w:t>
      </w:r>
      <w:r w:rsidR="007946C8" w:rsidRPr="005B0696">
        <w:rPr>
          <w:rFonts w:hint="eastAsia"/>
          <w:lang w:eastAsia="zh-CN"/>
        </w:rPr>
        <w:t>参与度</w:t>
      </w:r>
    </w:p>
    <w:p w14:paraId="6870E501" w14:textId="48ABB772" w:rsidR="00E47F76" w:rsidRPr="00E47F76" w:rsidRDefault="00E47F76" w:rsidP="00E47F76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E47F76">
        <w:rPr>
          <w:lang w:eastAsia="zh-CN"/>
        </w:rPr>
        <w:t>–</w:t>
      </w:r>
      <w:r w:rsidRPr="00E47F76">
        <w:rPr>
          <w:lang w:eastAsia="zh-CN"/>
        </w:rPr>
        <w:tab/>
      </w:r>
      <w:r w:rsidR="007946C8" w:rsidRPr="007946C8">
        <w:rPr>
          <w:rFonts w:hint="eastAsia"/>
          <w:lang w:eastAsia="zh-CN"/>
        </w:rPr>
        <w:t>帮助更好地利用</w:t>
      </w:r>
      <w:r w:rsidR="00F15C94">
        <w:rPr>
          <w:rFonts w:hint="eastAsia"/>
          <w:lang w:eastAsia="zh-CN"/>
        </w:rPr>
        <w:t>各项</w:t>
      </w:r>
      <w:r w:rsidR="007946C8" w:rsidRPr="007946C8">
        <w:rPr>
          <w:rFonts w:hint="eastAsia"/>
          <w:lang w:eastAsia="zh-CN"/>
        </w:rPr>
        <w:t>活动</w:t>
      </w:r>
      <w:r w:rsidR="00F15C94">
        <w:rPr>
          <w:rFonts w:hint="eastAsia"/>
          <w:lang w:eastAsia="zh-CN"/>
        </w:rPr>
        <w:t>、</w:t>
      </w:r>
      <w:r w:rsidR="007946C8" w:rsidRPr="007946C8">
        <w:rPr>
          <w:rFonts w:hint="eastAsia"/>
          <w:lang w:eastAsia="zh-CN"/>
        </w:rPr>
        <w:t>产品和服务</w:t>
      </w:r>
    </w:p>
    <w:p w14:paraId="4E0E48E1" w14:textId="031535C3" w:rsidR="00E47F76" w:rsidRPr="00E47F76" w:rsidRDefault="00E47F76" w:rsidP="00E47F76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567"/>
          <w:tab w:val="left" w:pos="1134"/>
          <w:tab w:val="left" w:pos="1701"/>
          <w:tab w:val="left" w:pos="2268"/>
          <w:tab w:val="left" w:pos="2835"/>
        </w:tabs>
        <w:ind w:left="567" w:hanging="567"/>
        <w:jc w:val="both"/>
        <w:rPr>
          <w:lang w:eastAsia="zh-CN"/>
        </w:rPr>
      </w:pPr>
      <w:r w:rsidRPr="00E47F76">
        <w:rPr>
          <w:lang w:eastAsia="zh-CN"/>
        </w:rPr>
        <w:t>–</w:t>
      </w:r>
      <w:r w:rsidRPr="00E47F76">
        <w:rPr>
          <w:lang w:eastAsia="zh-CN"/>
        </w:rPr>
        <w:tab/>
      </w:r>
      <w:r w:rsidR="007946C8" w:rsidRPr="007946C8">
        <w:rPr>
          <w:rFonts w:hint="eastAsia"/>
          <w:lang w:eastAsia="zh-CN"/>
        </w:rPr>
        <w:t>增加自愿捐款</w:t>
      </w:r>
      <w:r w:rsidR="00F15C94" w:rsidRPr="004653A6">
        <w:rPr>
          <w:rFonts w:hint="eastAsia"/>
          <w:lang w:eastAsia="zh-CN"/>
        </w:rPr>
        <w:t>。</w:t>
      </w:r>
    </w:p>
    <w:p w14:paraId="150EC0B3" w14:textId="6C51D75E" w:rsidR="00E47F76" w:rsidRPr="00E47F76" w:rsidRDefault="007946C8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946C8">
        <w:rPr>
          <w:rFonts w:hint="eastAsia"/>
          <w:lang w:eastAsia="zh-CN"/>
        </w:rPr>
        <w:t>在</w:t>
      </w:r>
      <w:r w:rsidR="00F15C94" w:rsidRPr="00E47F76">
        <w:rPr>
          <w:lang w:eastAsia="zh-CN"/>
        </w:rPr>
        <w:t>24</w:t>
      </w:r>
      <w:r w:rsidRPr="007946C8">
        <w:rPr>
          <w:rFonts w:hint="eastAsia"/>
          <w:lang w:eastAsia="zh-CN"/>
        </w:rPr>
        <w:t>个行动方面中</w:t>
      </w:r>
      <w:r w:rsidR="00F15C94">
        <w:rPr>
          <w:rFonts w:hint="eastAsia"/>
          <w:lang w:eastAsia="zh-CN"/>
        </w:rPr>
        <w:t>，已</w:t>
      </w:r>
      <w:r w:rsidR="00E30E8C">
        <w:rPr>
          <w:rFonts w:hint="eastAsia"/>
          <w:lang w:eastAsia="zh-CN"/>
        </w:rPr>
        <w:t>有</w:t>
      </w:r>
      <w:r w:rsidR="00F15C94" w:rsidRPr="00E47F76">
        <w:rPr>
          <w:lang w:eastAsia="zh-CN"/>
        </w:rPr>
        <w:t>18</w:t>
      </w:r>
      <w:r w:rsidRPr="007946C8">
        <w:rPr>
          <w:rFonts w:hint="eastAsia"/>
          <w:lang w:eastAsia="zh-CN"/>
        </w:rPr>
        <w:t>个</w:t>
      </w:r>
      <w:r w:rsidR="00F15C94">
        <w:rPr>
          <w:rFonts w:hint="eastAsia"/>
          <w:lang w:eastAsia="zh-CN"/>
        </w:rPr>
        <w:t>（</w:t>
      </w:r>
      <w:r w:rsidR="00E80CA4">
        <w:rPr>
          <w:rFonts w:hint="eastAsia"/>
          <w:lang w:eastAsia="zh-CN"/>
        </w:rPr>
        <w:t>占</w:t>
      </w:r>
      <w:r w:rsidR="00F15C94" w:rsidRPr="00E47F76">
        <w:rPr>
          <w:lang w:eastAsia="zh-CN"/>
        </w:rPr>
        <w:t>75</w:t>
      </w:r>
      <w:r w:rsidR="00F15C94">
        <w:rPr>
          <w:rFonts w:hint="eastAsia"/>
          <w:lang w:eastAsia="zh-CN"/>
        </w:rPr>
        <w:t>%</w:t>
      </w:r>
      <w:r w:rsidR="00F15C94">
        <w:rPr>
          <w:rFonts w:hint="eastAsia"/>
          <w:lang w:eastAsia="zh-CN"/>
        </w:rPr>
        <w:t>）</w:t>
      </w:r>
      <w:r w:rsidR="00E30E8C">
        <w:rPr>
          <w:rFonts w:hint="eastAsia"/>
          <w:lang w:eastAsia="zh-CN"/>
        </w:rPr>
        <w:t>启动了相关</w:t>
      </w:r>
      <w:r w:rsidRPr="007946C8">
        <w:rPr>
          <w:rFonts w:hint="eastAsia"/>
          <w:lang w:eastAsia="zh-CN"/>
        </w:rPr>
        <w:t>工作</w:t>
      </w:r>
      <w:r w:rsidR="00F15C94">
        <w:rPr>
          <w:rFonts w:hint="eastAsia"/>
          <w:lang w:eastAsia="zh-CN"/>
        </w:rPr>
        <w:t>。</w:t>
      </w:r>
      <w:r w:rsidR="007331EE">
        <w:rPr>
          <w:rFonts w:hint="eastAsia"/>
          <w:lang w:eastAsia="zh-CN"/>
        </w:rPr>
        <w:t>其中</w:t>
      </w:r>
      <w:r w:rsidRPr="007946C8">
        <w:rPr>
          <w:rFonts w:hint="eastAsia"/>
          <w:lang w:eastAsia="zh-CN"/>
        </w:rPr>
        <w:t>两个行动方面被</w:t>
      </w:r>
      <w:r w:rsidR="007331EE">
        <w:rPr>
          <w:rFonts w:hint="eastAsia"/>
          <w:lang w:eastAsia="zh-CN"/>
        </w:rPr>
        <w:t>认定</w:t>
      </w:r>
      <w:r w:rsidR="00E80CA4">
        <w:rPr>
          <w:rFonts w:hint="eastAsia"/>
          <w:lang w:eastAsia="zh-CN"/>
        </w:rPr>
        <w:t>为</w:t>
      </w:r>
      <w:r w:rsidRPr="007946C8">
        <w:rPr>
          <w:rFonts w:hint="eastAsia"/>
          <w:lang w:eastAsia="zh-CN"/>
        </w:rPr>
        <w:t>高度优先</w:t>
      </w:r>
      <w:r w:rsidR="00E80CA4">
        <w:rPr>
          <w:rFonts w:hint="eastAsia"/>
          <w:lang w:eastAsia="zh-CN"/>
        </w:rPr>
        <w:t>，已</w:t>
      </w:r>
      <w:r w:rsidRPr="007946C8">
        <w:rPr>
          <w:rFonts w:hint="eastAsia"/>
          <w:lang w:eastAsia="zh-CN"/>
        </w:rPr>
        <w:t>于</w:t>
      </w:r>
      <w:r w:rsidR="00F15C94" w:rsidRPr="00E47F76">
        <w:rPr>
          <w:lang w:eastAsia="zh-CN"/>
        </w:rPr>
        <w:t>2025</w:t>
      </w:r>
      <w:r w:rsidRPr="007946C8">
        <w:rPr>
          <w:rFonts w:hint="eastAsia"/>
          <w:lang w:eastAsia="zh-CN"/>
        </w:rPr>
        <w:t>年完成</w:t>
      </w:r>
      <w:r w:rsidR="00E30E8C">
        <w:rPr>
          <w:rFonts w:hint="eastAsia"/>
          <w:lang w:eastAsia="zh-CN"/>
        </w:rPr>
        <w:t>工作</w:t>
      </w:r>
      <w:r w:rsidR="00E80CA4">
        <w:rPr>
          <w:rFonts w:hint="eastAsia"/>
          <w:lang w:eastAsia="zh-CN"/>
        </w:rPr>
        <w:t>；</w:t>
      </w:r>
      <w:r w:rsidRPr="007946C8">
        <w:rPr>
          <w:rFonts w:hint="eastAsia"/>
          <w:lang w:eastAsia="zh-CN"/>
        </w:rPr>
        <w:t>其余六个行动方面</w:t>
      </w:r>
      <w:r w:rsidR="0014703F">
        <w:rPr>
          <w:rFonts w:hint="eastAsia"/>
          <w:lang w:eastAsia="zh-CN"/>
        </w:rPr>
        <w:t>将接受</w:t>
      </w:r>
      <w:r w:rsidRPr="007946C8">
        <w:rPr>
          <w:rFonts w:hint="eastAsia"/>
          <w:lang w:eastAsia="zh-CN"/>
        </w:rPr>
        <w:t>进一步评估</w:t>
      </w:r>
      <w:r w:rsidR="00F15C94">
        <w:rPr>
          <w:rFonts w:hint="eastAsia"/>
          <w:lang w:eastAsia="zh-CN"/>
        </w:rPr>
        <w:t>，</w:t>
      </w:r>
      <w:r w:rsidR="0014703F">
        <w:rPr>
          <w:rFonts w:hint="eastAsia"/>
          <w:lang w:eastAsia="zh-CN"/>
        </w:rPr>
        <w:t>其实施工作将于</w:t>
      </w:r>
      <w:r w:rsidR="00E80CA4" w:rsidRPr="00E47F76">
        <w:rPr>
          <w:lang w:eastAsia="zh-CN"/>
        </w:rPr>
        <w:t>2026</w:t>
      </w:r>
      <w:r w:rsidR="00E80CA4">
        <w:rPr>
          <w:rFonts w:hint="eastAsia"/>
          <w:lang w:eastAsia="zh-CN"/>
        </w:rPr>
        <w:t>年至</w:t>
      </w:r>
      <w:r w:rsidR="00E80CA4" w:rsidRPr="00E47F76">
        <w:rPr>
          <w:lang w:eastAsia="zh-CN"/>
        </w:rPr>
        <w:t>2028</w:t>
      </w:r>
      <w:r w:rsidR="00E80CA4" w:rsidRPr="007946C8">
        <w:rPr>
          <w:rFonts w:hint="eastAsia"/>
          <w:lang w:eastAsia="zh-CN"/>
        </w:rPr>
        <w:t>年</w:t>
      </w:r>
      <w:r w:rsidR="00E80CA4">
        <w:rPr>
          <w:rFonts w:hint="eastAsia"/>
          <w:lang w:eastAsia="zh-CN"/>
        </w:rPr>
        <w:t>期间启动并完成。</w:t>
      </w:r>
      <w:r w:rsidRPr="007946C8">
        <w:rPr>
          <w:rFonts w:hint="eastAsia"/>
          <w:lang w:eastAsia="zh-CN"/>
        </w:rPr>
        <w:t>作为制定包含时间表和</w:t>
      </w:r>
      <w:r w:rsidR="00F15C94">
        <w:rPr>
          <w:rFonts w:hint="eastAsia"/>
          <w:lang w:eastAsia="zh-CN"/>
        </w:rPr>
        <w:t>里程碑</w:t>
      </w:r>
      <w:r w:rsidRPr="007946C8">
        <w:rPr>
          <w:rFonts w:hint="eastAsia"/>
          <w:lang w:eastAsia="zh-CN"/>
        </w:rPr>
        <w:t>的路线图的第一步</w:t>
      </w:r>
      <w:r w:rsidR="00F15C94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秘书处编制了一</w:t>
      </w:r>
      <w:r w:rsidR="00F15C94">
        <w:rPr>
          <w:rFonts w:hint="eastAsia"/>
          <w:lang w:eastAsia="zh-CN"/>
        </w:rPr>
        <w:t>份</w:t>
      </w:r>
      <w:r w:rsidR="005E02D5" w:rsidRPr="005E02D5">
        <w:rPr>
          <w:rFonts w:hint="eastAsia"/>
          <w:lang w:eastAsia="zh-CN"/>
        </w:rPr>
        <w:t>信息概览</w:t>
      </w:r>
      <w:r w:rsidR="005E02D5">
        <w:rPr>
          <w:rFonts w:hint="eastAsia"/>
          <w:lang w:eastAsia="zh-CN"/>
        </w:rPr>
        <w:t>（</w:t>
      </w:r>
      <w:r w:rsidR="005E02D5" w:rsidRPr="007946C8">
        <w:rPr>
          <w:rFonts w:hint="eastAsia"/>
          <w:lang w:eastAsia="zh-CN"/>
        </w:rPr>
        <w:t>见</w:t>
      </w:r>
      <w:r w:rsidR="005E02D5">
        <w:fldChar w:fldCharType="begin"/>
      </w:r>
      <w:r w:rsidR="005E02D5">
        <w:rPr>
          <w:lang w:eastAsia="zh-CN"/>
        </w:rPr>
        <w:instrText>HYPERLINK "https://www.itu.int/md/S26-CL-INF-0014/en"</w:instrText>
      </w:r>
      <w:r w:rsidR="005E02D5">
        <w:fldChar w:fldCharType="separate"/>
      </w:r>
      <w:proofErr w:type="spellStart"/>
      <w:r w:rsidR="005E02D5" w:rsidRPr="00E47F76">
        <w:rPr>
          <w:rStyle w:val="Hyperlink"/>
          <w:rFonts w:eastAsia="SimSun"/>
          <w:noProof w:val="0"/>
          <w:lang w:eastAsia="zh-CN"/>
        </w:rPr>
        <w:t>C26</w:t>
      </w:r>
      <w:proofErr w:type="spellEnd"/>
      <w:r w:rsidR="005E02D5" w:rsidRPr="00E47F76">
        <w:rPr>
          <w:rStyle w:val="Hyperlink"/>
          <w:rFonts w:eastAsia="SimSun"/>
          <w:noProof w:val="0"/>
          <w:lang w:eastAsia="zh-CN"/>
        </w:rPr>
        <w:t>/INF/14</w:t>
      </w:r>
      <w:r w:rsidR="005E02D5">
        <w:fldChar w:fldCharType="end"/>
      </w:r>
      <w:r w:rsidR="005E02D5">
        <w:rPr>
          <w:rFonts w:hint="eastAsia"/>
          <w:lang w:eastAsia="zh-CN"/>
        </w:rPr>
        <w:t>），</w:t>
      </w:r>
      <w:r w:rsidRPr="00D22205">
        <w:rPr>
          <w:rFonts w:hint="eastAsia"/>
          <w:lang w:eastAsia="zh-CN"/>
        </w:rPr>
        <w:t>其中</w:t>
      </w:r>
      <w:r w:rsidR="0014703F" w:rsidRPr="00D22205">
        <w:rPr>
          <w:rFonts w:hint="eastAsia"/>
          <w:lang w:eastAsia="zh-CN"/>
        </w:rPr>
        <w:t>列出了</w:t>
      </w:r>
      <w:r w:rsidR="005E02D5" w:rsidRPr="00D22205">
        <w:rPr>
          <w:rFonts w:hint="eastAsia"/>
          <w:lang w:eastAsia="zh-CN"/>
        </w:rPr>
        <w:t>各</w:t>
      </w:r>
      <w:r w:rsidRPr="00D22205">
        <w:rPr>
          <w:rFonts w:hint="eastAsia"/>
          <w:lang w:eastAsia="zh-CN"/>
        </w:rPr>
        <w:t>行动方面的实施</w:t>
      </w:r>
      <w:r w:rsidR="005E02D5" w:rsidRPr="00D22205">
        <w:rPr>
          <w:rFonts w:hint="eastAsia"/>
          <w:lang w:eastAsia="zh-CN"/>
        </w:rPr>
        <w:t>状况。</w:t>
      </w:r>
    </w:p>
    <w:p w14:paraId="72034826" w14:textId="2F5ECB10" w:rsidR="00E47F76" w:rsidRPr="00E47F76" w:rsidRDefault="007946C8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946C8">
        <w:rPr>
          <w:rFonts w:hint="eastAsia"/>
          <w:lang w:eastAsia="zh-CN"/>
        </w:rPr>
        <w:t>下文重点介绍了</w:t>
      </w:r>
      <w:r w:rsidR="005E02D5" w:rsidRPr="00E47F76">
        <w:rPr>
          <w:lang w:eastAsia="zh-CN"/>
        </w:rPr>
        <w:t>2025</w:t>
      </w:r>
      <w:r w:rsidRPr="007946C8">
        <w:rPr>
          <w:rFonts w:hint="eastAsia"/>
          <w:lang w:eastAsia="zh-CN"/>
        </w:rPr>
        <w:t>年和</w:t>
      </w:r>
      <w:r w:rsidR="005E02D5" w:rsidRPr="00E47F76">
        <w:rPr>
          <w:lang w:eastAsia="zh-CN"/>
        </w:rPr>
        <w:t>2026</w:t>
      </w:r>
      <w:r w:rsidRPr="007946C8">
        <w:rPr>
          <w:rFonts w:hint="eastAsia"/>
          <w:lang w:eastAsia="zh-CN"/>
        </w:rPr>
        <w:t>年的</w:t>
      </w:r>
      <w:r w:rsidR="008650F6" w:rsidRPr="008650F6">
        <w:rPr>
          <w:rFonts w:hint="eastAsia"/>
          <w:lang w:eastAsia="zh-CN"/>
        </w:rPr>
        <w:t>优先事项</w:t>
      </w:r>
      <w:r w:rsidR="005E02D5">
        <w:rPr>
          <w:rFonts w:hint="eastAsia"/>
          <w:lang w:eastAsia="zh-CN"/>
        </w:rPr>
        <w:t>，</w:t>
      </w:r>
      <w:hyperlink w:anchor="附件1" w:history="1">
        <w:r w:rsidR="008650F6">
          <w:rPr>
            <w:rStyle w:val="Hyperlink"/>
            <w:rFonts w:eastAsia="SimSun" w:hint="eastAsia"/>
            <w:noProof w:val="0"/>
            <w:lang w:eastAsia="zh-CN"/>
          </w:rPr>
          <w:t>附件</w:t>
        </w:r>
        <w:r w:rsidR="008650F6" w:rsidRPr="00E47F76">
          <w:rPr>
            <w:rStyle w:val="Hyperlink"/>
            <w:rFonts w:eastAsia="SimSun"/>
            <w:noProof w:val="0"/>
            <w:lang w:eastAsia="zh-CN"/>
          </w:rPr>
          <w:t>1</w:t>
        </w:r>
      </w:hyperlink>
      <w:r w:rsidR="008650F6">
        <w:rPr>
          <w:rFonts w:hint="eastAsia"/>
          <w:lang w:eastAsia="zh-CN"/>
        </w:rPr>
        <w:t>提供了</w:t>
      </w:r>
      <w:r w:rsidRPr="007946C8">
        <w:rPr>
          <w:rFonts w:hint="eastAsia"/>
          <w:lang w:eastAsia="zh-CN"/>
        </w:rPr>
        <w:t>有关实施情况的</w:t>
      </w:r>
      <w:r w:rsidR="005E02D5">
        <w:rPr>
          <w:rFonts w:hint="eastAsia"/>
          <w:lang w:eastAsia="zh-CN"/>
        </w:rPr>
        <w:t>概要信息</w:t>
      </w:r>
      <w:r w:rsidR="005E02D5" w:rsidRPr="00A85D27">
        <w:rPr>
          <w:rFonts w:hint="eastAsia"/>
          <w:lang w:eastAsia="zh-CN"/>
        </w:rPr>
        <w:t>。</w:t>
      </w:r>
    </w:p>
    <w:p w14:paraId="02F3D1B2" w14:textId="75F54B7D" w:rsidR="00E47F76" w:rsidRPr="00E47F76" w:rsidRDefault="007946C8" w:rsidP="00E47F76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lang w:eastAsia="zh-CN"/>
        </w:rPr>
      </w:pPr>
      <w:r w:rsidRPr="007946C8">
        <w:rPr>
          <w:rFonts w:ascii="SimSun" w:hAnsi="SimSun" w:cs="SimSun" w:hint="eastAsia"/>
          <w:lang w:eastAsia="zh-CN"/>
        </w:rPr>
        <w:t>需立即采取行动的优先领域</w:t>
      </w:r>
    </w:p>
    <w:p w14:paraId="5EC03EC1" w14:textId="62A1040B" w:rsidR="00E47F76" w:rsidRPr="00E47F76" w:rsidRDefault="00FA4F20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line="259" w:lineRule="auto"/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鉴于</w:t>
      </w:r>
      <w:r w:rsidR="007946C8" w:rsidRPr="007946C8">
        <w:rPr>
          <w:rFonts w:hint="eastAsia"/>
          <w:lang w:eastAsia="zh-CN"/>
        </w:rPr>
        <w:t>国际电联约</w:t>
      </w:r>
      <w:r w:rsidRPr="00E47F76">
        <w:rPr>
          <w:lang w:eastAsia="zh-CN"/>
        </w:rPr>
        <w:t>70</w:t>
      </w:r>
      <w:r>
        <w:rPr>
          <w:rFonts w:hint="eastAsia"/>
          <w:lang w:eastAsia="zh-CN"/>
        </w:rPr>
        <w:t>%</w:t>
      </w:r>
      <w:r w:rsidR="007946C8" w:rsidRPr="007946C8">
        <w:rPr>
          <w:rFonts w:hint="eastAsia"/>
          <w:lang w:eastAsia="zh-CN"/>
        </w:rPr>
        <w:t>的正常预算来自成员国</w:t>
      </w:r>
      <w:r>
        <w:rPr>
          <w:rFonts w:hint="eastAsia"/>
          <w:lang w:eastAsia="zh-CN"/>
        </w:rPr>
        <w:t>的</w:t>
      </w:r>
      <w:r w:rsidR="007946C8" w:rsidRPr="007946C8">
        <w:rPr>
          <w:rFonts w:hint="eastAsia"/>
          <w:lang w:eastAsia="zh-CN"/>
        </w:rPr>
        <w:t>单位会费</w:t>
      </w:r>
      <w:r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确保这</w:t>
      </w:r>
      <w:r w:rsidR="005C658D">
        <w:rPr>
          <w:rFonts w:hint="eastAsia"/>
          <w:lang w:eastAsia="zh-CN"/>
        </w:rPr>
        <w:t>一资金</w:t>
      </w:r>
      <w:r w:rsidR="007946C8" w:rsidRPr="007946C8">
        <w:rPr>
          <w:rFonts w:hint="eastAsia"/>
          <w:lang w:eastAsia="zh-CN"/>
        </w:rPr>
        <w:t>来源一直是</w:t>
      </w:r>
      <w:r w:rsidRPr="00E47F76">
        <w:rPr>
          <w:lang w:eastAsia="zh-CN"/>
        </w:rPr>
        <w:t>2025</w:t>
      </w:r>
      <w:r w:rsidR="007946C8" w:rsidRPr="007946C8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及</w:t>
      </w:r>
      <w:r w:rsidRPr="00E47F76">
        <w:rPr>
          <w:lang w:eastAsia="zh-CN"/>
        </w:rPr>
        <w:t>2026</w:t>
      </w:r>
      <w:r w:rsidR="007946C8" w:rsidRPr="007946C8">
        <w:rPr>
          <w:rFonts w:hint="eastAsia"/>
          <w:lang w:eastAsia="zh-CN"/>
        </w:rPr>
        <w:t>年战略的</w:t>
      </w:r>
      <w:r>
        <w:rPr>
          <w:rFonts w:hint="eastAsia"/>
          <w:lang w:eastAsia="zh-CN"/>
        </w:rPr>
        <w:t>首要任务</w:t>
      </w:r>
      <w:r w:rsidR="00492E07"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其次是部门成员</w:t>
      </w:r>
      <w:r w:rsidR="00492E07">
        <w:rPr>
          <w:rFonts w:hint="eastAsia"/>
          <w:lang w:eastAsia="zh-CN"/>
        </w:rPr>
        <w:t>的会费，</w:t>
      </w:r>
      <w:r w:rsidR="007946C8" w:rsidRPr="007946C8">
        <w:rPr>
          <w:rFonts w:hint="eastAsia"/>
          <w:lang w:eastAsia="zh-CN"/>
        </w:rPr>
        <w:t>占</w:t>
      </w:r>
      <w:r w:rsidR="00492E07" w:rsidRPr="00E47F76">
        <w:rPr>
          <w:lang w:eastAsia="zh-CN"/>
        </w:rPr>
        <w:t>10</w:t>
      </w:r>
      <w:r w:rsidR="00492E07">
        <w:rPr>
          <w:rFonts w:hint="eastAsia"/>
          <w:lang w:eastAsia="zh-CN"/>
        </w:rPr>
        <w:t>%</w:t>
      </w:r>
      <w:r w:rsidR="00492E07">
        <w:rPr>
          <w:rFonts w:hint="eastAsia"/>
          <w:lang w:eastAsia="zh-CN"/>
        </w:rPr>
        <w:t>。</w:t>
      </w:r>
      <w:r w:rsidR="007946C8" w:rsidRPr="007946C8">
        <w:rPr>
          <w:rFonts w:hint="eastAsia"/>
          <w:lang w:eastAsia="zh-CN"/>
        </w:rPr>
        <w:t>关于利用活动</w:t>
      </w:r>
      <w:r w:rsidR="00492E07">
        <w:rPr>
          <w:rFonts w:hint="eastAsia"/>
          <w:lang w:eastAsia="zh-CN"/>
        </w:rPr>
        <w:t>、</w:t>
      </w:r>
      <w:r w:rsidR="007946C8" w:rsidRPr="007946C8">
        <w:rPr>
          <w:rFonts w:hint="eastAsia"/>
          <w:lang w:eastAsia="zh-CN"/>
        </w:rPr>
        <w:t>产品和服务以及</w:t>
      </w:r>
      <w:r w:rsidR="00492E07">
        <w:rPr>
          <w:rFonts w:hint="eastAsia"/>
          <w:lang w:eastAsia="zh-CN"/>
        </w:rPr>
        <w:t>增加</w:t>
      </w:r>
      <w:r w:rsidR="007946C8" w:rsidRPr="007946C8">
        <w:rPr>
          <w:rFonts w:hint="eastAsia"/>
          <w:lang w:eastAsia="zh-CN"/>
        </w:rPr>
        <w:t>自愿捐款</w:t>
      </w:r>
      <w:r w:rsidR="00492E07"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这些来源</w:t>
      </w:r>
      <w:r w:rsidR="00492E07">
        <w:rPr>
          <w:rFonts w:hint="eastAsia"/>
          <w:lang w:eastAsia="zh-CN"/>
        </w:rPr>
        <w:t>虽</w:t>
      </w:r>
      <w:r w:rsidR="007946C8" w:rsidRPr="007946C8">
        <w:rPr>
          <w:rFonts w:hint="eastAsia"/>
          <w:lang w:eastAsia="zh-CN"/>
        </w:rPr>
        <w:t>有</w:t>
      </w:r>
      <w:r w:rsidR="00492E07">
        <w:rPr>
          <w:rFonts w:hint="eastAsia"/>
          <w:lang w:eastAsia="zh-CN"/>
        </w:rPr>
        <w:t>增长</w:t>
      </w:r>
      <w:r w:rsidR="007946C8" w:rsidRPr="007946C8">
        <w:rPr>
          <w:rFonts w:hint="eastAsia"/>
          <w:lang w:eastAsia="zh-CN"/>
        </w:rPr>
        <w:t>潜力</w:t>
      </w:r>
      <w:r w:rsidR="00492E07"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但需要</w:t>
      </w:r>
      <w:r w:rsidR="005C658D">
        <w:rPr>
          <w:rFonts w:hint="eastAsia"/>
          <w:lang w:eastAsia="zh-CN"/>
        </w:rPr>
        <w:t>在</w:t>
      </w:r>
      <w:r w:rsidR="00492E07" w:rsidRPr="00492E07">
        <w:rPr>
          <w:rFonts w:hint="eastAsia"/>
          <w:lang w:eastAsia="zh-CN"/>
        </w:rPr>
        <w:t>新技能</w:t>
      </w:r>
      <w:r w:rsidR="00492E07" w:rsidRPr="00E47F76">
        <w:rPr>
          <w:lang w:eastAsia="zh-CN"/>
        </w:rPr>
        <w:t>/</w:t>
      </w:r>
      <w:r w:rsidR="005C658D">
        <w:rPr>
          <w:rFonts w:hint="eastAsia"/>
          <w:lang w:eastAsia="zh-CN"/>
        </w:rPr>
        <w:t>强化</w:t>
      </w:r>
      <w:r w:rsidR="00492E07">
        <w:rPr>
          <w:rFonts w:hint="eastAsia"/>
          <w:lang w:eastAsia="zh-CN"/>
        </w:rPr>
        <w:t>技能、</w:t>
      </w:r>
      <w:r w:rsidR="007946C8" w:rsidRPr="007946C8">
        <w:rPr>
          <w:rFonts w:hint="eastAsia"/>
          <w:lang w:eastAsia="zh-CN"/>
        </w:rPr>
        <w:t>流程</w:t>
      </w:r>
      <w:r w:rsidR="00492E07">
        <w:rPr>
          <w:rFonts w:hint="eastAsia"/>
          <w:lang w:eastAsia="zh-CN"/>
        </w:rPr>
        <w:t>优化</w:t>
      </w:r>
      <w:r w:rsidR="007946C8" w:rsidRPr="007946C8">
        <w:rPr>
          <w:rFonts w:hint="eastAsia"/>
          <w:lang w:eastAsia="zh-CN"/>
        </w:rPr>
        <w:t>和数字平台方面进行大量</w:t>
      </w:r>
      <w:r w:rsidR="00492E07">
        <w:rPr>
          <w:rFonts w:hint="eastAsia"/>
          <w:lang w:eastAsia="zh-CN"/>
        </w:rPr>
        <w:t>投入，</w:t>
      </w:r>
      <w:r w:rsidR="007946C8" w:rsidRPr="007946C8">
        <w:rPr>
          <w:rFonts w:hint="eastAsia"/>
          <w:lang w:eastAsia="zh-CN"/>
        </w:rPr>
        <w:t>目前</w:t>
      </w:r>
      <w:r w:rsidR="00492E07">
        <w:rPr>
          <w:rFonts w:hint="eastAsia"/>
          <w:lang w:eastAsia="zh-CN"/>
        </w:rPr>
        <w:t>，这些</w:t>
      </w:r>
      <w:r w:rsidR="005C658D">
        <w:rPr>
          <w:rFonts w:hint="eastAsia"/>
          <w:lang w:eastAsia="zh-CN"/>
        </w:rPr>
        <w:t>方面</w:t>
      </w:r>
      <w:r w:rsidR="007946C8" w:rsidRPr="007946C8">
        <w:rPr>
          <w:rFonts w:hint="eastAsia"/>
          <w:lang w:eastAsia="zh-CN"/>
        </w:rPr>
        <w:t>正</w:t>
      </w:r>
      <w:r w:rsidR="00492E07" w:rsidRPr="007946C8">
        <w:rPr>
          <w:rFonts w:hint="eastAsia"/>
          <w:lang w:eastAsia="zh-CN"/>
        </w:rPr>
        <w:t>作为国际电联转型路线图的一部分</w:t>
      </w:r>
      <w:r w:rsidR="00492E07">
        <w:rPr>
          <w:rFonts w:hint="eastAsia"/>
          <w:lang w:eastAsia="zh-CN"/>
        </w:rPr>
        <w:t>予以</w:t>
      </w:r>
      <w:r w:rsidR="007946C8" w:rsidRPr="007946C8">
        <w:rPr>
          <w:rFonts w:hint="eastAsia"/>
          <w:lang w:eastAsia="zh-CN"/>
        </w:rPr>
        <w:t>评估和</w:t>
      </w:r>
      <w:r w:rsidR="00492E07">
        <w:rPr>
          <w:rFonts w:hint="eastAsia"/>
          <w:lang w:eastAsia="zh-CN"/>
        </w:rPr>
        <w:t>开发</w:t>
      </w:r>
      <w:r w:rsidR="00492E07" w:rsidRPr="00617FF4">
        <w:rPr>
          <w:rFonts w:hint="eastAsia"/>
          <w:lang w:eastAsia="zh-CN"/>
        </w:rPr>
        <w:t>。</w:t>
      </w:r>
    </w:p>
    <w:p w14:paraId="10344896" w14:textId="00F88BC8" w:rsidR="00E47F76" w:rsidRPr="00E47F76" w:rsidRDefault="00E47F76" w:rsidP="00E47F76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Times New Roman"/>
          <w:lang w:eastAsia="zh-CN"/>
        </w:rPr>
      </w:pPr>
      <w:r w:rsidRPr="00E47F76">
        <w:rPr>
          <w:rFonts w:eastAsia="Times New Roman"/>
          <w:lang w:eastAsia="zh-CN"/>
        </w:rPr>
        <w:t>1</w:t>
      </w:r>
      <w:r w:rsidRPr="00E47F76">
        <w:rPr>
          <w:rFonts w:eastAsia="Times New Roman"/>
          <w:lang w:eastAsia="zh-CN"/>
        </w:rPr>
        <w:tab/>
      </w:r>
      <w:r w:rsidR="007946C8" w:rsidRPr="007946C8">
        <w:rPr>
          <w:rFonts w:ascii="SimSun" w:hAnsi="SimSun" w:cs="SimSun" w:hint="eastAsia"/>
          <w:lang w:eastAsia="zh-CN"/>
        </w:rPr>
        <w:t>确保成员国</w:t>
      </w:r>
      <w:r w:rsidR="00655B31" w:rsidRPr="00655B31">
        <w:rPr>
          <w:rFonts w:ascii="SimSun" w:hAnsi="SimSun" w:cs="SimSun" w:hint="eastAsia"/>
          <w:lang w:eastAsia="zh-CN"/>
        </w:rPr>
        <w:t>会费单位</w:t>
      </w:r>
      <w:r w:rsidR="007946C8" w:rsidRPr="007946C8">
        <w:rPr>
          <w:rFonts w:ascii="SimSun" w:hAnsi="SimSun" w:cs="SimSun" w:hint="eastAsia"/>
          <w:lang w:eastAsia="zh-CN"/>
        </w:rPr>
        <w:t>收入</w:t>
      </w:r>
    </w:p>
    <w:p w14:paraId="40D15E23" w14:textId="67A4911F" w:rsidR="00E47F76" w:rsidRPr="00E47F76" w:rsidRDefault="007946C8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line="259" w:lineRule="auto"/>
        <w:ind w:firstLineChars="200" w:firstLine="480"/>
        <w:jc w:val="both"/>
        <w:rPr>
          <w:lang w:eastAsia="zh-CN"/>
        </w:rPr>
      </w:pPr>
      <w:r w:rsidRPr="007946C8">
        <w:rPr>
          <w:rFonts w:hint="eastAsia"/>
          <w:lang w:eastAsia="zh-CN"/>
        </w:rPr>
        <w:t>根据</w:t>
      </w:r>
      <w:r w:rsidR="00655B31" w:rsidRPr="00655B31">
        <w:rPr>
          <w:rFonts w:hint="eastAsia"/>
          <w:lang w:eastAsia="zh-CN"/>
        </w:rPr>
        <w:t>第</w:t>
      </w:r>
      <w:r w:rsidR="00655B31" w:rsidRPr="00E47F76">
        <w:rPr>
          <w:lang w:eastAsia="zh-CN"/>
        </w:rPr>
        <w:t>5</w:t>
      </w:r>
      <w:r w:rsidR="00655B31" w:rsidRPr="00655B31">
        <w:rPr>
          <w:rFonts w:hint="eastAsia"/>
          <w:lang w:eastAsia="zh-CN"/>
        </w:rPr>
        <w:t>号决定</w:t>
      </w:r>
      <w:r w:rsidR="00655B31">
        <w:rPr>
          <w:rFonts w:hint="eastAsia"/>
          <w:lang w:eastAsia="zh-CN"/>
        </w:rPr>
        <w:t>（</w:t>
      </w:r>
      <w:r w:rsidR="00655B31" w:rsidRPr="00E47F76">
        <w:rPr>
          <w:lang w:eastAsia="zh-CN"/>
        </w:rPr>
        <w:t>2022</w:t>
      </w:r>
      <w:r w:rsidR="00655B31" w:rsidRPr="00655B31">
        <w:rPr>
          <w:rFonts w:hint="eastAsia"/>
          <w:lang w:eastAsia="zh-CN"/>
        </w:rPr>
        <w:t>年</w:t>
      </w:r>
      <w:r w:rsidR="00655B31">
        <w:rPr>
          <w:rFonts w:hint="eastAsia"/>
          <w:lang w:eastAsia="zh-CN"/>
        </w:rPr>
        <w:t>，</w:t>
      </w:r>
      <w:r w:rsidR="00655B31" w:rsidRPr="00655B31">
        <w:rPr>
          <w:rFonts w:hint="eastAsia"/>
          <w:lang w:eastAsia="zh-CN"/>
        </w:rPr>
        <w:t>布加勒斯特</w:t>
      </w:r>
      <w:r w:rsidR="00655B31">
        <w:rPr>
          <w:rFonts w:hint="eastAsia"/>
          <w:lang w:eastAsia="zh-CN"/>
        </w:rPr>
        <w:t>，</w:t>
      </w:r>
      <w:r w:rsidR="00655B31" w:rsidRPr="00655B31">
        <w:rPr>
          <w:rFonts w:hint="eastAsia"/>
          <w:lang w:eastAsia="zh-CN"/>
        </w:rPr>
        <w:t>修订版</w:t>
      </w:r>
      <w:r w:rsidR="00655B31">
        <w:rPr>
          <w:rFonts w:hint="eastAsia"/>
          <w:lang w:eastAsia="zh-CN"/>
        </w:rPr>
        <w:t>），</w:t>
      </w:r>
      <w:r w:rsidRPr="0081001B">
        <w:rPr>
          <w:rFonts w:hint="eastAsia"/>
          <w:lang w:eastAsia="zh-CN"/>
        </w:rPr>
        <w:t>理事会</w:t>
      </w:r>
      <w:r w:rsidRPr="0081001B">
        <w:rPr>
          <w:rFonts w:hint="eastAsia"/>
          <w:lang w:eastAsia="zh-CN"/>
        </w:rPr>
        <w:t>2</w:t>
      </w:r>
      <w:r w:rsidRPr="007946C8">
        <w:rPr>
          <w:rFonts w:hint="eastAsia"/>
          <w:lang w:eastAsia="zh-CN"/>
        </w:rPr>
        <w:t>025</w:t>
      </w:r>
      <w:r w:rsidRPr="007946C8">
        <w:rPr>
          <w:rFonts w:hint="eastAsia"/>
          <w:lang w:eastAsia="zh-CN"/>
        </w:rPr>
        <w:t>年</w:t>
      </w:r>
      <w:r w:rsidR="00A07550">
        <w:rPr>
          <w:rFonts w:hint="eastAsia"/>
          <w:lang w:eastAsia="zh-CN"/>
        </w:rPr>
        <w:t>会议</w:t>
      </w:r>
      <w:r w:rsidR="00A07550" w:rsidRPr="007946C8">
        <w:rPr>
          <w:rFonts w:hint="eastAsia"/>
          <w:lang w:eastAsia="zh-CN"/>
        </w:rPr>
        <w:t>确定</w:t>
      </w:r>
      <w:r w:rsidR="00A07550">
        <w:rPr>
          <w:rFonts w:hint="eastAsia"/>
          <w:lang w:eastAsia="zh-CN"/>
        </w:rPr>
        <w:t>了</w:t>
      </w:r>
      <w:r w:rsidR="00A07550" w:rsidRPr="00E47F76">
        <w:rPr>
          <w:lang w:eastAsia="zh-CN"/>
        </w:rPr>
        <w:t>2028</w:t>
      </w:r>
      <w:r w:rsidR="00033B67">
        <w:rPr>
          <w:rFonts w:hint="eastAsia"/>
          <w:lang w:eastAsia="zh-CN"/>
        </w:rPr>
        <w:t>年至</w:t>
      </w:r>
      <w:r w:rsidR="00A07550" w:rsidRPr="00E47F76">
        <w:rPr>
          <w:lang w:eastAsia="zh-CN"/>
        </w:rPr>
        <w:t>2031</w:t>
      </w:r>
      <w:r w:rsidR="00A07550" w:rsidRPr="007946C8">
        <w:rPr>
          <w:rFonts w:hint="eastAsia"/>
          <w:lang w:eastAsia="zh-CN"/>
        </w:rPr>
        <w:t>年期间</w:t>
      </w:r>
      <w:r w:rsidR="00A07550" w:rsidRPr="00A07550">
        <w:rPr>
          <w:rFonts w:hint="eastAsia"/>
          <w:lang w:eastAsia="zh-CN"/>
        </w:rPr>
        <w:t>会费单位的初定金额</w:t>
      </w:r>
      <w:r w:rsidR="00A07550">
        <w:rPr>
          <w:rFonts w:hint="eastAsia"/>
          <w:lang w:eastAsia="zh-CN"/>
        </w:rPr>
        <w:t>。随后</w:t>
      </w:r>
      <w:r w:rsidR="009C6F9F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秘书处发出一份通函</w:t>
      </w:r>
      <w:r w:rsidR="00A07550">
        <w:rPr>
          <w:rFonts w:hint="eastAsia"/>
          <w:lang w:eastAsia="zh-CN"/>
        </w:rPr>
        <w:t>（</w:t>
      </w:r>
      <w:hyperlink r:id="rId18" w:history="1">
        <w:r w:rsidR="00A07550" w:rsidRPr="00E47F76">
          <w:rPr>
            <w:rStyle w:val="Hyperlink"/>
            <w:rFonts w:eastAsia="SimSun"/>
            <w:noProof w:val="0"/>
            <w:lang w:eastAsia="zh-CN"/>
          </w:rPr>
          <w:t>CL-25/36</w:t>
        </w:r>
      </w:hyperlink>
      <w:r w:rsidR="00A07550">
        <w:rPr>
          <w:rFonts w:hint="eastAsia"/>
          <w:lang w:eastAsia="zh-CN"/>
        </w:rPr>
        <w:t>），</w:t>
      </w:r>
      <w:r w:rsidRPr="007946C8">
        <w:rPr>
          <w:rFonts w:hint="eastAsia"/>
          <w:lang w:eastAsia="zh-CN"/>
        </w:rPr>
        <w:t>要求成员国在</w:t>
      </w:r>
      <w:r w:rsidR="00A07550" w:rsidRPr="00E47F76">
        <w:rPr>
          <w:lang w:eastAsia="zh-CN"/>
        </w:rPr>
        <w:t>2025</w:t>
      </w:r>
      <w:r w:rsidRPr="007946C8">
        <w:rPr>
          <w:rFonts w:hint="eastAsia"/>
          <w:lang w:eastAsia="zh-CN"/>
        </w:rPr>
        <w:t>年底前宣布</w:t>
      </w:r>
      <w:r w:rsidR="00A07550" w:rsidRPr="00A07550">
        <w:rPr>
          <w:rFonts w:hint="eastAsia"/>
          <w:lang w:eastAsia="zh-CN"/>
        </w:rPr>
        <w:t>各自</w:t>
      </w:r>
      <w:r w:rsidR="00A07550">
        <w:rPr>
          <w:rFonts w:hint="eastAsia"/>
          <w:lang w:eastAsia="zh-CN"/>
        </w:rPr>
        <w:t>在</w:t>
      </w:r>
      <w:r w:rsidR="00A07550" w:rsidRPr="00E47F76">
        <w:rPr>
          <w:lang w:eastAsia="zh-CN"/>
        </w:rPr>
        <w:t>2028</w:t>
      </w:r>
      <w:r w:rsidR="0081001B">
        <w:rPr>
          <w:rFonts w:hint="eastAsia"/>
          <w:lang w:eastAsia="zh-CN"/>
        </w:rPr>
        <w:t>年至</w:t>
      </w:r>
      <w:r w:rsidR="00A07550" w:rsidRPr="00E47F76">
        <w:rPr>
          <w:lang w:eastAsia="zh-CN"/>
        </w:rPr>
        <w:t>2031</w:t>
      </w:r>
      <w:r w:rsidR="00A07550" w:rsidRPr="007946C8">
        <w:rPr>
          <w:rFonts w:hint="eastAsia"/>
          <w:lang w:eastAsia="zh-CN"/>
        </w:rPr>
        <w:t>年期间的</w:t>
      </w:r>
      <w:r w:rsidR="00A07550" w:rsidRPr="00A07550">
        <w:rPr>
          <w:rFonts w:hint="eastAsia"/>
          <w:lang w:eastAsia="zh-CN"/>
        </w:rPr>
        <w:t>暂定会费等级</w:t>
      </w:r>
      <w:r w:rsidR="00A07550">
        <w:rPr>
          <w:rFonts w:hint="eastAsia"/>
          <w:lang w:eastAsia="zh-CN"/>
        </w:rPr>
        <w:t>。</w:t>
      </w:r>
      <w:r w:rsidRPr="007946C8">
        <w:rPr>
          <w:rFonts w:hint="eastAsia"/>
          <w:lang w:eastAsia="zh-CN"/>
        </w:rPr>
        <w:t>如</w:t>
      </w:r>
      <w:hyperlink r:id="rId19" w:history="1">
        <w:proofErr w:type="spellStart"/>
        <w:r w:rsidR="00A07550" w:rsidRPr="00E47F76">
          <w:rPr>
            <w:rStyle w:val="Hyperlink"/>
            <w:rFonts w:eastAsia="SimSun"/>
            <w:noProof w:val="0"/>
            <w:lang w:eastAsia="zh-CN"/>
          </w:rPr>
          <w:t>C26</w:t>
        </w:r>
        <w:proofErr w:type="spellEnd"/>
        <w:r w:rsidR="00A07550" w:rsidRPr="00E47F76">
          <w:rPr>
            <w:rStyle w:val="Hyperlink"/>
            <w:rFonts w:eastAsia="SimSun"/>
            <w:noProof w:val="0"/>
            <w:lang w:eastAsia="zh-CN"/>
          </w:rPr>
          <w:t>/47</w:t>
        </w:r>
      </w:hyperlink>
      <w:r w:rsidRPr="007946C8">
        <w:rPr>
          <w:rFonts w:hint="eastAsia"/>
          <w:lang w:eastAsia="zh-CN"/>
        </w:rPr>
        <w:t>号文件所述</w:t>
      </w:r>
      <w:r w:rsidR="00A07550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已收到</w:t>
      </w:r>
      <w:r w:rsidR="00A07550" w:rsidRPr="00E47F76">
        <w:rPr>
          <w:lang w:eastAsia="zh-CN"/>
        </w:rPr>
        <w:t>42</w:t>
      </w:r>
      <w:r w:rsidRPr="007946C8">
        <w:rPr>
          <w:rFonts w:hint="eastAsia"/>
          <w:lang w:eastAsia="zh-CN"/>
        </w:rPr>
        <w:t>个成员国的回复</w:t>
      </w:r>
      <w:r w:rsidR="00A07550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其中</w:t>
      </w:r>
      <w:r w:rsidR="00A07550" w:rsidRPr="00E47F76">
        <w:rPr>
          <w:lang w:eastAsia="zh-CN"/>
        </w:rPr>
        <w:t>40</w:t>
      </w:r>
      <w:r w:rsidRPr="007946C8">
        <w:rPr>
          <w:rFonts w:hint="eastAsia"/>
          <w:lang w:eastAsia="zh-CN"/>
        </w:rPr>
        <w:t>个</w:t>
      </w:r>
      <w:r w:rsidR="005935F6" w:rsidRPr="007946C8">
        <w:rPr>
          <w:rFonts w:hint="eastAsia"/>
          <w:lang w:eastAsia="zh-CN"/>
        </w:rPr>
        <w:t>成员国</w:t>
      </w:r>
      <w:r w:rsidRPr="007946C8">
        <w:rPr>
          <w:rFonts w:hint="eastAsia"/>
          <w:lang w:eastAsia="zh-CN"/>
        </w:rPr>
        <w:t>确认将</w:t>
      </w:r>
      <w:r w:rsidR="005935F6">
        <w:rPr>
          <w:rFonts w:hint="eastAsia"/>
          <w:lang w:eastAsia="zh-CN"/>
        </w:rPr>
        <w:t>维持</w:t>
      </w:r>
      <w:r w:rsidRPr="007946C8">
        <w:rPr>
          <w:rFonts w:hint="eastAsia"/>
          <w:lang w:eastAsia="zh-CN"/>
        </w:rPr>
        <w:t>现有的</w:t>
      </w:r>
      <w:r w:rsidR="00A07550" w:rsidRPr="005935F6">
        <w:rPr>
          <w:rFonts w:hint="eastAsia"/>
          <w:lang w:eastAsia="zh-CN"/>
        </w:rPr>
        <w:t>会费单位</w:t>
      </w:r>
      <w:r w:rsidRPr="005935F6">
        <w:rPr>
          <w:rFonts w:hint="eastAsia"/>
          <w:lang w:eastAsia="zh-CN"/>
        </w:rPr>
        <w:t>水平</w:t>
      </w:r>
      <w:r w:rsidR="00A07550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而</w:t>
      </w:r>
      <w:r w:rsidR="00A07550" w:rsidRPr="00E47F76">
        <w:rPr>
          <w:lang w:eastAsia="zh-CN"/>
        </w:rPr>
        <w:t>2</w:t>
      </w:r>
      <w:r w:rsidRPr="007946C8">
        <w:rPr>
          <w:rFonts w:hint="eastAsia"/>
          <w:lang w:eastAsia="zh-CN"/>
        </w:rPr>
        <w:t>个成员国表示打算降低</w:t>
      </w:r>
      <w:r w:rsidR="005935F6">
        <w:rPr>
          <w:rFonts w:hint="eastAsia"/>
          <w:lang w:eastAsia="zh-CN"/>
        </w:rPr>
        <w:t>其</w:t>
      </w:r>
      <w:r w:rsidR="00A07550" w:rsidRPr="00A07550">
        <w:rPr>
          <w:rFonts w:hint="eastAsia"/>
          <w:lang w:eastAsia="zh-CN"/>
        </w:rPr>
        <w:t>会费单位</w:t>
      </w:r>
      <w:r w:rsidRPr="007946C8">
        <w:rPr>
          <w:rFonts w:hint="eastAsia"/>
          <w:lang w:eastAsia="zh-CN"/>
        </w:rPr>
        <w:t>水平</w:t>
      </w:r>
      <w:r w:rsidR="00A07550" w:rsidRPr="00A326A5">
        <w:rPr>
          <w:rFonts w:hint="eastAsia"/>
          <w:lang w:eastAsia="zh-CN"/>
        </w:rPr>
        <w:t>。</w:t>
      </w:r>
    </w:p>
    <w:p w14:paraId="3B152EAB" w14:textId="3D120919" w:rsidR="00E47F76" w:rsidRPr="00E47F76" w:rsidRDefault="007946C8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946C8">
        <w:rPr>
          <w:rFonts w:hint="eastAsia"/>
          <w:lang w:eastAsia="zh-CN"/>
        </w:rPr>
        <w:t>为</w:t>
      </w:r>
      <w:r w:rsidR="00233FFE">
        <w:rPr>
          <w:rFonts w:hint="eastAsia"/>
          <w:lang w:eastAsia="zh-CN"/>
        </w:rPr>
        <w:t>协助</w:t>
      </w:r>
      <w:r w:rsidRPr="007946C8">
        <w:rPr>
          <w:rFonts w:hint="eastAsia"/>
          <w:lang w:eastAsia="zh-CN"/>
        </w:rPr>
        <w:t>成员国</w:t>
      </w:r>
      <w:r w:rsidR="00A25A70">
        <w:rPr>
          <w:rFonts w:hint="eastAsia"/>
          <w:lang w:eastAsia="zh-CN"/>
        </w:rPr>
        <w:t>在各自国家</w:t>
      </w:r>
      <w:r w:rsidR="00073C16" w:rsidRPr="007946C8">
        <w:rPr>
          <w:rFonts w:hint="eastAsia"/>
          <w:lang w:eastAsia="zh-CN"/>
        </w:rPr>
        <w:t>主管部门</w:t>
      </w:r>
      <w:r w:rsidR="00A25A70">
        <w:rPr>
          <w:rFonts w:hint="eastAsia"/>
          <w:lang w:eastAsia="zh-CN"/>
        </w:rPr>
        <w:t>内说明</w:t>
      </w:r>
      <w:r w:rsidR="008430CF">
        <w:rPr>
          <w:rFonts w:hint="eastAsia"/>
          <w:lang w:eastAsia="zh-CN"/>
        </w:rPr>
        <w:t>维持</w:t>
      </w:r>
      <w:r w:rsidRPr="007946C8">
        <w:rPr>
          <w:rFonts w:hint="eastAsia"/>
          <w:lang w:eastAsia="zh-CN"/>
        </w:rPr>
        <w:t>或增加国际电联会费单位的</w:t>
      </w:r>
      <w:r w:rsidR="00805203">
        <w:rPr>
          <w:rFonts w:hint="eastAsia"/>
          <w:lang w:eastAsia="zh-CN"/>
        </w:rPr>
        <w:t>必要性，</w:t>
      </w:r>
      <w:r w:rsidRPr="007946C8">
        <w:rPr>
          <w:rFonts w:hint="eastAsia"/>
          <w:lang w:eastAsia="zh-CN"/>
        </w:rPr>
        <w:t>并根据资源筹措战略</w:t>
      </w:r>
      <w:r w:rsidR="00073C16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秘书处编制了一份题为</w:t>
      </w:r>
      <w:r w:rsidR="00073C16">
        <w:rPr>
          <w:rFonts w:hint="eastAsia"/>
          <w:lang w:eastAsia="zh-CN"/>
        </w:rPr>
        <w:t>“</w:t>
      </w:r>
      <w:hyperlink r:id="rId20" w:history="1">
        <w:r w:rsidR="00073C16" w:rsidRPr="00073C16">
          <w:rPr>
            <w:rStyle w:val="Hyperlink"/>
            <w:rFonts w:eastAsia="SimSun" w:hint="eastAsia"/>
            <w:noProof w:val="0"/>
            <w:lang w:eastAsia="zh-CN"/>
          </w:rPr>
          <w:t>为何国际电联至关重要</w:t>
        </w:r>
        <w:r w:rsidR="00073C16">
          <w:rPr>
            <w:rStyle w:val="Hyperlink"/>
            <w:rFonts w:eastAsia="SimSun" w:hint="eastAsia"/>
            <w:noProof w:val="0"/>
            <w:lang w:eastAsia="zh-CN"/>
          </w:rPr>
          <w:t>：</w:t>
        </w:r>
        <w:r w:rsidR="00073C16" w:rsidRPr="00073C16">
          <w:rPr>
            <w:rStyle w:val="Hyperlink"/>
            <w:rFonts w:eastAsia="SimSun"/>
            <w:noProof w:val="0"/>
            <w:lang w:eastAsia="zh-CN"/>
          </w:rPr>
          <w:t>2028-2031</w:t>
        </w:r>
        <w:r w:rsidR="00073C16" w:rsidRPr="00073C16">
          <w:rPr>
            <w:rStyle w:val="Hyperlink"/>
            <w:rFonts w:eastAsia="SimSun" w:hint="eastAsia"/>
            <w:noProof w:val="0"/>
            <w:lang w:eastAsia="zh-CN"/>
          </w:rPr>
          <w:t>年投资论证</w:t>
        </w:r>
      </w:hyperlink>
      <w:r w:rsidR="00073C16">
        <w:rPr>
          <w:rFonts w:hint="eastAsia"/>
          <w:lang w:eastAsia="zh-CN"/>
        </w:rPr>
        <w:t>”</w:t>
      </w:r>
      <w:r w:rsidRPr="007946C8">
        <w:rPr>
          <w:rFonts w:hint="eastAsia"/>
          <w:lang w:eastAsia="zh-CN"/>
        </w:rPr>
        <w:t>的电子宣传册</w:t>
      </w:r>
      <w:r w:rsidR="00073C16">
        <w:rPr>
          <w:rFonts w:hint="eastAsia"/>
          <w:lang w:eastAsia="zh-CN"/>
        </w:rPr>
        <w:t>，并</w:t>
      </w:r>
      <w:r w:rsidR="00073C16" w:rsidRPr="00073C16">
        <w:rPr>
          <w:rFonts w:hint="eastAsia"/>
          <w:lang w:eastAsia="zh-CN"/>
        </w:rPr>
        <w:t>通过</w:t>
      </w:r>
      <w:hyperlink r:id="rId21" w:history="1">
        <w:r w:rsidR="00073C16" w:rsidRPr="00E47F76">
          <w:rPr>
            <w:rStyle w:val="Hyperlink"/>
            <w:rFonts w:eastAsia="SimSun"/>
            <w:noProof w:val="0"/>
            <w:lang w:eastAsia="zh-CN"/>
          </w:rPr>
          <w:t>CL-25/36</w:t>
        </w:r>
      </w:hyperlink>
      <w:r w:rsidR="00073C16" w:rsidRPr="00073C16">
        <w:rPr>
          <w:rFonts w:hint="eastAsia"/>
          <w:lang w:eastAsia="zh-CN"/>
        </w:rPr>
        <w:t>分发给各成员国</w:t>
      </w:r>
      <w:r w:rsidR="00073C16" w:rsidRPr="00F51523">
        <w:rPr>
          <w:rFonts w:hint="eastAsia"/>
          <w:lang w:eastAsia="zh-CN"/>
        </w:rPr>
        <w:t>。</w:t>
      </w:r>
    </w:p>
    <w:p w14:paraId="36AC3AAD" w14:textId="113E062B" w:rsidR="00E47F76" w:rsidRPr="00E47F76" w:rsidRDefault="00E47F76" w:rsidP="00E47F76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Times New Roman"/>
          <w:lang w:eastAsia="zh-CN"/>
        </w:rPr>
      </w:pPr>
      <w:r w:rsidRPr="00E47F76">
        <w:rPr>
          <w:rFonts w:eastAsia="Times New Roman"/>
          <w:lang w:eastAsia="zh-CN"/>
        </w:rPr>
        <w:lastRenderedPageBreak/>
        <w:t>2</w:t>
      </w:r>
      <w:r w:rsidRPr="00E47F76">
        <w:rPr>
          <w:rFonts w:eastAsia="Times New Roman"/>
          <w:lang w:eastAsia="zh-CN"/>
        </w:rPr>
        <w:tab/>
      </w:r>
      <w:r w:rsidR="008430CF" w:rsidRPr="008430CF">
        <w:rPr>
          <w:rFonts w:ascii="SimSun" w:hAnsi="SimSun" w:cs="SimSun" w:hint="eastAsia"/>
          <w:lang w:eastAsia="zh-CN"/>
        </w:rPr>
        <w:t>强化</w:t>
      </w:r>
      <w:r w:rsidR="00233FFE" w:rsidRPr="008430CF">
        <w:rPr>
          <w:rFonts w:ascii="SimSun" w:hAnsi="SimSun" w:cs="SimSun" w:hint="eastAsia"/>
          <w:lang w:eastAsia="zh-CN"/>
        </w:rPr>
        <w:t>部</w:t>
      </w:r>
      <w:r w:rsidR="00233FFE">
        <w:rPr>
          <w:rFonts w:ascii="SimSun" w:hAnsi="SimSun" w:cs="SimSun" w:hint="eastAsia"/>
          <w:lang w:eastAsia="zh-CN"/>
        </w:rPr>
        <w:t>门</w:t>
      </w:r>
      <w:r w:rsidR="007946C8" w:rsidRPr="007946C8">
        <w:rPr>
          <w:rFonts w:ascii="SimSun" w:hAnsi="SimSun" w:cs="SimSun" w:hint="eastAsia"/>
          <w:lang w:eastAsia="zh-CN"/>
        </w:rPr>
        <w:t>成员队伍</w:t>
      </w:r>
    </w:p>
    <w:p w14:paraId="0853CF8D" w14:textId="460CE1F4" w:rsidR="00E47F76" w:rsidRPr="00E47F76" w:rsidRDefault="007946C8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946C8">
        <w:rPr>
          <w:rFonts w:hint="eastAsia"/>
          <w:lang w:eastAsia="zh-CN"/>
        </w:rPr>
        <w:t>秘书处正在审查部门成员</w:t>
      </w:r>
      <w:r w:rsidR="001044C3" w:rsidRPr="001044C3">
        <w:rPr>
          <w:rFonts w:hint="eastAsia"/>
          <w:lang w:eastAsia="zh-CN"/>
        </w:rPr>
        <w:t>权益</w:t>
      </w:r>
      <w:r w:rsidR="001044C3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并</w:t>
      </w:r>
      <w:r w:rsidR="001B728D">
        <w:rPr>
          <w:rFonts w:hint="eastAsia"/>
          <w:lang w:eastAsia="zh-CN"/>
        </w:rPr>
        <w:t>与</w:t>
      </w:r>
      <w:r w:rsidR="001044C3">
        <w:rPr>
          <w:rFonts w:hint="eastAsia"/>
          <w:lang w:eastAsia="zh-CN"/>
        </w:rPr>
        <w:t>各</w:t>
      </w:r>
      <w:r w:rsidRPr="007946C8">
        <w:rPr>
          <w:rFonts w:hint="eastAsia"/>
          <w:lang w:eastAsia="zh-CN"/>
        </w:rPr>
        <w:t>部门顾问组</w:t>
      </w:r>
      <w:r w:rsidR="001B728D">
        <w:rPr>
          <w:rFonts w:hint="eastAsia"/>
          <w:lang w:eastAsia="zh-CN"/>
        </w:rPr>
        <w:t>进行</w:t>
      </w:r>
      <w:r w:rsidR="00AB2308">
        <w:rPr>
          <w:rFonts w:hint="eastAsia"/>
          <w:lang w:eastAsia="zh-CN"/>
        </w:rPr>
        <w:t>了</w:t>
      </w:r>
      <w:r w:rsidR="001B728D">
        <w:rPr>
          <w:rFonts w:hint="eastAsia"/>
          <w:lang w:eastAsia="zh-CN"/>
        </w:rPr>
        <w:t>磋商</w:t>
      </w:r>
      <w:r w:rsidR="001044C3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以确保</w:t>
      </w:r>
      <w:r w:rsidR="00A07418">
        <w:rPr>
          <w:rFonts w:hint="eastAsia"/>
          <w:lang w:eastAsia="zh-CN"/>
        </w:rPr>
        <w:t>这些</w:t>
      </w:r>
      <w:r w:rsidR="001044C3">
        <w:rPr>
          <w:rFonts w:hint="eastAsia"/>
          <w:lang w:eastAsia="zh-CN"/>
        </w:rPr>
        <w:t>权益</w:t>
      </w:r>
      <w:r w:rsidR="00A07418">
        <w:rPr>
          <w:rFonts w:hint="eastAsia"/>
          <w:lang w:eastAsia="zh-CN"/>
        </w:rPr>
        <w:t>符合各方</w:t>
      </w:r>
      <w:r w:rsidRPr="007946C8">
        <w:rPr>
          <w:rFonts w:hint="eastAsia"/>
          <w:lang w:eastAsia="zh-CN"/>
        </w:rPr>
        <w:t>预期</w:t>
      </w:r>
      <w:r w:rsidR="001044C3">
        <w:rPr>
          <w:rFonts w:hint="eastAsia"/>
          <w:lang w:eastAsia="zh-CN"/>
        </w:rPr>
        <w:t>。</w:t>
      </w:r>
      <w:r w:rsidR="008430CF">
        <w:rPr>
          <w:rFonts w:hint="eastAsia"/>
          <w:lang w:eastAsia="zh-CN"/>
        </w:rPr>
        <w:t>此外，</w:t>
      </w:r>
      <w:r w:rsidR="00F5226E">
        <w:rPr>
          <w:rFonts w:hint="eastAsia"/>
          <w:lang w:eastAsia="zh-CN"/>
        </w:rPr>
        <w:t>还</w:t>
      </w:r>
      <w:r w:rsidR="008430CF">
        <w:rPr>
          <w:rFonts w:hint="eastAsia"/>
          <w:lang w:eastAsia="zh-CN"/>
        </w:rPr>
        <w:t>在</w:t>
      </w:r>
      <w:r w:rsidRPr="007946C8">
        <w:rPr>
          <w:rFonts w:hint="eastAsia"/>
          <w:lang w:eastAsia="zh-CN"/>
        </w:rPr>
        <w:t>就</w:t>
      </w:r>
      <w:r w:rsidR="00F5226E">
        <w:rPr>
          <w:rFonts w:hint="eastAsia"/>
          <w:lang w:eastAsia="zh-CN"/>
        </w:rPr>
        <w:t>各</w:t>
      </w:r>
      <w:r w:rsidR="00F5226E" w:rsidRPr="007946C8">
        <w:rPr>
          <w:rFonts w:hint="eastAsia"/>
          <w:lang w:eastAsia="zh-CN"/>
        </w:rPr>
        <w:t>部门成员</w:t>
      </w:r>
      <w:r w:rsidR="00F5226E">
        <w:rPr>
          <w:rFonts w:hint="eastAsia"/>
          <w:lang w:eastAsia="zh-CN"/>
        </w:rPr>
        <w:t>的优先事项征询</w:t>
      </w:r>
      <w:r w:rsidRPr="007946C8">
        <w:rPr>
          <w:rFonts w:hint="eastAsia"/>
          <w:lang w:eastAsia="zh-CN"/>
        </w:rPr>
        <w:t>意见</w:t>
      </w:r>
      <w:r w:rsidR="00F5226E">
        <w:rPr>
          <w:rFonts w:hint="eastAsia"/>
          <w:lang w:eastAsia="zh-CN"/>
        </w:rPr>
        <w:t>。</w:t>
      </w:r>
      <w:r w:rsidRPr="007946C8">
        <w:rPr>
          <w:rFonts w:hint="eastAsia"/>
          <w:lang w:eastAsia="zh-CN"/>
        </w:rPr>
        <w:t>此次</w:t>
      </w:r>
      <w:r w:rsidR="001B728D">
        <w:rPr>
          <w:rFonts w:hint="eastAsia"/>
          <w:lang w:eastAsia="zh-CN"/>
        </w:rPr>
        <w:t>磋商</w:t>
      </w:r>
      <w:r w:rsidRPr="007946C8">
        <w:rPr>
          <w:rFonts w:hint="eastAsia"/>
          <w:lang w:eastAsia="zh-CN"/>
        </w:rPr>
        <w:t>的结果将有助于国际电联</w:t>
      </w:r>
      <w:r w:rsidR="00F5226E">
        <w:rPr>
          <w:rFonts w:hint="eastAsia"/>
          <w:lang w:eastAsia="zh-CN"/>
        </w:rPr>
        <w:t>调整其服务内容，使其更符合</w:t>
      </w:r>
      <w:r w:rsidRPr="007946C8">
        <w:rPr>
          <w:rFonts w:hint="eastAsia"/>
          <w:lang w:eastAsia="zh-CN"/>
        </w:rPr>
        <w:t>成员的利益</w:t>
      </w:r>
      <w:r w:rsidR="00F5226E">
        <w:rPr>
          <w:rFonts w:hint="eastAsia"/>
          <w:lang w:eastAsia="zh-CN"/>
        </w:rPr>
        <w:t>。目前正在开展</w:t>
      </w:r>
      <w:r w:rsidR="00F5226E" w:rsidRPr="00F5226E">
        <w:rPr>
          <w:rFonts w:hint="eastAsia"/>
          <w:lang w:eastAsia="zh-CN"/>
        </w:rPr>
        <w:t>交叉销售</w:t>
      </w:r>
      <w:r w:rsidR="00F5226E">
        <w:rPr>
          <w:rFonts w:hint="eastAsia"/>
          <w:lang w:eastAsia="zh-CN"/>
        </w:rPr>
        <w:t>活动，</w:t>
      </w:r>
      <w:r w:rsidRPr="007946C8">
        <w:rPr>
          <w:rFonts w:hint="eastAsia"/>
          <w:lang w:eastAsia="zh-CN"/>
        </w:rPr>
        <w:t>鼓励现有部门成员</w:t>
      </w:r>
      <w:r w:rsidR="001B728D">
        <w:rPr>
          <w:rFonts w:hint="eastAsia"/>
          <w:lang w:eastAsia="zh-CN"/>
        </w:rPr>
        <w:t>加入</w:t>
      </w:r>
      <w:r w:rsidRPr="007946C8">
        <w:rPr>
          <w:rFonts w:hint="eastAsia"/>
          <w:lang w:eastAsia="zh-CN"/>
        </w:rPr>
        <w:t>多个部门</w:t>
      </w:r>
      <w:r w:rsidR="00F5226E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并鼓励部门准成员升级为正式部门成员</w:t>
      </w:r>
      <w:r w:rsidR="00F5226E" w:rsidRPr="00AB2308">
        <w:rPr>
          <w:rFonts w:hint="eastAsia"/>
          <w:lang w:eastAsia="zh-CN"/>
        </w:rPr>
        <w:t>。</w:t>
      </w:r>
    </w:p>
    <w:p w14:paraId="124DF964" w14:textId="2F603B76" w:rsidR="00E47F76" w:rsidRPr="00E47F76" w:rsidRDefault="00493642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已</w:t>
      </w:r>
      <w:r w:rsidRPr="007946C8">
        <w:rPr>
          <w:rFonts w:hint="eastAsia"/>
          <w:lang w:eastAsia="zh-CN"/>
        </w:rPr>
        <w:t>确定</w:t>
      </w:r>
      <w:r w:rsidR="007946C8" w:rsidRPr="007946C8">
        <w:rPr>
          <w:rFonts w:hint="eastAsia"/>
          <w:lang w:eastAsia="zh-CN"/>
        </w:rPr>
        <w:t>数字生态系统中</w:t>
      </w:r>
      <w:r w:rsidR="00CE3C48" w:rsidRPr="00CE3C48">
        <w:rPr>
          <w:rFonts w:hint="eastAsia"/>
          <w:lang w:eastAsia="zh-CN"/>
        </w:rPr>
        <w:t>代表性不足的</w:t>
      </w:r>
      <w:r w:rsidR="00572D0A">
        <w:rPr>
          <w:rFonts w:hint="eastAsia"/>
          <w:lang w:eastAsia="zh-CN"/>
        </w:rPr>
        <w:t>领域</w:t>
      </w:r>
      <w:r w:rsidR="005162D6"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以及</w:t>
      </w:r>
      <w:r w:rsidR="00F5226E" w:rsidRPr="00E47F76">
        <w:rPr>
          <w:lang w:eastAsia="zh-CN"/>
        </w:rPr>
        <w:t>70</w:t>
      </w:r>
      <w:r w:rsidR="007946C8" w:rsidRPr="007946C8">
        <w:rPr>
          <w:rFonts w:hint="eastAsia"/>
          <w:lang w:eastAsia="zh-CN"/>
        </w:rPr>
        <w:t>个</w:t>
      </w:r>
      <w:r w:rsidR="00777A30">
        <w:rPr>
          <w:rFonts w:hint="eastAsia"/>
          <w:lang w:eastAsia="zh-CN"/>
        </w:rPr>
        <w:t>尚未</w:t>
      </w:r>
      <w:r>
        <w:rPr>
          <w:rFonts w:hint="eastAsia"/>
          <w:lang w:eastAsia="zh-CN"/>
        </w:rPr>
        <w:t>有</w:t>
      </w:r>
      <w:r w:rsidR="007946C8" w:rsidRPr="007946C8">
        <w:rPr>
          <w:rFonts w:hint="eastAsia"/>
          <w:lang w:eastAsia="zh-CN"/>
        </w:rPr>
        <w:t>部门成员</w:t>
      </w:r>
      <w:r w:rsidR="00F5226E">
        <w:rPr>
          <w:rFonts w:hint="eastAsia"/>
          <w:lang w:eastAsia="zh-CN"/>
        </w:rPr>
        <w:t>、</w:t>
      </w:r>
      <w:r w:rsidR="007946C8" w:rsidRPr="007946C8">
        <w:rPr>
          <w:rFonts w:hint="eastAsia"/>
          <w:lang w:eastAsia="zh-CN"/>
        </w:rPr>
        <w:t>部门准成员和学术成员</w:t>
      </w:r>
      <w:r>
        <w:rPr>
          <w:rFonts w:hint="eastAsia"/>
          <w:lang w:eastAsia="zh-CN"/>
        </w:rPr>
        <w:t>代表</w:t>
      </w:r>
      <w:r w:rsidR="007946C8" w:rsidRPr="007946C8">
        <w:rPr>
          <w:rFonts w:hint="eastAsia"/>
          <w:lang w:eastAsia="zh-CN"/>
        </w:rPr>
        <w:t>的成员国</w:t>
      </w:r>
      <w:r>
        <w:rPr>
          <w:rFonts w:hint="eastAsia"/>
          <w:lang w:eastAsia="zh-CN"/>
        </w:rPr>
        <w:t>，将针对这些对象开展</w:t>
      </w:r>
      <w:r w:rsidR="005162D6">
        <w:rPr>
          <w:rFonts w:hint="eastAsia"/>
          <w:lang w:eastAsia="zh-CN"/>
        </w:rPr>
        <w:t>定向</w:t>
      </w:r>
      <w:r w:rsidR="00777A30" w:rsidRPr="00777A30">
        <w:rPr>
          <w:rFonts w:hint="eastAsia"/>
          <w:lang w:eastAsia="zh-CN"/>
        </w:rPr>
        <w:t>宣传活动</w:t>
      </w:r>
      <w:r w:rsidR="00777A30"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以确保国际电联成员</w:t>
      </w:r>
      <w:r w:rsidR="00777A30">
        <w:rPr>
          <w:rFonts w:hint="eastAsia"/>
          <w:lang w:eastAsia="zh-CN"/>
        </w:rPr>
        <w:t>队伍实现最大程度的多元化。</w:t>
      </w:r>
      <w:r w:rsidR="007946C8" w:rsidRPr="007946C8">
        <w:rPr>
          <w:rFonts w:hint="eastAsia"/>
          <w:lang w:eastAsia="zh-CN"/>
        </w:rPr>
        <w:t>宣传材料</w:t>
      </w:r>
      <w:r w:rsidR="00777A30">
        <w:rPr>
          <w:rFonts w:hint="eastAsia"/>
          <w:lang w:eastAsia="zh-CN"/>
        </w:rPr>
        <w:t>目前正在审核中，届时</w:t>
      </w:r>
      <w:r w:rsidR="007946C8" w:rsidRPr="007946C8">
        <w:rPr>
          <w:rFonts w:hint="eastAsia"/>
          <w:lang w:eastAsia="zh-CN"/>
        </w:rPr>
        <w:t>将</w:t>
      </w:r>
      <w:r w:rsidR="00777A30">
        <w:rPr>
          <w:rFonts w:hint="eastAsia"/>
          <w:lang w:eastAsia="zh-CN"/>
        </w:rPr>
        <w:t>发布</w:t>
      </w:r>
      <w:r w:rsidR="007946C8" w:rsidRPr="007946C8">
        <w:rPr>
          <w:rFonts w:hint="eastAsia"/>
          <w:lang w:eastAsia="zh-CN"/>
        </w:rPr>
        <w:t>在国际电联网站</w:t>
      </w:r>
      <w:r w:rsidR="00777A30">
        <w:rPr>
          <w:rFonts w:hint="eastAsia"/>
          <w:lang w:eastAsia="zh-CN"/>
        </w:rPr>
        <w:t>（</w:t>
      </w:r>
      <w:hyperlink r:id="rId22" w:history="1">
        <w:r w:rsidR="00777A30">
          <w:rPr>
            <w:rStyle w:val="Hyperlink"/>
            <w:rFonts w:eastAsia="SimSun" w:hint="eastAsia"/>
            <w:noProof w:val="0"/>
            <w:lang w:eastAsia="zh-CN"/>
          </w:rPr>
          <w:t>此处</w:t>
        </w:r>
      </w:hyperlink>
      <w:r w:rsidR="00777A30">
        <w:rPr>
          <w:rFonts w:hint="eastAsia"/>
          <w:lang w:eastAsia="zh-CN"/>
        </w:rPr>
        <w:t>）</w:t>
      </w:r>
      <w:r w:rsidR="007946C8" w:rsidRPr="007946C8">
        <w:rPr>
          <w:rFonts w:hint="eastAsia"/>
          <w:lang w:eastAsia="zh-CN"/>
        </w:rPr>
        <w:t>上</w:t>
      </w:r>
      <w:r w:rsidR="00777A30">
        <w:rPr>
          <w:rFonts w:hint="eastAsia"/>
          <w:lang w:eastAsia="zh-CN"/>
        </w:rPr>
        <w:t>。</w:t>
      </w:r>
      <w:r w:rsidR="007946C8" w:rsidRPr="007946C8">
        <w:rPr>
          <w:rFonts w:hint="eastAsia"/>
          <w:lang w:eastAsia="zh-CN"/>
        </w:rPr>
        <w:t>将</w:t>
      </w:r>
      <w:r w:rsidR="00777A30">
        <w:rPr>
          <w:rFonts w:hint="eastAsia"/>
          <w:lang w:eastAsia="zh-CN"/>
        </w:rPr>
        <w:t>策划</w:t>
      </w:r>
      <w:r>
        <w:rPr>
          <w:rFonts w:hint="eastAsia"/>
          <w:lang w:eastAsia="zh-CN"/>
        </w:rPr>
        <w:t>宣传</w:t>
      </w:r>
      <w:r w:rsidR="007946C8" w:rsidRPr="007946C8">
        <w:rPr>
          <w:rFonts w:hint="eastAsia"/>
          <w:lang w:eastAsia="zh-CN"/>
        </w:rPr>
        <w:t>活动</w:t>
      </w:r>
      <w:r w:rsidR="00777A30"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以提高</w:t>
      </w:r>
      <w:r>
        <w:rPr>
          <w:rFonts w:hint="eastAsia"/>
          <w:lang w:eastAsia="zh-CN"/>
        </w:rPr>
        <w:t>各界人士</w:t>
      </w:r>
      <w:r w:rsidR="007946C8" w:rsidRPr="007946C8">
        <w:rPr>
          <w:rFonts w:hint="eastAsia"/>
          <w:lang w:eastAsia="zh-CN"/>
        </w:rPr>
        <w:t>的</w:t>
      </w:r>
      <w:r w:rsidR="00CE3C48">
        <w:rPr>
          <w:rFonts w:hint="eastAsia"/>
          <w:lang w:eastAsia="zh-CN"/>
        </w:rPr>
        <w:t>认知度</w:t>
      </w:r>
      <w:r w:rsidR="007946C8" w:rsidRPr="007946C8">
        <w:rPr>
          <w:rFonts w:hint="eastAsia"/>
          <w:lang w:eastAsia="zh-CN"/>
        </w:rPr>
        <w:t>并促进参与</w:t>
      </w:r>
      <w:r w:rsidR="00777A30" w:rsidRPr="005162D6">
        <w:rPr>
          <w:rFonts w:hint="eastAsia"/>
          <w:lang w:eastAsia="zh-CN"/>
        </w:rPr>
        <w:t>。</w:t>
      </w:r>
    </w:p>
    <w:p w14:paraId="54652866" w14:textId="7354365B" w:rsidR="00E47F76" w:rsidRPr="00E47F76" w:rsidRDefault="007946C8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line="259" w:lineRule="auto"/>
        <w:ind w:firstLineChars="200" w:firstLine="480"/>
        <w:jc w:val="both"/>
        <w:rPr>
          <w:lang w:eastAsia="zh-CN"/>
        </w:rPr>
      </w:pPr>
      <w:r w:rsidRPr="007946C8">
        <w:rPr>
          <w:rFonts w:hint="eastAsia"/>
          <w:lang w:eastAsia="zh-CN"/>
        </w:rPr>
        <w:t>截至</w:t>
      </w:r>
      <w:r w:rsidR="00906DA1" w:rsidRPr="00E47F76">
        <w:rPr>
          <w:lang w:eastAsia="zh-CN"/>
        </w:rPr>
        <w:t>2025</w:t>
      </w:r>
      <w:r w:rsidRPr="007946C8">
        <w:rPr>
          <w:rFonts w:hint="eastAsia"/>
          <w:lang w:eastAsia="zh-CN"/>
        </w:rPr>
        <w:t>年</w:t>
      </w:r>
      <w:r w:rsidRPr="007946C8">
        <w:rPr>
          <w:rFonts w:hint="eastAsia"/>
          <w:lang w:eastAsia="zh-CN"/>
        </w:rPr>
        <w:t>12</w:t>
      </w:r>
      <w:r w:rsidRPr="007946C8">
        <w:rPr>
          <w:rFonts w:hint="eastAsia"/>
          <w:lang w:eastAsia="zh-CN"/>
        </w:rPr>
        <w:t>月</w:t>
      </w:r>
      <w:r w:rsidR="00906DA1" w:rsidRPr="00E47F76">
        <w:rPr>
          <w:lang w:eastAsia="zh-CN"/>
        </w:rPr>
        <w:t>31</w:t>
      </w:r>
      <w:r w:rsidRPr="007946C8">
        <w:rPr>
          <w:rFonts w:hint="eastAsia"/>
          <w:lang w:eastAsia="zh-CN"/>
        </w:rPr>
        <w:t>日</w:t>
      </w:r>
      <w:r w:rsidR="009F532C">
        <w:rPr>
          <w:rFonts w:hint="eastAsia"/>
          <w:lang w:eastAsia="zh-CN"/>
        </w:rPr>
        <w:t>的</w:t>
      </w:r>
      <w:r w:rsidRPr="007946C8">
        <w:rPr>
          <w:rFonts w:hint="eastAsia"/>
          <w:lang w:eastAsia="zh-CN"/>
        </w:rPr>
        <w:t>部门成员</w:t>
      </w:r>
      <w:r w:rsidR="00906DA1">
        <w:rPr>
          <w:rFonts w:hint="eastAsia"/>
          <w:lang w:eastAsia="zh-CN"/>
        </w:rPr>
        <w:t>（</w:t>
      </w:r>
      <w:r w:rsidR="00906DA1" w:rsidRPr="00906DA1">
        <w:rPr>
          <w:rFonts w:hint="eastAsia"/>
          <w:lang w:eastAsia="zh-CN"/>
        </w:rPr>
        <w:t>部门成员</w:t>
      </w:r>
      <w:r w:rsidR="00906DA1">
        <w:rPr>
          <w:rFonts w:hint="eastAsia"/>
          <w:lang w:eastAsia="zh-CN"/>
        </w:rPr>
        <w:t>、</w:t>
      </w:r>
      <w:r w:rsidR="00906DA1" w:rsidRPr="00906DA1">
        <w:rPr>
          <w:rFonts w:hint="eastAsia"/>
          <w:lang w:eastAsia="zh-CN"/>
        </w:rPr>
        <w:t>部门准成员和学术成员</w:t>
      </w:r>
      <w:r w:rsidR="00906DA1">
        <w:rPr>
          <w:rFonts w:hint="eastAsia"/>
          <w:lang w:eastAsia="zh-CN"/>
        </w:rPr>
        <w:t>）</w:t>
      </w:r>
      <w:r w:rsidR="00493642">
        <w:rPr>
          <w:rFonts w:hint="eastAsia"/>
          <w:lang w:eastAsia="zh-CN"/>
        </w:rPr>
        <w:t>情况</w:t>
      </w:r>
      <w:r w:rsidRPr="007946C8">
        <w:rPr>
          <w:rFonts w:hint="eastAsia"/>
          <w:lang w:eastAsia="zh-CN"/>
        </w:rPr>
        <w:t>的具体数据见</w:t>
      </w:r>
      <w:hyperlink r:id="rId23" w:history="1">
        <w:proofErr w:type="spellStart"/>
        <w:r w:rsidR="00906DA1" w:rsidRPr="00E47F76">
          <w:rPr>
            <w:rStyle w:val="Hyperlink"/>
            <w:rFonts w:eastAsia="SimSun"/>
            <w:noProof w:val="0"/>
            <w:lang w:eastAsia="zh-CN"/>
          </w:rPr>
          <w:t>C26</w:t>
        </w:r>
        <w:proofErr w:type="spellEnd"/>
        <w:r w:rsidR="00906DA1" w:rsidRPr="00E47F76">
          <w:rPr>
            <w:rStyle w:val="Hyperlink"/>
            <w:rFonts w:eastAsia="SimSun"/>
            <w:noProof w:val="0"/>
            <w:lang w:eastAsia="zh-CN"/>
          </w:rPr>
          <w:t>/INF/14</w:t>
        </w:r>
      </w:hyperlink>
      <w:r w:rsidRPr="007946C8">
        <w:rPr>
          <w:rFonts w:hint="eastAsia"/>
          <w:lang w:eastAsia="zh-CN"/>
        </w:rPr>
        <w:t>号文件</w:t>
      </w:r>
      <w:r w:rsidR="00906DA1" w:rsidRPr="00896A17">
        <w:rPr>
          <w:rFonts w:hint="eastAsia"/>
          <w:lang w:eastAsia="zh-CN"/>
        </w:rPr>
        <w:t>。</w:t>
      </w:r>
    </w:p>
    <w:p w14:paraId="47CBBE4D" w14:textId="5529AE5C" w:rsidR="00E47F76" w:rsidRPr="00E47F76" w:rsidRDefault="00E47F76" w:rsidP="00E47F76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ind w:left="567" w:hanging="567"/>
        <w:rPr>
          <w:rFonts w:eastAsia="Times New Roman"/>
          <w:lang w:eastAsia="zh-CN"/>
        </w:rPr>
      </w:pPr>
      <w:r w:rsidRPr="00E47F76">
        <w:rPr>
          <w:rFonts w:eastAsia="Times New Roman"/>
          <w:lang w:eastAsia="zh-CN"/>
        </w:rPr>
        <w:t>3</w:t>
      </w:r>
      <w:r w:rsidRPr="00E47F76">
        <w:rPr>
          <w:rFonts w:eastAsia="Times New Roman"/>
          <w:lang w:eastAsia="zh-CN"/>
        </w:rPr>
        <w:tab/>
      </w:r>
      <w:r w:rsidR="007946C8" w:rsidRPr="007946C8">
        <w:rPr>
          <w:rFonts w:ascii="SimSun" w:hAnsi="SimSun" w:cs="SimSun" w:hint="eastAsia"/>
          <w:lang w:eastAsia="zh-CN"/>
        </w:rPr>
        <w:t>转型是资源筹措战略实施的推动力</w:t>
      </w:r>
    </w:p>
    <w:p w14:paraId="6E50635E" w14:textId="1B0CA1AD" w:rsidR="00E47F76" w:rsidRPr="00E47F76" w:rsidRDefault="007946C8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7946C8">
        <w:rPr>
          <w:rFonts w:hint="eastAsia"/>
          <w:lang w:eastAsia="zh-CN"/>
        </w:rPr>
        <w:t>作为转型路线图的一部分</w:t>
      </w:r>
      <w:r w:rsidR="005077DE">
        <w:rPr>
          <w:rFonts w:hint="eastAsia"/>
          <w:lang w:eastAsia="zh-CN"/>
        </w:rPr>
        <w:t>，</w:t>
      </w:r>
      <w:r w:rsidR="001E2E49">
        <w:rPr>
          <w:rFonts w:hint="eastAsia"/>
          <w:lang w:eastAsia="zh-CN"/>
        </w:rPr>
        <w:t>正在实施</w:t>
      </w:r>
      <w:r w:rsidRPr="007946C8">
        <w:rPr>
          <w:rFonts w:hint="eastAsia"/>
          <w:lang w:eastAsia="zh-CN"/>
        </w:rPr>
        <w:t>新的数字</w:t>
      </w:r>
      <w:r w:rsidR="001E2E49">
        <w:rPr>
          <w:rFonts w:hint="eastAsia"/>
          <w:lang w:eastAsia="zh-CN"/>
        </w:rPr>
        <w:t>化</w:t>
      </w:r>
      <w:r w:rsidRPr="007946C8">
        <w:rPr>
          <w:rFonts w:hint="eastAsia"/>
          <w:lang w:eastAsia="zh-CN"/>
        </w:rPr>
        <w:t>和人工智能</w:t>
      </w:r>
      <w:r w:rsidR="001E2E49">
        <w:rPr>
          <w:rFonts w:hint="eastAsia"/>
          <w:lang w:eastAsia="zh-CN"/>
        </w:rPr>
        <w:t>驱动的</w:t>
      </w:r>
      <w:r w:rsidRPr="007946C8">
        <w:rPr>
          <w:rFonts w:hint="eastAsia"/>
          <w:lang w:eastAsia="zh-CN"/>
        </w:rPr>
        <w:t>系统</w:t>
      </w:r>
      <w:r w:rsidR="001E2E49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以支持更有效</w:t>
      </w:r>
      <w:r w:rsidR="001E2E49">
        <w:rPr>
          <w:rFonts w:hint="eastAsia"/>
          <w:lang w:eastAsia="zh-CN"/>
        </w:rPr>
        <w:t>且</w:t>
      </w:r>
      <w:r w:rsidRPr="007946C8">
        <w:rPr>
          <w:rFonts w:hint="eastAsia"/>
          <w:lang w:eastAsia="zh-CN"/>
        </w:rPr>
        <w:t>协调</w:t>
      </w:r>
      <w:r w:rsidR="001E2E49">
        <w:rPr>
          <w:rFonts w:hint="eastAsia"/>
          <w:lang w:eastAsia="zh-CN"/>
        </w:rPr>
        <w:t>的</w:t>
      </w:r>
      <w:r w:rsidRPr="007946C8">
        <w:rPr>
          <w:rFonts w:hint="eastAsia"/>
          <w:lang w:eastAsia="zh-CN"/>
        </w:rPr>
        <w:t>账户管理</w:t>
      </w:r>
      <w:r w:rsidR="001E2E49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并改善整个国际电联与成员</w:t>
      </w:r>
      <w:r w:rsidR="001E2E49">
        <w:rPr>
          <w:rFonts w:hint="eastAsia"/>
          <w:lang w:eastAsia="zh-CN"/>
        </w:rPr>
        <w:t>、</w:t>
      </w:r>
      <w:r w:rsidRPr="007946C8">
        <w:rPr>
          <w:rFonts w:hint="eastAsia"/>
          <w:lang w:eastAsia="zh-CN"/>
        </w:rPr>
        <w:t>捐助方和合作伙伴的</w:t>
      </w:r>
      <w:r w:rsidR="00AA362B">
        <w:rPr>
          <w:rFonts w:hint="eastAsia"/>
          <w:lang w:eastAsia="zh-CN"/>
        </w:rPr>
        <w:t>沟通联络</w:t>
      </w:r>
      <w:r w:rsidR="001E2E49">
        <w:rPr>
          <w:rFonts w:hint="eastAsia"/>
          <w:lang w:eastAsia="zh-CN"/>
        </w:rPr>
        <w:t>，</w:t>
      </w:r>
      <w:r w:rsidR="00AA362B">
        <w:rPr>
          <w:rFonts w:hint="eastAsia"/>
          <w:lang w:eastAsia="zh-CN"/>
        </w:rPr>
        <w:t>相关</w:t>
      </w:r>
      <w:r w:rsidRPr="007946C8">
        <w:rPr>
          <w:rFonts w:hint="eastAsia"/>
          <w:lang w:eastAsia="zh-CN"/>
        </w:rPr>
        <w:t>技术配置将于</w:t>
      </w:r>
      <w:r w:rsidR="001E2E49" w:rsidRPr="00E47F76">
        <w:rPr>
          <w:lang w:eastAsia="zh-CN"/>
        </w:rPr>
        <w:t>2026</w:t>
      </w:r>
      <w:r w:rsidRPr="007946C8">
        <w:rPr>
          <w:rFonts w:hint="eastAsia"/>
          <w:lang w:eastAsia="zh-CN"/>
        </w:rPr>
        <w:t>年第一季度至第二季度进行</w:t>
      </w:r>
      <w:r w:rsidR="001E2E49">
        <w:rPr>
          <w:rFonts w:hint="eastAsia"/>
          <w:lang w:eastAsia="zh-CN"/>
        </w:rPr>
        <w:t>，</w:t>
      </w:r>
      <w:r w:rsidRPr="007946C8">
        <w:rPr>
          <w:rFonts w:hint="eastAsia"/>
          <w:lang w:eastAsia="zh-CN"/>
        </w:rPr>
        <w:t>随后在</w:t>
      </w:r>
      <w:r w:rsidR="001E2E49" w:rsidRPr="00E47F76">
        <w:rPr>
          <w:lang w:eastAsia="zh-CN"/>
        </w:rPr>
        <w:t>2026</w:t>
      </w:r>
      <w:r w:rsidRPr="007946C8">
        <w:rPr>
          <w:rFonts w:hint="eastAsia"/>
          <w:lang w:eastAsia="zh-CN"/>
        </w:rPr>
        <w:t>年剩余时间</w:t>
      </w:r>
      <w:r w:rsidR="001E2E49">
        <w:rPr>
          <w:rFonts w:hint="eastAsia"/>
          <w:lang w:eastAsia="zh-CN"/>
        </w:rPr>
        <w:t>内</w:t>
      </w:r>
      <w:r w:rsidRPr="007946C8">
        <w:rPr>
          <w:rFonts w:hint="eastAsia"/>
          <w:lang w:eastAsia="zh-CN"/>
        </w:rPr>
        <w:t>进行试点实施</w:t>
      </w:r>
      <w:r w:rsidR="001E2E49">
        <w:rPr>
          <w:rFonts w:hint="eastAsia"/>
          <w:lang w:eastAsia="zh-CN"/>
        </w:rPr>
        <w:t>，并于</w:t>
      </w:r>
      <w:r w:rsidR="001E2E49" w:rsidRPr="00E47F76">
        <w:rPr>
          <w:lang w:eastAsia="zh-CN"/>
        </w:rPr>
        <w:t>2027</w:t>
      </w:r>
      <w:r w:rsidR="001E2E49">
        <w:rPr>
          <w:rFonts w:hint="eastAsia"/>
          <w:lang w:eastAsia="zh-CN"/>
        </w:rPr>
        <w:t>年</w:t>
      </w:r>
      <w:r w:rsidR="00DD7EAD" w:rsidRPr="00DD7EAD">
        <w:rPr>
          <w:rFonts w:hint="eastAsia"/>
          <w:lang w:eastAsia="zh-CN"/>
        </w:rPr>
        <w:t>逐步</w:t>
      </w:r>
      <w:r w:rsidRPr="00DD7EAD">
        <w:rPr>
          <w:rFonts w:hint="eastAsia"/>
          <w:lang w:eastAsia="zh-CN"/>
        </w:rPr>
        <w:t>扩大</w:t>
      </w:r>
      <w:r w:rsidR="001E2E49" w:rsidRPr="00DD7EAD">
        <w:rPr>
          <w:rFonts w:hint="eastAsia"/>
          <w:lang w:eastAsia="zh-CN"/>
        </w:rPr>
        <w:t>规模</w:t>
      </w:r>
      <w:r w:rsidR="001E2E49">
        <w:rPr>
          <w:rFonts w:hint="eastAsia"/>
          <w:lang w:eastAsia="zh-CN"/>
        </w:rPr>
        <w:t>。</w:t>
      </w:r>
      <w:r w:rsidR="00DD7EAD">
        <w:rPr>
          <w:rFonts w:hint="eastAsia"/>
          <w:lang w:eastAsia="zh-CN"/>
        </w:rPr>
        <w:t>此</w:t>
      </w:r>
      <w:r w:rsidRPr="007946C8">
        <w:rPr>
          <w:rFonts w:hint="eastAsia"/>
          <w:lang w:eastAsia="zh-CN"/>
        </w:rPr>
        <w:t>项投资将支持</w:t>
      </w:r>
      <w:r w:rsidR="00DD7EAD">
        <w:rPr>
          <w:rFonts w:hint="eastAsia"/>
          <w:lang w:eastAsia="zh-CN"/>
        </w:rPr>
        <w:t>以下</w:t>
      </w:r>
      <w:r w:rsidRPr="007946C8">
        <w:rPr>
          <w:rFonts w:hint="eastAsia"/>
          <w:lang w:eastAsia="zh-CN"/>
        </w:rPr>
        <w:t>行动领域</w:t>
      </w:r>
      <w:r w:rsidR="00DD7EAD">
        <w:rPr>
          <w:rFonts w:hint="eastAsia"/>
          <w:lang w:eastAsia="zh-CN"/>
        </w:rPr>
        <w:t>：</w:t>
      </w:r>
      <w:r w:rsidR="001E2E49" w:rsidRPr="00E47F76">
        <w:rPr>
          <w:lang w:eastAsia="zh-CN"/>
        </w:rPr>
        <w:t>1)</w:t>
      </w:r>
      <w:r w:rsidR="00ED6CAE">
        <w:rPr>
          <w:rFonts w:hint="eastAsia"/>
          <w:lang w:eastAsia="zh-CN"/>
        </w:rPr>
        <w:t xml:space="preserve"> </w:t>
      </w:r>
      <w:r w:rsidR="00AA362B">
        <w:rPr>
          <w:rFonts w:hint="eastAsia"/>
          <w:lang w:eastAsia="zh-CN"/>
        </w:rPr>
        <w:t>强化</w:t>
      </w:r>
      <w:r w:rsidRPr="007946C8">
        <w:rPr>
          <w:rFonts w:hint="eastAsia"/>
          <w:lang w:eastAsia="zh-CN"/>
        </w:rPr>
        <w:t>成员</w:t>
      </w:r>
      <w:r w:rsidR="001E2E49">
        <w:rPr>
          <w:rFonts w:hint="eastAsia"/>
          <w:lang w:eastAsia="zh-CN"/>
        </w:rPr>
        <w:t>队伍</w:t>
      </w:r>
      <w:r w:rsidR="00DD7EAD">
        <w:rPr>
          <w:rFonts w:hint="eastAsia"/>
          <w:lang w:eastAsia="zh-CN"/>
        </w:rPr>
        <w:t>；</w:t>
      </w:r>
      <w:r w:rsidR="00756F2B" w:rsidRPr="00E47F76">
        <w:rPr>
          <w:lang w:eastAsia="zh-CN"/>
        </w:rPr>
        <w:t>3)</w:t>
      </w:r>
      <w:r w:rsidR="00ED6CAE">
        <w:rPr>
          <w:rFonts w:hint="eastAsia"/>
          <w:lang w:eastAsia="zh-CN"/>
        </w:rPr>
        <w:t xml:space="preserve"> </w:t>
      </w:r>
      <w:r w:rsidRPr="007946C8">
        <w:rPr>
          <w:rFonts w:hint="eastAsia"/>
          <w:lang w:eastAsia="zh-CN"/>
        </w:rPr>
        <w:t>增加自愿捐款</w:t>
      </w:r>
      <w:r w:rsidR="00756F2B" w:rsidRPr="008C2894">
        <w:rPr>
          <w:rFonts w:hint="eastAsia"/>
          <w:lang w:eastAsia="zh-CN"/>
        </w:rPr>
        <w:t>。</w:t>
      </w:r>
    </w:p>
    <w:p w14:paraId="1D00ED5C" w14:textId="4EA33C91" w:rsidR="00E47F76" w:rsidRPr="00E47F76" w:rsidRDefault="00756F2B" w:rsidP="00ED1E0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DD7EAD">
        <w:rPr>
          <w:lang w:eastAsia="zh-CN"/>
        </w:rPr>
        <w:t>2026</w:t>
      </w:r>
      <w:r w:rsidR="007946C8" w:rsidRPr="00DD7EAD">
        <w:rPr>
          <w:rFonts w:hint="eastAsia"/>
          <w:lang w:eastAsia="zh-CN"/>
        </w:rPr>
        <w:t>年</w:t>
      </w:r>
      <w:r w:rsidR="00721B19">
        <w:rPr>
          <w:rFonts w:hint="eastAsia"/>
          <w:lang w:eastAsia="zh-CN"/>
        </w:rPr>
        <w:t>，</w:t>
      </w:r>
      <w:r w:rsidR="007946C8" w:rsidRPr="00DD7EAD">
        <w:rPr>
          <w:rFonts w:hint="eastAsia"/>
          <w:lang w:eastAsia="zh-CN"/>
        </w:rPr>
        <w:t>为</w:t>
      </w:r>
      <w:r w:rsidRPr="00DD7EAD">
        <w:rPr>
          <w:rFonts w:hint="eastAsia"/>
          <w:lang w:eastAsia="zh-CN"/>
        </w:rPr>
        <w:t>实现专家招聘和服务采购相关业务流程的优化</w:t>
      </w:r>
      <w:r w:rsidR="007946C8" w:rsidRPr="00DD7EAD">
        <w:rPr>
          <w:rFonts w:hint="eastAsia"/>
          <w:lang w:eastAsia="zh-CN"/>
        </w:rPr>
        <w:t>和自动化</w:t>
      </w:r>
      <w:r w:rsidR="0067386F">
        <w:rPr>
          <w:rFonts w:hint="eastAsia"/>
          <w:lang w:eastAsia="zh-CN"/>
        </w:rPr>
        <w:t>将</w:t>
      </w:r>
      <w:r w:rsidR="007946C8" w:rsidRPr="00DD7EAD">
        <w:rPr>
          <w:rFonts w:hint="eastAsia"/>
          <w:lang w:eastAsia="zh-CN"/>
        </w:rPr>
        <w:t>开展更多转型工作</w:t>
      </w:r>
      <w:r w:rsidR="0067386F">
        <w:rPr>
          <w:rFonts w:hint="eastAsia"/>
          <w:lang w:eastAsia="zh-CN"/>
        </w:rPr>
        <w:t>，这些工作</w:t>
      </w:r>
      <w:r w:rsidR="007946C8" w:rsidRPr="00DD7EAD">
        <w:rPr>
          <w:rFonts w:hint="eastAsia"/>
          <w:lang w:eastAsia="zh-CN"/>
        </w:rPr>
        <w:t>将</w:t>
      </w:r>
      <w:r w:rsidR="00721B19">
        <w:rPr>
          <w:rFonts w:hint="eastAsia"/>
          <w:lang w:eastAsia="zh-CN"/>
        </w:rPr>
        <w:t>增强</w:t>
      </w:r>
      <w:r w:rsidR="007946C8" w:rsidRPr="00DD7EAD">
        <w:rPr>
          <w:rFonts w:hint="eastAsia"/>
          <w:lang w:eastAsia="zh-CN"/>
        </w:rPr>
        <w:t>国际电联按时</w:t>
      </w:r>
      <w:r>
        <w:rPr>
          <w:rFonts w:hint="eastAsia"/>
          <w:lang w:eastAsia="zh-CN"/>
        </w:rPr>
        <w:t>、</w:t>
      </w:r>
      <w:r w:rsidR="007946C8" w:rsidRPr="007946C8">
        <w:rPr>
          <w:rFonts w:hint="eastAsia"/>
          <w:lang w:eastAsia="zh-CN"/>
        </w:rPr>
        <w:t>按预算实施项目的能力</w:t>
      </w:r>
      <w:r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因此是行动领域</w:t>
      </w:r>
      <w:r w:rsidRPr="00E47F76">
        <w:rPr>
          <w:lang w:eastAsia="zh-CN"/>
        </w:rPr>
        <w:t>3</w:t>
      </w:r>
      <w:r>
        <w:rPr>
          <w:rFonts w:hint="eastAsia"/>
          <w:lang w:eastAsia="zh-CN"/>
        </w:rPr>
        <w:t>（</w:t>
      </w:r>
      <w:r w:rsidRPr="007946C8">
        <w:rPr>
          <w:rFonts w:hint="eastAsia"/>
          <w:lang w:eastAsia="zh-CN"/>
        </w:rPr>
        <w:t>增加自愿捐款</w:t>
      </w:r>
      <w:r>
        <w:rPr>
          <w:rFonts w:hint="eastAsia"/>
          <w:lang w:eastAsia="zh-CN"/>
        </w:rPr>
        <w:t>）</w:t>
      </w:r>
      <w:r w:rsidR="007946C8" w:rsidRPr="007946C8">
        <w:rPr>
          <w:rFonts w:hint="eastAsia"/>
          <w:lang w:eastAsia="zh-CN"/>
        </w:rPr>
        <w:t>的</w:t>
      </w:r>
      <w:r w:rsidR="00721B19">
        <w:rPr>
          <w:rFonts w:hint="eastAsia"/>
          <w:lang w:eastAsia="zh-CN"/>
        </w:rPr>
        <w:t>关键</w:t>
      </w:r>
      <w:r w:rsidR="007946C8" w:rsidRPr="007946C8">
        <w:rPr>
          <w:rFonts w:hint="eastAsia"/>
          <w:lang w:eastAsia="zh-CN"/>
        </w:rPr>
        <w:t>推动</w:t>
      </w:r>
      <w:r w:rsidR="00721B19">
        <w:rPr>
          <w:rFonts w:hint="eastAsia"/>
          <w:lang w:eastAsia="zh-CN"/>
        </w:rPr>
        <w:t>因素</w:t>
      </w:r>
      <w:r>
        <w:rPr>
          <w:rFonts w:hint="eastAsia"/>
          <w:lang w:eastAsia="zh-CN"/>
        </w:rPr>
        <w:t>。加快</w:t>
      </w:r>
      <w:r w:rsidR="00721B19">
        <w:rPr>
          <w:rFonts w:hint="eastAsia"/>
          <w:lang w:eastAsia="zh-CN"/>
        </w:rPr>
        <w:t>项目</w:t>
      </w:r>
      <w:r w:rsidR="007946C8" w:rsidRPr="007946C8">
        <w:rPr>
          <w:rFonts w:hint="eastAsia"/>
          <w:lang w:eastAsia="zh-CN"/>
        </w:rPr>
        <w:t>交付将</w:t>
      </w:r>
      <w:r>
        <w:rPr>
          <w:rFonts w:hint="eastAsia"/>
          <w:lang w:eastAsia="zh-CN"/>
        </w:rPr>
        <w:t>增强</w:t>
      </w:r>
      <w:r w:rsidR="007946C8" w:rsidRPr="007946C8">
        <w:rPr>
          <w:rFonts w:hint="eastAsia"/>
          <w:lang w:eastAsia="zh-CN"/>
        </w:rPr>
        <w:t>捐助方的信心</w:t>
      </w:r>
      <w:r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并鼓励</w:t>
      </w:r>
      <w:r>
        <w:rPr>
          <w:rFonts w:hint="eastAsia"/>
          <w:lang w:eastAsia="zh-CN"/>
        </w:rPr>
        <w:t>他们</w:t>
      </w:r>
      <w:r w:rsidR="00366565" w:rsidRPr="00366565">
        <w:rPr>
          <w:rFonts w:hint="eastAsia"/>
          <w:lang w:eastAsia="zh-CN"/>
        </w:rPr>
        <w:t>在更长</w:t>
      </w:r>
      <w:r w:rsidR="00721B19">
        <w:rPr>
          <w:rFonts w:hint="eastAsia"/>
          <w:lang w:eastAsia="zh-CN"/>
        </w:rPr>
        <w:t>的时间</w:t>
      </w:r>
      <w:r w:rsidR="00366565" w:rsidRPr="00366565">
        <w:rPr>
          <w:rFonts w:hint="eastAsia"/>
          <w:lang w:eastAsia="zh-CN"/>
        </w:rPr>
        <w:t>内</w:t>
      </w:r>
      <w:r>
        <w:rPr>
          <w:rFonts w:hint="eastAsia"/>
          <w:lang w:eastAsia="zh-CN"/>
        </w:rPr>
        <w:t>持续提供支持，</w:t>
      </w:r>
      <w:r w:rsidR="007946C8" w:rsidRPr="007946C8">
        <w:rPr>
          <w:rFonts w:hint="eastAsia"/>
          <w:lang w:eastAsia="zh-CN"/>
        </w:rPr>
        <w:t>从而使国际电联能够扩大资源筹措</w:t>
      </w:r>
      <w:r w:rsidR="00366565">
        <w:rPr>
          <w:rFonts w:hint="eastAsia"/>
          <w:lang w:eastAsia="zh-CN"/>
        </w:rPr>
        <w:t>规模。</w:t>
      </w:r>
      <w:r w:rsidR="00721B19">
        <w:rPr>
          <w:rFonts w:hint="eastAsia"/>
          <w:lang w:eastAsia="zh-CN"/>
        </w:rPr>
        <w:t>要</w:t>
      </w:r>
      <w:r w:rsidR="00721B19" w:rsidRPr="007946C8">
        <w:rPr>
          <w:rFonts w:hint="eastAsia"/>
          <w:lang w:eastAsia="zh-CN"/>
        </w:rPr>
        <w:t>落实行动领域</w:t>
      </w:r>
      <w:r w:rsidR="00721B19" w:rsidRPr="00E47F76">
        <w:rPr>
          <w:lang w:eastAsia="zh-CN"/>
        </w:rPr>
        <w:t>2</w:t>
      </w:r>
      <w:r w:rsidR="00721B19">
        <w:rPr>
          <w:rFonts w:hint="eastAsia"/>
          <w:lang w:eastAsia="zh-CN"/>
        </w:rPr>
        <w:t>（</w:t>
      </w:r>
      <w:r w:rsidR="00721B19" w:rsidRPr="007946C8">
        <w:rPr>
          <w:rFonts w:hint="eastAsia"/>
          <w:lang w:eastAsia="zh-CN"/>
        </w:rPr>
        <w:t>利用</w:t>
      </w:r>
      <w:r w:rsidR="00721B19">
        <w:rPr>
          <w:rFonts w:hint="eastAsia"/>
          <w:lang w:eastAsia="zh-CN"/>
        </w:rPr>
        <w:t>各项</w:t>
      </w:r>
      <w:r w:rsidR="00721B19" w:rsidRPr="007946C8">
        <w:rPr>
          <w:rFonts w:hint="eastAsia"/>
          <w:lang w:eastAsia="zh-CN"/>
        </w:rPr>
        <w:t>活动</w:t>
      </w:r>
      <w:r w:rsidR="00721B19">
        <w:rPr>
          <w:rFonts w:hint="eastAsia"/>
          <w:lang w:eastAsia="zh-CN"/>
        </w:rPr>
        <w:t>、</w:t>
      </w:r>
      <w:r w:rsidR="00721B19" w:rsidRPr="007946C8">
        <w:rPr>
          <w:rFonts w:hint="eastAsia"/>
          <w:lang w:eastAsia="zh-CN"/>
        </w:rPr>
        <w:t>产品和服务</w:t>
      </w:r>
      <w:r w:rsidR="00721B19">
        <w:rPr>
          <w:rFonts w:hint="eastAsia"/>
          <w:lang w:eastAsia="zh-CN"/>
        </w:rPr>
        <w:t>）方面</w:t>
      </w:r>
      <w:r w:rsidR="00721B19" w:rsidRPr="007946C8">
        <w:rPr>
          <w:rFonts w:hint="eastAsia"/>
          <w:lang w:eastAsia="zh-CN"/>
        </w:rPr>
        <w:t>的建议</w:t>
      </w:r>
      <w:r w:rsidR="00721B19"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需要对更多数字平台进行大量投资</w:t>
      </w:r>
      <w:r w:rsidR="00366565">
        <w:rPr>
          <w:rFonts w:hint="eastAsia"/>
          <w:lang w:eastAsia="zh-CN"/>
        </w:rPr>
        <w:t>，</w:t>
      </w:r>
      <w:r w:rsidR="007946C8" w:rsidRPr="007946C8">
        <w:rPr>
          <w:rFonts w:hint="eastAsia"/>
          <w:lang w:eastAsia="zh-CN"/>
        </w:rPr>
        <w:t>并建设专业人员的能力和技能</w:t>
      </w:r>
      <w:r w:rsidR="00366565" w:rsidRPr="0029077B">
        <w:rPr>
          <w:rFonts w:hint="eastAsia"/>
          <w:lang w:eastAsia="zh-CN"/>
        </w:rPr>
        <w:t>。</w:t>
      </w:r>
    </w:p>
    <w:p w14:paraId="2B36DB3A" w14:textId="355D912D" w:rsidR="00E47F76" w:rsidRPr="00E47F76" w:rsidRDefault="00366565" w:rsidP="00ED6CA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480"/>
        <w:jc w:val="both"/>
        <w:rPr>
          <w:lang w:eastAsia="zh-CN"/>
        </w:rPr>
      </w:pPr>
      <w:r w:rsidRPr="00366565"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eastAsia="zh-CN"/>
        </w:rPr>
        <w:t>：</w:t>
      </w:r>
      <w:r w:rsidR="00E47F76" w:rsidRPr="00E47F76">
        <w:rPr>
          <w:lang w:eastAsia="zh-CN"/>
        </w:rPr>
        <w:t>1</w:t>
      </w:r>
      <w:r w:rsidR="007946C8" w:rsidRPr="007946C8">
        <w:rPr>
          <w:rFonts w:hint="eastAsia"/>
          <w:lang w:eastAsia="zh-CN"/>
        </w:rPr>
        <w:t>件</w:t>
      </w:r>
    </w:p>
    <w:p w14:paraId="6CBE6375" w14:textId="77777777" w:rsidR="00E07422" w:rsidRDefault="00E0742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SimSun" w:hAnsi="SimSun" w:cs="SimSun"/>
          <w:caps/>
          <w:sz w:val="28"/>
          <w:lang w:eastAsia="zh-CN"/>
        </w:rPr>
      </w:pPr>
      <w:bookmarkStart w:id="8" w:name="Annex1"/>
      <w:bookmarkEnd w:id="8"/>
      <w:r>
        <w:rPr>
          <w:rFonts w:ascii="SimSun" w:hAnsi="SimSun" w:cs="SimSun"/>
          <w:lang w:eastAsia="zh-CN"/>
        </w:rPr>
        <w:br w:type="page"/>
      </w:r>
    </w:p>
    <w:p w14:paraId="728507C6" w14:textId="195854EA" w:rsidR="00E47F76" w:rsidRPr="00E47F76" w:rsidRDefault="007946C8" w:rsidP="00E47F76">
      <w:pPr>
        <w:pStyle w:val="AnnexNo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720" w:after="0"/>
        <w:rPr>
          <w:rFonts w:eastAsia="Times New Roman"/>
          <w:lang w:eastAsia="zh-CN"/>
        </w:rPr>
      </w:pPr>
      <w:bookmarkStart w:id="9" w:name="dtitle1"/>
      <w:bookmarkStart w:id="10" w:name="附件1"/>
      <w:r w:rsidRPr="007946C8">
        <w:rPr>
          <w:rFonts w:ascii="SimSun" w:hAnsi="SimSun" w:cs="SimSun" w:hint="eastAsia"/>
          <w:lang w:eastAsia="zh-CN"/>
        </w:rPr>
        <w:lastRenderedPageBreak/>
        <w:t>附件</w:t>
      </w:r>
      <w:r w:rsidR="00E47F76" w:rsidRPr="00E47F76">
        <w:rPr>
          <w:rFonts w:eastAsia="Times New Roman"/>
          <w:lang w:eastAsia="zh-CN"/>
        </w:rPr>
        <w:t>1</w:t>
      </w:r>
      <w:bookmarkEnd w:id="9"/>
      <w:bookmarkEnd w:id="10"/>
    </w:p>
    <w:p w14:paraId="7488309C" w14:textId="5C6B7DCE" w:rsidR="00E47F76" w:rsidRPr="00E47F76" w:rsidRDefault="00E47F76" w:rsidP="00E47F76">
      <w:pPr>
        <w:pStyle w:val="Annextitl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240"/>
        <w:rPr>
          <w:rFonts w:ascii="Calibri" w:eastAsia="Times New Roman" w:hAnsi="Calibri"/>
          <w:lang w:eastAsia="zh-CN"/>
        </w:rPr>
      </w:pPr>
      <w:r w:rsidRPr="00E47F76">
        <w:rPr>
          <w:rFonts w:ascii="Calibri" w:eastAsia="Times New Roman" w:hAnsi="Calibri"/>
          <w:lang w:eastAsia="zh-CN"/>
        </w:rPr>
        <w:t>2025</w:t>
      </w:r>
      <w:r w:rsidR="00366565" w:rsidRPr="007946C8">
        <w:rPr>
          <w:rFonts w:ascii="SimSun" w:hAnsi="SimSun" w:cs="SimSun" w:hint="eastAsia"/>
          <w:lang w:eastAsia="zh-CN"/>
        </w:rPr>
        <w:t>年和</w:t>
      </w:r>
      <w:r w:rsidRPr="00E47F76">
        <w:rPr>
          <w:rFonts w:ascii="Calibri" w:eastAsia="Times New Roman" w:hAnsi="Calibri"/>
          <w:lang w:eastAsia="zh-CN"/>
        </w:rPr>
        <w:t>2026</w:t>
      </w:r>
      <w:r w:rsidR="007946C8" w:rsidRPr="007946C8">
        <w:rPr>
          <w:rFonts w:ascii="SimSun" w:hAnsi="SimSun" w:cs="SimSun" w:hint="eastAsia"/>
          <w:lang w:eastAsia="zh-CN"/>
        </w:rPr>
        <w:t>年的优先事项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5240"/>
        <w:gridCol w:w="2062"/>
        <w:gridCol w:w="2038"/>
      </w:tblGrid>
      <w:tr w:rsidR="00E47F76" w:rsidRPr="00E47F76" w14:paraId="6495383E" w14:textId="77777777" w:rsidTr="00ED1E0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D047" w14:textId="1BB9C36C" w:rsidR="00E47F76" w:rsidRPr="00E47F76" w:rsidRDefault="007946C8" w:rsidP="00E47F76">
            <w:pPr>
              <w:spacing w:before="80" w:after="80"/>
              <w:jc w:val="center"/>
              <w:rPr>
                <w:b/>
              </w:rPr>
            </w:pPr>
            <w:r w:rsidRPr="007946C8">
              <w:rPr>
                <w:rFonts w:hint="eastAsia"/>
                <w:b/>
                <w:lang w:eastAsia="zh-CN"/>
              </w:rPr>
              <w:t>行动项目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F428" w14:textId="39C398A5" w:rsidR="00E47F76" w:rsidRPr="00E47F76" w:rsidRDefault="007946C8" w:rsidP="00E47F76">
            <w:pPr>
              <w:spacing w:before="80" w:after="80"/>
              <w:jc w:val="center"/>
              <w:rPr>
                <w:b/>
              </w:rPr>
            </w:pPr>
            <w:r w:rsidRPr="007946C8">
              <w:rPr>
                <w:rFonts w:hint="eastAsia"/>
                <w:b/>
                <w:lang w:eastAsia="zh-CN"/>
              </w:rPr>
              <w:t>里程碑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7D7E" w14:textId="162F86A3" w:rsidR="00E47F76" w:rsidRPr="00E47F76" w:rsidRDefault="007946C8" w:rsidP="00E47F76">
            <w:pPr>
              <w:spacing w:before="80" w:after="80"/>
              <w:jc w:val="center"/>
              <w:rPr>
                <w:b/>
              </w:rPr>
            </w:pPr>
            <w:r w:rsidRPr="007946C8">
              <w:rPr>
                <w:rFonts w:hint="eastAsia"/>
                <w:b/>
                <w:lang w:eastAsia="zh-CN"/>
              </w:rPr>
              <w:t>目标</w:t>
            </w:r>
          </w:p>
        </w:tc>
      </w:tr>
      <w:tr w:rsidR="00E47F76" w:rsidRPr="00E47F76" w14:paraId="25DB18C1" w14:textId="77777777" w:rsidTr="00ED1E0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8AE6" w14:textId="1D602F6E" w:rsidR="00366565" w:rsidRPr="00E47F76" w:rsidRDefault="00114915" w:rsidP="00366565">
            <w:pPr>
              <w:spacing w:before="40" w:after="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编制</w:t>
            </w:r>
            <w:r w:rsidR="007946C8" w:rsidRPr="007946C8">
              <w:rPr>
                <w:rFonts w:hint="eastAsia"/>
                <w:lang w:eastAsia="zh-CN"/>
              </w:rPr>
              <w:t>新的</w:t>
            </w:r>
            <w:r w:rsidR="00366565" w:rsidRPr="00366565">
              <w:rPr>
                <w:rFonts w:hint="eastAsia"/>
                <w:lang w:eastAsia="zh-CN"/>
              </w:rPr>
              <w:t>高管</w:t>
            </w:r>
            <w:r w:rsidRPr="00114915">
              <w:rPr>
                <w:rFonts w:hint="eastAsia"/>
                <w:lang w:eastAsia="zh-CN"/>
              </w:rPr>
              <w:t>层</w:t>
            </w:r>
            <w:r w:rsidR="00366565" w:rsidRPr="00366565">
              <w:rPr>
                <w:rFonts w:hint="eastAsia"/>
                <w:lang w:eastAsia="zh-CN"/>
              </w:rPr>
              <w:t>简报</w:t>
            </w:r>
            <w:r w:rsidR="007946C8" w:rsidRPr="007946C8">
              <w:rPr>
                <w:rFonts w:hint="eastAsia"/>
                <w:lang w:eastAsia="zh-CN"/>
              </w:rPr>
              <w:t>和宣传材料</w:t>
            </w:r>
            <w:r w:rsidR="00366565">
              <w:rPr>
                <w:rFonts w:hint="eastAsia"/>
                <w:lang w:eastAsia="zh-CN"/>
              </w:rPr>
              <w:t>，</w:t>
            </w:r>
            <w:r w:rsidR="007946C8" w:rsidRPr="007946C8">
              <w:rPr>
                <w:rFonts w:hint="eastAsia"/>
                <w:lang w:eastAsia="zh-CN"/>
              </w:rPr>
              <w:t>供代表</w:t>
            </w:r>
            <w:r w:rsidR="00366565">
              <w:rPr>
                <w:rFonts w:hint="eastAsia"/>
                <w:lang w:eastAsia="zh-CN"/>
              </w:rPr>
              <w:t>们</w:t>
            </w:r>
            <w:r w:rsidR="007946C8" w:rsidRPr="007946C8">
              <w:rPr>
                <w:rFonts w:hint="eastAsia"/>
                <w:lang w:eastAsia="zh-CN"/>
              </w:rPr>
              <w:t>在各自国家主管部门内说明</w:t>
            </w:r>
            <w:r w:rsidR="00366565">
              <w:rPr>
                <w:rFonts w:hint="eastAsia"/>
                <w:lang w:eastAsia="zh-CN"/>
              </w:rPr>
              <w:t>支持</w:t>
            </w:r>
            <w:r w:rsidR="007946C8" w:rsidRPr="007946C8">
              <w:rPr>
                <w:rFonts w:hint="eastAsia"/>
                <w:lang w:eastAsia="zh-CN"/>
              </w:rPr>
              <w:t>国际电联</w:t>
            </w:r>
            <w:r w:rsidR="00366565">
              <w:rPr>
                <w:rFonts w:hint="eastAsia"/>
                <w:lang w:eastAsia="zh-CN"/>
              </w:rPr>
              <w:t>工作的必要性</w:t>
            </w:r>
            <w:r w:rsidR="007946C8" w:rsidRPr="007946C8">
              <w:rPr>
                <w:rFonts w:hint="eastAsia"/>
                <w:lang w:eastAsia="zh-CN"/>
              </w:rPr>
              <w:t>时使用</w:t>
            </w:r>
            <w:r w:rsidR="00C97E19">
              <w:rPr>
                <w:rFonts w:hint="eastAsia"/>
                <w:lang w:eastAsia="zh-CN"/>
              </w:rPr>
              <w:t>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745F" w14:textId="24E5AD26" w:rsidR="00E47F76" w:rsidRPr="00E47F76" w:rsidRDefault="007946C8" w:rsidP="00E47F76">
            <w:pPr>
              <w:jc w:val="center"/>
            </w:pPr>
            <w:r w:rsidRPr="007946C8">
              <w:rPr>
                <w:rFonts w:hint="eastAsia"/>
                <w:lang w:eastAsia="zh-CN"/>
              </w:rPr>
              <w:t>已完成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19AF" w14:textId="0A2D1B54" w:rsidR="00E47F76" w:rsidRPr="00E47F76" w:rsidRDefault="00E47F76" w:rsidP="00E47F76">
            <w:pPr>
              <w:jc w:val="center"/>
            </w:pPr>
            <w:r w:rsidRPr="00E47F76">
              <w:t>2025</w:t>
            </w:r>
            <w:r w:rsidR="007946C8" w:rsidRPr="007946C8">
              <w:rPr>
                <w:rFonts w:hint="eastAsia"/>
                <w:lang w:eastAsia="zh-CN"/>
              </w:rPr>
              <w:t>年第三季度</w:t>
            </w:r>
          </w:p>
        </w:tc>
      </w:tr>
      <w:tr w:rsidR="00E47F76" w:rsidRPr="00E47F76" w14:paraId="7E731F1D" w14:textId="77777777" w:rsidTr="00ED1E0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7735" w14:textId="1DB4C909" w:rsidR="00E47F76" w:rsidRPr="00E47F76" w:rsidRDefault="007972E0" w:rsidP="00E47F76">
            <w:pPr>
              <w:spacing w:before="40" w:after="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从</w:t>
            </w:r>
            <w:r w:rsidR="007946C8" w:rsidRPr="007946C8">
              <w:rPr>
                <w:rFonts w:hint="eastAsia"/>
                <w:lang w:eastAsia="zh-CN"/>
              </w:rPr>
              <w:t>数字生态系统</w:t>
            </w:r>
            <w:r w:rsidR="00572D0A">
              <w:rPr>
                <w:rFonts w:hint="eastAsia"/>
                <w:lang w:eastAsia="zh-CN"/>
              </w:rPr>
              <w:t>中</w:t>
            </w:r>
            <w:r w:rsidR="007946C8" w:rsidRPr="007946C8">
              <w:rPr>
                <w:rFonts w:hint="eastAsia"/>
                <w:lang w:eastAsia="zh-CN"/>
              </w:rPr>
              <w:t>代表性不足的</w:t>
            </w:r>
            <w:r w:rsidR="00572D0A">
              <w:rPr>
                <w:rFonts w:hint="eastAsia"/>
                <w:lang w:eastAsia="zh-CN"/>
              </w:rPr>
              <w:t>领域内</w:t>
            </w:r>
            <w:r w:rsidR="007946C8" w:rsidRPr="007946C8">
              <w:rPr>
                <w:rFonts w:hint="eastAsia"/>
                <w:lang w:eastAsia="zh-CN"/>
              </w:rPr>
              <w:t>确定</w:t>
            </w:r>
            <w:r w:rsidR="00572D0A">
              <w:rPr>
                <w:rFonts w:hint="eastAsia"/>
                <w:lang w:eastAsia="zh-CN"/>
              </w:rPr>
              <w:t>关键</w:t>
            </w:r>
            <w:r w:rsidR="00C97E19">
              <w:rPr>
                <w:rFonts w:hint="eastAsia"/>
                <w:lang w:eastAsia="zh-CN"/>
              </w:rPr>
              <w:t>的</w:t>
            </w:r>
            <w:r w:rsidR="007946C8" w:rsidRPr="007946C8">
              <w:rPr>
                <w:rFonts w:hint="eastAsia"/>
                <w:lang w:eastAsia="zh-CN"/>
              </w:rPr>
              <w:t>非成员公司</w:t>
            </w:r>
            <w:r w:rsidR="00C97E19">
              <w:rPr>
                <w:rFonts w:hint="eastAsia"/>
                <w:lang w:eastAsia="zh-CN"/>
              </w:rPr>
              <w:t>，</w:t>
            </w:r>
            <w:r w:rsidR="00C97E19" w:rsidRPr="00C97E19">
              <w:rPr>
                <w:rFonts w:hint="eastAsia"/>
                <w:lang w:eastAsia="zh-CN"/>
              </w:rPr>
              <w:t>邀请其加入</w:t>
            </w:r>
            <w:r w:rsidR="007946C8" w:rsidRPr="007946C8">
              <w:rPr>
                <w:rFonts w:hint="eastAsia"/>
                <w:lang w:eastAsia="zh-CN"/>
              </w:rPr>
              <w:t>国际电联</w:t>
            </w:r>
            <w:r w:rsidR="00ED6CAE">
              <w:rPr>
                <w:rFonts w:hint="eastAsia"/>
                <w:lang w:eastAsia="zh-CN"/>
              </w:rPr>
              <w:t>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16F5" w14:textId="07F0BE9D" w:rsidR="00E47F76" w:rsidRPr="00E47F76" w:rsidRDefault="007946C8" w:rsidP="00E47F76">
            <w:pPr>
              <w:jc w:val="center"/>
            </w:pPr>
            <w:r w:rsidRPr="007946C8">
              <w:rPr>
                <w:rFonts w:hint="eastAsia"/>
                <w:lang w:eastAsia="zh-CN"/>
              </w:rPr>
              <w:t>已完成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5B4A" w14:textId="3FFAF088" w:rsidR="00E47F76" w:rsidRPr="00E47F76" w:rsidRDefault="00E47F76" w:rsidP="00E47F76">
            <w:pPr>
              <w:jc w:val="center"/>
            </w:pPr>
            <w:r w:rsidRPr="00E47F76">
              <w:t>2025</w:t>
            </w:r>
            <w:r w:rsidR="007946C8" w:rsidRPr="007946C8">
              <w:rPr>
                <w:rFonts w:hint="eastAsia"/>
                <w:lang w:eastAsia="zh-CN"/>
              </w:rPr>
              <w:t>年第三季度</w:t>
            </w:r>
          </w:p>
        </w:tc>
      </w:tr>
      <w:tr w:rsidR="00E47F76" w:rsidRPr="00E47F76" w14:paraId="14416D3C" w14:textId="77777777" w:rsidTr="00ED1E0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97B2" w14:textId="794257D6" w:rsidR="00E47F76" w:rsidRPr="00E47F76" w:rsidRDefault="007946C8" w:rsidP="00E47F76">
            <w:pPr>
              <w:spacing w:before="40" w:after="40"/>
              <w:rPr>
                <w:lang w:eastAsia="zh-CN"/>
              </w:rPr>
            </w:pPr>
            <w:r w:rsidRPr="007946C8">
              <w:rPr>
                <w:rFonts w:hint="eastAsia"/>
                <w:lang w:eastAsia="zh-CN"/>
              </w:rPr>
              <w:t>与</w:t>
            </w:r>
            <w:r w:rsidR="00C97E19">
              <w:rPr>
                <w:rFonts w:hint="eastAsia"/>
                <w:lang w:eastAsia="zh-CN"/>
              </w:rPr>
              <w:t>各</w:t>
            </w:r>
            <w:r w:rsidRPr="007946C8">
              <w:rPr>
                <w:rFonts w:hint="eastAsia"/>
                <w:lang w:eastAsia="zh-CN"/>
              </w:rPr>
              <w:t>部门顾问组</w:t>
            </w:r>
            <w:r w:rsidR="00A07418">
              <w:rPr>
                <w:rFonts w:hint="eastAsia"/>
                <w:lang w:eastAsia="zh-CN"/>
              </w:rPr>
              <w:t>磋商</w:t>
            </w:r>
            <w:r w:rsidR="007972E0">
              <w:rPr>
                <w:rFonts w:hint="eastAsia"/>
                <w:lang w:eastAsia="zh-CN"/>
              </w:rPr>
              <w:t>，</w:t>
            </w:r>
            <w:r w:rsidR="00C97E19">
              <w:rPr>
                <w:rFonts w:hint="eastAsia"/>
                <w:lang w:eastAsia="zh-CN"/>
              </w:rPr>
              <w:t>审查</w:t>
            </w:r>
            <w:r w:rsidRPr="007946C8">
              <w:rPr>
                <w:rFonts w:hint="eastAsia"/>
                <w:lang w:eastAsia="zh-CN"/>
              </w:rPr>
              <w:t>部门成员</w:t>
            </w:r>
            <w:r w:rsidR="00C97E19">
              <w:rPr>
                <w:rFonts w:hint="eastAsia"/>
                <w:lang w:eastAsia="zh-CN"/>
              </w:rPr>
              <w:t>权益和</w:t>
            </w:r>
            <w:r w:rsidR="00C97E19" w:rsidRPr="00C97E19">
              <w:rPr>
                <w:rFonts w:hint="eastAsia"/>
                <w:lang w:eastAsia="zh-CN"/>
              </w:rPr>
              <w:t>会费</w:t>
            </w:r>
            <w:r w:rsidR="00C97E19">
              <w:rPr>
                <w:rFonts w:hint="eastAsia"/>
                <w:lang w:eastAsia="zh-CN"/>
              </w:rPr>
              <w:t>，</w:t>
            </w:r>
            <w:r w:rsidRPr="007946C8">
              <w:rPr>
                <w:rFonts w:hint="eastAsia"/>
                <w:lang w:eastAsia="zh-CN"/>
              </w:rPr>
              <w:t>以确保</w:t>
            </w:r>
            <w:r w:rsidR="00C97E19">
              <w:rPr>
                <w:rFonts w:hint="eastAsia"/>
                <w:lang w:eastAsia="zh-CN"/>
              </w:rPr>
              <w:t>权益</w:t>
            </w:r>
            <w:r w:rsidR="00FA6A17">
              <w:rPr>
                <w:rFonts w:hint="eastAsia"/>
                <w:lang w:eastAsia="zh-CN"/>
              </w:rPr>
              <w:t>符合</w:t>
            </w:r>
            <w:r w:rsidRPr="007946C8">
              <w:rPr>
                <w:rFonts w:hint="eastAsia"/>
                <w:lang w:eastAsia="zh-CN"/>
              </w:rPr>
              <w:t>预期</w:t>
            </w:r>
            <w:r w:rsidR="00C97E19">
              <w:rPr>
                <w:rFonts w:hint="eastAsia"/>
                <w:lang w:eastAsia="zh-CN"/>
              </w:rPr>
              <w:t>，</w:t>
            </w:r>
            <w:r w:rsidRPr="007946C8">
              <w:rPr>
                <w:rFonts w:hint="eastAsia"/>
                <w:lang w:eastAsia="zh-CN"/>
              </w:rPr>
              <w:t>且部门成员</w:t>
            </w:r>
            <w:r w:rsidR="005E75B4">
              <w:rPr>
                <w:rFonts w:hint="eastAsia"/>
                <w:lang w:eastAsia="zh-CN"/>
              </w:rPr>
              <w:t>会费仍能</w:t>
            </w:r>
            <w:r w:rsidR="006C0508" w:rsidRPr="006C0508">
              <w:rPr>
                <w:rFonts w:hint="eastAsia"/>
                <w:lang w:eastAsia="zh-CN"/>
              </w:rPr>
              <w:t>涵盖</w:t>
            </w:r>
            <w:r w:rsidR="005E75B4">
              <w:rPr>
                <w:rFonts w:hint="eastAsia"/>
                <w:lang w:eastAsia="zh-CN"/>
              </w:rPr>
              <w:t>成本</w:t>
            </w:r>
            <w:r w:rsidR="00C97E19">
              <w:rPr>
                <w:rFonts w:hint="eastAsia"/>
                <w:lang w:eastAsia="zh-CN"/>
              </w:rPr>
              <w:t>。</w:t>
            </w:r>
            <w:r w:rsidRPr="007946C8">
              <w:rPr>
                <w:rFonts w:hint="eastAsia"/>
                <w:lang w:eastAsia="zh-CN"/>
              </w:rPr>
              <w:t>评估</w:t>
            </w:r>
            <w:r w:rsidR="00FA6A17" w:rsidRPr="007946C8">
              <w:rPr>
                <w:rFonts w:hint="eastAsia"/>
                <w:lang w:eastAsia="zh-CN"/>
              </w:rPr>
              <w:t>潜在</w:t>
            </w:r>
            <w:r w:rsidR="00C97E19">
              <w:rPr>
                <w:rFonts w:hint="eastAsia"/>
                <w:lang w:eastAsia="zh-CN"/>
              </w:rPr>
              <w:t>会费</w:t>
            </w:r>
            <w:r w:rsidR="005E75B4">
              <w:rPr>
                <w:rFonts w:hint="eastAsia"/>
                <w:lang w:eastAsia="zh-CN"/>
              </w:rPr>
              <w:t>变动</w:t>
            </w:r>
            <w:r w:rsidR="00FA6A17">
              <w:rPr>
                <w:rFonts w:hint="eastAsia"/>
                <w:lang w:eastAsia="zh-CN"/>
              </w:rPr>
              <w:t>可能带来</w:t>
            </w:r>
            <w:r w:rsidRPr="007946C8">
              <w:rPr>
                <w:rFonts w:hint="eastAsia"/>
                <w:lang w:eastAsia="zh-CN"/>
              </w:rPr>
              <w:t>的任何风险</w:t>
            </w:r>
            <w:r w:rsidR="00C97E19">
              <w:rPr>
                <w:rFonts w:hint="eastAsia"/>
                <w:lang w:eastAsia="zh-CN"/>
              </w:rPr>
              <w:t>。</w:t>
            </w:r>
            <w:r w:rsidR="00FA6A17" w:rsidRPr="00FA6A17">
              <w:rPr>
                <w:rFonts w:hint="eastAsia"/>
                <w:lang w:eastAsia="zh-CN"/>
              </w:rPr>
              <w:t>除其他事项外，</w:t>
            </w:r>
            <w:r w:rsidRPr="007946C8">
              <w:rPr>
                <w:rFonts w:hint="eastAsia"/>
                <w:lang w:eastAsia="zh-CN"/>
              </w:rPr>
              <w:t>考虑</w:t>
            </w:r>
            <w:r w:rsidR="00C97E19">
              <w:rPr>
                <w:rFonts w:hint="eastAsia"/>
                <w:lang w:eastAsia="zh-CN"/>
              </w:rPr>
              <w:t>能够</w:t>
            </w:r>
            <w:r w:rsidRPr="007946C8">
              <w:rPr>
                <w:rFonts w:hint="eastAsia"/>
                <w:lang w:eastAsia="zh-CN"/>
              </w:rPr>
              <w:t>鼓励现有部门成员</w:t>
            </w:r>
            <w:r w:rsidR="007972E0">
              <w:rPr>
                <w:rFonts w:hint="eastAsia"/>
                <w:lang w:eastAsia="zh-CN"/>
              </w:rPr>
              <w:t>加入</w:t>
            </w:r>
            <w:r w:rsidRPr="007946C8">
              <w:rPr>
                <w:rFonts w:hint="eastAsia"/>
                <w:lang w:eastAsia="zh-CN"/>
              </w:rPr>
              <w:t>多个部门</w:t>
            </w:r>
            <w:r w:rsidR="00C97E19">
              <w:rPr>
                <w:rFonts w:hint="eastAsia"/>
                <w:lang w:eastAsia="zh-CN"/>
              </w:rPr>
              <w:t>以及</w:t>
            </w:r>
            <w:r w:rsidRPr="007946C8">
              <w:rPr>
                <w:rFonts w:hint="eastAsia"/>
                <w:lang w:eastAsia="zh-CN"/>
              </w:rPr>
              <w:t>部门准成员升级为正式部门成员</w:t>
            </w:r>
            <w:r w:rsidR="00C97E19">
              <w:rPr>
                <w:rFonts w:hint="eastAsia"/>
                <w:lang w:eastAsia="zh-CN"/>
              </w:rPr>
              <w:t>的</w:t>
            </w:r>
            <w:r w:rsidR="00FA6A17">
              <w:rPr>
                <w:rFonts w:hint="eastAsia"/>
                <w:lang w:eastAsia="zh-CN"/>
              </w:rPr>
              <w:t>权益措施</w:t>
            </w:r>
            <w:r w:rsidR="00C97E19">
              <w:rPr>
                <w:rFonts w:hint="eastAsia"/>
                <w:lang w:eastAsia="zh-CN"/>
              </w:rPr>
              <w:t>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3A63" w14:textId="0B7D3E65" w:rsidR="00E47F76" w:rsidRPr="00E47F76" w:rsidRDefault="007946C8" w:rsidP="00E47F76">
            <w:pPr>
              <w:jc w:val="center"/>
            </w:pPr>
            <w:r w:rsidRPr="007946C8">
              <w:rPr>
                <w:rFonts w:hint="eastAsia"/>
                <w:lang w:eastAsia="zh-CN"/>
              </w:rPr>
              <w:t>进行中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E70A" w14:textId="6E6392E2" w:rsidR="00E47F76" w:rsidRPr="00E47F76" w:rsidRDefault="00E47F76" w:rsidP="00E47F76">
            <w:pPr>
              <w:jc w:val="center"/>
            </w:pPr>
            <w:r w:rsidRPr="00E47F76">
              <w:t>2026</w:t>
            </w:r>
            <w:r w:rsidR="007946C8" w:rsidRPr="007946C8">
              <w:rPr>
                <w:rFonts w:hint="eastAsia"/>
                <w:lang w:eastAsia="zh-CN"/>
              </w:rPr>
              <w:t>年第</w:t>
            </w:r>
            <w:r w:rsidR="00C97E19">
              <w:rPr>
                <w:rFonts w:hint="eastAsia"/>
                <w:lang w:eastAsia="zh-CN"/>
              </w:rPr>
              <w:t>二</w:t>
            </w:r>
            <w:r w:rsidR="007946C8" w:rsidRPr="007946C8">
              <w:rPr>
                <w:rFonts w:hint="eastAsia"/>
                <w:lang w:eastAsia="zh-CN"/>
              </w:rPr>
              <w:t>季度</w:t>
            </w:r>
          </w:p>
        </w:tc>
      </w:tr>
      <w:tr w:rsidR="00E47F76" w:rsidRPr="00E47F76" w14:paraId="28DFDD6C" w14:textId="77777777" w:rsidTr="00ED1E0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615A" w14:textId="3B9121DB" w:rsidR="00E47F76" w:rsidRPr="00E47F76" w:rsidRDefault="007946C8" w:rsidP="00E47F76">
            <w:pPr>
              <w:spacing w:before="40" w:after="40"/>
              <w:rPr>
                <w:lang w:eastAsia="zh-CN"/>
              </w:rPr>
            </w:pPr>
            <w:r w:rsidRPr="007946C8">
              <w:rPr>
                <w:rFonts w:hint="eastAsia"/>
                <w:lang w:eastAsia="zh-CN"/>
              </w:rPr>
              <w:t>考虑促进部门成员参与的新方法</w:t>
            </w:r>
            <w:r w:rsidR="00C97E19">
              <w:rPr>
                <w:rFonts w:hint="eastAsia"/>
                <w:lang w:eastAsia="zh-CN"/>
              </w:rPr>
              <w:t>，</w:t>
            </w:r>
            <w:r w:rsidRPr="007946C8">
              <w:rPr>
                <w:rFonts w:hint="eastAsia"/>
                <w:lang w:eastAsia="zh-CN"/>
              </w:rPr>
              <w:t>包括</w:t>
            </w:r>
            <w:r w:rsidR="0091354B" w:rsidRPr="007946C8">
              <w:rPr>
                <w:rFonts w:hint="eastAsia"/>
                <w:lang w:eastAsia="zh-CN"/>
              </w:rPr>
              <w:t>通过数字平台</w:t>
            </w:r>
            <w:r w:rsidR="0091354B">
              <w:rPr>
                <w:rFonts w:hint="eastAsia"/>
                <w:lang w:eastAsia="zh-CN"/>
              </w:rPr>
              <w:t>发布</w:t>
            </w:r>
            <w:r w:rsidRPr="007946C8">
              <w:rPr>
                <w:rFonts w:hint="eastAsia"/>
                <w:lang w:eastAsia="zh-CN"/>
              </w:rPr>
              <w:t>宣传材料和</w:t>
            </w:r>
            <w:r w:rsidR="0091354B">
              <w:rPr>
                <w:rFonts w:hint="eastAsia"/>
                <w:lang w:eastAsia="zh-CN"/>
              </w:rPr>
              <w:t>开展</w:t>
            </w:r>
            <w:r w:rsidRPr="007946C8">
              <w:rPr>
                <w:rFonts w:hint="eastAsia"/>
                <w:lang w:eastAsia="zh-CN"/>
              </w:rPr>
              <w:t>营销</w:t>
            </w:r>
            <w:r w:rsidR="0091354B">
              <w:rPr>
                <w:rFonts w:hint="eastAsia"/>
                <w:lang w:eastAsia="zh-CN"/>
              </w:rPr>
              <w:t>活动</w:t>
            </w:r>
            <w:r w:rsidR="00C97E19">
              <w:rPr>
                <w:rFonts w:hint="eastAsia"/>
                <w:lang w:eastAsia="zh-CN"/>
              </w:rPr>
              <w:t>，</w:t>
            </w:r>
            <w:r w:rsidRPr="007946C8">
              <w:rPr>
                <w:rFonts w:hint="eastAsia"/>
                <w:lang w:eastAsia="zh-CN"/>
              </w:rPr>
              <w:t>并在重要</w:t>
            </w:r>
            <w:r w:rsidR="00FA6A17">
              <w:rPr>
                <w:rFonts w:hint="eastAsia"/>
                <w:lang w:eastAsia="zh-CN"/>
              </w:rPr>
              <w:t>会议</w:t>
            </w:r>
            <w:r w:rsidRPr="007946C8">
              <w:rPr>
                <w:rFonts w:hint="eastAsia"/>
                <w:lang w:eastAsia="zh-CN"/>
              </w:rPr>
              <w:t>期间提高</w:t>
            </w:r>
            <w:r w:rsidR="007972E0" w:rsidRPr="002B0819">
              <w:rPr>
                <w:rFonts w:hint="eastAsia"/>
                <w:lang w:eastAsia="zh-CN"/>
              </w:rPr>
              <w:t>各界人士</w:t>
            </w:r>
            <w:r w:rsidR="0091354B" w:rsidRPr="002B0819">
              <w:rPr>
                <w:rFonts w:hint="eastAsia"/>
                <w:lang w:eastAsia="zh-CN"/>
              </w:rPr>
              <w:t>的</w:t>
            </w:r>
            <w:r w:rsidR="0091354B">
              <w:rPr>
                <w:rFonts w:hint="eastAsia"/>
                <w:lang w:eastAsia="zh-CN"/>
              </w:rPr>
              <w:t>认知度</w:t>
            </w:r>
            <w:r w:rsidR="00ED6CAE">
              <w:rPr>
                <w:rFonts w:hint="eastAsia"/>
                <w:lang w:eastAsia="zh-CN"/>
              </w:rPr>
              <w:t>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945" w14:textId="7E72B5B9" w:rsidR="00E47F76" w:rsidRPr="00E47F76" w:rsidRDefault="007946C8" w:rsidP="00E47F76">
            <w:pPr>
              <w:jc w:val="center"/>
            </w:pPr>
            <w:r w:rsidRPr="007946C8">
              <w:rPr>
                <w:rFonts w:hint="eastAsia"/>
                <w:lang w:eastAsia="zh-CN"/>
              </w:rPr>
              <w:t>进行中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F229" w14:textId="376BF88A" w:rsidR="00E47F76" w:rsidRPr="00E47F76" w:rsidRDefault="00E47F76" w:rsidP="00E47F76">
            <w:pPr>
              <w:jc w:val="center"/>
            </w:pPr>
            <w:r w:rsidRPr="00E47F76">
              <w:t>2026</w:t>
            </w:r>
            <w:r w:rsidR="007946C8" w:rsidRPr="007946C8">
              <w:rPr>
                <w:rFonts w:hint="eastAsia"/>
                <w:lang w:eastAsia="zh-CN"/>
              </w:rPr>
              <w:t>年第三季度</w:t>
            </w:r>
          </w:p>
        </w:tc>
      </w:tr>
      <w:tr w:rsidR="00E47F76" w:rsidRPr="00E47F76" w14:paraId="4265EB77" w14:textId="77777777" w:rsidTr="00ED1E0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3980" w14:textId="3336D696" w:rsidR="00E47F76" w:rsidRPr="00E47F76" w:rsidRDefault="00FA6A17" w:rsidP="00E47F76">
            <w:pPr>
              <w:spacing w:before="40" w:after="40"/>
              <w:rPr>
                <w:lang w:eastAsia="zh-CN"/>
              </w:rPr>
            </w:pPr>
            <w:r w:rsidRPr="007946C8">
              <w:rPr>
                <w:rFonts w:hint="eastAsia"/>
                <w:lang w:eastAsia="zh-CN"/>
              </w:rPr>
              <w:t>审查</w:t>
            </w:r>
            <w:r>
              <w:rPr>
                <w:rFonts w:hint="eastAsia"/>
                <w:lang w:eastAsia="zh-CN"/>
              </w:rPr>
              <w:t>获得</w:t>
            </w:r>
            <w:r w:rsidRPr="007946C8">
              <w:rPr>
                <w:rFonts w:hint="eastAsia"/>
                <w:lang w:eastAsia="zh-CN"/>
              </w:rPr>
              <w:t>新的自愿捐款的可能性</w:t>
            </w:r>
            <w:r>
              <w:rPr>
                <w:rFonts w:hint="eastAsia"/>
                <w:lang w:eastAsia="zh-CN"/>
              </w:rPr>
              <w:t>，充分</w:t>
            </w:r>
            <w:r w:rsidR="007946C8" w:rsidRPr="007946C8">
              <w:rPr>
                <w:rFonts w:hint="eastAsia"/>
                <w:lang w:eastAsia="zh-CN"/>
              </w:rPr>
              <w:t>利用新</w:t>
            </w:r>
            <w:r w:rsidR="003C6F66">
              <w:rPr>
                <w:rFonts w:hint="eastAsia"/>
                <w:lang w:eastAsia="zh-CN"/>
              </w:rPr>
              <w:t>获</w:t>
            </w:r>
            <w:r w:rsidR="007946C8" w:rsidRPr="007946C8">
              <w:rPr>
                <w:rFonts w:hint="eastAsia"/>
                <w:lang w:eastAsia="zh-CN"/>
              </w:rPr>
              <w:t>批的</w:t>
            </w:r>
            <w:r w:rsidR="0091354B" w:rsidRPr="00E47F76">
              <w:rPr>
                <w:lang w:eastAsia="zh-CN"/>
              </w:rPr>
              <w:t>WTDC-25</w:t>
            </w:r>
            <w:r w:rsidR="0091354B">
              <w:rPr>
                <w:rFonts w:hint="eastAsia"/>
                <w:lang w:eastAsia="zh-CN"/>
              </w:rPr>
              <w:t>《</w:t>
            </w:r>
            <w:r w:rsidR="0091354B" w:rsidRPr="007946C8">
              <w:rPr>
                <w:rFonts w:hint="eastAsia"/>
                <w:lang w:eastAsia="zh-CN"/>
              </w:rPr>
              <w:t>巴库行动计划</w:t>
            </w:r>
            <w:r w:rsidR="0091354B">
              <w:rPr>
                <w:rFonts w:hint="eastAsia"/>
                <w:lang w:eastAsia="zh-CN"/>
              </w:rPr>
              <w:t>》</w:t>
            </w:r>
            <w:r w:rsidR="007946C8" w:rsidRPr="007946C8">
              <w:rPr>
                <w:rFonts w:hint="eastAsia"/>
                <w:lang w:eastAsia="zh-CN"/>
              </w:rPr>
              <w:t>以及</w:t>
            </w:r>
            <w:r w:rsidR="0091354B" w:rsidRPr="00E47F76">
              <w:rPr>
                <w:lang w:eastAsia="zh-CN"/>
              </w:rPr>
              <w:t>P2C</w:t>
            </w:r>
            <w:r w:rsidR="007946C8" w:rsidRPr="00DF46DE">
              <w:rPr>
                <w:rFonts w:hint="eastAsia"/>
                <w:lang w:eastAsia="zh-CN"/>
              </w:rPr>
              <w:t>等伙伴关系举措</w:t>
            </w:r>
            <w:r w:rsidR="0091354B" w:rsidRPr="00DF46DE">
              <w:rPr>
                <w:rFonts w:hint="eastAsia"/>
                <w:lang w:eastAsia="zh-CN"/>
              </w:rPr>
              <w:t>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9EFF" w14:textId="2FD3D0CA" w:rsidR="00E47F76" w:rsidRPr="00E47F76" w:rsidRDefault="003C6F66" w:rsidP="00E47F76">
            <w:pPr>
              <w:jc w:val="center"/>
            </w:pPr>
            <w:r w:rsidRPr="003C6F66">
              <w:rPr>
                <w:rFonts w:hint="eastAsia"/>
                <w:lang w:eastAsia="zh-CN"/>
              </w:rPr>
              <w:t>即将启动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58A8" w14:textId="2DB08E92" w:rsidR="00E47F76" w:rsidRPr="00E47F76" w:rsidRDefault="00E47F76" w:rsidP="00E47F76">
            <w:pPr>
              <w:jc w:val="center"/>
            </w:pPr>
            <w:r w:rsidRPr="00E47F76">
              <w:t>2026</w:t>
            </w:r>
            <w:r w:rsidR="007946C8" w:rsidRPr="007946C8">
              <w:rPr>
                <w:rFonts w:hint="eastAsia"/>
                <w:lang w:eastAsia="zh-CN"/>
              </w:rPr>
              <w:t>年第</w:t>
            </w:r>
            <w:r w:rsidR="0091354B">
              <w:rPr>
                <w:rFonts w:hint="eastAsia"/>
                <w:lang w:eastAsia="zh-CN"/>
              </w:rPr>
              <w:t>四</w:t>
            </w:r>
            <w:r w:rsidR="007946C8" w:rsidRPr="007946C8">
              <w:rPr>
                <w:rFonts w:hint="eastAsia"/>
                <w:lang w:eastAsia="zh-CN"/>
              </w:rPr>
              <w:t>季度</w:t>
            </w:r>
          </w:p>
        </w:tc>
      </w:tr>
      <w:tr w:rsidR="00E47F76" w:rsidRPr="00E47F76" w14:paraId="56672635" w14:textId="77777777" w:rsidTr="00ED1E0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0FA4" w14:textId="5381BCD6" w:rsidR="00E47F76" w:rsidRPr="00E47F76" w:rsidRDefault="007946C8" w:rsidP="00E47F76">
            <w:pPr>
              <w:spacing w:before="40" w:after="40"/>
              <w:rPr>
                <w:lang w:eastAsia="zh-CN"/>
              </w:rPr>
            </w:pPr>
            <w:r w:rsidRPr="007946C8">
              <w:rPr>
                <w:rFonts w:hint="eastAsia"/>
                <w:lang w:eastAsia="zh-CN"/>
              </w:rPr>
              <w:t>审查国际电联</w:t>
            </w:r>
            <w:r w:rsidR="003C6F66">
              <w:rPr>
                <w:rFonts w:hint="eastAsia"/>
                <w:lang w:eastAsia="zh-CN"/>
              </w:rPr>
              <w:t>对</w:t>
            </w:r>
            <w:r w:rsidRPr="007946C8">
              <w:rPr>
                <w:rFonts w:hint="eastAsia"/>
                <w:lang w:eastAsia="zh-CN"/>
              </w:rPr>
              <w:t>自愿捐款的</w:t>
            </w:r>
            <w:r w:rsidR="003C6F66">
              <w:rPr>
                <w:rFonts w:hint="eastAsia"/>
                <w:lang w:eastAsia="zh-CN"/>
              </w:rPr>
              <w:t>认可</w:t>
            </w:r>
            <w:r w:rsidRPr="007946C8">
              <w:rPr>
                <w:rFonts w:hint="eastAsia"/>
                <w:lang w:eastAsia="zh-CN"/>
              </w:rPr>
              <w:t>方式方面可能做出的改进</w:t>
            </w:r>
            <w:r w:rsidR="0091354B">
              <w:rPr>
                <w:rFonts w:hint="eastAsia"/>
                <w:lang w:eastAsia="zh-CN"/>
              </w:rPr>
              <w:t>，</w:t>
            </w:r>
            <w:r w:rsidRPr="007946C8">
              <w:rPr>
                <w:rFonts w:hint="eastAsia"/>
                <w:lang w:eastAsia="zh-CN"/>
              </w:rPr>
              <w:t>以</w:t>
            </w:r>
            <w:r w:rsidR="003C6F66">
              <w:rPr>
                <w:rFonts w:hint="eastAsia"/>
                <w:lang w:eastAsia="zh-CN"/>
              </w:rPr>
              <w:t>适应</w:t>
            </w:r>
            <w:r w:rsidRPr="007946C8">
              <w:rPr>
                <w:rFonts w:hint="eastAsia"/>
                <w:lang w:eastAsia="zh-CN"/>
              </w:rPr>
              <w:t>捐助方不断变化的期望</w:t>
            </w:r>
            <w:r w:rsidR="0091354B">
              <w:rPr>
                <w:rFonts w:hint="eastAsia"/>
                <w:lang w:eastAsia="zh-CN"/>
              </w:rPr>
              <w:t>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F77F" w14:textId="20F53D2F" w:rsidR="00E47F76" w:rsidRPr="00E47F76" w:rsidRDefault="003C6F66" w:rsidP="00E47F76">
            <w:pPr>
              <w:jc w:val="center"/>
            </w:pPr>
            <w:r w:rsidRPr="003C6F66">
              <w:rPr>
                <w:rFonts w:hint="eastAsia"/>
                <w:lang w:eastAsia="zh-CN"/>
              </w:rPr>
              <w:t>即将启动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92B5" w14:textId="7E473392" w:rsidR="00E47F76" w:rsidRPr="00E47F76" w:rsidRDefault="00E47F76" w:rsidP="00E47F76">
            <w:pPr>
              <w:jc w:val="center"/>
            </w:pPr>
            <w:r w:rsidRPr="00E47F76">
              <w:t>2026</w:t>
            </w:r>
            <w:r w:rsidR="007946C8" w:rsidRPr="007946C8">
              <w:rPr>
                <w:rFonts w:hint="eastAsia"/>
                <w:lang w:eastAsia="zh-CN"/>
              </w:rPr>
              <w:t>年第</w:t>
            </w:r>
            <w:r w:rsidR="0091354B">
              <w:rPr>
                <w:rFonts w:hint="eastAsia"/>
                <w:lang w:eastAsia="zh-CN"/>
              </w:rPr>
              <w:t>四</w:t>
            </w:r>
            <w:r w:rsidR="007946C8" w:rsidRPr="007946C8">
              <w:rPr>
                <w:rFonts w:hint="eastAsia"/>
                <w:lang w:eastAsia="zh-CN"/>
              </w:rPr>
              <w:t>季度</w:t>
            </w:r>
          </w:p>
        </w:tc>
      </w:tr>
      <w:tr w:rsidR="00E47F76" w:rsidRPr="00E47F76" w14:paraId="12251245" w14:textId="77777777" w:rsidTr="00ED1E0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B424" w14:textId="34972E4C" w:rsidR="00E47F76" w:rsidRPr="00E47F76" w:rsidRDefault="007946C8" w:rsidP="00E47F76">
            <w:pPr>
              <w:spacing w:before="40" w:after="40"/>
              <w:rPr>
                <w:lang w:eastAsia="zh-CN"/>
              </w:rPr>
            </w:pPr>
            <w:r w:rsidRPr="007946C8">
              <w:rPr>
                <w:rFonts w:hint="eastAsia"/>
                <w:lang w:eastAsia="zh-CN"/>
              </w:rPr>
              <w:t>实施新的措施和系统</w:t>
            </w:r>
            <w:r w:rsidR="00850ECD">
              <w:rPr>
                <w:rFonts w:hint="eastAsia"/>
                <w:lang w:eastAsia="zh-CN"/>
              </w:rPr>
              <w:t>，</w:t>
            </w:r>
            <w:r w:rsidRPr="007946C8">
              <w:rPr>
                <w:rFonts w:hint="eastAsia"/>
                <w:lang w:eastAsia="zh-CN"/>
              </w:rPr>
              <w:t>以更好地协调账户管理</w:t>
            </w:r>
            <w:r w:rsidR="00FE43F4">
              <w:rPr>
                <w:rFonts w:hint="eastAsia"/>
                <w:lang w:eastAsia="zh-CN"/>
              </w:rPr>
              <w:t>，</w:t>
            </w:r>
            <w:r w:rsidRPr="007946C8">
              <w:rPr>
                <w:rFonts w:hint="eastAsia"/>
                <w:lang w:eastAsia="zh-CN"/>
              </w:rPr>
              <w:t>并改善整个国际电联</w:t>
            </w:r>
            <w:r w:rsidR="00D85952">
              <w:rPr>
                <w:rFonts w:hint="eastAsia"/>
                <w:lang w:eastAsia="zh-CN"/>
              </w:rPr>
              <w:t>向</w:t>
            </w:r>
            <w:r w:rsidRPr="007946C8">
              <w:rPr>
                <w:rFonts w:hint="eastAsia"/>
                <w:lang w:eastAsia="zh-CN"/>
              </w:rPr>
              <w:t>成员国</w:t>
            </w:r>
            <w:r w:rsidR="00850ECD">
              <w:rPr>
                <w:rFonts w:hint="eastAsia"/>
                <w:lang w:eastAsia="zh-CN"/>
              </w:rPr>
              <w:t>、</w:t>
            </w:r>
            <w:r w:rsidRPr="007946C8">
              <w:rPr>
                <w:rFonts w:hint="eastAsia"/>
                <w:lang w:eastAsia="zh-CN"/>
              </w:rPr>
              <w:t>部门成员</w:t>
            </w:r>
            <w:r w:rsidR="00850ECD">
              <w:rPr>
                <w:rFonts w:hint="eastAsia"/>
                <w:lang w:eastAsia="zh-CN"/>
              </w:rPr>
              <w:t>、</w:t>
            </w:r>
            <w:r w:rsidRPr="007946C8">
              <w:rPr>
                <w:rFonts w:hint="eastAsia"/>
                <w:lang w:eastAsia="zh-CN"/>
              </w:rPr>
              <w:t>捐助方等</w:t>
            </w:r>
            <w:r w:rsidR="00850ECD">
              <w:rPr>
                <w:rFonts w:hint="eastAsia"/>
                <w:lang w:eastAsia="zh-CN"/>
              </w:rPr>
              <w:t>提供</w:t>
            </w:r>
            <w:r w:rsidR="00D85952">
              <w:rPr>
                <w:rFonts w:hint="eastAsia"/>
                <w:lang w:eastAsia="zh-CN"/>
              </w:rPr>
              <w:t>的</w:t>
            </w:r>
            <w:r w:rsidRPr="007946C8">
              <w:rPr>
                <w:rFonts w:hint="eastAsia"/>
                <w:lang w:eastAsia="zh-CN"/>
              </w:rPr>
              <w:t>服务</w:t>
            </w:r>
            <w:r w:rsidR="00850ECD">
              <w:rPr>
                <w:rFonts w:hint="eastAsia"/>
                <w:lang w:eastAsia="zh-CN"/>
              </w:rPr>
              <w:t>。</w:t>
            </w:r>
            <w:r w:rsidRPr="007946C8">
              <w:rPr>
                <w:rFonts w:hint="eastAsia"/>
                <w:lang w:eastAsia="zh-CN"/>
              </w:rPr>
              <w:t>这包括</w:t>
            </w:r>
            <w:r w:rsidR="008D1967" w:rsidRPr="007946C8">
              <w:rPr>
                <w:rFonts w:hint="eastAsia"/>
                <w:lang w:eastAsia="zh-CN"/>
              </w:rPr>
              <w:t>作为转型计划</w:t>
            </w:r>
            <w:r w:rsidR="00D85952">
              <w:rPr>
                <w:rFonts w:hint="eastAsia"/>
                <w:lang w:eastAsia="zh-CN"/>
              </w:rPr>
              <w:t>的</w:t>
            </w:r>
            <w:r w:rsidR="008D1967" w:rsidRPr="007946C8">
              <w:rPr>
                <w:rFonts w:hint="eastAsia"/>
                <w:lang w:eastAsia="zh-CN"/>
              </w:rPr>
              <w:t>一部分</w:t>
            </w:r>
            <w:r w:rsidR="008D1967">
              <w:rPr>
                <w:rFonts w:hint="eastAsia"/>
                <w:lang w:eastAsia="zh-CN"/>
              </w:rPr>
              <w:t>，</w:t>
            </w:r>
            <w:r w:rsidRPr="007946C8">
              <w:rPr>
                <w:rFonts w:hint="eastAsia"/>
                <w:lang w:eastAsia="zh-CN"/>
              </w:rPr>
              <w:t>解决内部推动因素</w:t>
            </w:r>
            <w:r w:rsidR="008D1967">
              <w:rPr>
                <w:rFonts w:hint="eastAsia"/>
                <w:lang w:eastAsia="zh-CN"/>
              </w:rPr>
              <w:t>问题：</w:t>
            </w:r>
            <w:r w:rsidRPr="007946C8">
              <w:rPr>
                <w:rFonts w:hint="eastAsia"/>
                <w:lang w:eastAsia="zh-CN"/>
              </w:rPr>
              <w:t>信息技术系统</w:t>
            </w:r>
            <w:r w:rsidR="008D1967">
              <w:rPr>
                <w:rFonts w:hint="eastAsia"/>
                <w:lang w:eastAsia="zh-CN"/>
              </w:rPr>
              <w:t>、</w:t>
            </w:r>
            <w:r w:rsidRPr="007946C8">
              <w:rPr>
                <w:rFonts w:hint="eastAsia"/>
                <w:lang w:eastAsia="zh-CN"/>
              </w:rPr>
              <w:t>建设</w:t>
            </w:r>
            <w:r w:rsidR="008D1967" w:rsidRPr="008D1967">
              <w:rPr>
                <w:rFonts w:hint="eastAsia"/>
                <w:lang w:eastAsia="zh-CN"/>
              </w:rPr>
              <w:t>职员</w:t>
            </w:r>
            <w:r w:rsidRPr="007946C8">
              <w:rPr>
                <w:rFonts w:hint="eastAsia"/>
                <w:lang w:eastAsia="zh-CN"/>
              </w:rPr>
              <w:t>能力和技能</w:t>
            </w:r>
            <w:r w:rsidR="008D1967">
              <w:rPr>
                <w:rFonts w:hint="eastAsia"/>
                <w:lang w:eastAsia="zh-CN"/>
              </w:rPr>
              <w:t>、实现</w:t>
            </w:r>
            <w:r w:rsidR="008D1967" w:rsidRPr="007946C8">
              <w:rPr>
                <w:rFonts w:hint="eastAsia"/>
                <w:lang w:eastAsia="zh-CN"/>
              </w:rPr>
              <w:t>财务和行政规则及流程</w:t>
            </w:r>
            <w:r w:rsidR="008D1967">
              <w:rPr>
                <w:rFonts w:hint="eastAsia"/>
                <w:lang w:eastAsia="zh-CN"/>
              </w:rPr>
              <w:t>的优化和</w:t>
            </w:r>
            <w:r w:rsidRPr="007946C8">
              <w:rPr>
                <w:rFonts w:hint="eastAsia"/>
                <w:lang w:eastAsia="zh-CN"/>
              </w:rPr>
              <w:t>现代化</w:t>
            </w:r>
            <w:r w:rsidR="008D1967">
              <w:rPr>
                <w:rFonts w:hint="eastAsia"/>
                <w:lang w:eastAsia="zh-CN"/>
              </w:rPr>
              <w:t>等。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B0B4" w14:textId="225700CE" w:rsidR="00E47F76" w:rsidRPr="00E47F76" w:rsidRDefault="007946C8" w:rsidP="00E47F76">
            <w:pPr>
              <w:jc w:val="center"/>
            </w:pPr>
            <w:r w:rsidRPr="007946C8">
              <w:rPr>
                <w:rFonts w:hint="eastAsia"/>
                <w:lang w:eastAsia="zh-CN"/>
              </w:rPr>
              <w:t>进行中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CB40" w14:textId="7DC25747" w:rsidR="00E47F76" w:rsidRPr="00E47F76" w:rsidRDefault="007946C8" w:rsidP="00E47F76">
            <w:pPr>
              <w:jc w:val="center"/>
            </w:pPr>
            <w:r w:rsidRPr="007946C8">
              <w:rPr>
                <w:rFonts w:hint="eastAsia"/>
                <w:lang w:eastAsia="zh-CN"/>
              </w:rPr>
              <w:t>第</w:t>
            </w:r>
            <w:r w:rsidR="008D1967" w:rsidRPr="00E47F76">
              <w:t>1</w:t>
            </w:r>
            <w:r w:rsidRPr="007946C8">
              <w:rPr>
                <w:rFonts w:hint="eastAsia"/>
                <w:lang w:eastAsia="zh-CN"/>
              </w:rPr>
              <w:t>阶段</w:t>
            </w:r>
            <w:r w:rsidR="008D1967">
              <w:rPr>
                <w:rFonts w:hint="eastAsia"/>
                <w:lang w:eastAsia="zh-CN"/>
              </w:rPr>
              <w:t>：</w:t>
            </w:r>
            <w:r w:rsidR="008D1967" w:rsidRPr="00E47F76">
              <w:t>2026</w:t>
            </w:r>
            <w:r w:rsidRPr="007946C8">
              <w:rPr>
                <w:rFonts w:hint="eastAsia"/>
                <w:lang w:eastAsia="zh-CN"/>
              </w:rPr>
              <w:t>年第二季度</w:t>
            </w:r>
          </w:p>
        </w:tc>
      </w:tr>
    </w:tbl>
    <w:p w14:paraId="699296DD" w14:textId="77777777" w:rsidR="00E323D0" w:rsidRPr="00E323D0" w:rsidRDefault="00E323D0" w:rsidP="00ED1E0D">
      <w:pPr>
        <w:spacing w:before="600"/>
        <w:jc w:val="center"/>
      </w:pPr>
      <w:bookmarkStart w:id="11" w:name="Annex2"/>
      <w:bookmarkEnd w:id="11"/>
      <w:r>
        <w:t>______________</w:t>
      </w:r>
    </w:p>
    <w:sectPr w:rsidR="00E323D0" w:rsidRPr="00E323D0" w:rsidSect="00E24D59">
      <w:footerReference w:type="default" r:id="rId24"/>
      <w:headerReference w:type="first" r:id="rId25"/>
      <w:footerReference w:type="first" r:id="rId2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6613" w14:textId="77777777" w:rsidR="00545E64" w:rsidRDefault="00545E64">
      <w:r>
        <w:separator/>
      </w:r>
    </w:p>
  </w:endnote>
  <w:endnote w:type="continuationSeparator" w:id="0">
    <w:p w14:paraId="1A0B47AF" w14:textId="77777777" w:rsidR="00545E64" w:rsidRDefault="0054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38911E69" w14:textId="77777777" w:rsidTr="00E31DCE">
      <w:trPr>
        <w:jc w:val="center"/>
      </w:trPr>
      <w:tc>
        <w:tcPr>
          <w:tcW w:w="1803" w:type="dxa"/>
          <w:vAlign w:val="center"/>
        </w:tcPr>
        <w:p w14:paraId="3CC3072B" w14:textId="7B8B29D2" w:rsidR="00E24D59" w:rsidRPr="00ED6CAE" w:rsidRDefault="00ED6CAE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R2600706</w:t>
          </w:r>
        </w:p>
      </w:tc>
      <w:tc>
        <w:tcPr>
          <w:tcW w:w="8261" w:type="dxa"/>
        </w:tcPr>
        <w:p w14:paraId="20F6D68A" w14:textId="12060074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ED6CAE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73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248776A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DE48453" w14:textId="77777777" w:rsidTr="00E31DCE">
      <w:trPr>
        <w:jc w:val="center"/>
      </w:trPr>
      <w:tc>
        <w:tcPr>
          <w:tcW w:w="1803" w:type="dxa"/>
          <w:vAlign w:val="center"/>
        </w:tcPr>
        <w:p w14:paraId="609099FF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2670BBE2" w14:textId="70AC265F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ED6CAE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73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2B538F8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63B1" w14:textId="77777777" w:rsidR="00545E64" w:rsidRDefault="00545E64">
      <w:r>
        <w:t>____________________</w:t>
      </w:r>
    </w:p>
  </w:footnote>
  <w:footnote w:type="continuationSeparator" w:id="0">
    <w:p w14:paraId="3D56049E" w14:textId="77777777" w:rsidR="00545E64" w:rsidRDefault="0054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666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6"/>
    <w:rsid w:val="00001B77"/>
    <w:rsid w:val="0000517A"/>
    <w:rsid w:val="0000538F"/>
    <w:rsid w:val="00031E72"/>
    <w:rsid w:val="00033B67"/>
    <w:rsid w:val="0003612A"/>
    <w:rsid w:val="000404D2"/>
    <w:rsid w:val="000646BD"/>
    <w:rsid w:val="00065998"/>
    <w:rsid w:val="00073C16"/>
    <w:rsid w:val="000853C0"/>
    <w:rsid w:val="0009106C"/>
    <w:rsid w:val="00093DD9"/>
    <w:rsid w:val="00093E68"/>
    <w:rsid w:val="0009409E"/>
    <w:rsid w:val="000A1C21"/>
    <w:rsid w:val="000C0BC5"/>
    <w:rsid w:val="000C69C5"/>
    <w:rsid w:val="000D15EA"/>
    <w:rsid w:val="000D7012"/>
    <w:rsid w:val="00100D84"/>
    <w:rsid w:val="001044C3"/>
    <w:rsid w:val="00114915"/>
    <w:rsid w:val="00123578"/>
    <w:rsid w:val="00124C9D"/>
    <w:rsid w:val="001305DE"/>
    <w:rsid w:val="0014703F"/>
    <w:rsid w:val="0015333E"/>
    <w:rsid w:val="00157773"/>
    <w:rsid w:val="00163634"/>
    <w:rsid w:val="0018251A"/>
    <w:rsid w:val="00190272"/>
    <w:rsid w:val="00193244"/>
    <w:rsid w:val="00195C6C"/>
    <w:rsid w:val="00195FED"/>
    <w:rsid w:val="001A4BD6"/>
    <w:rsid w:val="001B6E2B"/>
    <w:rsid w:val="001B728D"/>
    <w:rsid w:val="001C4621"/>
    <w:rsid w:val="001D5A18"/>
    <w:rsid w:val="001E2E49"/>
    <w:rsid w:val="0020634A"/>
    <w:rsid w:val="00215132"/>
    <w:rsid w:val="00220A9F"/>
    <w:rsid w:val="00220C45"/>
    <w:rsid w:val="00224449"/>
    <w:rsid w:val="00233FFE"/>
    <w:rsid w:val="00277DEA"/>
    <w:rsid w:val="00280EB8"/>
    <w:rsid w:val="0029077B"/>
    <w:rsid w:val="002916B4"/>
    <w:rsid w:val="002A0DC5"/>
    <w:rsid w:val="002A1D39"/>
    <w:rsid w:val="002A6670"/>
    <w:rsid w:val="002B0819"/>
    <w:rsid w:val="002C3F32"/>
    <w:rsid w:val="002D5877"/>
    <w:rsid w:val="002E1B8A"/>
    <w:rsid w:val="00303502"/>
    <w:rsid w:val="00325C25"/>
    <w:rsid w:val="003610C9"/>
    <w:rsid w:val="00366565"/>
    <w:rsid w:val="00372C8F"/>
    <w:rsid w:val="00380ECE"/>
    <w:rsid w:val="00393DDF"/>
    <w:rsid w:val="003974B0"/>
    <w:rsid w:val="00397F55"/>
    <w:rsid w:val="003B4454"/>
    <w:rsid w:val="003C2E37"/>
    <w:rsid w:val="003C6F66"/>
    <w:rsid w:val="003F086E"/>
    <w:rsid w:val="003F1415"/>
    <w:rsid w:val="0040144C"/>
    <w:rsid w:val="00403EB7"/>
    <w:rsid w:val="004178E6"/>
    <w:rsid w:val="00430BF0"/>
    <w:rsid w:val="004525DE"/>
    <w:rsid w:val="004611B6"/>
    <w:rsid w:val="004653A6"/>
    <w:rsid w:val="00465C35"/>
    <w:rsid w:val="004672E6"/>
    <w:rsid w:val="00474ED1"/>
    <w:rsid w:val="00477D57"/>
    <w:rsid w:val="00482641"/>
    <w:rsid w:val="00482FD0"/>
    <w:rsid w:val="00491BA9"/>
    <w:rsid w:val="00492E07"/>
    <w:rsid w:val="00493085"/>
    <w:rsid w:val="00493642"/>
    <w:rsid w:val="00496A3E"/>
    <w:rsid w:val="004A36EC"/>
    <w:rsid w:val="004D163F"/>
    <w:rsid w:val="004E4BFF"/>
    <w:rsid w:val="004F2598"/>
    <w:rsid w:val="005077DE"/>
    <w:rsid w:val="005162D6"/>
    <w:rsid w:val="005403F7"/>
    <w:rsid w:val="00540632"/>
    <w:rsid w:val="00541CF4"/>
    <w:rsid w:val="005451E8"/>
    <w:rsid w:val="00545E64"/>
    <w:rsid w:val="005507F2"/>
    <w:rsid w:val="005551A7"/>
    <w:rsid w:val="00555C29"/>
    <w:rsid w:val="00572D0A"/>
    <w:rsid w:val="005759CC"/>
    <w:rsid w:val="00576C08"/>
    <w:rsid w:val="005935F6"/>
    <w:rsid w:val="005A72E1"/>
    <w:rsid w:val="005B0696"/>
    <w:rsid w:val="005C658D"/>
    <w:rsid w:val="005C6632"/>
    <w:rsid w:val="005D1C9E"/>
    <w:rsid w:val="005E02D5"/>
    <w:rsid w:val="005E75B4"/>
    <w:rsid w:val="00602842"/>
    <w:rsid w:val="00617FF4"/>
    <w:rsid w:val="00630DD5"/>
    <w:rsid w:val="00637584"/>
    <w:rsid w:val="00654257"/>
    <w:rsid w:val="0065435A"/>
    <w:rsid w:val="00655B31"/>
    <w:rsid w:val="006678FB"/>
    <w:rsid w:val="00670D8A"/>
    <w:rsid w:val="0067386F"/>
    <w:rsid w:val="006A2DD3"/>
    <w:rsid w:val="006A5113"/>
    <w:rsid w:val="006A5AF8"/>
    <w:rsid w:val="006B1BC5"/>
    <w:rsid w:val="006C0508"/>
    <w:rsid w:val="006C36CD"/>
    <w:rsid w:val="00700D1F"/>
    <w:rsid w:val="00716DEC"/>
    <w:rsid w:val="007205CB"/>
    <w:rsid w:val="0072138B"/>
    <w:rsid w:val="00721B19"/>
    <w:rsid w:val="007244C3"/>
    <w:rsid w:val="00726073"/>
    <w:rsid w:val="007331EE"/>
    <w:rsid w:val="00734FE8"/>
    <w:rsid w:val="007360CE"/>
    <w:rsid w:val="00756F2B"/>
    <w:rsid w:val="0077110E"/>
    <w:rsid w:val="00772315"/>
    <w:rsid w:val="00772FC8"/>
    <w:rsid w:val="00775157"/>
    <w:rsid w:val="00777A30"/>
    <w:rsid w:val="007813AE"/>
    <w:rsid w:val="007946C8"/>
    <w:rsid w:val="007972E0"/>
    <w:rsid w:val="00797D0C"/>
    <w:rsid w:val="007A37DB"/>
    <w:rsid w:val="007E189D"/>
    <w:rsid w:val="007F0210"/>
    <w:rsid w:val="00805203"/>
    <w:rsid w:val="00806E3F"/>
    <w:rsid w:val="0081001B"/>
    <w:rsid w:val="00811259"/>
    <w:rsid w:val="00813AA2"/>
    <w:rsid w:val="008173A3"/>
    <w:rsid w:val="008418F5"/>
    <w:rsid w:val="008430CF"/>
    <w:rsid w:val="0084546D"/>
    <w:rsid w:val="00850ECD"/>
    <w:rsid w:val="0086059C"/>
    <w:rsid w:val="00864589"/>
    <w:rsid w:val="008650F6"/>
    <w:rsid w:val="00874114"/>
    <w:rsid w:val="00874C82"/>
    <w:rsid w:val="00890AFB"/>
    <w:rsid w:val="00890FC4"/>
    <w:rsid w:val="00895905"/>
    <w:rsid w:val="00896A17"/>
    <w:rsid w:val="008C2894"/>
    <w:rsid w:val="008D1967"/>
    <w:rsid w:val="008D6F22"/>
    <w:rsid w:val="008F64AD"/>
    <w:rsid w:val="00906DA1"/>
    <w:rsid w:val="00911230"/>
    <w:rsid w:val="00911867"/>
    <w:rsid w:val="0091354B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B3025"/>
    <w:rsid w:val="009C2458"/>
    <w:rsid w:val="009C4A7B"/>
    <w:rsid w:val="009C6123"/>
    <w:rsid w:val="009C6F9F"/>
    <w:rsid w:val="009C7105"/>
    <w:rsid w:val="009F1E3E"/>
    <w:rsid w:val="009F532C"/>
    <w:rsid w:val="00A0104F"/>
    <w:rsid w:val="00A01F4F"/>
    <w:rsid w:val="00A05117"/>
    <w:rsid w:val="00A07418"/>
    <w:rsid w:val="00A07550"/>
    <w:rsid w:val="00A109AF"/>
    <w:rsid w:val="00A1213C"/>
    <w:rsid w:val="00A13406"/>
    <w:rsid w:val="00A25A70"/>
    <w:rsid w:val="00A272FF"/>
    <w:rsid w:val="00A326A5"/>
    <w:rsid w:val="00A5354B"/>
    <w:rsid w:val="00A648C7"/>
    <w:rsid w:val="00A71B57"/>
    <w:rsid w:val="00A85D27"/>
    <w:rsid w:val="00AA2E08"/>
    <w:rsid w:val="00AA362B"/>
    <w:rsid w:val="00AA601A"/>
    <w:rsid w:val="00AB2308"/>
    <w:rsid w:val="00AB42C1"/>
    <w:rsid w:val="00AC516F"/>
    <w:rsid w:val="00AC60D2"/>
    <w:rsid w:val="00AD1B81"/>
    <w:rsid w:val="00AE0282"/>
    <w:rsid w:val="00AE195F"/>
    <w:rsid w:val="00AE2926"/>
    <w:rsid w:val="00B0184B"/>
    <w:rsid w:val="00B035CD"/>
    <w:rsid w:val="00B0769D"/>
    <w:rsid w:val="00B217F8"/>
    <w:rsid w:val="00B220B6"/>
    <w:rsid w:val="00B3006C"/>
    <w:rsid w:val="00B326AA"/>
    <w:rsid w:val="00B332EA"/>
    <w:rsid w:val="00B40A53"/>
    <w:rsid w:val="00B449F5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45EB2"/>
    <w:rsid w:val="00C63BAC"/>
    <w:rsid w:val="00C64E4E"/>
    <w:rsid w:val="00C66E64"/>
    <w:rsid w:val="00C761A0"/>
    <w:rsid w:val="00C85F7E"/>
    <w:rsid w:val="00C8716E"/>
    <w:rsid w:val="00C90D53"/>
    <w:rsid w:val="00C97E19"/>
    <w:rsid w:val="00CA0B2E"/>
    <w:rsid w:val="00CA260A"/>
    <w:rsid w:val="00CA6EF7"/>
    <w:rsid w:val="00CD47F0"/>
    <w:rsid w:val="00CD5566"/>
    <w:rsid w:val="00CD64D7"/>
    <w:rsid w:val="00CE3C48"/>
    <w:rsid w:val="00CE6A37"/>
    <w:rsid w:val="00CE6F22"/>
    <w:rsid w:val="00CF41F6"/>
    <w:rsid w:val="00CF6676"/>
    <w:rsid w:val="00CF7D3E"/>
    <w:rsid w:val="00D02B4E"/>
    <w:rsid w:val="00D21F11"/>
    <w:rsid w:val="00D22205"/>
    <w:rsid w:val="00D24D69"/>
    <w:rsid w:val="00D32F6F"/>
    <w:rsid w:val="00D36817"/>
    <w:rsid w:val="00D453EE"/>
    <w:rsid w:val="00D542F0"/>
    <w:rsid w:val="00D5666C"/>
    <w:rsid w:val="00D666BC"/>
    <w:rsid w:val="00D82A32"/>
    <w:rsid w:val="00D83542"/>
    <w:rsid w:val="00D85952"/>
    <w:rsid w:val="00D87C3A"/>
    <w:rsid w:val="00D92F45"/>
    <w:rsid w:val="00D94637"/>
    <w:rsid w:val="00D956D6"/>
    <w:rsid w:val="00D9725C"/>
    <w:rsid w:val="00DA0E66"/>
    <w:rsid w:val="00DA2D30"/>
    <w:rsid w:val="00DA7006"/>
    <w:rsid w:val="00DB09F9"/>
    <w:rsid w:val="00DB3621"/>
    <w:rsid w:val="00DC35E8"/>
    <w:rsid w:val="00DC6427"/>
    <w:rsid w:val="00DD62F5"/>
    <w:rsid w:val="00DD66A1"/>
    <w:rsid w:val="00DD7EAD"/>
    <w:rsid w:val="00DE196D"/>
    <w:rsid w:val="00DF46DE"/>
    <w:rsid w:val="00DF6B49"/>
    <w:rsid w:val="00E067C5"/>
    <w:rsid w:val="00E07422"/>
    <w:rsid w:val="00E24D59"/>
    <w:rsid w:val="00E265BF"/>
    <w:rsid w:val="00E30E8C"/>
    <w:rsid w:val="00E323D0"/>
    <w:rsid w:val="00E34C96"/>
    <w:rsid w:val="00E378D8"/>
    <w:rsid w:val="00E43A12"/>
    <w:rsid w:val="00E47F76"/>
    <w:rsid w:val="00E67C67"/>
    <w:rsid w:val="00E77476"/>
    <w:rsid w:val="00E80CA4"/>
    <w:rsid w:val="00E8228B"/>
    <w:rsid w:val="00ED1E0D"/>
    <w:rsid w:val="00ED6CAE"/>
    <w:rsid w:val="00EE5706"/>
    <w:rsid w:val="00EF373D"/>
    <w:rsid w:val="00F11595"/>
    <w:rsid w:val="00F13BC9"/>
    <w:rsid w:val="00F15C94"/>
    <w:rsid w:val="00F357B2"/>
    <w:rsid w:val="00F36556"/>
    <w:rsid w:val="00F51523"/>
    <w:rsid w:val="00F5226E"/>
    <w:rsid w:val="00F6736A"/>
    <w:rsid w:val="00F705DF"/>
    <w:rsid w:val="00F70622"/>
    <w:rsid w:val="00F85624"/>
    <w:rsid w:val="00F87C05"/>
    <w:rsid w:val="00F93191"/>
    <w:rsid w:val="00F93A17"/>
    <w:rsid w:val="00FA2AF6"/>
    <w:rsid w:val="00FA4F20"/>
    <w:rsid w:val="00FA6A17"/>
    <w:rsid w:val="00FB073D"/>
    <w:rsid w:val="00FB771F"/>
    <w:rsid w:val="00FC2015"/>
    <w:rsid w:val="00FC5386"/>
    <w:rsid w:val="00FE2324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4BF6A"/>
  <w15:docId w15:val="{548BB25D-ECC1-437B-B2B3-E2DA2B4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qFormat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qFormat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67/" TargetMode="External"/><Relationship Id="rId13" Type="http://schemas.openxmlformats.org/officeDocument/2006/relationships/hyperlink" Target="https://www.itu.int/md/S23-CWGFHR16-C-0011/en" TargetMode="External"/><Relationship Id="rId18" Type="http://schemas.openxmlformats.org/officeDocument/2006/relationships/hyperlink" Target="https://www.itu.int/md/S25-SG-CIR-0036/en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itu.int/md/S25-SG-CIR-0036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23-CL-C-0062/en" TargetMode="External"/><Relationship Id="rId17" Type="http://schemas.openxmlformats.org/officeDocument/2006/relationships/hyperlink" Target="https://www.itu.int/md/S24-CL-C-0070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dms_pub/itu-s/md/26/cwgfhr22/c/S26-CWGFHR22-C-0016!!MSW-E.docx" TargetMode="External"/><Relationship Id="rId20" Type="http://schemas.openxmlformats.org/officeDocument/2006/relationships/hyperlink" Target="https://www.itu.int/md/S25-CL-INF-0006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-2023/DEC-005-C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5-CL-INF-0006/en" TargetMode="External"/><Relationship Id="rId23" Type="http://schemas.openxmlformats.org/officeDocument/2006/relationships/hyperlink" Target="https://www.itu.int/md/S26-CL-INF-0014/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tu.int/en/council/cwg-fhr/Pages/default.aspx" TargetMode="External"/><Relationship Id="rId19" Type="http://schemas.openxmlformats.org/officeDocument/2006/relationships/hyperlink" Target="https://www.itu.int/dms_pub/itu-s/md/26/cl/c/S26-CL-C-0047!!MSW-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dms_pub/itu-s/md/26/cwgfhr22/c/S26-CWGFHR22-C-0016!!MSW-E.docx" TargetMode="External"/><Relationship Id="rId14" Type="http://schemas.openxmlformats.org/officeDocument/2006/relationships/hyperlink" Target="https://www.itu.int/md/S24-CL-C-0070/en" TargetMode="External"/><Relationship Id="rId22" Type="http://schemas.openxmlformats.org/officeDocument/2006/relationships/hyperlink" Target="https://www.itu.int/hub/membership/become-a-member/resources/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U\2026.03.09-05.08%20-%20Council\template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14</TotalTime>
  <Pages>4</Pages>
  <Words>2632</Words>
  <Characters>2339</Characters>
  <Application>Microsoft Office Word</Application>
  <DocSecurity>0</DocSecurity>
  <Lines>101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4866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implementation of ITU's resource mobilization strategy</dc:title>
  <dc:subject>ITU Council 2026</dc:subject>
  <cp:keywords>C26; C2026; Council 2026; PP26</cp:keywords>
  <dc:description/>
  <cp:lastPrinted>2015-02-24T13:23:00Z</cp:lastPrinted>
  <dcterms:created xsi:type="dcterms:W3CDTF">2026-04-13T14:10:00Z</dcterms:created>
  <dcterms:modified xsi:type="dcterms:W3CDTF">2026-04-13T16:13:00Z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