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44A0A396" w14:textId="77777777" w:rsidTr="00F363FE">
        <w:tc>
          <w:tcPr>
            <w:tcW w:w="6512" w:type="dxa"/>
          </w:tcPr>
          <w:p w14:paraId="3F9B6FF1" w14:textId="145DA2F0"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AC4100">
              <w:rPr>
                <w:rFonts w:hint="cs"/>
                <w:b/>
                <w:bCs/>
                <w:rtl/>
                <w:lang w:bidi="ar-EG"/>
              </w:rPr>
              <w:t xml:space="preserve"> </w:t>
            </w:r>
            <w:r w:rsidR="00AC4100">
              <w:rPr>
                <w:b/>
                <w:bCs/>
                <w:lang w:bidi="ar-EG"/>
              </w:rPr>
              <w:t>ADM 1</w:t>
            </w:r>
          </w:p>
        </w:tc>
        <w:tc>
          <w:tcPr>
            <w:tcW w:w="3117" w:type="dxa"/>
          </w:tcPr>
          <w:p w14:paraId="49225195" w14:textId="20F858EB"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AC4100">
              <w:rPr>
                <w:b/>
                <w:bCs/>
                <w:lang w:bidi="ar-EG"/>
              </w:rPr>
              <w:t>73</w:t>
            </w:r>
            <w:r w:rsidRPr="007B0AA0">
              <w:rPr>
                <w:b/>
                <w:bCs/>
                <w:lang w:bidi="ar-EG"/>
              </w:rPr>
              <w:t>-A</w:t>
            </w:r>
          </w:p>
        </w:tc>
      </w:tr>
      <w:tr w:rsidR="007B0AA0" w14:paraId="7C1209C2" w14:textId="77777777" w:rsidTr="00F363FE">
        <w:tc>
          <w:tcPr>
            <w:tcW w:w="6512" w:type="dxa"/>
          </w:tcPr>
          <w:p w14:paraId="61B07EE4" w14:textId="77777777" w:rsidR="007B0AA0" w:rsidRPr="007B0AA0" w:rsidRDefault="007B0AA0" w:rsidP="00F363FE">
            <w:pPr>
              <w:spacing w:before="60" w:after="60" w:line="260" w:lineRule="exact"/>
              <w:rPr>
                <w:b/>
                <w:bCs/>
                <w:rtl/>
                <w:lang w:bidi="ar-EG"/>
              </w:rPr>
            </w:pPr>
          </w:p>
        </w:tc>
        <w:tc>
          <w:tcPr>
            <w:tcW w:w="3117" w:type="dxa"/>
          </w:tcPr>
          <w:p w14:paraId="4B00E305" w14:textId="46E9B710" w:rsidR="007B0AA0" w:rsidRPr="007B0AA0" w:rsidRDefault="00AC4100" w:rsidP="00F363FE">
            <w:pPr>
              <w:spacing w:before="60" w:after="60" w:line="260" w:lineRule="exact"/>
              <w:rPr>
                <w:b/>
                <w:bCs/>
                <w:rtl/>
                <w:lang w:bidi="ar-EG"/>
              </w:rPr>
            </w:pPr>
            <w:r>
              <w:rPr>
                <w:rFonts w:hint="cs"/>
                <w:b/>
                <w:bCs/>
                <w:rtl/>
                <w:lang w:bidi="ar-EG"/>
              </w:rPr>
              <w:t>29 مارس 2026</w:t>
            </w:r>
          </w:p>
        </w:tc>
      </w:tr>
      <w:tr w:rsidR="007B0AA0" w14:paraId="4A9BBBF8" w14:textId="77777777" w:rsidTr="00F363FE">
        <w:tc>
          <w:tcPr>
            <w:tcW w:w="6512" w:type="dxa"/>
          </w:tcPr>
          <w:p w14:paraId="5B0D5A9A" w14:textId="77777777" w:rsidR="007B0AA0" w:rsidRPr="007B0AA0" w:rsidRDefault="007B0AA0" w:rsidP="00F363FE">
            <w:pPr>
              <w:spacing w:before="60" w:after="60" w:line="260" w:lineRule="exact"/>
              <w:rPr>
                <w:b/>
                <w:bCs/>
                <w:rtl/>
                <w:lang w:bidi="ar-EG"/>
              </w:rPr>
            </w:pPr>
          </w:p>
        </w:tc>
        <w:tc>
          <w:tcPr>
            <w:tcW w:w="3117" w:type="dxa"/>
          </w:tcPr>
          <w:p w14:paraId="2A599AFE"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033C92E" w14:textId="77777777" w:rsidTr="00F363FE">
        <w:tc>
          <w:tcPr>
            <w:tcW w:w="6512" w:type="dxa"/>
          </w:tcPr>
          <w:p w14:paraId="5386EDB0" w14:textId="77777777" w:rsidR="007B0AA0" w:rsidRDefault="007B0AA0" w:rsidP="00F363FE">
            <w:pPr>
              <w:spacing w:before="60" w:after="60" w:line="260" w:lineRule="exact"/>
              <w:rPr>
                <w:lang w:bidi="ar-EG"/>
              </w:rPr>
            </w:pPr>
          </w:p>
        </w:tc>
        <w:tc>
          <w:tcPr>
            <w:tcW w:w="3117" w:type="dxa"/>
          </w:tcPr>
          <w:p w14:paraId="7A59558C" w14:textId="77777777" w:rsidR="007B0AA0" w:rsidRDefault="007B0AA0" w:rsidP="00F363FE">
            <w:pPr>
              <w:spacing w:before="60" w:after="60" w:line="260" w:lineRule="exact"/>
              <w:rPr>
                <w:rtl/>
                <w:lang w:bidi="ar-EG"/>
              </w:rPr>
            </w:pPr>
          </w:p>
        </w:tc>
      </w:tr>
      <w:tr w:rsidR="007B0AA0" w14:paraId="0AA6C8DD" w14:textId="77777777" w:rsidTr="00EE7446">
        <w:tc>
          <w:tcPr>
            <w:tcW w:w="9629" w:type="dxa"/>
            <w:gridSpan w:val="2"/>
          </w:tcPr>
          <w:p w14:paraId="6DB9C426" w14:textId="77777777" w:rsidR="007B0AA0" w:rsidRDefault="001D64C7" w:rsidP="007B0AA0">
            <w:pPr>
              <w:pStyle w:val="Source"/>
              <w:jc w:val="left"/>
              <w:rPr>
                <w:rtl/>
                <w:lang w:bidi="ar-EG"/>
              </w:rPr>
            </w:pPr>
            <w:r>
              <w:rPr>
                <w:rFonts w:hint="cs"/>
                <w:rtl/>
                <w:lang w:bidi="ar-EG"/>
              </w:rPr>
              <w:t>تقرير من الأمينة العامة</w:t>
            </w:r>
          </w:p>
        </w:tc>
      </w:tr>
      <w:tr w:rsidR="007B0AA0" w14:paraId="7F3376B7" w14:textId="77777777" w:rsidTr="007B0AA0">
        <w:tc>
          <w:tcPr>
            <w:tcW w:w="9629" w:type="dxa"/>
            <w:gridSpan w:val="2"/>
            <w:tcBorders>
              <w:bottom w:val="single" w:sz="4" w:space="0" w:color="auto"/>
            </w:tcBorders>
          </w:tcPr>
          <w:p w14:paraId="3B747EDB" w14:textId="2B90FD0E" w:rsidR="007B0AA0" w:rsidRPr="005546CF" w:rsidRDefault="00AC4100" w:rsidP="00AC4100">
            <w:pPr>
              <w:pStyle w:val="Subtitle0"/>
              <w:rPr>
                <w:sz w:val="32"/>
                <w:szCs w:val="32"/>
              </w:rPr>
            </w:pPr>
            <w:r w:rsidRPr="00AC4100">
              <w:rPr>
                <w:sz w:val="32"/>
                <w:szCs w:val="32"/>
                <w:rtl/>
                <w:lang w:bidi="ar-SA"/>
              </w:rPr>
              <w:t>معلومات محدثة عن تنفيذ استراتيجية الاتحاد لتعبئة الموارد</w:t>
            </w:r>
          </w:p>
        </w:tc>
      </w:tr>
      <w:tr w:rsidR="007B0AA0" w14:paraId="1A82DBBB" w14:textId="77777777" w:rsidTr="007B0AA0">
        <w:tc>
          <w:tcPr>
            <w:tcW w:w="9629" w:type="dxa"/>
            <w:gridSpan w:val="2"/>
            <w:tcBorders>
              <w:top w:val="single" w:sz="4" w:space="0" w:color="auto"/>
              <w:bottom w:val="single" w:sz="4" w:space="0" w:color="auto"/>
            </w:tcBorders>
          </w:tcPr>
          <w:p w14:paraId="745E3E8B" w14:textId="77777777" w:rsidR="007B0AA0" w:rsidRPr="007B0AA0" w:rsidRDefault="007B0AA0" w:rsidP="007B0AA0">
            <w:pPr>
              <w:rPr>
                <w:b/>
                <w:bCs/>
                <w:rtl/>
              </w:rPr>
            </w:pPr>
            <w:r w:rsidRPr="00494119">
              <w:rPr>
                <w:rFonts w:hint="cs"/>
                <w:b/>
                <w:bCs/>
                <w:rtl/>
              </w:rPr>
              <w:t>الغرض</w:t>
            </w:r>
          </w:p>
          <w:p w14:paraId="1EE8325D" w14:textId="14687F47" w:rsidR="00AC4100" w:rsidRPr="00AC4100" w:rsidRDefault="00AC4100" w:rsidP="000D6EB8">
            <w:r w:rsidRPr="00AC4100">
              <w:rPr>
                <w:rtl/>
              </w:rPr>
              <w:t xml:space="preserve">كلف مؤتمر المندوبين المفوضين (بوخارست، 2022) الأمين العام في المقرَّر 5 (المراجَع في بوخارست، 2022) بإعداد استراتيجية لتعبئة الموارد على مستوى الاتحاد وعرضها على مجلس الاتحاد. وتستند استراتيجية تعبئة الموارد التي اعتمدها المجلس في دورته لعام 2024 (انظر الوثيقة </w:t>
            </w:r>
            <w:hyperlink r:id="rId8" w:history="1">
              <w:r w:rsidR="000D6EB8" w:rsidRPr="000D6EB8">
                <w:rPr>
                  <w:rStyle w:val="Hyperlink"/>
                  <w:noProof w:val="0"/>
                  <w:lang w:val="en-US" w:eastAsia="zh-CN"/>
                </w:rPr>
                <w:t>C24/70</w:t>
              </w:r>
            </w:hyperlink>
            <w:r w:rsidRPr="00AC4100">
              <w:rPr>
                <w:rtl/>
              </w:rPr>
              <w:t xml:space="preserve">) إلى </w:t>
            </w:r>
            <w:proofErr w:type="gramStart"/>
            <w:r w:rsidRPr="00AC4100">
              <w:rPr>
                <w:rtl/>
              </w:rPr>
              <w:t>ثلاثة</w:t>
            </w:r>
            <w:proofErr w:type="gramEnd"/>
            <w:r w:rsidRPr="00AC4100">
              <w:rPr>
                <w:rtl/>
              </w:rPr>
              <w:t xml:space="preserve"> مجالات عمل رئيسية هي: تعزيز العضوية؛ والاستفادة من الأحداث والمنتجات والخدمات؛ و</w:t>
            </w:r>
            <w:r w:rsidRPr="00AC4100">
              <w:rPr>
                <w:cs/>
              </w:rPr>
              <w:t>‎</w:t>
            </w:r>
            <w:r w:rsidRPr="00AC4100">
              <w:rPr>
                <w:rtl/>
              </w:rPr>
              <w:t>‏زيادة المساهمات الطوعية.</w:t>
            </w:r>
            <w:bookmarkStart w:id="0" w:name="_Hlk214891256"/>
            <w:bookmarkEnd w:id="0"/>
          </w:p>
          <w:p w14:paraId="5E924245" w14:textId="4E43CDCE" w:rsidR="007B0AA0" w:rsidRDefault="00AC4100" w:rsidP="000D6EB8">
            <w:pPr>
              <w:rPr>
                <w:rtl/>
              </w:rPr>
            </w:pPr>
            <w:r w:rsidRPr="00AC4100">
              <w:rPr>
                <w:rtl/>
              </w:rPr>
              <w:t xml:space="preserve">وقدمت معلومات محدثة عن التنفيذ الجاري في دورة المجلس لعام 2025 (الوثيقة </w:t>
            </w:r>
            <w:hyperlink r:id="rId9" w:history="1">
              <w:r w:rsidR="000D6EB8" w:rsidRPr="000D6EB8">
                <w:rPr>
                  <w:rStyle w:val="Hyperlink"/>
                  <w:noProof w:val="0"/>
                  <w:lang w:val="en-US" w:eastAsia="zh-CN"/>
                </w:rPr>
                <w:t>C25/67</w:t>
              </w:r>
            </w:hyperlink>
            <w:r w:rsidRPr="00AC4100">
              <w:rPr>
                <w:rtl/>
              </w:rPr>
              <w:t xml:space="preserve">) وفي اجتماع فريق العمل التابع للمجلس والمعني بالموارد المالية </w:t>
            </w:r>
            <w:proofErr w:type="gramStart"/>
            <w:r w:rsidRPr="00AC4100">
              <w:rPr>
                <w:rtl/>
              </w:rPr>
              <w:t>والبشرية  (</w:t>
            </w:r>
            <w:proofErr w:type="gramEnd"/>
            <w:r w:rsidRPr="00AC4100">
              <w:t>CWG-FHR</w:t>
            </w:r>
            <w:r w:rsidRPr="00AC4100">
              <w:rPr>
                <w:rtl/>
              </w:rPr>
              <w:t xml:space="preserve">) (الوثيقة </w:t>
            </w:r>
            <w:hyperlink r:id="rId10" w:history="1">
              <w:r w:rsidRPr="000D6EB8">
                <w:rPr>
                  <w:rStyle w:val="Hyperlink"/>
                  <w:noProof w:val="0"/>
                  <w:lang w:val="en-US" w:eastAsia="zh-CN"/>
                </w:rPr>
                <w:t>CWG-FHR-22/16</w:t>
              </w:r>
            </w:hyperlink>
            <w:r w:rsidRPr="00AC4100">
              <w:rPr>
                <w:rtl/>
              </w:rPr>
              <w:t>) للتعليق عليه واستعراضه وتقديمه لاحقا</w:t>
            </w:r>
            <w:r w:rsidR="006C0CA6">
              <w:rPr>
                <w:rFonts w:hint="cs"/>
                <w:rtl/>
              </w:rPr>
              <w:t>ً</w:t>
            </w:r>
            <w:r w:rsidRPr="00AC4100">
              <w:rPr>
                <w:rtl/>
              </w:rPr>
              <w:t xml:space="preserve"> إلى المجلس في دورته لعام 2026.</w:t>
            </w:r>
          </w:p>
          <w:p w14:paraId="2C0540F0" w14:textId="77777777" w:rsidR="007B0AA0" w:rsidRPr="007B0AA0" w:rsidRDefault="007B0AA0" w:rsidP="007B0AA0">
            <w:pPr>
              <w:rPr>
                <w:b/>
                <w:bCs/>
                <w:rtl/>
              </w:rPr>
            </w:pPr>
            <w:r w:rsidRPr="007B0AA0">
              <w:rPr>
                <w:rFonts w:hint="cs"/>
                <w:b/>
                <w:bCs/>
                <w:rtl/>
              </w:rPr>
              <w:t>الإجراء المطلوب من المجلس</w:t>
            </w:r>
          </w:p>
          <w:p w14:paraId="6098F1EE" w14:textId="1BC8C873" w:rsidR="007B0AA0" w:rsidRDefault="00AC4100" w:rsidP="00AC4100">
            <w:pPr>
              <w:rPr>
                <w:rtl/>
              </w:rPr>
            </w:pPr>
            <w:r w:rsidRPr="00AC4100">
              <w:rPr>
                <w:rtl/>
              </w:rPr>
              <w:t xml:space="preserve">‏يُدعى المجلس إلى </w:t>
            </w:r>
            <w:r w:rsidRPr="006C0CA6">
              <w:rPr>
                <w:b/>
                <w:bCs/>
                <w:rtl/>
              </w:rPr>
              <w:t>الإحاطة علماً</w:t>
            </w:r>
            <w:r w:rsidRPr="00AC4100">
              <w:rPr>
                <w:rtl/>
              </w:rPr>
              <w:t xml:space="preserve"> بهذه الوثيقة.</w:t>
            </w:r>
          </w:p>
          <w:p w14:paraId="668620E2"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42A86DBF" w14:textId="0D64F5C3" w:rsidR="007B0AA0" w:rsidRDefault="00AC4100" w:rsidP="00AC4100">
            <w:pPr>
              <w:rPr>
                <w:rtl/>
              </w:rPr>
            </w:pPr>
            <w:r w:rsidRPr="00AC4100">
              <w:rPr>
                <w:rtl/>
              </w:rPr>
              <w:t>تعبئة الموارد.</w:t>
            </w:r>
          </w:p>
          <w:p w14:paraId="52870497" w14:textId="77777777" w:rsidR="007B0AA0" w:rsidRDefault="007B0AA0" w:rsidP="00B97F32">
            <w:pPr>
              <w:rPr>
                <w:b/>
                <w:bCs/>
              </w:rPr>
            </w:pPr>
            <w:r w:rsidRPr="007B0AA0">
              <w:rPr>
                <w:rFonts w:hint="cs"/>
                <w:b/>
                <w:bCs/>
                <w:rtl/>
              </w:rPr>
              <w:t>الآثار المالية</w:t>
            </w:r>
          </w:p>
          <w:p w14:paraId="20C7E448" w14:textId="27C0DEB1" w:rsidR="006F363C" w:rsidRPr="005546CF" w:rsidRDefault="00AC4100" w:rsidP="00AC4100">
            <w:pPr>
              <w:rPr>
                <w:rtl/>
              </w:rPr>
            </w:pPr>
            <w:r w:rsidRPr="00AC4100">
              <w:rPr>
                <w:rtl/>
              </w:rPr>
              <w:t>إمكانية زيادة الميزانية العادية والتمويل من خارج الميزانية.</w:t>
            </w:r>
          </w:p>
          <w:p w14:paraId="2F8D6650"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5E9AE1D4" w14:textId="77777777" w:rsidR="007B0AA0" w:rsidRPr="007B0AA0" w:rsidRDefault="007B0AA0" w:rsidP="007B0AA0">
            <w:pPr>
              <w:rPr>
                <w:b/>
                <w:bCs/>
                <w:rtl/>
              </w:rPr>
            </w:pPr>
            <w:r w:rsidRPr="007B0AA0">
              <w:rPr>
                <w:rFonts w:hint="cs"/>
                <w:b/>
                <w:bCs/>
                <w:rtl/>
              </w:rPr>
              <w:t>المراجع</w:t>
            </w:r>
          </w:p>
          <w:p w14:paraId="76D668E4" w14:textId="638C7C61" w:rsidR="007B0AA0" w:rsidRPr="005546CF" w:rsidRDefault="00AC4100" w:rsidP="00AC4100">
            <w:pPr>
              <w:rPr>
                <w:i/>
                <w:iCs/>
                <w:rtl/>
              </w:rPr>
            </w:pPr>
            <w:hyperlink r:id="rId11" w:anchor="/ar" w:history="1">
              <w:r w:rsidRPr="000D6EB8">
                <w:rPr>
                  <w:rStyle w:val="Hyperlink"/>
                  <w:i/>
                  <w:iCs/>
                  <w:noProof w:val="0"/>
                  <w:rtl/>
                  <w:lang w:val="en-US" w:eastAsia="zh-CN"/>
                </w:rPr>
                <w:t>الموقع الإلكتروني لفريق العمل التابع للمجلس والمعني بالموارد المالية والبشرية  (</w:t>
              </w:r>
              <w:r w:rsidRPr="000D6EB8">
                <w:rPr>
                  <w:rStyle w:val="Hyperlink"/>
                  <w:i/>
                  <w:iCs/>
                  <w:noProof w:val="0"/>
                  <w:lang w:val="en-US" w:eastAsia="zh-CN"/>
                </w:rPr>
                <w:t>CWG-FHR</w:t>
              </w:r>
              <w:r w:rsidRPr="000D6EB8">
                <w:rPr>
                  <w:rStyle w:val="Hyperlink"/>
                  <w:i/>
                  <w:iCs/>
                  <w:noProof w:val="0"/>
                  <w:rtl/>
                  <w:lang w:val="en-US" w:eastAsia="zh-CN"/>
                </w:rPr>
                <w:t>)</w:t>
              </w:r>
            </w:hyperlink>
            <w:r w:rsidRPr="00AC4100">
              <w:rPr>
                <w:i/>
                <w:iCs/>
                <w:u w:color="5B9BD5"/>
                <w:rtl/>
              </w:rPr>
              <w:t xml:space="preserve">؛ </w:t>
            </w:r>
            <w:hyperlink r:id="rId12" w:history="1">
              <w:r w:rsidRPr="000D6EB8">
                <w:rPr>
                  <w:rStyle w:val="Hyperlink"/>
                  <w:i/>
                  <w:iCs/>
                  <w:noProof w:val="0"/>
                  <w:rtl/>
                  <w:lang w:val="en-US" w:eastAsia="zh-CN"/>
                </w:rPr>
                <w:t>والمقرَّر 5 (المراجَع في بوخارست، 2022)</w:t>
              </w:r>
            </w:hyperlink>
            <w:r w:rsidRPr="00AC4100">
              <w:rPr>
                <w:i/>
                <w:iCs/>
                <w:u w:color="5B9BD5"/>
                <w:rtl/>
              </w:rPr>
              <w:t xml:space="preserve"> الصادر عن مؤتمر المندوبين المفوضين؛ وثيقتا المجلس </w:t>
            </w:r>
            <w:hyperlink r:id="rId13" w:history="1">
              <w:r w:rsidRPr="00D838EB">
                <w:rPr>
                  <w:rStyle w:val="Hyperlink"/>
                  <w:i/>
                  <w:iCs/>
                  <w:noProof w:val="0"/>
                  <w:lang w:val="en-US" w:eastAsia="zh-CN"/>
                </w:rPr>
                <w:t>C17/67</w:t>
              </w:r>
            </w:hyperlink>
            <w:r w:rsidRPr="00AC4100">
              <w:rPr>
                <w:i/>
                <w:iCs/>
                <w:u w:color="5B9BD5"/>
                <w:rtl/>
              </w:rPr>
              <w:t xml:space="preserve">، </w:t>
            </w:r>
            <w:hyperlink r:id="rId14" w:history="1">
              <w:r w:rsidRPr="00D838EB">
                <w:rPr>
                  <w:rStyle w:val="Hyperlink"/>
                  <w:i/>
                  <w:iCs/>
                  <w:noProof w:val="0"/>
                  <w:rtl/>
                  <w:lang w:val="en-US" w:eastAsia="zh-CN"/>
                </w:rPr>
                <w:t>و</w:t>
              </w:r>
              <w:r w:rsidRPr="00D838EB">
                <w:rPr>
                  <w:rStyle w:val="Hyperlink"/>
                  <w:i/>
                  <w:iCs/>
                  <w:noProof w:val="0"/>
                  <w:lang w:val="en-US" w:eastAsia="zh-CN"/>
                </w:rPr>
                <w:t>C23/INF/12</w:t>
              </w:r>
            </w:hyperlink>
            <w:r w:rsidRPr="00AC4100">
              <w:rPr>
                <w:i/>
                <w:iCs/>
                <w:u w:color="5B9BD5"/>
                <w:rtl/>
              </w:rPr>
              <w:t xml:space="preserve">؛ </w:t>
            </w:r>
            <w:hyperlink r:id="rId15" w:history="1">
              <w:r w:rsidRPr="00D838EB">
                <w:rPr>
                  <w:rStyle w:val="Hyperlink"/>
                  <w:i/>
                  <w:iCs/>
                  <w:noProof w:val="0"/>
                  <w:rtl/>
                  <w:lang w:val="en-US" w:eastAsia="zh-CN"/>
                </w:rPr>
                <w:t>وخطة عمل كيغالي</w:t>
              </w:r>
            </w:hyperlink>
            <w:r w:rsidRPr="00AC4100">
              <w:rPr>
                <w:i/>
                <w:iCs/>
                <w:u w:color="5B9BD5"/>
                <w:rtl/>
              </w:rPr>
              <w:t xml:space="preserve">؛ </w:t>
            </w:r>
            <w:hyperlink r:id="rId16" w:history="1">
              <w:r w:rsidRPr="00D838EB">
                <w:rPr>
                  <w:rStyle w:val="Hyperlink"/>
                  <w:i/>
                  <w:iCs/>
                  <w:noProof w:val="0"/>
                  <w:rtl/>
                  <w:lang w:val="en-US" w:eastAsia="zh-CN"/>
                </w:rPr>
                <w:t xml:space="preserve">والوثيقة </w:t>
              </w:r>
              <w:r w:rsidRPr="00D838EB">
                <w:rPr>
                  <w:rStyle w:val="Hyperlink"/>
                  <w:i/>
                  <w:iCs/>
                  <w:noProof w:val="0"/>
                  <w:lang w:val="en-US" w:eastAsia="zh-CN"/>
                </w:rPr>
                <w:t>C23/62(Rev.1)</w:t>
              </w:r>
            </w:hyperlink>
            <w:r w:rsidRPr="00AC4100">
              <w:rPr>
                <w:i/>
                <w:iCs/>
                <w:u w:color="5B9BD5"/>
                <w:rtl/>
              </w:rPr>
              <w:t xml:space="preserve">؛ والوثائق </w:t>
            </w:r>
            <w:hyperlink r:id="rId17" w:history="1">
              <w:r w:rsidRPr="00D838EB">
                <w:rPr>
                  <w:rStyle w:val="Hyperlink"/>
                  <w:i/>
                  <w:iCs/>
                  <w:noProof w:val="0"/>
                  <w:lang w:val="en-US" w:eastAsia="zh-CN"/>
                </w:rPr>
                <w:t>CWG-FHR-16/11</w:t>
              </w:r>
            </w:hyperlink>
            <w:r w:rsidRPr="00AC4100">
              <w:rPr>
                <w:i/>
                <w:iCs/>
                <w:u w:color="5B9BD5"/>
                <w:rtl/>
              </w:rPr>
              <w:t xml:space="preserve"> </w:t>
            </w:r>
            <w:hyperlink r:id="rId18" w:history="1">
              <w:r w:rsidRPr="00D838EB">
                <w:rPr>
                  <w:rStyle w:val="Hyperlink"/>
                  <w:i/>
                  <w:iCs/>
                  <w:noProof w:val="0"/>
                  <w:rtl/>
                  <w:lang w:val="en-US" w:eastAsia="zh-CN"/>
                </w:rPr>
                <w:t>و</w:t>
              </w:r>
              <w:r w:rsidRPr="00D838EB">
                <w:rPr>
                  <w:rStyle w:val="Hyperlink"/>
                  <w:i/>
                  <w:iCs/>
                  <w:noProof w:val="0"/>
                  <w:lang w:val="en-US" w:eastAsia="zh-CN"/>
                </w:rPr>
                <w:t>CWG-FHR-17/3</w:t>
              </w:r>
            </w:hyperlink>
            <w:r w:rsidRPr="00AC4100">
              <w:rPr>
                <w:i/>
                <w:iCs/>
                <w:u w:color="5B9BD5"/>
                <w:rtl/>
              </w:rPr>
              <w:t xml:space="preserve"> </w:t>
            </w:r>
            <w:hyperlink r:id="rId19" w:history="1">
              <w:r w:rsidRPr="00D838EB">
                <w:rPr>
                  <w:rStyle w:val="Hyperlink"/>
                  <w:i/>
                  <w:iCs/>
                  <w:noProof w:val="0"/>
                  <w:rtl/>
                  <w:lang w:val="en-US" w:eastAsia="zh-CN"/>
                </w:rPr>
                <w:t>و</w:t>
              </w:r>
              <w:r w:rsidRPr="00D838EB">
                <w:rPr>
                  <w:rStyle w:val="Hyperlink"/>
                  <w:i/>
                  <w:iCs/>
                  <w:noProof w:val="0"/>
                  <w:lang w:val="en-US" w:eastAsia="zh-CN"/>
                </w:rPr>
                <w:t>CWG-FHR-17/INF/9</w:t>
              </w:r>
            </w:hyperlink>
            <w:r w:rsidRPr="00AC4100">
              <w:rPr>
                <w:i/>
                <w:iCs/>
                <w:u w:color="5B9BD5"/>
                <w:rtl/>
              </w:rPr>
              <w:t xml:space="preserve">؛ </w:t>
            </w:r>
            <w:hyperlink r:id="rId20" w:history="1">
              <w:r w:rsidRPr="00D838EB">
                <w:rPr>
                  <w:rStyle w:val="Hyperlink"/>
                  <w:i/>
                  <w:iCs/>
                  <w:noProof w:val="0"/>
                  <w:rtl/>
                  <w:lang w:val="en-US" w:eastAsia="zh-CN"/>
                </w:rPr>
                <w:t xml:space="preserve">والوثيقة </w:t>
              </w:r>
              <w:r w:rsidRPr="00D838EB">
                <w:rPr>
                  <w:rStyle w:val="Hyperlink"/>
                  <w:i/>
                  <w:iCs/>
                  <w:noProof w:val="0"/>
                  <w:lang w:val="en-US" w:eastAsia="zh-CN"/>
                </w:rPr>
                <w:t>C24/70</w:t>
              </w:r>
              <w:r w:rsidRPr="00D838EB">
                <w:rPr>
                  <w:rStyle w:val="Hyperlink"/>
                  <w:i/>
                  <w:iCs/>
                  <w:noProof w:val="0"/>
                  <w:rtl/>
                  <w:lang w:val="en-US" w:eastAsia="zh-CN"/>
                </w:rPr>
                <w:t xml:space="preserve"> (استراتيجية تعبئة الموارد)</w:t>
              </w:r>
            </w:hyperlink>
            <w:r w:rsidRPr="00AC4100">
              <w:rPr>
                <w:i/>
                <w:iCs/>
                <w:u w:color="5B9BD5"/>
                <w:rtl/>
              </w:rPr>
              <w:t xml:space="preserve">؛ </w:t>
            </w:r>
            <w:hyperlink r:id="rId21" w:history="1">
              <w:r w:rsidRPr="00D838EB">
                <w:rPr>
                  <w:rStyle w:val="Hyperlink"/>
                  <w:i/>
                  <w:iCs/>
                  <w:noProof w:val="0"/>
                  <w:rtl/>
                  <w:lang w:val="en-US" w:eastAsia="zh-CN"/>
                </w:rPr>
                <w:t xml:space="preserve">والوثيقة </w:t>
              </w:r>
              <w:r w:rsidRPr="00D838EB">
                <w:rPr>
                  <w:rStyle w:val="Hyperlink"/>
                  <w:i/>
                  <w:iCs/>
                  <w:noProof w:val="0"/>
                  <w:lang w:val="en-US" w:eastAsia="zh-CN"/>
                </w:rPr>
                <w:t>C25/67</w:t>
              </w:r>
              <w:r w:rsidRPr="00D838EB">
                <w:rPr>
                  <w:rStyle w:val="Hyperlink"/>
                  <w:i/>
                  <w:iCs/>
                  <w:noProof w:val="0"/>
                  <w:rtl/>
                  <w:lang w:val="en-US" w:eastAsia="zh-CN"/>
                </w:rPr>
                <w:t xml:space="preserve"> (تنفيذ استراتيجية تعبئة الموارد لدى الاتحاد)</w:t>
              </w:r>
            </w:hyperlink>
            <w:r w:rsidRPr="00AC4100">
              <w:rPr>
                <w:i/>
                <w:iCs/>
                <w:u w:color="5B9BD5"/>
                <w:rtl/>
              </w:rPr>
              <w:t xml:space="preserve">؛ </w:t>
            </w:r>
            <w:hyperlink r:id="rId22" w:history="1">
              <w:r w:rsidRPr="00D838EB">
                <w:rPr>
                  <w:rStyle w:val="Hyperlink"/>
                  <w:i/>
                  <w:iCs/>
                  <w:noProof w:val="0"/>
                  <w:rtl/>
                  <w:lang w:val="en-US" w:eastAsia="zh-CN"/>
                </w:rPr>
                <w:t xml:space="preserve">والرسالة المعممة </w:t>
              </w:r>
              <w:r w:rsidRPr="00D838EB">
                <w:rPr>
                  <w:rStyle w:val="Hyperlink"/>
                  <w:i/>
                  <w:iCs/>
                  <w:noProof w:val="0"/>
                  <w:lang w:val="en-US" w:eastAsia="zh-CN"/>
                </w:rPr>
                <w:t>CL-25/36</w:t>
              </w:r>
              <w:r w:rsidRPr="00D838EB">
                <w:rPr>
                  <w:rStyle w:val="Hyperlink"/>
                  <w:i/>
                  <w:iCs/>
                  <w:noProof w:val="0"/>
                  <w:rtl/>
                  <w:lang w:val="en-US" w:eastAsia="zh-CN"/>
                </w:rPr>
                <w:t xml:space="preserve"> (الاستثمار في الاتحاد الدولي للاتصالات ومستقبلنا الرقمي المشترك)</w:t>
              </w:r>
            </w:hyperlink>
            <w:r w:rsidRPr="00AC4100">
              <w:rPr>
                <w:i/>
                <w:iCs/>
                <w:u w:color="5B9BD5"/>
                <w:rtl/>
              </w:rPr>
              <w:t xml:space="preserve">؛ </w:t>
            </w:r>
            <w:hyperlink r:id="rId23" w:history="1">
              <w:r w:rsidRPr="00D838EB">
                <w:rPr>
                  <w:rStyle w:val="Hyperlink"/>
                  <w:i/>
                  <w:iCs/>
                  <w:noProof w:val="0"/>
                  <w:rtl/>
                  <w:lang w:val="en-US" w:eastAsia="zh-CN"/>
                </w:rPr>
                <w:t>و"أهمية الاتحاد: جدوى الاستثمار"</w:t>
              </w:r>
            </w:hyperlink>
            <w:r w:rsidRPr="00AC4100">
              <w:rPr>
                <w:i/>
                <w:iCs/>
                <w:u w:color="5B9BD5"/>
                <w:rtl/>
              </w:rPr>
              <w:t xml:space="preserve">؛ </w:t>
            </w:r>
            <w:r w:rsidR="00D838EB">
              <w:rPr>
                <w:rFonts w:hint="cs"/>
                <w:i/>
                <w:iCs/>
                <w:u w:color="5B9BD5"/>
                <w:rtl/>
              </w:rPr>
              <w:t>والوثائق</w:t>
            </w:r>
            <w:r w:rsidRPr="00AC4100">
              <w:rPr>
                <w:i/>
                <w:iCs/>
                <w:u w:color="5B9BD5"/>
                <w:rtl/>
              </w:rPr>
              <w:t xml:space="preserve"> </w:t>
            </w:r>
            <w:hyperlink r:id="rId24" w:history="1">
              <w:r w:rsidRPr="00D838EB">
                <w:rPr>
                  <w:rStyle w:val="Hyperlink"/>
                  <w:i/>
                  <w:iCs/>
                  <w:noProof w:val="0"/>
                  <w:lang w:val="en-US" w:eastAsia="zh-CN"/>
                </w:rPr>
                <w:t>CWG-FHR-22/16</w:t>
              </w:r>
            </w:hyperlink>
            <w:r w:rsidRPr="00AC4100">
              <w:rPr>
                <w:i/>
                <w:iCs/>
                <w:u w:color="5B9BD5"/>
                <w:rtl/>
              </w:rPr>
              <w:t> و</w:t>
            </w:r>
            <w:hyperlink r:id="rId25" w:history="1">
              <w:r w:rsidRPr="00D838EB">
                <w:rPr>
                  <w:rStyle w:val="Hyperlink"/>
                  <w:i/>
                  <w:iCs/>
                  <w:noProof w:val="0"/>
                  <w:lang w:val="en-US" w:eastAsia="zh-CN"/>
                </w:rPr>
                <w:t>C-26/47</w:t>
              </w:r>
            </w:hyperlink>
            <w:r w:rsidRPr="00AC4100">
              <w:rPr>
                <w:i/>
                <w:iCs/>
                <w:u w:color="5B9BD5"/>
                <w:rtl/>
              </w:rPr>
              <w:t xml:space="preserve">؛ </w:t>
            </w:r>
            <w:hyperlink r:id="rId26" w:history="1">
              <w:r w:rsidR="00D838EB" w:rsidRPr="00D838EB">
                <w:rPr>
                  <w:rStyle w:val="Hyperlink"/>
                  <w:rFonts w:hint="cs"/>
                  <w:i/>
                  <w:iCs/>
                  <w:noProof w:val="0"/>
                  <w:rtl/>
                  <w:lang w:val="en-US" w:eastAsia="zh-CN"/>
                </w:rPr>
                <w:t>و</w:t>
              </w:r>
              <w:r w:rsidRPr="00D838EB">
                <w:rPr>
                  <w:rStyle w:val="Hyperlink"/>
                  <w:i/>
                  <w:iCs/>
                  <w:noProof w:val="0"/>
                  <w:lang w:val="en-US" w:eastAsia="zh-CN"/>
                </w:rPr>
                <w:t>C26/INF/14</w:t>
              </w:r>
            </w:hyperlink>
            <w:r w:rsidRPr="00AC4100">
              <w:rPr>
                <w:i/>
                <w:iCs/>
                <w:u w:color="5B9BD5"/>
                <w:rtl/>
              </w:rPr>
              <w:t>.</w:t>
            </w:r>
          </w:p>
        </w:tc>
      </w:tr>
    </w:tbl>
    <w:p w14:paraId="577FA228" w14:textId="77777777" w:rsidR="00F50E3F" w:rsidRDefault="00F50E3F" w:rsidP="0043260A">
      <w:pPr>
        <w:rPr>
          <w:rtl/>
          <w:lang w:bidi="ar-EG"/>
        </w:rPr>
      </w:pPr>
      <w:r>
        <w:rPr>
          <w:rtl/>
          <w:lang w:bidi="ar-EG"/>
        </w:rPr>
        <w:br w:type="page"/>
      </w:r>
    </w:p>
    <w:p w14:paraId="5DCD4B63" w14:textId="77777777" w:rsidR="00AC4100" w:rsidRPr="00AC4100" w:rsidRDefault="00AC4100" w:rsidP="00D838EB">
      <w:pPr>
        <w:pStyle w:val="Headingb"/>
        <w:rPr>
          <w:lang w:val="ar-SA" w:bidi="ar-EG"/>
        </w:rPr>
      </w:pPr>
      <w:r w:rsidRPr="00AC4100">
        <w:rPr>
          <w:rtl/>
        </w:rPr>
        <w:lastRenderedPageBreak/>
        <w:t>معلومات أساسية</w:t>
      </w:r>
    </w:p>
    <w:p w14:paraId="27D20D00" w14:textId="24A8BFB6" w:rsidR="00AC4100" w:rsidRPr="00AC4100" w:rsidRDefault="00AC4100" w:rsidP="00AC4100">
      <w:pPr>
        <w:rPr>
          <w:lang w:val="ar-SA" w:bidi="ar-EG"/>
        </w:rPr>
      </w:pPr>
      <w:r w:rsidRPr="00AC4100">
        <w:rPr>
          <w:rtl/>
        </w:rPr>
        <w:t xml:space="preserve">كلف مؤتمر المندوبين المفوضين (بوخارست، 2022) الأمين العام في المقرَّر 5 (المراجَع في بوخارست، 2022) بإعداد استراتيجية لتعبئة الموارد على مستوى الاتحاد وعرضها على مجلس الاتحاد لكي يستعرضها ويقدم توجيهاته بشأن تنفيذها. وتستند استراتيجية تعبئة الموارد التي اعتمدها المجلس في دورته لعام 2024 (انظر </w:t>
      </w:r>
      <w:hyperlink r:id="rId27" w:history="1">
        <w:r w:rsidRPr="00AC4100">
          <w:rPr>
            <w:rStyle w:val="Hyperlink"/>
            <w:noProof w:val="0"/>
            <w:rtl/>
            <w:lang w:val="en-US" w:eastAsia="zh-CN"/>
          </w:rPr>
          <w:t xml:space="preserve">الوثيقة </w:t>
        </w:r>
        <w:r w:rsidRPr="00AC4100">
          <w:rPr>
            <w:rStyle w:val="Hyperlink"/>
            <w:noProof w:val="0"/>
            <w:lang w:val="en-US" w:eastAsia="zh-CN" w:bidi="ar-EG"/>
          </w:rPr>
          <w:t>C24/70</w:t>
        </w:r>
      </w:hyperlink>
      <w:r w:rsidRPr="00AC4100">
        <w:rPr>
          <w:rtl/>
        </w:rPr>
        <w:t xml:space="preserve">) إلى </w:t>
      </w:r>
      <w:proofErr w:type="gramStart"/>
      <w:r w:rsidRPr="00AC4100">
        <w:rPr>
          <w:rtl/>
        </w:rPr>
        <w:t>ثلاثة</w:t>
      </w:r>
      <w:proofErr w:type="gramEnd"/>
      <w:r w:rsidRPr="00AC4100">
        <w:rPr>
          <w:rtl/>
        </w:rPr>
        <w:t xml:space="preserve"> مجالات عمل رئيسية هي: تعزيز العضوية؛ والاستفادة من الأحداث والمنتجات والخدمات؛ و</w:t>
      </w:r>
      <w:r w:rsidRPr="00AC4100">
        <w:rPr>
          <w:cs/>
        </w:rPr>
        <w:t>‎</w:t>
      </w:r>
      <w:r w:rsidRPr="00AC4100">
        <w:rPr>
          <w:rtl/>
        </w:rPr>
        <w:t>‏زيادة المساهمات الطوعية. ويتواصل تطوير وتعزيز كل مجال من هذه المجالات من خلال تنسيق الجهود بين الأمانة العامة ومكاتب القطاعات والمكاتب الميدانية. وفي استراتيجية تعبئة الموارد، أوصي ب</w:t>
      </w:r>
      <w:r w:rsidR="006C0CA6">
        <w:rPr>
          <w:rFonts w:hint="cs"/>
          <w:rtl/>
        </w:rPr>
        <w:t>‍ </w:t>
      </w:r>
      <w:r w:rsidRPr="00AC4100">
        <w:rPr>
          <w:rtl/>
        </w:rPr>
        <w:t xml:space="preserve">24 خط عمل عبر </w:t>
      </w:r>
      <w:proofErr w:type="gramStart"/>
      <w:r w:rsidRPr="00AC4100">
        <w:rPr>
          <w:rtl/>
        </w:rPr>
        <w:t>ثلاثة</w:t>
      </w:r>
      <w:proofErr w:type="gramEnd"/>
      <w:r w:rsidRPr="00AC4100">
        <w:rPr>
          <w:rtl/>
        </w:rPr>
        <w:t xml:space="preserve"> مجالات عمل رئيسية لتقييمها وتنفيذها حيثما أمكن، تستهدف الأهداف التالية:</w:t>
      </w:r>
    </w:p>
    <w:p w14:paraId="40499264" w14:textId="77777777" w:rsidR="00AC4100" w:rsidRPr="00AC4100" w:rsidRDefault="00AC4100" w:rsidP="006C0CA6">
      <w:pPr>
        <w:pStyle w:val="enumlev1"/>
        <w:rPr>
          <w:lang w:val="ar-SA" w:bidi="ar-EG"/>
        </w:rPr>
      </w:pPr>
      <w:r w:rsidRPr="00AC4100">
        <w:rPr>
          <w:lang w:bidi="ar-EG"/>
        </w:rPr>
        <w:t>–</w:t>
      </w:r>
      <w:r w:rsidRPr="00AC4100">
        <w:rPr>
          <w:rtl/>
        </w:rPr>
        <w:tab/>
        <w:t>تشجيع الدول الأعضاء على الإبقاء على وحدات المساهمة الخاصة بها أو زيادتها</w:t>
      </w:r>
    </w:p>
    <w:p w14:paraId="6181D48D" w14:textId="77777777" w:rsidR="00AC4100" w:rsidRPr="00AC4100" w:rsidRDefault="00AC4100" w:rsidP="006C0CA6">
      <w:pPr>
        <w:pStyle w:val="enumlev1"/>
        <w:rPr>
          <w:lang w:val="ar-SA" w:bidi="ar-EG"/>
        </w:rPr>
      </w:pPr>
      <w:r w:rsidRPr="00AC4100">
        <w:rPr>
          <w:lang w:bidi="ar-EG"/>
        </w:rPr>
        <w:t>–</w:t>
      </w:r>
      <w:r w:rsidRPr="00AC4100">
        <w:rPr>
          <w:rtl/>
        </w:rPr>
        <w:tab/>
        <w:t>تعزيز مشاركة أعضاء القطاعات والإيرادات المتأتية من عضويتهم</w:t>
      </w:r>
    </w:p>
    <w:p w14:paraId="4CC41757" w14:textId="77777777" w:rsidR="00AC4100" w:rsidRPr="00AC4100" w:rsidRDefault="00AC4100" w:rsidP="006C0CA6">
      <w:pPr>
        <w:pStyle w:val="enumlev1"/>
        <w:rPr>
          <w:lang w:val="ar-SA" w:bidi="ar-EG"/>
        </w:rPr>
      </w:pPr>
      <w:r w:rsidRPr="00AC4100">
        <w:rPr>
          <w:lang w:bidi="ar-EG"/>
        </w:rPr>
        <w:t>–</w:t>
      </w:r>
      <w:r w:rsidRPr="00AC4100">
        <w:rPr>
          <w:rtl/>
        </w:rPr>
        <w:tab/>
        <w:t xml:space="preserve">تعزيز مشاركة الأعضاء عموماً </w:t>
      </w:r>
    </w:p>
    <w:p w14:paraId="19C03096" w14:textId="77777777" w:rsidR="00AC4100" w:rsidRPr="00AC4100" w:rsidRDefault="00AC4100" w:rsidP="006C0CA6">
      <w:pPr>
        <w:pStyle w:val="enumlev1"/>
        <w:rPr>
          <w:lang w:val="ar-SA" w:bidi="ar-EG"/>
        </w:rPr>
      </w:pPr>
      <w:r w:rsidRPr="00AC4100">
        <w:rPr>
          <w:lang w:bidi="ar-EG"/>
        </w:rPr>
        <w:t>–</w:t>
      </w:r>
      <w:r w:rsidRPr="00AC4100">
        <w:rPr>
          <w:rtl/>
        </w:rPr>
        <w:tab/>
        <w:t>الاستفادة من الأحداث والمنتجات والخدمات</w:t>
      </w:r>
    </w:p>
    <w:p w14:paraId="7D14A502" w14:textId="77777777" w:rsidR="00AC4100" w:rsidRPr="00AC4100" w:rsidRDefault="00AC4100" w:rsidP="006C0CA6">
      <w:pPr>
        <w:pStyle w:val="enumlev1"/>
        <w:rPr>
          <w:lang w:val="ar-SA" w:bidi="ar-EG"/>
        </w:rPr>
      </w:pPr>
      <w:r w:rsidRPr="00AC4100">
        <w:rPr>
          <w:lang w:bidi="ar-EG"/>
        </w:rPr>
        <w:t>–</w:t>
      </w:r>
      <w:r w:rsidRPr="00AC4100">
        <w:rPr>
          <w:rtl/>
        </w:rPr>
        <w:tab/>
        <w:t>زيادة المساهمات الطوعية.</w:t>
      </w:r>
    </w:p>
    <w:p w14:paraId="1C0B389D" w14:textId="2AE1830A" w:rsidR="00AC4100" w:rsidRPr="00AC4100" w:rsidRDefault="00AC4100" w:rsidP="00AC4100">
      <w:pPr>
        <w:rPr>
          <w:lang w:val="ar-SA" w:bidi="ar-EG"/>
        </w:rPr>
      </w:pPr>
      <w:r w:rsidRPr="00AC4100">
        <w:rPr>
          <w:rtl/>
        </w:rPr>
        <w:t xml:space="preserve">ومن خطوط العمل الأربعة والعشرين، بدأ العمل على 18 منها (75 في </w:t>
      </w:r>
      <w:proofErr w:type="gramStart"/>
      <w:r w:rsidRPr="00AC4100">
        <w:rPr>
          <w:rtl/>
        </w:rPr>
        <w:t>المائة</w:t>
      </w:r>
      <w:proofErr w:type="gramEnd"/>
      <w:r w:rsidRPr="00AC4100">
        <w:rPr>
          <w:rtl/>
        </w:rPr>
        <w:t xml:space="preserve">). وصنف خطا عمل على أنهما ذوا أولوية عالية وانتُهي منهما في عام 2025، في حين تستهدف خطوط العمل الستة المتبقية مواصلة تقييمها، على أن يبدأ التنفيذ ويستكمل في الفترة 2026-2028. وكخطوة أولى نحو وضع خارطة طريق ذات جداول زمنية ومراحل، أعدت الأمانة لوحة معلومات (انظر </w:t>
      </w:r>
      <w:hyperlink r:id="rId28" w:history="1">
        <w:r w:rsidRPr="00AC4100">
          <w:rPr>
            <w:rStyle w:val="Hyperlink"/>
            <w:noProof w:val="0"/>
            <w:rtl/>
            <w:lang w:val="en-US" w:eastAsia="zh-CN"/>
          </w:rPr>
          <w:t xml:space="preserve">الوثيقة </w:t>
        </w:r>
        <w:r w:rsidRPr="00AC4100">
          <w:rPr>
            <w:rStyle w:val="Hyperlink"/>
            <w:noProof w:val="0"/>
            <w:lang w:val="en-US" w:eastAsia="zh-CN" w:bidi="ar-EG"/>
          </w:rPr>
          <w:t>C26/INF/14</w:t>
        </w:r>
      </w:hyperlink>
      <w:r w:rsidR="00D838EB">
        <w:rPr>
          <w:rFonts w:hint="cs"/>
          <w:rtl/>
          <w:lang w:bidi="ar-EG"/>
        </w:rPr>
        <w:t>)</w:t>
      </w:r>
      <w:r w:rsidRPr="00AC4100">
        <w:rPr>
          <w:rtl/>
        </w:rPr>
        <w:t xml:space="preserve"> متضمنة حالة تنفيذ كل خط من خطوط العمل. </w:t>
      </w:r>
    </w:p>
    <w:p w14:paraId="75878E50" w14:textId="013B87E9" w:rsidR="00AC4100" w:rsidRPr="00AC4100" w:rsidRDefault="00AC4100" w:rsidP="00AC4100">
      <w:pPr>
        <w:rPr>
          <w:lang w:val="ar-SA" w:bidi="ar-EG"/>
        </w:rPr>
      </w:pPr>
      <w:r w:rsidRPr="00AC4100">
        <w:rPr>
          <w:rtl/>
        </w:rPr>
        <w:t>وترد أدناه أولويات عام</w:t>
      </w:r>
      <w:r w:rsidR="006C0CA6">
        <w:rPr>
          <w:rFonts w:hint="cs"/>
          <w:rtl/>
        </w:rPr>
        <w:t>َ</w:t>
      </w:r>
      <w:r w:rsidRPr="00AC4100">
        <w:rPr>
          <w:rtl/>
        </w:rPr>
        <w:t xml:space="preserve">ي 2025 و2026، وترد في </w:t>
      </w:r>
      <w:hyperlink w:anchor="الملحق1" w:history="1">
        <w:r w:rsidRPr="00AC4100">
          <w:rPr>
            <w:rStyle w:val="Hyperlink"/>
            <w:noProof w:val="0"/>
            <w:rtl/>
            <w:lang w:val="en-US" w:eastAsia="zh-CN"/>
          </w:rPr>
          <w:t>الملحق 1</w:t>
        </w:r>
      </w:hyperlink>
      <w:r w:rsidRPr="00AC4100">
        <w:rPr>
          <w:rtl/>
        </w:rPr>
        <w:t xml:space="preserve"> معلومات موجزة عن التنفيذ.</w:t>
      </w:r>
    </w:p>
    <w:p w14:paraId="6C6B8480" w14:textId="77777777" w:rsidR="00AC4100" w:rsidRPr="00AC4100" w:rsidRDefault="00AC4100" w:rsidP="00CD199C">
      <w:pPr>
        <w:pStyle w:val="Headingb"/>
        <w:rPr>
          <w:lang w:val="ar-SA" w:bidi="ar-EG"/>
        </w:rPr>
      </w:pPr>
      <w:r w:rsidRPr="00AC4100">
        <w:rPr>
          <w:rtl/>
          <w:lang w:val="ar-SA" w:bidi="ar-EG"/>
        </w:rPr>
        <w:t>المجالان ذوا الأولوية الواجب اتخاذ إجراءات فورية بشأنهما</w:t>
      </w:r>
    </w:p>
    <w:p w14:paraId="73C72300" w14:textId="63D9AD50" w:rsidR="00AC4100" w:rsidRPr="00AC4100" w:rsidRDefault="00AC4100" w:rsidP="00AC4100">
      <w:pPr>
        <w:rPr>
          <w:lang w:val="ar-SA" w:bidi="ar-EG"/>
        </w:rPr>
      </w:pPr>
      <w:r w:rsidRPr="00AC4100">
        <w:rPr>
          <w:rtl/>
        </w:rPr>
        <w:t xml:space="preserve">بما أن حوالي 70 في </w:t>
      </w:r>
      <w:proofErr w:type="gramStart"/>
      <w:r w:rsidRPr="00AC4100">
        <w:rPr>
          <w:rtl/>
        </w:rPr>
        <w:t>المائة</w:t>
      </w:r>
      <w:proofErr w:type="gramEnd"/>
      <w:r w:rsidRPr="00AC4100">
        <w:rPr>
          <w:rtl/>
        </w:rPr>
        <w:t xml:space="preserve"> من الميزانية العادية للاتحاد تأتي من وحدة مساهمات الدول الأعضاء، فقد ظل تأمين هذا المصدر أولوية قصوى في الاستراتيجية لعام 2025، وحتى عام 2026، تليها عضوية القطاعات التي تمثل 10 في </w:t>
      </w:r>
      <w:proofErr w:type="gramStart"/>
      <w:r w:rsidRPr="00AC4100">
        <w:rPr>
          <w:rtl/>
        </w:rPr>
        <w:t>المائة</w:t>
      </w:r>
      <w:proofErr w:type="gramEnd"/>
      <w:r w:rsidRPr="00AC4100">
        <w:rPr>
          <w:rtl/>
        </w:rPr>
        <w:t xml:space="preserve"> أخرى. وفيما يتعلق بالاستفادة من الأحداث والمنتجات والخدمات، علاوة على المساهمات الطوعية، هناك إمكانية لتنمية هذه المصادر، ولكنها تتطلب استثمارات كبيرة في مهارات جديدة/معززة وعمليات مبسطة ومنصات رقمية، يجري تقييمها وتطويرها حاليا</w:t>
      </w:r>
      <w:r w:rsidR="006C0CA6">
        <w:rPr>
          <w:rFonts w:hint="cs"/>
          <w:rtl/>
        </w:rPr>
        <w:t>ً</w:t>
      </w:r>
      <w:r w:rsidRPr="00AC4100">
        <w:rPr>
          <w:rtl/>
        </w:rPr>
        <w:t xml:space="preserve"> كجزء من خارطة طريق التحول في الاتحاد. </w:t>
      </w:r>
    </w:p>
    <w:p w14:paraId="3996A49F" w14:textId="77777777" w:rsidR="00AC4100" w:rsidRPr="00AC4100" w:rsidRDefault="00AC4100" w:rsidP="00CD199C">
      <w:pPr>
        <w:pStyle w:val="Heading1"/>
        <w:rPr>
          <w:lang w:val="ar-SA" w:bidi="ar-EG"/>
        </w:rPr>
      </w:pPr>
      <w:r w:rsidRPr="00AC4100">
        <w:rPr>
          <w:rtl/>
        </w:rPr>
        <w:t>1</w:t>
      </w:r>
      <w:r w:rsidRPr="00AC4100">
        <w:rPr>
          <w:rtl/>
        </w:rPr>
        <w:tab/>
        <w:t>تأمين الإيرادات المتحصلة من وحدة مساهمات الدول الأعضاء</w:t>
      </w:r>
    </w:p>
    <w:p w14:paraId="633637B5" w14:textId="0780CE22" w:rsidR="00AC4100" w:rsidRPr="00AC4100" w:rsidRDefault="00AC4100" w:rsidP="00AC4100">
      <w:pPr>
        <w:rPr>
          <w:lang w:val="ar-SA" w:bidi="ar-EG"/>
        </w:rPr>
      </w:pPr>
      <w:r w:rsidRPr="00AC4100">
        <w:rPr>
          <w:rtl/>
        </w:rPr>
        <w:t xml:space="preserve">تماشياً مع المقرَّر 5 (المراجَع في بوخارست، 2022)، سيحدد المجلس في دورته الخامسة والعشرين المبلغ الأولي لوحدة المساهمة للفترة </w:t>
      </w:r>
      <w:r w:rsidR="006C0CA6">
        <w:t>2031-2028</w:t>
      </w:r>
      <w:r w:rsidRPr="00AC4100">
        <w:rPr>
          <w:rtl/>
        </w:rPr>
        <w:t xml:space="preserve">. وفي وقت لاحق، أصدرت الأمانة رسالة معممة </w:t>
      </w:r>
      <w:r w:rsidRPr="00AC4100">
        <w:rPr>
          <w:lang w:bidi="ar-EG"/>
        </w:rPr>
        <w:t>(</w:t>
      </w:r>
      <w:hyperlink r:id="rId29" w:history="1">
        <w:r w:rsidRPr="00AC4100">
          <w:rPr>
            <w:rStyle w:val="Hyperlink"/>
            <w:noProof w:val="0"/>
            <w:lang w:val="en-US" w:eastAsia="zh-CN" w:bidi="ar-EG"/>
          </w:rPr>
          <w:t>CL-25/36</w:t>
        </w:r>
      </w:hyperlink>
      <w:r w:rsidRPr="00AC4100">
        <w:rPr>
          <w:lang w:bidi="ar-EG"/>
        </w:rPr>
        <w:t>)</w:t>
      </w:r>
      <w:r w:rsidRPr="00AC4100">
        <w:rPr>
          <w:rtl/>
        </w:rPr>
        <w:t xml:space="preserve"> تطلب فيها من الدول الأعضاء أن تعلن قبل نهاية السنة التقويمية 2025 عن فئة مساهمتها المؤقتة للفترة </w:t>
      </w:r>
      <w:r w:rsidR="006C0CA6">
        <w:t>2031-2028</w:t>
      </w:r>
      <w:r w:rsidRPr="00AC4100">
        <w:rPr>
          <w:rtl/>
        </w:rPr>
        <w:t xml:space="preserve">. وعلى النحو الوارد في الوثيقة </w:t>
      </w:r>
      <w:hyperlink r:id="rId30" w:history="1">
        <w:r w:rsidRPr="00AC4100">
          <w:rPr>
            <w:rStyle w:val="Hyperlink"/>
            <w:noProof w:val="0"/>
            <w:lang w:val="en-US" w:eastAsia="zh-CN" w:bidi="ar-EG"/>
          </w:rPr>
          <w:t>C26/47</w:t>
        </w:r>
      </w:hyperlink>
      <w:r w:rsidRPr="00AC4100">
        <w:rPr>
          <w:rtl/>
        </w:rPr>
        <w:t>، ورد 42 ردا</w:t>
      </w:r>
      <w:r w:rsidR="006C0CA6">
        <w:rPr>
          <w:rFonts w:hint="cs"/>
          <w:rtl/>
        </w:rPr>
        <w:t>ً</w:t>
      </w:r>
      <w:r w:rsidRPr="00AC4100">
        <w:rPr>
          <w:rtl/>
        </w:rPr>
        <w:t xml:space="preserve"> من الدول الأعضاء، أكد 40 منها أنها ستحافظ على مستوى مساهمتها الحالي في وحدة المساهمة في حين أشارت دولتان من الدول الأعضاء إلى أنهما تعتزمان خفض مستوى مساهمتهما في الوحدة.  </w:t>
      </w:r>
    </w:p>
    <w:p w14:paraId="320413B0" w14:textId="7F85C7FB" w:rsidR="00AC4100" w:rsidRPr="00AC4100" w:rsidRDefault="00AC4100" w:rsidP="00AC4100">
      <w:pPr>
        <w:rPr>
          <w:lang w:val="ar-SA" w:bidi="ar-EG"/>
        </w:rPr>
      </w:pPr>
      <w:r w:rsidRPr="00AC4100">
        <w:rPr>
          <w:rtl/>
        </w:rPr>
        <w:t>وفي مسعى لدعم الدول الأعضاء في تقديم المسوغات الداعية إلى ضمان أو زيادة وحدات مساهمة الاتحاد داخل إداراتها الوطنية، وتماشيا</w:t>
      </w:r>
      <w:r w:rsidR="006C0CA6">
        <w:rPr>
          <w:rFonts w:hint="cs"/>
          <w:rtl/>
        </w:rPr>
        <w:t>ً</w:t>
      </w:r>
      <w:r w:rsidRPr="00AC4100">
        <w:rPr>
          <w:rtl/>
        </w:rPr>
        <w:t xml:space="preserve"> مع استراتيجية تعبئة الموارد، أعدت الأمانة كتيبا</w:t>
      </w:r>
      <w:r w:rsidR="006C0CA6">
        <w:rPr>
          <w:rFonts w:hint="cs"/>
          <w:rtl/>
        </w:rPr>
        <w:t>ً</w:t>
      </w:r>
      <w:r w:rsidRPr="00AC4100">
        <w:rPr>
          <w:rtl/>
        </w:rPr>
        <w:t xml:space="preserve"> إلكترونيا</w:t>
      </w:r>
      <w:r w:rsidR="006C0CA6">
        <w:rPr>
          <w:rFonts w:hint="cs"/>
          <w:rtl/>
        </w:rPr>
        <w:t>ً</w:t>
      </w:r>
      <w:r w:rsidRPr="00AC4100">
        <w:rPr>
          <w:rtl/>
        </w:rPr>
        <w:t xml:space="preserve"> بعنوان "</w:t>
      </w:r>
      <w:hyperlink r:id="rId31" w:history="1">
        <w:r w:rsidRPr="00AC4100">
          <w:rPr>
            <w:rStyle w:val="Hyperlink"/>
            <w:noProof w:val="0"/>
            <w:rtl/>
            <w:lang w:val="en-US" w:eastAsia="zh-CN"/>
          </w:rPr>
          <w:t xml:space="preserve">أهمية الاتحاد: جدوى الاستثمار للفترة </w:t>
        </w:r>
        <w:r w:rsidR="006C0CA6">
          <w:rPr>
            <w:rStyle w:val="Hyperlink"/>
            <w:noProof w:val="0"/>
            <w:lang w:val="en-US" w:eastAsia="zh-CN"/>
          </w:rPr>
          <w:t>2031-2028</w:t>
        </w:r>
      </w:hyperlink>
      <w:r w:rsidRPr="00AC4100">
        <w:rPr>
          <w:rtl/>
        </w:rPr>
        <w:t xml:space="preserve">"، عرُِض على الدول الأعضاء في الرسالة المعممة </w:t>
      </w:r>
      <w:hyperlink r:id="rId32" w:history="1">
        <w:r w:rsidRPr="00AC4100">
          <w:rPr>
            <w:rStyle w:val="Hyperlink"/>
            <w:noProof w:val="0"/>
            <w:lang w:val="en-US" w:eastAsia="zh-CN" w:bidi="ar-EG"/>
          </w:rPr>
          <w:t>CL-25/36</w:t>
        </w:r>
      </w:hyperlink>
      <w:r w:rsidRPr="00AC4100">
        <w:rPr>
          <w:rtl/>
        </w:rPr>
        <w:t>.</w:t>
      </w:r>
    </w:p>
    <w:p w14:paraId="61742738" w14:textId="77777777" w:rsidR="00AC4100" w:rsidRPr="00AC4100" w:rsidRDefault="00AC4100" w:rsidP="00CD199C">
      <w:pPr>
        <w:pStyle w:val="Heading1"/>
        <w:rPr>
          <w:lang w:val="ar-SA" w:bidi="ar-EG"/>
        </w:rPr>
      </w:pPr>
      <w:r w:rsidRPr="00AC4100">
        <w:rPr>
          <w:rtl/>
        </w:rPr>
        <w:t>2</w:t>
      </w:r>
      <w:r w:rsidRPr="00AC4100">
        <w:rPr>
          <w:rtl/>
        </w:rPr>
        <w:tab/>
        <w:t>تعزيز عضوية القطاعات</w:t>
      </w:r>
    </w:p>
    <w:p w14:paraId="401178D8" w14:textId="53D3AC83" w:rsidR="00AC4100" w:rsidRPr="00AC4100" w:rsidRDefault="00AC4100" w:rsidP="00AC4100">
      <w:pPr>
        <w:rPr>
          <w:lang w:val="ar-SA" w:bidi="ar-EG"/>
        </w:rPr>
      </w:pPr>
      <w:r w:rsidRPr="00AC4100">
        <w:rPr>
          <w:rtl/>
        </w:rPr>
        <w:t>تستعرض الأمانة الفوائد المتأتية من أعضاء القطاعات وأجرت مشاورات مع الأفرقة الاستشارية للقطاعات لضمان أن تكون الفوائد متماشية مع التوقعات. ويجري أيضا</w:t>
      </w:r>
      <w:r w:rsidR="00AA1469">
        <w:rPr>
          <w:rFonts w:hint="cs"/>
          <w:rtl/>
        </w:rPr>
        <w:t>ً</w:t>
      </w:r>
      <w:r w:rsidRPr="00AC4100">
        <w:rPr>
          <w:rtl/>
        </w:rPr>
        <w:t xml:space="preserve"> التشاور مع أعضاء القطاعات بشأن أولوياتهم. وستساعد نتائج هذه المشاورة الاتحاد على مواءمة ما يقدمه مع مصالح الأعضاء. وتنفذ حملات إقناع لتشجع أعضاء القطاعات الحاليين على الانضمام إلى عضوية قطاعات متعددة وتشجيع المنتسبين على الارتقاء إلى العضوية الكاملة في القطاعات.</w:t>
      </w:r>
    </w:p>
    <w:p w14:paraId="7955C6B7" w14:textId="7ADA999D" w:rsidR="00AC4100" w:rsidRPr="00AC4100" w:rsidRDefault="00AC4100" w:rsidP="00AC4100">
      <w:pPr>
        <w:rPr>
          <w:lang w:val="ar-SA" w:bidi="ar-EG"/>
        </w:rPr>
      </w:pPr>
      <w:r w:rsidRPr="00AC4100">
        <w:rPr>
          <w:rtl/>
        </w:rPr>
        <w:lastRenderedPageBreak/>
        <w:t>وتم تحديد الأجزاء الممثلة تمثيلاً ضعيفاً في النظام الإيكولوجي الرقمي، وكذلك 70 من الدول الأعضاء والمنتسبين والهيئات الأكاديمية التي ليس لديها تمثيل ضمن أعضاء القطاعات من أجل إطلاق حملات ذات أهداف محددة لضمان أقصى قدر من التنوع في عضوية الاتحاد. ويجري استعراض المواد الترويجية وستتاح في الموقع الإلكتروني للاتحاد (</w:t>
      </w:r>
      <w:hyperlink r:id="rId33" w:anchor="/ar" w:history="1">
        <w:r w:rsidRPr="00AC4100">
          <w:rPr>
            <w:rStyle w:val="Hyperlink"/>
            <w:noProof w:val="0"/>
            <w:rtl/>
            <w:lang w:val="en-US" w:eastAsia="zh-CN"/>
          </w:rPr>
          <w:t>هنا</w:t>
        </w:r>
      </w:hyperlink>
      <w:r w:rsidRPr="00AC4100">
        <w:rPr>
          <w:rtl/>
        </w:rPr>
        <w:t xml:space="preserve">). وسيُخطط لإطلاق حملات للتوعية في جميع القطاعات وتعزيز المشاركة. </w:t>
      </w:r>
    </w:p>
    <w:p w14:paraId="6AB548EC" w14:textId="1E86E64F" w:rsidR="00AC4100" w:rsidRPr="00AC4100" w:rsidRDefault="00AC4100" w:rsidP="00AC4100">
      <w:pPr>
        <w:rPr>
          <w:lang w:val="ar-SA" w:bidi="ar-EG"/>
        </w:rPr>
      </w:pPr>
      <w:r w:rsidRPr="00AC4100">
        <w:rPr>
          <w:rtl/>
        </w:rPr>
        <w:t xml:space="preserve">وترد في الوثيقة </w:t>
      </w:r>
      <w:hyperlink r:id="rId34" w:history="1">
        <w:r w:rsidRPr="00AC4100">
          <w:rPr>
            <w:rStyle w:val="Hyperlink"/>
            <w:noProof w:val="0"/>
            <w:lang w:val="en-US" w:eastAsia="zh-CN" w:bidi="ar-EG"/>
          </w:rPr>
          <w:t>C26/INF/14</w:t>
        </w:r>
      </w:hyperlink>
      <w:r w:rsidRPr="00AC4100">
        <w:rPr>
          <w:rtl/>
        </w:rPr>
        <w:t xml:space="preserve"> بيانات محددة عن عضوية القطاعات (أعضاء القطاعات والمنتسبون والهيئات الأكاديمية) في 31 ديسمبر 2025.</w:t>
      </w:r>
    </w:p>
    <w:p w14:paraId="47BB7C0C" w14:textId="77777777" w:rsidR="00AC4100" w:rsidRPr="00AC4100" w:rsidRDefault="00AC4100" w:rsidP="00CD199C">
      <w:pPr>
        <w:pStyle w:val="Heading1"/>
        <w:rPr>
          <w:lang w:val="ar-SA" w:bidi="ar-EG"/>
        </w:rPr>
      </w:pPr>
      <w:r w:rsidRPr="00AC4100">
        <w:rPr>
          <w:rtl/>
        </w:rPr>
        <w:t>3</w:t>
      </w:r>
      <w:r w:rsidRPr="00AC4100">
        <w:rPr>
          <w:rtl/>
        </w:rPr>
        <w:tab/>
        <w:t xml:space="preserve">التحول بوصفه عاملاً </w:t>
      </w:r>
      <w:proofErr w:type="spellStart"/>
      <w:r w:rsidRPr="00AC4100">
        <w:rPr>
          <w:rtl/>
        </w:rPr>
        <w:t>تمكينياً</w:t>
      </w:r>
      <w:proofErr w:type="spellEnd"/>
      <w:r w:rsidRPr="00AC4100">
        <w:rPr>
          <w:rtl/>
        </w:rPr>
        <w:t xml:space="preserve"> لتنفيذ استراتيجية تعبئة الموارد</w:t>
      </w:r>
    </w:p>
    <w:p w14:paraId="7E92AAED" w14:textId="132721FA" w:rsidR="00AC4100" w:rsidRPr="00AC4100" w:rsidRDefault="00AC4100" w:rsidP="00AC4100">
      <w:pPr>
        <w:rPr>
          <w:lang w:val="ar-SA" w:bidi="ar-EG"/>
        </w:rPr>
      </w:pPr>
      <w:r w:rsidRPr="00AC4100">
        <w:rPr>
          <w:rtl/>
        </w:rPr>
        <w:t>في إطار خارطة طريق التحول، يجري تنفيذ أنظمة رقمية جديدة ومدعومة بالذكاء الاصطناعي لدعم إدارة الحسابات المنسقة على نحو أكثر فعالية وتحسين التواصل على نطاق الاتحاد مع الأعضاء والجهات المانحة والشركاء، مع تنفيذ تشكيل تقني في الفترة من الربع الأول إلى الربع الثاني من عام 2026، يليه تنفيذ تجريبي للفترة المتبقية من عام 2026 على أن يمتد خلال عام 2027. وسيدعم هذا الاستثمار مجالات العمل</w:t>
      </w:r>
      <w:r w:rsidR="00AA1469">
        <w:rPr>
          <w:rFonts w:hint="cs"/>
          <w:rtl/>
          <w:lang w:bidi="ar-EG"/>
        </w:rPr>
        <w:t xml:space="preserve"> </w:t>
      </w:r>
      <w:r w:rsidR="00AA1469">
        <w:t>(1</w:t>
      </w:r>
      <w:r w:rsidRPr="00AC4100">
        <w:rPr>
          <w:rtl/>
        </w:rPr>
        <w:t xml:space="preserve"> تعزيز العضوية و</w:t>
      </w:r>
      <w:r w:rsidR="00AA1469">
        <w:t>(3</w:t>
      </w:r>
      <w:r w:rsidRPr="00AC4100">
        <w:rPr>
          <w:rtl/>
        </w:rPr>
        <w:t xml:space="preserve"> زيادة المساهمات الطوعية. </w:t>
      </w:r>
    </w:p>
    <w:p w14:paraId="5BB44CBE" w14:textId="7EC5CF24" w:rsidR="00AC4100" w:rsidRDefault="00AC4100" w:rsidP="00AC4100">
      <w:pPr>
        <w:rPr>
          <w:rtl/>
        </w:rPr>
      </w:pPr>
      <w:r w:rsidRPr="00AC4100">
        <w:rPr>
          <w:rtl/>
        </w:rPr>
        <w:t xml:space="preserve">وستؤدي جهود التحول الإضافية لتبسيط وأتمتة عمليات الأعمال المتعلقة بتعيين الخبراء وشراء الخدمات في عام 2026 إلى تعزيز قدرة الاتحاد على تنفيذ المشاريع في الوقت المحدد وفي حدود الميزانية، وبالتالي فهي عوامل تمكينية أساسية لمجال العمل 3 المتمثل في زيادة المساهمات الطوعية. وسيؤدي التنفيذ المعجل إلى بناء الثقة بين المانحين وتشجيع تكرار الدعم على مدى فترات أطول، مما يسمح للاتحاد بتوسيع نطاق تعبئة الموارد. ويلزم ضخ استثمارات كبيرة في منصات رقمية إضافية وبناء قدرات ومهارات الموظفين المتخصصين لتنفيذ التوصيات في مجال العمل </w:t>
      </w:r>
      <w:r w:rsidR="00AA1469">
        <w:t>(2</w:t>
      </w:r>
      <w:r w:rsidRPr="00AC4100">
        <w:rPr>
          <w:rtl/>
        </w:rPr>
        <w:t xml:space="preserve"> المتمثل في الاستفادة من الأحداث والمنتجات والخدمات. </w:t>
      </w:r>
    </w:p>
    <w:p w14:paraId="05A89B82" w14:textId="0B9B73BF" w:rsidR="00AA1469" w:rsidRPr="00AC4100" w:rsidRDefault="00AA1469" w:rsidP="00AA1469">
      <w:pPr>
        <w:spacing w:before="1440"/>
        <w:rPr>
          <w:lang w:val="ar-SA" w:bidi="ar-EG"/>
        </w:rPr>
      </w:pPr>
      <w:r w:rsidRPr="00AA1469">
        <w:rPr>
          <w:rFonts w:hint="cs"/>
          <w:b/>
          <w:bCs/>
          <w:rtl/>
        </w:rPr>
        <w:t xml:space="preserve">الملحق: </w:t>
      </w:r>
      <w:r>
        <w:rPr>
          <w:rFonts w:hint="cs"/>
          <w:rtl/>
        </w:rPr>
        <w:t>1</w:t>
      </w:r>
    </w:p>
    <w:p w14:paraId="2EF0FE99" w14:textId="77777777" w:rsidR="00AC4100" w:rsidRPr="00AC4100" w:rsidRDefault="00AC4100" w:rsidP="00AC4100">
      <w:pPr>
        <w:rPr>
          <w:lang w:bidi="ar-EG"/>
        </w:rPr>
      </w:pPr>
      <w:r w:rsidRPr="00AC4100">
        <w:rPr>
          <w:lang w:bidi="ar-EG"/>
        </w:rPr>
        <w:br w:type="page"/>
      </w:r>
    </w:p>
    <w:p w14:paraId="0EFF1E70" w14:textId="77777777" w:rsidR="00AC4100" w:rsidRPr="00AC4100" w:rsidRDefault="00AC4100" w:rsidP="00D838EB">
      <w:pPr>
        <w:pStyle w:val="AnnexNo"/>
        <w:rPr>
          <w:lang w:val="ar-SA" w:bidi="ar-EG"/>
        </w:rPr>
      </w:pPr>
      <w:bookmarkStart w:id="1" w:name="الملحق1"/>
      <w:bookmarkEnd w:id="1"/>
      <w:r w:rsidRPr="00AC4100">
        <w:rPr>
          <w:rtl/>
        </w:rPr>
        <w:t>الملحق</w:t>
      </w:r>
      <w:r w:rsidRPr="00AC4100">
        <w:rPr>
          <w:lang w:bidi="ar-EG"/>
        </w:rPr>
        <w:t>:</w:t>
      </w:r>
      <w:r w:rsidRPr="00AC4100">
        <w:rPr>
          <w:rtl/>
        </w:rPr>
        <w:t xml:space="preserve"> 1</w:t>
      </w:r>
    </w:p>
    <w:p w14:paraId="5535C77B" w14:textId="65B40E79" w:rsidR="00AC4100" w:rsidRPr="00AC4100" w:rsidRDefault="00AC4100" w:rsidP="006C0CA6">
      <w:pPr>
        <w:pStyle w:val="Annextitle"/>
        <w:rPr>
          <w:lang w:val="ar-SA" w:bidi="ar-EG"/>
        </w:rPr>
      </w:pPr>
      <w:bookmarkStart w:id="2" w:name="Annex1"/>
      <w:bookmarkEnd w:id="2"/>
      <w:r w:rsidRPr="00AC4100">
        <w:rPr>
          <w:rtl/>
        </w:rPr>
        <w:t>أولويات عام</w:t>
      </w:r>
      <w:r w:rsidR="00AA1469">
        <w:rPr>
          <w:rFonts w:hint="cs"/>
          <w:rtl/>
        </w:rPr>
        <w:t>َ</w:t>
      </w:r>
      <w:r w:rsidRPr="00AC4100">
        <w:rPr>
          <w:rtl/>
        </w:rPr>
        <w:t>ي 2025 و2026</w:t>
      </w:r>
    </w:p>
    <w:tbl>
      <w:tblPr>
        <w:bidiVisual/>
        <w:tblW w:w="9345" w:type="dxa"/>
        <w:tblLayout w:type="fixed"/>
        <w:tblLook w:val="04A0" w:firstRow="1" w:lastRow="0" w:firstColumn="1" w:lastColumn="0" w:noHBand="0" w:noVBand="1"/>
      </w:tblPr>
      <w:tblGrid>
        <w:gridCol w:w="5243"/>
        <w:gridCol w:w="1839"/>
        <w:gridCol w:w="2263"/>
      </w:tblGrid>
      <w:tr w:rsidR="00AC4100" w:rsidRPr="00AC4100" w14:paraId="5623DA44" w14:textId="77777777" w:rsidTr="006C0CA6">
        <w:tc>
          <w:tcPr>
            <w:tcW w:w="5243" w:type="dxa"/>
            <w:tcBorders>
              <w:top w:val="single" w:sz="4" w:space="0" w:color="auto"/>
              <w:left w:val="single" w:sz="4" w:space="0" w:color="auto"/>
              <w:bottom w:val="single" w:sz="4" w:space="0" w:color="auto"/>
              <w:right w:val="single" w:sz="4" w:space="0" w:color="auto"/>
            </w:tcBorders>
            <w:noWrap/>
            <w:hideMark/>
          </w:tcPr>
          <w:p w14:paraId="0B32B000" w14:textId="77777777" w:rsidR="00AC4100" w:rsidRPr="00AC4100" w:rsidRDefault="00AC4100" w:rsidP="006C0CA6">
            <w:pPr>
              <w:spacing w:before="60" w:after="60" w:line="280" w:lineRule="exact"/>
              <w:jc w:val="center"/>
              <w:rPr>
                <w:b/>
                <w:sz w:val="20"/>
                <w:szCs w:val="20"/>
                <w:lang w:val="ar-SA" w:bidi="ar-EG"/>
              </w:rPr>
            </w:pPr>
            <w:r w:rsidRPr="00AC4100">
              <w:rPr>
                <w:b/>
                <w:bCs/>
                <w:sz w:val="20"/>
                <w:szCs w:val="20"/>
                <w:rtl/>
              </w:rPr>
              <w:t>بند العمل</w:t>
            </w:r>
          </w:p>
        </w:tc>
        <w:tc>
          <w:tcPr>
            <w:tcW w:w="1839" w:type="dxa"/>
            <w:tcBorders>
              <w:top w:val="single" w:sz="4" w:space="0" w:color="auto"/>
              <w:left w:val="nil"/>
              <w:bottom w:val="single" w:sz="4" w:space="0" w:color="auto"/>
              <w:right w:val="single" w:sz="4" w:space="0" w:color="auto"/>
            </w:tcBorders>
            <w:noWrap/>
            <w:vAlign w:val="center"/>
            <w:hideMark/>
          </w:tcPr>
          <w:p w14:paraId="32969C35" w14:textId="77777777" w:rsidR="00AC4100" w:rsidRPr="00AC4100" w:rsidRDefault="00AC4100" w:rsidP="006C0CA6">
            <w:pPr>
              <w:spacing w:before="60" w:after="60" w:line="280" w:lineRule="exact"/>
              <w:jc w:val="center"/>
              <w:rPr>
                <w:b/>
                <w:sz w:val="20"/>
                <w:szCs w:val="20"/>
                <w:lang w:val="ar-SA" w:bidi="ar-EG"/>
              </w:rPr>
            </w:pPr>
            <w:r w:rsidRPr="00AC4100">
              <w:rPr>
                <w:b/>
                <w:bCs/>
                <w:sz w:val="20"/>
                <w:szCs w:val="20"/>
                <w:rtl/>
              </w:rPr>
              <w:t>العلامة الفارقة</w:t>
            </w:r>
          </w:p>
        </w:tc>
        <w:tc>
          <w:tcPr>
            <w:tcW w:w="2263" w:type="dxa"/>
            <w:tcBorders>
              <w:top w:val="single" w:sz="4" w:space="0" w:color="auto"/>
              <w:left w:val="nil"/>
              <w:bottom w:val="single" w:sz="4" w:space="0" w:color="auto"/>
              <w:right w:val="single" w:sz="4" w:space="0" w:color="auto"/>
            </w:tcBorders>
            <w:noWrap/>
            <w:vAlign w:val="center"/>
            <w:hideMark/>
          </w:tcPr>
          <w:p w14:paraId="56F37D89" w14:textId="77777777" w:rsidR="00AC4100" w:rsidRPr="00AC4100" w:rsidRDefault="00AC4100" w:rsidP="006C0CA6">
            <w:pPr>
              <w:spacing w:before="60" w:after="60" w:line="280" w:lineRule="exact"/>
              <w:jc w:val="center"/>
              <w:rPr>
                <w:b/>
                <w:sz w:val="20"/>
                <w:szCs w:val="20"/>
                <w:lang w:val="ar-SA" w:bidi="ar-EG"/>
              </w:rPr>
            </w:pPr>
            <w:r w:rsidRPr="00AC4100">
              <w:rPr>
                <w:b/>
                <w:bCs/>
                <w:sz w:val="20"/>
                <w:szCs w:val="20"/>
                <w:rtl/>
              </w:rPr>
              <w:t>الموعد المستهدف</w:t>
            </w:r>
          </w:p>
        </w:tc>
      </w:tr>
      <w:tr w:rsidR="00AC4100" w:rsidRPr="00AC4100" w14:paraId="04E1502E" w14:textId="77777777" w:rsidTr="006C0CA6">
        <w:tc>
          <w:tcPr>
            <w:tcW w:w="5243" w:type="dxa"/>
            <w:tcBorders>
              <w:top w:val="nil"/>
              <w:left w:val="single" w:sz="4" w:space="0" w:color="auto"/>
              <w:bottom w:val="single" w:sz="4" w:space="0" w:color="auto"/>
              <w:right w:val="single" w:sz="4" w:space="0" w:color="auto"/>
            </w:tcBorders>
            <w:hideMark/>
          </w:tcPr>
          <w:p w14:paraId="38795951" w14:textId="77777777" w:rsidR="00AC4100" w:rsidRPr="00AC4100" w:rsidRDefault="00AC4100" w:rsidP="006C0CA6">
            <w:pPr>
              <w:spacing w:before="60" w:after="60" w:line="280" w:lineRule="exact"/>
              <w:rPr>
                <w:sz w:val="20"/>
                <w:szCs w:val="20"/>
                <w:lang w:val="ar-SA" w:bidi="ar-EG"/>
              </w:rPr>
            </w:pPr>
            <w:r w:rsidRPr="00AC4100">
              <w:rPr>
                <w:sz w:val="20"/>
                <w:szCs w:val="20"/>
                <w:rtl/>
              </w:rPr>
              <w:t>مواد إعلامية وترويجية جديدة على المستوى التنفيذي يمكن أن يستخدمها المندوبون عند طرح المبررات لدعم الاتحاد داخل إداراتهم الوطنية.</w:t>
            </w:r>
          </w:p>
        </w:tc>
        <w:tc>
          <w:tcPr>
            <w:tcW w:w="1839" w:type="dxa"/>
            <w:tcBorders>
              <w:top w:val="nil"/>
              <w:left w:val="nil"/>
              <w:bottom w:val="single" w:sz="4" w:space="0" w:color="auto"/>
              <w:right w:val="single" w:sz="4" w:space="0" w:color="auto"/>
            </w:tcBorders>
            <w:noWrap/>
            <w:vAlign w:val="center"/>
            <w:hideMark/>
          </w:tcPr>
          <w:p w14:paraId="22644082" w14:textId="77777777" w:rsidR="00AC4100" w:rsidRPr="00AC4100" w:rsidRDefault="00AC4100" w:rsidP="006C0CA6">
            <w:pPr>
              <w:spacing w:before="60" w:after="60" w:line="280" w:lineRule="exact"/>
              <w:jc w:val="center"/>
              <w:rPr>
                <w:sz w:val="20"/>
                <w:szCs w:val="20"/>
                <w:lang w:val="ar-SA" w:bidi="ar-EG"/>
              </w:rPr>
            </w:pPr>
            <w:r w:rsidRPr="00AC4100">
              <w:rPr>
                <w:sz w:val="20"/>
                <w:szCs w:val="20"/>
                <w:rtl/>
              </w:rPr>
              <w:t>تم بلوغها</w:t>
            </w:r>
          </w:p>
        </w:tc>
        <w:tc>
          <w:tcPr>
            <w:tcW w:w="2263" w:type="dxa"/>
            <w:tcBorders>
              <w:top w:val="nil"/>
              <w:left w:val="nil"/>
              <w:bottom w:val="single" w:sz="4" w:space="0" w:color="auto"/>
              <w:right w:val="single" w:sz="4" w:space="0" w:color="auto"/>
            </w:tcBorders>
            <w:noWrap/>
            <w:vAlign w:val="center"/>
            <w:hideMark/>
          </w:tcPr>
          <w:p w14:paraId="7B0B8B06" w14:textId="77777777" w:rsidR="00AC4100" w:rsidRPr="00AC4100" w:rsidRDefault="00AC4100" w:rsidP="006C0CA6">
            <w:pPr>
              <w:spacing w:before="60" w:after="60" w:line="280" w:lineRule="exact"/>
              <w:jc w:val="center"/>
              <w:rPr>
                <w:sz w:val="20"/>
                <w:szCs w:val="20"/>
                <w:lang w:val="ar-SA" w:bidi="ar-EG"/>
              </w:rPr>
            </w:pPr>
            <w:r w:rsidRPr="00AC4100">
              <w:rPr>
                <w:sz w:val="20"/>
                <w:szCs w:val="20"/>
                <w:rtl/>
              </w:rPr>
              <w:t>الربع الثالث من عام 2025</w:t>
            </w:r>
          </w:p>
        </w:tc>
      </w:tr>
      <w:tr w:rsidR="00AC4100" w:rsidRPr="00AC4100" w14:paraId="05946C49" w14:textId="77777777" w:rsidTr="006C0CA6">
        <w:tc>
          <w:tcPr>
            <w:tcW w:w="5243" w:type="dxa"/>
            <w:tcBorders>
              <w:top w:val="nil"/>
              <w:left w:val="single" w:sz="4" w:space="0" w:color="auto"/>
              <w:bottom w:val="single" w:sz="4" w:space="0" w:color="auto"/>
              <w:right w:val="single" w:sz="4" w:space="0" w:color="auto"/>
            </w:tcBorders>
            <w:hideMark/>
          </w:tcPr>
          <w:p w14:paraId="52CDB6DF" w14:textId="77777777" w:rsidR="00AC4100" w:rsidRPr="00AC4100" w:rsidRDefault="00AC4100" w:rsidP="006C0CA6">
            <w:pPr>
              <w:spacing w:before="60" w:after="60" w:line="280" w:lineRule="exact"/>
              <w:rPr>
                <w:sz w:val="20"/>
                <w:szCs w:val="20"/>
                <w:lang w:val="ar-SA" w:bidi="ar-EG"/>
              </w:rPr>
            </w:pPr>
            <w:r w:rsidRPr="00AC4100">
              <w:rPr>
                <w:sz w:val="20"/>
                <w:szCs w:val="20"/>
                <w:rtl/>
              </w:rPr>
              <w:t>تحديد الشركات الرئيسية غير الأعضاء من الأجزاء الممثلة تمثيلاً ضعيفاً في النظام الإيكولوجي الرقمي سعياً لضمها إلى الاتحاد؛</w:t>
            </w:r>
          </w:p>
        </w:tc>
        <w:tc>
          <w:tcPr>
            <w:tcW w:w="1839" w:type="dxa"/>
            <w:tcBorders>
              <w:top w:val="nil"/>
              <w:left w:val="nil"/>
              <w:bottom w:val="single" w:sz="4" w:space="0" w:color="auto"/>
              <w:right w:val="single" w:sz="4" w:space="0" w:color="auto"/>
            </w:tcBorders>
            <w:noWrap/>
            <w:vAlign w:val="center"/>
            <w:hideMark/>
          </w:tcPr>
          <w:p w14:paraId="38ED71C3" w14:textId="77777777" w:rsidR="00AC4100" w:rsidRPr="00AC4100" w:rsidRDefault="00AC4100" w:rsidP="006C0CA6">
            <w:pPr>
              <w:spacing w:before="60" w:after="60" w:line="280" w:lineRule="exact"/>
              <w:jc w:val="center"/>
              <w:rPr>
                <w:sz w:val="20"/>
                <w:szCs w:val="20"/>
                <w:lang w:val="ar-SA" w:bidi="ar-EG"/>
              </w:rPr>
            </w:pPr>
            <w:r w:rsidRPr="00AC4100">
              <w:rPr>
                <w:sz w:val="20"/>
                <w:szCs w:val="20"/>
                <w:rtl/>
              </w:rPr>
              <w:t>تم بلوغها</w:t>
            </w:r>
          </w:p>
        </w:tc>
        <w:tc>
          <w:tcPr>
            <w:tcW w:w="2263" w:type="dxa"/>
            <w:tcBorders>
              <w:top w:val="nil"/>
              <w:left w:val="nil"/>
              <w:bottom w:val="single" w:sz="4" w:space="0" w:color="auto"/>
              <w:right w:val="single" w:sz="4" w:space="0" w:color="auto"/>
            </w:tcBorders>
            <w:noWrap/>
            <w:vAlign w:val="center"/>
            <w:hideMark/>
          </w:tcPr>
          <w:p w14:paraId="08321D23" w14:textId="77777777" w:rsidR="00AC4100" w:rsidRPr="00AC4100" w:rsidRDefault="00AC4100" w:rsidP="006C0CA6">
            <w:pPr>
              <w:spacing w:before="60" w:after="60" w:line="280" w:lineRule="exact"/>
              <w:jc w:val="center"/>
              <w:rPr>
                <w:sz w:val="20"/>
                <w:szCs w:val="20"/>
                <w:lang w:val="ar-SA" w:bidi="ar-EG"/>
              </w:rPr>
            </w:pPr>
            <w:r w:rsidRPr="00AC4100">
              <w:rPr>
                <w:sz w:val="20"/>
                <w:szCs w:val="20"/>
                <w:rtl/>
              </w:rPr>
              <w:t>الربع الثالث من عام 2025</w:t>
            </w:r>
          </w:p>
        </w:tc>
      </w:tr>
      <w:tr w:rsidR="00AC4100" w:rsidRPr="00AC4100" w14:paraId="5BB62E58" w14:textId="77777777" w:rsidTr="006C0CA6">
        <w:tc>
          <w:tcPr>
            <w:tcW w:w="5243" w:type="dxa"/>
            <w:tcBorders>
              <w:top w:val="nil"/>
              <w:left w:val="single" w:sz="4" w:space="0" w:color="auto"/>
              <w:bottom w:val="single" w:sz="4" w:space="0" w:color="auto"/>
              <w:right w:val="single" w:sz="4" w:space="0" w:color="auto"/>
            </w:tcBorders>
            <w:hideMark/>
          </w:tcPr>
          <w:p w14:paraId="2A0AD236" w14:textId="77777777" w:rsidR="00AC4100" w:rsidRPr="00AC4100" w:rsidRDefault="00AC4100" w:rsidP="006C0CA6">
            <w:pPr>
              <w:spacing w:before="60" w:after="60" w:line="280" w:lineRule="exact"/>
              <w:rPr>
                <w:sz w:val="20"/>
                <w:szCs w:val="20"/>
                <w:lang w:val="ar-SA" w:bidi="ar-EG"/>
              </w:rPr>
            </w:pPr>
            <w:r w:rsidRPr="00AC4100">
              <w:rPr>
                <w:sz w:val="20"/>
                <w:szCs w:val="20"/>
                <w:rtl/>
              </w:rPr>
              <w:t xml:space="preserve">استعراض مزايا ورسوم العضوية في القطاعات بالتشاور مع الأفرقة الاستشارية للقطاعات للتأكد من أن المزايا تتماشى مع التوقعات وأن عضوية القطاعات تستمر في تغطية التكاليف. وتقييم أي </w:t>
            </w:r>
            <w:proofErr w:type="gramStart"/>
            <w:r w:rsidRPr="00AC4100">
              <w:rPr>
                <w:sz w:val="20"/>
                <w:szCs w:val="20"/>
                <w:rtl/>
              </w:rPr>
              <w:t>مخاطر</w:t>
            </w:r>
            <w:proofErr w:type="gramEnd"/>
            <w:r w:rsidRPr="00AC4100">
              <w:rPr>
                <w:sz w:val="20"/>
                <w:szCs w:val="20"/>
                <w:rtl/>
              </w:rPr>
              <w:t xml:space="preserve"> تتعلق بالتغييرات المحتملة في الرسوم. النظر في عدة الفوائد التي من شأنها أن تشجع أعضاء القطاعات الحاليين على الانضمام إلى عضوية قطاعات متعددة وتشجيع المنتسبين على الارتقاء إلى العضوية الكاملة في القطاعات، وغير ذلك.</w:t>
            </w:r>
          </w:p>
        </w:tc>
        <w:tc>
          <w:tcPr>
            <w:tcW w:w="1839" w:type="dxa"/>
            <w:tcBorders>
              <w:top w:val="nil"/>
              <w:left w:val="nil"/>
              <w:bottom w:val="single" w:sz="4" w:space="0" w:color="auto"/>
              <w:right w:val="single" w:sz="4" w:space="0" w:color="auto"/>
            </w:tcBorders>
            <w:noWrap/>
            <w:vAlign w:val="center"/>
            <w:hideMark/>
          </w:tcPr>
          <w:p w14:paraId="7C2F231A" w14:textId="77777777" w:rsidR="00AC4100" w:rsidRPr="00AC4100" w:rsidRDefault="00AC4100" w:rsidP="006C0CA6">
            <w:pPr>
              <w:spacing w:before="60" w:after="60" w:line="280" w:lineRule="exact"/>
              <w:jc w:val="center"/>
              <w:rPr>
                <w:sz w:val="20"/>
                <w:szCs w:val="20"/>
                <w:lang w:val="ar-SA" w:bidi="ar-EG"/>
              </w:rPr>
            </w:pPr>
            <w:r w:rsidRPr="00AC4100">
              <w:rPr>
                <w:sz w:val="20"/>
                <w:szCs w:val="20"/>
                <w:rtl/>
              </w:rPr>
              <w:t>جاري بلوغها</w:t>
            </w:r>
          </w:p>
        </w:tc>
        <w:tc>
          <w:tcPr>
            <w:tcW w:w="2263" w:type="dxa"/>
            <w:tcBorders>
              <w:top w:val="nil"/>
              <w:left w:val="nil"/>
              <w:bottom w:val="single" w:sz="4" w:space="0" w:color="auto"/>
              <w:right w:val="single" w:sz="4" w:space="0" w:color="auto"/>
            </w:tcBorders>
            <w:vAlign w:val="center"/>
            <w:hideMark/>
          </w:tcPr>
          <w:p w14:paraId="37629335" w14:textId="77777777" w:rsidR="00AC4100" w:rsidRPr="00AC4100" w:rsidRDefault="00AC4100" w:rsidP="006C0CA6">
            <w:pPr>
              <w:spacing w:before="60" w:after="60" w:line="280" w:lineRule="exact"/>
              <w:jc w:val="center"/>
              <w:rPr>
                <w:sz w:val="20"/>
                <w:szCs w:val="20"/>
                <w:lang w:val="ar-SA" w:bidi="ar-EG"/>
              </w:rPr>
            </w:pPr>
            <w:r w:rsidRPr="00AC4100">
              <w:rPr>
                <w:sz w:val="20"/>
                <w:szCs w:val="20"/>
                <w:rtl/>
              </w:rPr>
              <w:t>الربع الثاني من عام 2026</w:t>
            </w:r>
          </w:p>
        </w:tc>
      </w:tr>
      <w:tr w:rsidR="00AC4100" w:rsidRPr="00AC4100" w14:paraId="11D3ABB7" w14:textId="77777777" w:rsidTr="006C0CA6">
        <w:tc>
          <w:tcPr>
            <w:tcW w:w="5243" w:type="dxa"/>
            <w:tcBorders>
              <w:top w:val="nil"/>
              <w:left w:val="single" w:sz="4" w:space="0" w:color="auto"/>
              <w:bottom w:val="single" w:sz="4" w:space="0" w:color="auto"/>
              <w:right w:val="single" w:sz="4" w:space="0" w:color="auto"/>
            </w:tcBorders>
            <w:hideMark/>
          </w:tcPr>
          <w:p w14:paraId="771CDADB" w14:textId="77777777" w:rsidR="00AC4100" w:rsidRPr="00AC4100" w:rsidRDefault="00AC4100" w:rsidP="006C0CA6">
            <w:pPr>
              <w:spacing w:before="60" w:after="60" w:line="280" w:lineRule="exact"/>
              <w:rPr>
                <w:sz w:val="20"/>
                <w:szCs w:val="20"/>
                <w:lang w:val="ar-SA" w:bidi="ar-EG"/>
              </w:rPr>
            </w:pPr>
            <w:r w:rsidRPr="00AC4100">
              <w:rPr>
                <w:sz w:val="20"/>
                <w:szCs w:val="20"/>
                <w:rtl/>
              </w:rPr>
              <w:t>النظر في نهج جديدة لتعزيز مشاركة أعضاء القطاعات، بما في ذلك المواد الترويجية والتسويق من خلال المنصات الرقمية، وإذكاء الوعي في جميع القطاعات أثناء المؤتمرات الرئيسية.</w:t>
            </w:r>
          </w:p>
        </w:tc>
        <w:tc>
          <w:tcPr>
            <w:tcW w:w="1839" w:type="dxa"/>
            <w:tcBorders>
              <w:top w:val="nil"/>
              <w:left w:val="nil"/>
              <w:bottom w:val="single" w:sz="4" w:space="0" w:color="auto"/>
              <w:right w:val="single" w:sz="4" w:space="0" w:color="auto"/>
            </w:tcBorders>
            <w:noWrap/>
            <w:vAlign w:val="center"/>
            <w:hideMark/>
          </w:tcPr>
          <w:p w14:paraId="2904EB30" w14:textId="77777777" w:rsidR="00AC4100" w:rsidRPr="00AC4100" w:rsidRDefault="00AC4100" w:rsidP="006C0CA6">
            <w:pPr>
              <w:spacing w:before="60" w:after="60" w:line="280" w:lineRule="exact"/>
              <w:jc w:val="center"/>
              <w:rPr>
                <w:sz w:val="20"/>
                <w:szCs w:val="20"/>
                <w:lang w:val="ar-SA" w:bidi="ar-EG"/>
              </w:rPr>
            </w:pPr>
            <w:r w:rsidRPr="00AC4100">
              <w:rPr>
                <w:sz w:val="20"/>
                <w:szCs w:val="20"/>
                <w:rtl/>
              </w:rPr>
              <w:t>جاري بلوغها</w:t>
            </w:r>
          </w:p>
        </w:tc>
        <w:tc>
          <w:tcPr>
            <w:tcW w:w="2263" w:type="dxa"/>
            <w:tcBorders>
              <w:top w:val="nil"/>
              <w:left w:val="nil"/>
              <w:bottom w:val="single" w:sz="4" w:space="0" w:color="auto"/>
              <w:right w:val="single" w:sz="4" w:space="0" w:color="auto"/>
            </w:tcBorders>
            <w:noWrap/>
            <w:vAlign w:val="center"/>
            <w:hideMark/>
          </w:tcPr>
          <w:p w14:paraId="3CBF4C02" w14:textId="77777777" w:rsidR="00AC4100" w:rsidRPr="00AC4100" w:rsidRDefault="00AC4100" w:rsidP="006C0CA6">
            <w:pPr>
              <w:spacing w:before="60" w:after="60" w:line="280" w:lineRule="exact"/>
              <w:jc w:val="center"/>
              <w:rPr>
                <w:sz w:val="20"/>
                <w:szCs w:val="20"/>
                <w:lang w:val="ar-SA" w:bidi="ar-EG"/>
              </w:rPr>
            </w:pPr>
            <w:r w:rsidRPr="00AC4100">
              <w:rPr>
                <w:sz w:val="20"/>
                <w:szCs w:val="20"/>
                <w:rtl/>
              </w:rPr>
              <w:t>الربع الثالث من عام 2026</w:t>
            </w:r>
          </w:p>
        </w:tc>
      </w:tr>
      <w:tr w:rsidR="00AC4100" w:rsidRPr="00AC4100" w14:paraId="2E7DF200" w14:textId="77777777" w:rsidTr="006C0CA6">
        <w:tc>
          <w:tcPr>
            <w:tcW w:w="5243" w:type="dxa"/>
            <w:tcBorders>
              <w:top w:val="nil"/>
              <w:left w:val="single" w:sz="4" w:space="0" w:color="auto"/>
              <w:bottom w:val="single" w:sz="4" w:space="0" w:color="auto"/>
              <w:right w:val="single" w:sz="4" w:space="0" w:color="auto"/>
            </w:tcBorders>
            <w:hideMark/>
          </w:tcPr>
          <w:p w14:paraId="006F4DCC" w14:textId="1165770A" w:rsidR="00AC4100" w:rsidRPr="00AC4100" w:rsidRDefault="00AC4100" w:rsidP="006C0CA6">
            <w:pPr>
              <w:spacing w:before="60" w:after="60" w:line="280" w:lineRule="exact"/>
              <w:rPr>
                <w:sz w:val="20"/>
                <w:szCs w:val="20"/>
                <w:lang w:val="ar-SA" w:bidi="ar-EG"/>
              </w:rPr>
            </w:pPr>
            <w:r w:rsidRPr="00AC4100">
              <w:rPr>
                <w:sz w:val="20"/>
                <w:szCs w:val="20"/>
                <w:rtl/>
              </w:rPr>
              <w:t>استعراض إمكانية تقديم مساهمات طوعية جديدة، بالاستفادة من خطة عمل باكو الصادرة عن المؤتمر العالمي لتنمية الاتصالات لعام 2025 (</w:t>
            </w:r>
            <w:r w:rsidRPr="00AC4100">
              <w:rPr>
                <w:sz w:val="20"/>
                <w:szCs w:val="20"/>
                <w:lang w:bidi="ar-EG"/>
              </w:rPr>
              <w:t>WTDC-25</w:t>
            </w:r>
            <w:r w:rsidRPr="00AC4100">
              <w:rPr>
                <w:sz w:val="20"/>
                <w:szCs w:val="20"/>
                <w:rtl/>
              </w:rPr>
              <w:t>) المعتمدة حديثا</w:t>
            </w:r>
            <w:r w:rsidR="00AA1469">
              <w:rPr>
                <w:rFonts w:hint="cs"/>
                <w:sz w:val="20"/>
                <w:szCs w:val="20"/>
                <w:rtl/>
              </w:rPr>
              <w:t>ً</w:t>
            </w:r>
            <w:r w:rsidRPr="00AC4100">
              <w:rPr>
                <w:sz w:val="20"/>
                <w:szCs w:val="20"/>
                <w:rtl/>
              </w:rPr>
              <w:t>، فضلا</w:t>
            </w:r>
            <w:r w:rsidR="00AA1469">
              <w:rPr>
                <w:rFonts w:hint="cs"/>
                <w:sz w:val="20"/>
                <w:szCs w:val="20"/>
                <w:rtl/>
              </w:rPr>
              <w:t>ً</w:t>
            </w:r>
            <w:r w:rsidRPr="00AC4100">
              <w:rPr>
                <w:sz w:val="20"/>
                <w:szCs w:val="20"/>
                <w:rtl/>
              </w:rPr>
              <w:t xml:space="preserve"> عن مبادرات الشراكة مثل الشراكة من أجل التوصيل </w:t>
            </w:r>
            <w:r w:rsidRPr="00AC4100">
              <w:rPr>
                <w:sz w:val="20"/>
                <w:szCs w:val="20"/>
                <w:lang w:bidi="ar-EG"/>
              </w:rPr>
              <w:t>(P2C)</w:t>
            </w:r>
            <w:r w:rsidRPr="00AC4100">
              <w:rPr>
                <w:sz w:val="20"/>
                <w:szCs w:val="20"/>
                <w:rtl/>
              </w:rPr>
              <w:t xml:space="preserve">. </w:t>
            </w:r>
          </w:p>
        </w:tc>
        <w:tc>
          <w:tcPr>
            <w:tcW w:w="1839" w:type="dxa"/>
            <w:tcBorders>
              <w:top w:val="nil"/>
              <w:left w:val="nil"/>
              <w:bottom w:val="single" w:sz="4" w:space="0" w:color="auto"/>
              <w:right w:val="single" w:sz="4" w:space="0" w:color="auto"/>
            </w:tcBorders>
            <w:noWrap/>
            <w:vAlign w:val="center"/>
            <w:hideMark/>
          </w:tcPr>
          <w:p w14:paraId="49083512" w14:textId="479C189D" w:rsidR="00AC4100" w:rsidRPr="00AC4100" w:rsidRDefault="00AC4100" w:rsidP="006C0CA6">
            <w:pPr>
              <w:spacing w:before="60" w:after="60" w:line="280" w:lineRule="exact"/>
              <w:jc w:val="center"/>
              <w:rPr>
                <w:sz w:val="20"/>
                <w:szCs w:val="20"/>
                <w:lang w:val="ar-SA" w:bidi="ar-EG"/>
              </w:rPr>
            </w:pPr>
            <w:r w:rsidRPr="00AC4100">
              <w:rPr>
                <w:sz w:val="20"/>
                <w:szCs w:val="20"/>
                <w:rtl/>
              </w:rPr>
              <w:t>يبدأ العمل قريبا</w:t>
            </w:r>
            <w:r w:rsidR="00AA1469">
              <w:rPr>
                <w:rFonts w:hint="cs"/>
                <w:sz w:val="20"/>
                <w:szCs w:val="20"/>
                <w:rtl/>
              </w:rPr>
              <w:t>ً</w:t>
            </w:r>
          </w:p>
        </w:tc>
        <w:tc>
          <w:tcPr>
            <w:tcW w:w="2263" w:type="dxa"/>
            <w:tcBorders>
              <w:top w:val="nil"/>
              <w:left w:val="nil"/>
              <w:bottom w:val="single" w:sz="4" w:space="0" w:color="auto"/>
              <w:right w:val="single" w:sz="4" w:space="0" w:color="auto"/>
            </w:tcBorders>
            <w:noWrap/>
            <w:vAlign w:val="center"/>
            <w:hideMark/>
          </w:tcPr>
          <w:p w14:paraId="5AE8C297" w14:textId="77777777" w:rsidR="00AC4100" w:rsidRPr="00AC4100" w:rsidRDefault="00AC4100" w:rsidP="006C0CA6">
            <w:pPr>
              <w:spacing w:before="60" w:after="60" w:line="280" w:lineRule="exact"/>
              <w:jc w:val="center"/>
              <w:rPr>
                <w:sz w:val="20"/>
                <w:szCs w:val="20"/>
                <w:lang w:val="ar-SA" w:bidi="ar-EG"/>
              </w:rPr>
            </w:pPr>
            <w:r w:rsidRPr="00AC4100">
              <w:rPr>
                <w:sz w:val="20"/>
                <w:szCs w:val="20"/>
                <w:rtl/>
              </w:rPr>
              <w:t>الربع الأخير من عام 2026</w:t>
            </w:r>
          </w:p>
        </w:tc>
      </w:tr>
      <w:tr w:rsidR="00AC4100" w:rsidRPr="00AC4100" w14:paraId="733E68BB" w14:textId="77777777" w:rsidTr="006C0CA6">
        <w:tc>
          <w:tcPr>
            <w:tcW w:w="5243" w:type="dxa"/>
            <w:tcBorders>
              <w:top w:val="nil"/>
              <w:left w:val="single" w:sz="4" w:space="0" w:color="auto"/>
              <w:bottom w:val="single" w:sz="4" w:space="0" w:color="auto"/>
              <w:right w:val="single" w:sz="4" w:space="0" w:color="auto"/>
            </w:tcBorders>
            <w:hideMark/>
          </w:tcPr>
          <w:p w14:paraId="30B9A6FE" w14:textId="77777777" w:rsidR="00AC4100" w:rsidRPr="00AC4100" w:rsidRDefault="00AC4100" w:rsidP="006C0CA6">
            <w:pPr>
              <w:spacing w:before="60" w:after="60" w:line="280" w:lineRule="exact"/>
              <w:rPr>
                <w:sz w:val="20"/>
                <w:szCs w:val="20"/>
                <w:lang w:val="ar-SA" w:bidi="ar-EG"/>
              </w:rPr>
            </w:pPr>
            <w:r w:rsidRPr="00AC4100">
              <w:rPr>
                <w:sz w:val="20"/>
                <w:szCs w:val="20"/>
                <w:rtl/>
              </w:rPr>
              <w:t>استعراض التحسينات المحتمل إدخالها على كيفية اعتراف الاتحاد بالمساهمات الطوعية لمواءمتها مع التوقعات المتطورة بين الجهات المانحة.</w:t>
            </w:r>
          </w:p>
        </w:tc>
        <w:tc>
          <w:tcPr>
            <w:tcW w:w="1839" w:type="dxa"/>
            <w:tcBorders>
              <w:top w:val="nil"/>
              <w:left w:val="nil"/>
              <w:bottom w:val="single" w:sz="4" w:space="0" w:color="auto"/>
              <w:right w:val="single" w:sz="4" w:space="0" w:color="auto"/>
            </w:tcBorders>
            <w:noWrap/>
            <w:vAlign w:val="center"/>
            <w:hideMark/>
          </w:tcPr>
          <w:p w14:paraId="5D483291" w14:textId="4A692503" w:rsidR="00AC4100" w:rsidRPr="00AC4100" w:rsidRDefault="00AC4100" w:rsidP="006C0CA6">
            <w:pPr>
              <w:spacing w:before="60" w:after="60" w:line="280" w:lineRule="exact"/>
              <w:jc w:val="center"/>
              <w:rPr>
                <w:sz w:val="20"/>
                <w:szCs w:val="20"/>
                <w:lang w:val="ar-SA" w:bidi="ar-EG"/>
              </w:rPr>
            </w:pPr>
            <w:r w:rsidRPr="00AC4100">
              <w:rPr>
                <w:sz w:val="20"/>
                <w:szCs w:val="20"/>
                <w:rtl/>
              </w:rPr>
              <w:t>يبدأ العمل قريبا</w:t>
            </w:r>
            <w:r w:rsidR="00AA1469">
              <w:rPr>
                <w:rFonts w:hint="cs"/>
                <w:sz w:val="20"/>
                <w:szCs w:val="20"/>
                <w:rtl/>
              </w:rPr>
              <w:t>ً</w:t>
            </w:r>
          </w:p>
        </w:tc>
        <w:tc>
          <w:tcPr>
            <w:tcW w:w="2263" w:type="dxa"/>
            <w:tcBorders>
              <w:top w:val="nil"/>
              <w:left w:val="nil"/>
              <w:bottom w:val="single" w:sz="4" w:space="0" w:color="auto"/>
              <w:right w:val="single" w:sz="4" w:space="0" w:color="auto"/>
            </w:tcBorders>
            <w:noWrap/>
            <w:vAlign w:val="center"/>
            <w:hideMark/>
          </w:tcPr>
          <w:p w14:paraId="35C8CBC7" w14:textId="77777777" w:rsidR="00AC4100" w:rsidRPr="00AC4100" w:rsidRDefault="00AC4100" w:rsidP="006C0CA6">
            <w:pPr>
              <w:spacing w:before="60" w:after="60" w:line="280" w:lineRule="exact"/>
              <w:jc w:val="center"/>
              <w:rPr>
                <w:sz w:val="20"/>
                <w:szCs w:val="20"/>
                <w:lang w:val="ar-SA" w:bidi="ar-EG"/>
              </w:rPr>
            </w:pPr>
            <w:r w:rsidRPr="00AC4100">
              <w:rPr>
                <w:sz w:val="20"/>
                <w:szCs w:val="20"/>
                <w:rtl/>
              </w:rPr>
              <w:t>الربع الأخير من عام 2026</w:t>
            </w:r>
          </w:p>
        </w:tc>
      </w:tr>
      <w:tr w:rsidR="00AC4100" w:rsidRPr="00AC4100" w14:paraId="01165B6F" w14:textId="77777777" w:rsidTr="006C0CA6">
        <w:tc>
          <w:tcPr>
            <w:tcW w:w="5243" w:type="dxa"/>
            <w:tcBorders>
              <w:top w:val="nil"/>
              <w:left w:val="single" w:sz="4" w:space="0" w:color="auto"/>
              <w:bottom w:val="single" w:sz="4" w:space="0" w:color="auto"/>
              <w:right w:val="single" w:sz="4" w:space="0" w:color="auto"/>
            </w:tcBorders>
            <w:hideMark/>
          </w:tcPr>
          <w:p w14:paraId="3C44CD2A" w14:textId="77777777" w:rsidR="00AC4100" w:rsidRPr="00AC4100" w:rsidRDefault="00AC4100" w:rsidP="006C0CA6">
            <w:pPr>
              <w:spacing w:before="60" w:after="60" w:line="280" w:lineRule="exact"/>
              <w:rPr>
                <w:sz w:val="20"/>
                <w:szCs w:val="20"/>
                <w:lang w:val="ar-SA" w:bidi="ar-EG"/>
              </w:rPr>
            </w:pPr>
            <w:r w:rsidRPr="00AC4100">
              <w:rPr>
                <w:sz w:val="20"/>
                <w:szCs w:val="20"/>
                <w:rtl/>
              </w:rPr>
              <w:t>تنفيذ تدابير وأنظمة جديدة لتحسين تنسيق إدارة الحسابات وتحسين الخدمات المقدمة على نطاق الاتحاد إلى الدول الأعضاء وأعضاء القطاعات والجهات المانحة، وما إلى ذلك. ويشمل ذلك معالجة العوامل التمكينية الداخلية في إطار خطة التحول: أنظمة تكنولوجيا المعلومات، وبناء قدرات الموظفين ومهاراتهم، وتبسيط وتحديث القواعد والعمليات المالية والإدارية، وما إلى ذلك.</w:t>
            </w:r>
          </w:p>
        </w:tc>
        <w:tc>
          <w:tcPr>
            <w:tcW w:w="1839" w:type="dxa"/>
            <w:tcBorders>
              <w:top w:val="nil"/>
              <w:left w:val="nil"/>
              <w:bottom w:val="single" w:sz="4" w:space="0" w:color="auto"/>
              <w:right w:val="single" w:sz="4" w:space="0" w:color="auto"/>
            </w:tcBorders>
            <w:noWrap/>
            <w:vAlign w:val="center"/>
            <w:hideMark/>
          </w:tcPr>
          <w:p w14:paraId="367F8838" w14:textId="77777777" w:rsidR="00AC4100" w:rsidRPr="00AC4100" w:rsidRDefault="00AC4100" w:rsidP="006C0CA6">
            <w:pPr>
              <w:spacing w:before="60" w:after="60" w:line="280" w:lineRule="exact"/>
              <w:jc w:val="center"/>
              <w:rPr>
                <w:sz w:val="20"/>
                <w:szCs w:val="20"/>
                <w:lang w:val="ar-SA" w:bidi="ar-EG"/>
              </w:rPr>
            </w:pPr>
            <w:r w:rsidRPr="00AC4100">
              <w:rPr>
                <w:sz w:val="20"/>
                <w:szCs w:val="20"/>
                <w:rtl/>
              </w:rPr>
              <w:t>جاري بلوغها</w:t>
            </w:r>
          </w:p>
        </w:tc>
        <w:tc>
          <w:tcPr>
            <w:tcW w:w="2263" w:type="dxa"/>
            <w:tcBorders>
              <w:top w:val="nil"/>
              <w:left w:val="nil"/>
              <w:bottom w:val="single" w:sz="4" w:space="0" w:color="auto"/>
              <w:right w:val="single" w:sz="4" w:space="0" w:color="auto"/>
            </w:tcBorders>
            <w:noWrap/>
            <w:vAlign w:val="center"/>
            <w:hideMark/>
          </w:tcPr>
          <w:p w14:paraId="55999C84" w14:textId="77777777" w:rsidR="00AC4100" w:rsidRPr="00AC4100" w:rsidRDefault="00AC4100" w:rsidP="006C0CA6">
            <w:pPr>
              <w:spacing w:before="60" w:after="60" w:line="280" w:lineRule="exact"/>
              <w:jc w:val="center"/>
              <w:rPr>
                <w:sz w:val="20"/>
                <w:szCs w:val="20"/>
                <w:lang w:val="ar-SA" w:bidi="ar-EG"/>
              </w:rPr>
            </w:pPr>
            <w:r w:rsidRPr="00AC4100">
              <w:rPr>
                <w:sz w:val="20"/>
                <w:szCs w:val="20"/>
                <w:rtl/>
              </w:rPr>
              <w:t>المرحلة 1</w:t>
            </w:r>
            <w:r w:rsidRPr="00AC4100">
              <w:rPr>
                <w:sz w:val="20"/>
                <w:szCs w:val="20"/>
                <w:lang w:bidi="ar-EG"/>
              </w:rPr>
              <w:t>:</w:t>
            </w:r>
            <w:r w:rsidRPr="00AC4100">
              <w:rPr>
                <w:sz w:val="20"/>
                <w:szCs w:val="20"/>
                <w:rtl/>
              </w:rPr>
              <w:t xml:space="preserve"> الربع الثاني من عام 2026</w:t>
            </w:r>
          </w:p>
        </w:tc>
      </w:tr>
    </w:tbl>
    <w:p w14:paraId="4505D3FE"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35"/>
      <w:headerReference w:type="first" r:id="rId36"/>
      <w:footerReference w:type="first" r:id="rId37"/>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61B5" w14:textId="77777777" w:rsidR="008B62C6" w:rsidRDefault="008B62C6" w:rsidP="006C3242">
      <w:pPr>
        <w:spacing w:before="0" w:line="240" w:lineRule="auto"/>
      </w:pPr>
      <w:r>
        <w:separator/>
      </w:r>
    </w:p>
  </w:endnote>
  <w:endnote w:type="continuationSeparator" w:id="0">
    <w:p w14:paraId="499E34D2" w14:textId="77777777" w:rsidR="008B62C6" w:rsidRDefault="008B62C6"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18BBF6E" w14:textId="77777777" w:rsidTr="00A67F05">
      <w:trPr>
        <w:jc w:val="center"/>
      </w:trPr>
      <w:tc>
        <w:tcPr>
          <w:tcW w:w="868" w:type="pct"/>
          <w:vAlign w:val="center"/>
        </w:tcPr>
        <w:p w14:paraId="757F0FCF" w14:textId="2DCEF6E2" w:rsidR="00F50E3F" w:rsidRPr="007B0AA0" w:rsidRDefault="00AA1469"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2600706</w:t>
          </w:r>
        </w:p>
      </w:tc>
      <w:tc>
        <w:tcPr>
          <w:tcW w:w="3912" w:type="pct"/>
        </w:tcPr>
        <w:p w14:paraId="268E7EB3" w14:textId="156681E0"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D838EB">
            <w:rPr>
              <w:rFonts w:ascii="Calibri" w:hAnsi="Calibri" w:cs="Arial"/>
              <w:bCs/>
              <w:color w:val="7F7F7F"/>
              <w:sz w:val="18"/>
            </w:rPr>
            <w:t>73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39F4E4D"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93BC888"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7D187D5E" w14:textId="77777777" w:rsidTr="00A67F05">
      <w:trPr>
        <w:jc w:val="center"/>
      </w:trPr>
      <w:tc>
        <w:tcPr>
          <w:tcW w:w="1013" w:type="pct"/>
          <w:vAlign w:val="center"/>
        </w:tcPr>
        <w:p w14:paraId="498154B3"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019B38F6" w14:textId="678F4344"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D838EB">
            <w:rPr>
              <w:rFonts w:ascii="Calibri" w:hAnsi="Calibri" w:cs="Arial"/>
              <w:bCs/>
              <w:color w:val="7F7F7F"/>
              <w:sz w:val="18"/>
            </w:rPr>
            <w:t>73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AE4F85B"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F8E814D"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281FB" w14:textId="77777777" w:rsidR="008B62C6" w:rsidRDefault="008B62C6" w:rsidP="006C3242">
      <w:pPr>
        <w:spacing w:before="0" w:line="240" w:lineRule="auto"/>
      </w:pPr>
      <w:r>
        <w:separator/>
      </w:r>
    </w:p>
  </w:footnote>
  <w:footnote w:type="continuationSeparator" w:id="0">
    <w:p w14:paraId="4FAE57BB" w14:textId="77777777" w:rsidR="008B62C6" w:rsidRDefault="008B62C6"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DBDE" w14:textId="77777777" w:rsidR="001A3E13" w:rsidRPr="00057769" w:rsidRDefault="001A3E13" w:rsidP="001A3E13">
    <w:pPr>
      <w:pStyle w:val="Header"/>
    </w:pPr>
    <w:r>
      <w:rPr>
        <w:noProof/>
      </w:rPr>
      <w:drawing>
        <wp:inline distT="0" distB="0" distL="0" distR="0" wp14:anchorId="0AA89786" wp14:editId="00C9ACFA">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C6"/>
    <w:rsid w:val="000116AF"/>
    <w:rsid w:val="0006468A"/>
    <w:rsid w:val="00077A58"/>
    <w:rsid w:val="00090574"/>
    <w:rsid w:val="000C1C0E"/>
    <w:rsid w:val="000C548A"/>
    <w:rsid w:val="000D6EB8"/>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4F16EE"/>
    <w:rsid w:val="005130DE"/>
    <w:rsid w:val="00513157"/>
    <w:rsid w:val="00525DDD"/>
    <w:rsid w:val="005409AC"/>
    <w:rsid w:val="005434E0"/>
    <w:rsid w:val="005546CF"/>
    <w:rsid w:val="0055516A"/>
    <w:rsid w:val="0058491B"/>
    <w:rsid w:val="00592EA5"/>
    <w:rsid w:val="005A3170"/>
    <w:rsid w:val="005F466D"/>
    <w:rsid w:val="00657019"/>
    <w:rsid w:val="00660DEA"/>
    <w:rsid w:val="00677396"/>
    <w:rsid w:val="00683F16"/>
    <w:rsid w:val="0069200F"/>
    <w:rsid w:val="006A65CB"/>
    <w:rsid w:val="006B12E5"/>
    <w:rsid w:val="006C0CA6"/>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8B62C6"/>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F94"/>
    <w:rsid w:val="00AA1469"/>
    <w:rsid w:val="00AA7EA2"/>
    <w:rsid w:val="00AB5A56"/>
    <w:rsid w:val="00AC4100"/>
    <w:rsid w:val="00B00CE2"/>
    <w:rsid w:val="00B03099"/>
    <w:rsid w:val="00B05BC8"/>
    <w:rsid w:val="00B30F5E"/>
    <w:rsid w:val="00B64B47"/>
    <w:rsid w:val="00B95654"/>
    <w:rsid w:val="00B97F32"/>
    <w:rsid w:val="00BA04B2"/>
    <w:rsid w:val="00C002DE"/>
    <w:rsid w:val="00C0602B"/>
    <w:rsid w:val="00C224DA"/>
    <w:rsid w:val="00C53BF8"/>
    <w:rsid w:val="00C66157"/>
    <w:rsid w:val="00C674FE"/>
    <w:rsid w:val="00C67501"/>
    <w:rsid w:val="00C75633"/>
    <w:rsid w:val="00CD199C"/>
    <w:rsid w:val="00CD5B6A"/>
    <w:rsid w:val="00CE2EE1"/>
    <w:rsid w:val="00CE3349"/>
    <w:rsid w:val="00CE36E5"/>
    <w:rsid w:val="00CE4360"/>
    <w:rsid w:val="00CF27F5"/>
    <w:rsid w:val="00CF3FFD"/>
    <w:rsid w:val="00D10CCF"/>
    <w:rsid w:val="00D13941"/>
    <w:rsid w:val="00D23F5F"/>
    <w:rsid w:val="00D2695F"/>
    <w:rsid w:val="00D43F7D"/>
    <w:rsid w:val="00D63735"/>
    <w:rsid w:val="00D77D0F"/>
    <w:rsid w:val="00D838EB"/>
    <w:rsid w:val="00DA1CF0"/>
    <w:rsid w:val="00DA6A30"/>
    <w:rsid w:val="00DC1E02"/>
    <w:rsid w:val="00DC24B4"/>
    <w:rsid w:val="00DC5FB0"/>
    <w:rsid w:val="00DF16DC"/>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A5EF5"/>
  <w15:chartTrackingRefBased/>
  <w15:docId w15:val="{69778AD2-768A-488C-B91A-83A03BE6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1113132721">
      <w:bodyDiv w:val="1"/>
      <w:marLeft w:val="0"/>
      <w:marRight w:val="0"/>
      <w:marTop w:val="0"/>
      <w:marBottom w:val="0"/>
      <w:divBdr>
        <w:top w:val="none" w:sz="0" w:space="0" w:color="auto"/>
        <w:left w:val="none" w:sz="0" w:space="0" w:color="auto"/>
        <w:bottom w:val="none" w:sz="0" w:space="0" w:color="auto"/>
        <w:right w:val="none" w:sz="0" w:space="0" w:color="auto"/>
      </w:divBdr>
    </w:div>
    <w:div w:id="12786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7-CL-C-0067/en" TargetMode="External"/><Relationship Id="rId18" Type="http://schemas.openxmlformats.org/officeDocument/2006/relationships/hyperlink" Target="https://www.itu.int/md/S24-CWGFHR17-C-0003/en" TargetMode="External"/><Relationship Id="rId26" Type="http://schemas.openxmlformats.org/officeDocument/2006/relationships/hyperlink" Target="https://www.itu.int/md/S26-CL-INF-0014/en" TargetMode="External"/><Relationship Id="rId39" Type="http://schemas.openxmlformats.org/officeDocument/2006/relationships/theme" Target="theme/theme1.xml"/><Relationship Id="rId21" Type="http://schemas.openxmlformats.org/officeDocument/2006/relationships/hyperlink" Target="https://www.itu.int/md/S25-CL-C-0067/en" TargetMode="External"/><Relationship Id="rId34" Type="http://schemas.openxmlformats.org/officeDocument/2006/relationships/hyperlink" Target="https://www.itu.int/md/S26-CL-INF-0014/en" TargetMode="External"/><Relationship Id="rId7" Type="http://schemas.openxmlformats.org/officeDocument/2006/relationships/endnotes" Target="endnotes.xml"/><Relationship Id="rId12" Type="http://schemas.openxmlformats.org/officeDocument/2006/relationships/hyperlink" Target="https://www.itu.int/en/council/Documents/basic-texts-2023/DEC-005-A.pdf" TargetMode="External"/><Relationship Id="rId17" Type="http://schemas.openxmlformats.org/officeDocument/2006/relationships/hyperlink" Target="https://www.itu.int/md/S23-CWGFHR16-C-0011/en" TargetMode="External"/><Relationship Id="rId25" Type="http://schemas.openxmlformats.org/officeDocument/2006/relationships/hyperlink" Target="https://www.itu.int/md/S26-CL-C-0047/en" TargetMode="External"/><Relationship Id="rId33" Type="http://schemas.openxmlformats.org/officeDocument/2006/relationships/hyperlink" Target="https://www.itu.int/hub/membership/become-a-member/resource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S23-CL-C-0062/en" TargetMode="External"/><Relationship Id="rId20" Type="http://schemas.openxmlformats.org/officeDocument/2006/relationships/hyperlink" Target="https://www.itu.int/md/S24-CL-C-0070/en" TargetMode="External"/><Relationship Id="rId29" Type="http://schemas.openxmlformats.org/officeDocument/2006/relationships/hyperlink" Target="https://www.itu.int/md/S25-SG-CIR-0036/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cwg-fhr/Pages/default.aspx" TargetMode="External"/><Relationship Id="rId24" Type="http://schemas.openxmlformats.org/officeDocument/2006/relationships/hyperlink" Target="https://www.itu.int/dms_pub/itu-s/md/26/cwgfhr22/c/S26-CWGFHR22-C-0016!!MSW-E.docx" TargetMode="External"/><Relationship Id="rId32" Type="http://schemas.openxmlformats.org/officeDocument/2006/relationships/hyperlink" Target="https://www.itu.int/md/S25-SG-CIR-0036/en"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dms_pub/itu-d/opb/tdc/D-TDC-WTDC-2022-PDF-A.pdf" TargetMode="External"/><Relationship Id="rId23" Type="http://schemas.openxmlformats.org/officeDocument/2006/relationships/hyperlink" Target="https://www.itu.int/md/S25-CL-INF-0006/en" TargetMode="External"/><Relationship Id="rId28" Type="http://schemas.openxmlformats.org/officeDocument/2006/relationships/hyperlink" Target="https://www.itu.int/md/S26-CL-INF-0014/en" TargetMode="External"/><Relationship Id="rId36" Type="http://schemas.openxmlformats.org/officeDocument/2006/relationships/header" Target="header1.xml"/><Relationship Id="rId10" Type="http://schemas.openxmlformats.org/officeDocument/2006/relationships/hyperlink" Target="https://www.itu.int/dms_pub/itu-s/md/26/cwgfhr22/c/S26-CWGFHR22-C-0016!!MSW-E.docx" TargetMode="External"/><Relationship Id="rId19" Type="http://schemas.openxmlformats.org/officeDocument/2006/relationships/hyperlink" Target="https://www.itu.int/md/S24-CWGFHR17-INF-0009/en" TargetMode="External"/><Relationship Id="rId31" Type="http://schemas.openxmlformats.org/officeDocument/2006/relationships/hyperlink" Target="https://www.itu.int/md/S25-CL-INF-0006/en" TargetMode="External"/><Relationship Id="rId4" Type="http://schemas.openxmlformats.org/officeDocument/2006/relationships/settings" Target="settings.xml"/><Relationship Id="rId9" Type="http://schemas.openxmlformats.org/officeDocument/2006/relationships/hyperlink" Target="https://www.itu.int/md/S25-CL-C-0067/" TargetMode="External"/><Relationship Id="rId14" Type="http://schemas.openxmlformats.org/officeDocument/2006/relationships/hyperlink" Target="https://www.itu.int/md/S23-CL-INF-0012/en" TargetMode="External"/><Relationship Id="rId22" Type="http://schemas.openxmlformats.org/officeDocument/2006/relationships/hyperlink" Target="https://www.itu.int/md/S25-SG-CIR-0036/en" TargetMode="External"/><Relationship Id="rId27" Type="http://schemas.openxmlformats.org/officeDocument/2006/relationships/hyperlink" Target="https://www.itu.int/md/S24-CL-C-0070/en" TargetMode="External"/><Relationship Id="rId30" Type="http://schemas.openxmlformats.org/officeDocument/2006/relationships/hyperlink" Target="https://www.itu.int/dms_pub/itu-s/md/26/cl/c/S26-CL-C-0047!!MSW-A.docx" TargetMode="External"/><Relationship Id="rId35" Type="http://schemas.openxmlformats.org/officeDocument/2006/relationships/footer" Target="footer1.xml"/><Relationship Id="rId8" Type="http://schemas.openxmlformats.org/officeDocument/2006/relationships/hyperlink" Target="https://www.itu.int/md/S24-CL-C-0070/"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7085</Characters>
  <Application>Microsoft Office Word</Application>
  <DocSecurity>0</DocSecurity>
  <Lines>139</Lines>
  <Paragraphs>67</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implementation of ITU's resource mobilization strategy</dc:title>
  <dc:subject>ITU Council 2026</dc:subject>
  <dc:creator>GBS</dc:creator>
  <cp:keywords>C26; C2026; Council 2026; PP26</cp:keywords>
  <dc:description/>
  <cp:lastModifiedBy>GBS</cp:lastModifiedBy>
  <cp:revision>3</cp:revision>
  <dcterms:created xsi:type="dcterms:W3CDTF">2026-04-26T13:19:00Z</dcterms:created>
  <dcterms:modified xsi:type="dcterms:W3CDTF">2026-04-26T13:19:00Z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