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5A18A667">
        <w:trPr>
          <w:cantSplit/>
          <w:trHeight w:val="23"/>
        </w:trPr>
        <w:tc>
          <w:tcPr>
            <w:tcW w:w="3969" w:type="dxa"/>
            <w:vMerge w:val="restart"/>
            <w:tcMar>
              <w:left w:w="0" w:type="dxa"/>
            </w:tcMar>
          </w:tcPr>
          <w:p w14:paraId="61645E1B" w14:textId="6AF3B9F5"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53801">
              <w:rPr>
                <w:b/>
              </w:rPr>
              <w:t>ADM 1</w:t>
            </w:r>
          </w:p>
        </w:tc>
        <w:tc>
          <w:tcPr>
            <w:tcW w:w="5245" w:type="dxa"/>
          </w:tcPr>
          <w:p w14:paraId="627B15D6" w14:textId="1F6138AC"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DF2934">
              <w:rPr>
                <w:b/>
              </w:rPr>
              <w:t>72</w:t>
            </w:r>
            <w:r w:rsidRPr="00C0458D">
              <w:rPr>
                <w:b/>
              </w:rPr>
              <w:t>-E</w:t>
            </w:r>
          </w:p>
        </w:tc>
      </w:tr>
      <w:tr w:rsidR="00AD3606" w:rsidRPr="00C0458D" w14:paraId="65AB0567" w14:textId="77777777" w:rsidTr="5A18A667">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26A6B72" w:rsidR="00AD3606" w:rsidRPr="00C0458D" w:rsidRDefault="000905DE" w:rsidP="00954C49">
            <w:pPr>
              <w:tabs>
                <w:tab w:val="left" w:pos="851"/>
              </w:tabs>
              <w:spacing w:before="0"/>
              <w:jc w:val="right"/>
              <w:rPr>
                <w:b/>
              </w:rPr>
            </w:pPr>
            <w:r>
              <w:rPr>
                <w:b/>
              </w:rPr>
              <w:t>30</w:t>
            </w:r>
            <w:r w:rsidR="00953801">
              <w:rPr>
                <w:b/>
              </w:rPr>
              <w:t xml:space="preserve"> March 2026</w:t>
            </w:r>
          </w:p>
        </w:tc>
      </w:tr>
      <w:tr w:rsidR="00AD3606" w:rsidRPr="00C0458D" w14:paraId="2FF439A4" w14:textId="77777777" w:rsidTr="5A18A667">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AD3606" w:rsidRPr="00C0458D" w14:paraId="21388443" w14:textId="77777777" w:rsidTr="5A18A667">
        <w:trPr>
          <w:cantSplit/>
        </w:trPr>
        <w:tc>
          <w:tcPr>
            <w:tcW w:w="9214" w:type="dxa"/>
            <w:gridSpan w:val="2"/>
            <w:tcMar>
              <w:left w:w="0" w:type="dxa"/>
            </w:tcMar>
          </w:tcPr>
          <w:p w14:paraId="4974CF10" w14:textId="77777777" w:rsidR="00AD3606" w:rsidRPr="00C0458D" w:rsidRDefault="00AD3606" w:rsidP="00D91D68">
            <w:pPr>
              <w:pStyle w:val="Source"/>
              <w:framePr w:hSpace="0" w:wrap="auto" w:vAnchor="margin" w:hAnchor="text" w:xAlign="left" w:yAlign="inline"/>
            </w:pPr>
            <w:bookmarkStart w:id="8" w:name="dsource" w:colFirst="0" w:colLast="0"/>
            <w:bookmarkEnd w:id="7"/>
            <w:r w:rsidRPr="00C0458D">
              <w:t>Report by the Secretary-General</w:t>
            </w:r>
          </w:p>
        </w:tc>
      </w:tr>
      <w:tr w:rsidR="00AD3606" w:rsidRPr="00C0458D" w14:paraId="2008114E" w14:textId="77777777" w:rsidTr="5A18A667">
        <w:trPr>
          <w:cantSplit/>
        </w:trPr>
        <w:tc>
          <w:tcPr>
            <w:tcW w:w="9214" w:type="dxa"/>
            <w:gridSpan w:val="2"/>
            <w:tcMar>
              <w:left w:w="0" w:type="dxa"/>
            </w:tcMar>
          </w:tcPr>
          <w:p w14:paraId="1036C3F4" w14:textId="2F002E47" w:rsidR="00AD3606" w:rsidRPr="000905DE" w:rsidRDefault="00913B1E" w:rsidP="00D91D68">
            <w:pPr>
              <w:pStyle w:val="Subtitle"/>
              <w:framePr w:hSpace="0" w:wrap="auto" w:xAlign="left" w:yAlign="inline"/>
              <w:rPr>
                <w:spacing w:val="-2"/>
              </w:rPr>
            </w:pPr>
            <w:bookmarkStart w:id="9" w:name="dtitle1"/>
            <w:bookmarkEnd w:id="8"/>
            <w:r w:rsidRPr="000905DE">
              <w:rPr>
                <w:spacing w:val="-2"/>
              </w:rPr>
              <w:t>METHODOLOGY FOR REVIEW AND REVISION OF THE CONTRIBUTORY UNIT</w:t>
            </w:r>
          </w:p>
        </w:tc>
      </w:tr>
      <w:tr w:rsidR="00AD3606" w:rsidRPr="004033C0" w14:paraId="58526C68" w14:textId="77777777" w:rsidTr="5A18A667">
        <w:trPr>
          <w:cantSplit/>
        </w:trPr>
        <w:tc>
          <w:tcPr>
            <w:tcW w:w="9214" w:type="dxa"/>
            <w:gridSpan w:val="2"/>
            <w:tcBorders>
              <w:top w:val="single" w:sz="4" w:space="0" w:color="auto"/>
              <w:bottom w:val="single" w:sz="4" w:space="0" w:color="auto"/>
            </w:tcBorders>
            <w:tcMar>
              <w:left w:w="0" w:type="dxa"/>
            </w:tcMar>
          </w:tcPr>
          <w:p w14:paraId="708C9082" w14:textId="77777777" w:rsidR="00AD3606" w:rsidRPr="00A66F8F" w:rsidRDefault="79B9B569" w:rsidP="006F5464">
            <w:pPr>
              <w:rPr>
                <w:b/>
                <w:bCs/>
                <w:sz w:val="26"/>
                <w:szCs w:val="26"/>
              </w:rPr>
            </w:pPr>
            <w:r w:rsidRPr="00A66F8F">
              <w:rPr>
                <w:b/>
                <w:bCs/>
                <w:sz w:val="26"/>
                <w:szCs w:val="26"/>
              </w:rPr>
              <w:t>Purpose</w:t>
            </w:r>
          </w:p>
          <w:p w14:paraId="2A511198" w14:textId="00190EDC" w:rsidR="007D7A13" w:rsidRPr="00B4160A" w:rsidRDefault="007D7A13" w:rsidP="006F5464">
            <w:pPr>
              <w:spacing w:before="100"/>
              <w:jc w:val="both"/>
              <w:rPr>
                <w:rFonts w:eastAsia="Calibri"/>
              </w:rPr>
            </w:pPr>
            <w:r w:rsidRPr="00B4160A">
              <w:rPr>
                <w:rFonts w:eastAsia="Calibri"/>
              </w:rPr>
              <w:t xml:space="preserve">This document proposes a way forward </w:t>
            </w:r>
            <w:r w:rsidR="00DB1C46" w:rsidRPr="00B4160A">
              <w:rPr>
                <w:rFonts w:eastAsia="Calibri"/>
              </w:rPr>
              <w:t>for the</w:t>
            </w:r>
            <w:r w:rsidRPr="00B4160A">
              <w:rPr>
                <w:rFonts w:eastAsia="Calibri"/>
              </w:rPr>
              <w:t xml:space="preserve"> ongoing discussions </w:t>
            </w:r>
            <w:r w:rsidR="00DB1C46" w:rsidRPr="00B4160A">
              <w:rPr>
                <w:rFonts w:eastAsia="Calibri"/>
              </w:rPr>
              <w:t>regarding</w:t>
            </w:r>
            <w:r w:rsidRPr="00B4160A">
              <w:rPr>
                <w:rFonts w:eastAsia="Calibri"/>
              </w:rPr>
              <w:t xml:space="preserve"> the review of the Contributory Unit (CU</w:t>
            </w:r>
            <w:r w:rsidR="000905DE">
              <w:rPr>
                <w:rFonts w:eastAsia="Calibri"/>
              </w:rPr>
              <w:t>)</w:t>
            </w:r>
            <w:r w:rsidRPr="00B4160A">
              <w:rPr>
                <w:rFonts w:eastAsia="Calibri"/>
              </w:rPr>
              <w:t>.</w:t>
            </w:r>
          </w:p>
          <w:p w14:paraId="26A730B9" w14:textId="1A8FC178" w:rsidR="007955D4" w:rsidRPr="000905DE" w:rsidRDefault="370AE133" w:rsidP="006F5464">
            <w:pPr>
              <w:spacing w:before="100"/>
              <w:jc w:val="both"/>
              <w:rPr>
                <w:rFonts w:eastAsia="Calibri"/>
                <w:spacing w:val="-2"/>
              </w:rPr>
            </w:pPr>
            <w:r w:rsidRPr="000905DE">
              <w:rPr>
                <w:rFonts w:eastAsia="Calibri"/>
                <w:spacing w:val="-2"/>
              </w:rPr>
              <w:t xml:space="preserve">As per the proposal of the </w:t>
            </w:r>
            <w:r w:rsidR="002A0D07" w:rsidRPr="000905DE">
              <w:rPr>
                <w:rFonts w:eastAsia="Calibri"/>
                <w:spacing w:val="-2"/>
              </w:rPr>
              <w:t>s</w:t>
            </w:r>
            <w:r w:rsidRPr="000905DE">
              <w:rPr>
                <w:rFonts w:eastAsia="Calibri"/>
                <w:spacing w:val="-2"/>
              </w:rPr>
              <w:t xml:space="preserve">ecretariat, Council 2025 agreed to maintain </w:t>
            </w:r>
            <w:r w:rsidR="35A5AF95" w:rsidRPr="000905DE">
              <w:rPr>
                <w:rFonts w:eastAsia="Calibri"/>
                <w:spacing w:val="-2"/>
              </w:rPr>
              <w:t xml:space="preserve">the </w:t>
            </w:r>
            <w:r w:rsidRPr="000905DE">
              <w:rPr>
                <w:rFonts w:eastAsia="Calibri"/>
                <w:spacing w:val="-2"/>
              </w:rPr>
              <w:t xml:space="preserve">provisional </w:t>
            </w:r>
            <w:r w:rsidR="019E1B19" w:rsidRPr="000905DE">
              <w:rPr>
                <w:rFonts w:eastAsia="Calibri"/>
                <w:spacing w:val="-2"/>
              </w:rPr>
              <w:t xml:space="preserve">level of the </w:t>
            </w:r>
            <w:r w:rsidRPr="000905DE">
              <w:rPr>
                <w:rFonts w:eastAsia="Calibri"/>
                <w:spacing w:val="-2"/>
              </w:rPr>
              <w:t xml:space="preserve">contributory unit at the same level of </w:t>
            </w:r>
            <w:r w:rsidR="002A0D07" w:rsidRPr="000905DE">
              <w:rPr>
                <w:rFonts w:eastAsia="Calibri"/>
                <w:spacing w:val="-2"/>
              </w:rPr>
              <w:t>CHF </w:t>
            </w:r>
            <w:r w:rsidRPr="000905DE">
              <w:rPr>
                <w:rFonts w:eastAsia="Calibri"/>
                <w:spacing w:val="-2"/>
              </w:rPr>
              <w:t>318</w:t>
            </w:r>
            <w:r w:rsidR="002A0D07" w:rsidRPr="000905DE">
              <w:rPr>
                <w:rFonts w:eastAsia="Calibri"/>
                <w:spacing w:val="-2"/>
              </w:rPr>
              <w:t> </w:t>
            </w:r>
            <w:r w:rsidRPr="000905DE">
              <w:rPr>
                <w:rFonts w:eastAsia="Calibri"/>
                <w:spacing w:val="-2"/>
              </w:rPr>
              <w:t xml:space="preserve">000. In addition, Council members requested </w:t>
            </w:r>
            <w:r w:rsidR="00CD1888" w:rsidRPr="000905DE">
              <w:rPr>
                <w:rFonts w:eastAsia="Calibri"/>
                <w:spacing w:val="-2"/>
              </w:rPr>
              <w:t xml:space="preserve">the </w:t>
            </w:r>
            <w:r w:rsidR="00107FFD" w:rsidRPr="000905DE">
              <w:rPr>
                <w:rFonts w:eastAsia="Calibri"/>
                <w:spacing w:val="-2"/>
              </w:rPr>
              <w:t>s</w:t>
            </w:r>
            <w:r w:rsidR="00CD1888" w:rsidRPr="000905DE">
              <w:rPr>
                <w:rFonts w:eastAsia="Calibri"/>
                <w:spacing w:val="-2"/>
              </w:rPr>
              <w:t xml:space="preserve">ecretariat </w:t>
            </w:r>
            <w:r w:rsidR="0CE05CEF" w:rsidRPr="000905DE">
              <w:rPr>
                <w:rFonts w:eastAsia="Calibri"/>
                <w:spacing w:val="-2"/>
              </w:rPr>
              <w:t>to</w:t>
            </w:r>
            <w:r w:rsidR="00CD1888" w:rsidRPr="000905DE">
              <w:rPr>
                <w:rFonts w:eastAsia="Calibri"/>
                <w:spacing w:val="-2"/>
              </w:rPr>
              <w:t xml:space="preserve"> prepare </w:t>
            </w:r>
            <w:r w:rsidR="00B07916" w:rsidRPr="000905DE">
              <w:rPr>
                <w:rFonts w:eastAsia="Calibri"/>
                <w:spacing w:val="-2"/>
              </w:rPr>
              <w:t xml:space="preserve">proposals for </w:t>
            </w:r>
            <w:r w:rsidR="007955D4" w:rsidRPr="000905DE">
              <w:rPr>
                <w:rFonts w:eastAsia="Calibri"/>
                <w:spacing w:val="-2"/>
              </w:rPr>
              <w:t xml:space="preserve">Member States’ consideration regarding </w:t>
            </w:r>
            <w:r w:rsidR="54EE5BC1" w:rsidRPr="000905DE">
              <w:rPr>
                <w:rFonts w:eastAsia="Calibri"/>
                <w:spacing w:val="-2"/>
              </w:rPr>
              <w:t xml:space="preserve">methodology </w:t>
            </w:r>
            <w:r w:rsidR="007955D4" w:rsidRPr="000905DE">
              <w:rPr>
                <w:rFonts w:eastAsia="Calibri"/>
                <w:spacing w:val="-2"/>
              </w:rPr>
              <w:t xml:space="preserve">revisions to the CU, including </w:t>
            </w:r>
            <w:r w:rsidR="007D7A13" w:rsidRPr="000905DE">
              <w:rPr>
                <w:rFonts w:eastAsia="Calibri"/>
                <w:spacing w:val="-2"/>
              </w:rPr>
              <w:t xml:space="preserve">possible </w:t>
            </w:r>
            <w:r w:rsidR="007955D4" w:rsidRPr="000905DE">
              <w:rPr>
                <w:rFonts w:eastAsia="Calibri"/>
                <w:spacing w:val="-2"/>
              </w:rPr>
              <w:t>adjustments for inflation, performance, and the cost of new mandates.</w:t>
            </w:r>
            <w:r w:rsidR="489B124F" w:rsidRPr="000905DE">
              <w:rPr>
                <w:rFonts w:eastAsia="Calibri"/>
                <w:spacing w:val="-2"/>
              </w:rPr>
              <w:t xml:space="preserve"> This methodology would be implemented in the lead up to PP-30 and any CU adjustments would come into force from 2032. The </w:t>
            </w:r>
            <w:r w:rsidR="004C5161" w:rsidRPr="000905DE">
              <w:rPr>
                <w:rFonts w:eastAsia="Calibri"/>
                <w:spacing w:val="-2"/>
              </w:rPr>
              <w:t>s</w:t>
            </w:r>
            <w:r w:rsidR="489B124F" w:rsidRPr="000905DE">
              <w:rPr>
                <w:rFonts w:eastAsia="Calibri"/>
                <w:spacing w:val="-2"/>
              </w:rPr>
              <w:t xml:space="preserve">ecretariat </w:t>
            </w:r>
            <w:r w:rsidR="5EBC3094" w:rsidRPr="000905DE">
              <w:rPr>
                <w:rFonts w:eastAsia="Calibri"/>
                <w:spacing w:val="-2"/>
              </w:rPr>
              <w:t xml:space="preserve">submitted proposals in this regard to the Council Working Group on </w:t>
            </w:r>
            <w:r w:rsidR="00002337" w:rsidRPr="000905DE">
              <w:rPr>
                <w:rFonts w:eastAsia="Calibri"/>
                <w:spacing w:val="-2"/>
              </w:rPr>
              <w:t xml:space="preserve">financial </w:t>
            </w:r>
            <w:r w:rsidR="5EBC3094" w:rsidRPr="000905DE">
              <w:rPr>
                <w:rFonts w:eastAsia="Calibri"/>
                <w:spacing w:val="-2"/>
              </w:rPr>
              <w:t xml:space="preserve">and </w:t>
            </w:r>
            <w:r w:rsidR="00002337" w:rsidRPr="000905DE">
              <w:rPr>
                <w:rFonts w:eastAsia="Calibri"/>
                <w:spacing w:val="-2"/>
              </w:rPr>
              <w:t>human resources</w:t>
            </w:r>
            <w:r w:rsidR="5EBC3094" w:rsidRPr="000905DE">
              <w:rPr>
                <w:rFonts w:eastAsia="Calibri"/>
                <w:spacing w:val="-2"/>
              </w:rPr>
              <w:t>, which took place in January 2026.</w:t>
            </w:r>
          </w:p>
          <w:p w14:paraId="7704DF61" w14:textId="50D6C790" w:rsidR="007955D4" w:rsidRPr="000905DE" w:rsidRDefault="00DB1C46" w:rsidP="006F5464">
            <w:pPr>
              <w:spacing w:before="100"/>
              <w:jc w:val="both"/>
              <w:rPr>
                <w:rFonts w:eastAsia="Calibri"/>
                <w:spacing w:val="-2"/>
                <w:sz w:val="22"/>
                <w:szCs w:val="22"/>
              </w:rPr>
            </w:pPr>
            <w:r w:rsidRPr="000905DE">
              <w:rPr>
                <w:rFonts w:eastAsia="Calibri"/>
                <w:spacing w:val="-2"/>
              </w:rPr>
              <w:t>T</w:t>
            </w:r>
            <w:r w:rsidR="007D7A13" w:rsidRPr="000905DE">
              <w:rPr>
                <w:rFonts w:eastAsia="Calibri"/>
                <w:spacing w:val="-2"/>
              </w:rPr>
              <w:t>he Secretary</w:t>
            </w:r>
            <w:r w:rsidR="00E332AC" w:rsidRPr="000905DE">
              <w:rPr>
                <w:rFonts w:eastAsia="Calibri"/>
                <w:spacing w:val="-2"/>
              </w:rPr>
              <w:t>-</w:t>
            </w:r>
            <w:r w:rsidR="007D7A13" w:rsidRPr="000905DE">
              <w:rPr>
                <w:rFonts w:eastAsia="Calibri"/>
                <w:spacing w:val="-2"/>
              </w:rPr>
              <w:t xml:space="preserve">General has indicated that no increase will be proposed at PP-26. Additionally, </w:t>
            </w:r>
            <w:r w:rsidR="007955D4" w:rsidRPr="000905DE">
              <w:rPr>
                <w:rFonts w:eastAsia="Calibri"/>
                <w:spacing w:val="-2"/>
              </w:rPr>
              <w:t xml:space="preserve">the Union continues to operate within the </w:t>
            </w:r>
            <w:r w:rsidR="007D7A13" w:rsidRPr="000905DE">
              <w:rPr>
                <w:rFonts w:eastAsia="Calibri"/>
                <w:spacing w:val="-2"/>
              </w:rPr>
              <w:t xml:space="preserve">currently </w:t>
            </w:r>
            <w:r w:rsidR="007955D4" w:rsidRPr="000905DE">
              <w:rPr>
                <w:rFonts w:eastAsia="Calibri"/>
                <w:spacing w:val="-2"/>
              </w:rPr>
              <w:t>approved budget</w:t>
            </w:r>
            <w:r w:rsidR="007D7A13" w:rsidRPr="000905DE">
              <w:rPr>
                <w:rFonts w:eastAsia="Calibri"/>
                <w:spacing w:val="-2"/>
              </w:rPr>
              <w:t>ary limited</w:t>
            </w:r>
            <w:r w:rsidR="007955D4" w:rsidRPr="000905DE">
              <w:rPr>
                <w:rFonts w:eastAsia="Calibri"/>
                <w:spacing w:val="-2"/>
              </w:rPr>
              <w:t xml:space="preserve"> through strengthened financial discipline. The </w:t>
            </w:r>
            <w:r w:rsidR="00107FFD" w:rsidRPr="000905DE">
              <w:rPr>
                <w:rFonts w:eastAsia="Calibri"/>
                <w:spacing w:val="-2"/>
              </w:rPr>
              <w:t>s</w:t>
            </w:r>
            <w:r w:rsidR="007955D4" w:rsidRPr="000905DE">
              <w:rPr>
                <w:rFonts w:eastAsia="Calibri"/>
                <w:spacing w:val="-2"/>
              </w:rPr>
              <w:t xml:space="preserve">ecretariat </w:t>
            </w:r>
            <w:r w:rsidR="00D80B8B" w:rsidRPr="000905DE">
              <w:rPr>
                <w:rFonts w:eastAsia="Calibri"/>
                <w:spacing w:val="-2"/>
              </w:rPr>
              <w:t xml:space="preserve">therefore </w:t>
            </w:r>
            <w:r w:rsidR="007D7A13" w:rsidRPr="000905DE">
              <w:rPr>
                <w:rFonts w:eastAsia="Calibri"/>
                <w:spacing w:val="-2"/>
              </w:rPr>
              <w:t xml:space="preserve">proposes in this document to </w:t>
            </w:r>
            <w:r w:rsidR="007955D4" w:rsidRPr="000905DE">
              <w:rPr>
                <w:rFonts w:eastAsia="Calibri"/>
                <w:spacing w:val="-2"/>
              </w:rPr>
              <w:t xml:space="preserve">continue to monitor the financial situation and </w:t>
            </w:r>
            <w:r w:rsidR="00AE4B07" w:rsidRPr="000905DE">
              <w:rPr>
                <w:rFonts w:eastAsia="Calibri"/>
                <w:spacing w:val="-2"/>
              </w:rPr>
              <w:t xml:space="preserve">to implement measures to enhance efficiency, improve focus </w:t>
            </w:r>
            <w:r w:rsidR="00464993" w:rsidRPr="000905DE">
              <w:rPr>
                <w:rFonts w:eastAsia="Calibri"/>
                <w:spacing w:val="-2"/>
              </w:rPr>
              <w:t xml:space="preserve">and coordination, </w:t>
            </w:r>
            <w:r w:rsidR="00AE4B07" w:rsidRPr="000905DE">
              <w:rPr>
                <w:rFonts w:eastAsia="Calibri"/>
                <w:spacing w:val="-2"/>
              </w:rPr>
              <w:t xml:space="preserve">and </w:t>
            </w:r>
            <w:r w:rsidR="00464993" w:rsidRPr="000905DE">
              <w:rPr>
                <w:rFonts w:eastAsia="Calibri"/>
                <w:spacing w:val="-2"/>
              </w:rPr>
              <w:t>enhance</w:t>
            </w:r>
            <w:r w:rsidR="00AE4B07" w:rsidRPr="000905DE">
              <w:rPr>
                <w:rFonts w:eastAsia="Calibri"/>
                <w:spacing w:val="-2"/>
              </w:rPr>
              <w:t xml:space="preserve"> financial discipline</w:t>
            </w:r>
            <w:r w:rsidR="00D80B8B" w:rsidRPr="000905DE">
              <w:rPr>
                <w:rFonts w:eastAsia="Calibri"/>
                <w:spacing w:val="-2"/>
              </w:rPr>
              <w:t>. It is believed that this can</w:t>
            </w:r>
            <w:r w:rsidR="00464993" w:rsidRPr="000905DE">
              <w:rPr>
                <w:rFonts w:eastAsia="Calibri"/>
                <w:spacing w:val="-2"/>
              </w:rPr>
              <w:t xml:space="preserve"> </w:t>
            </w:r>
            <w:r w:rsidR="00D80B8B" w:rsidRPr="000905DE">
              <w:rPr>
                <w:rFonts w:eastAsia="Calibri"/>
                <w:spacing w:val="-2"/>
              </w:rPr>
              <w:t>enable</w:t>
            </w:r>
            <w:r w:rsidR="00464993" w:rsidRPr="000905DE">
              <w:rPr>
                <w:rFonts w:eastAsia="Calibri"/>
                <w:spacing w:val="-2"/>
              </w:rPr>
              <w:t xml:space="preserve"> the ITU to operate within its approved current budgetary limits</w:t>
            </w:r>
            <w:r w:rsidR="00D80B8B" w:rsidRPr="000905DE">
              <w:rPr>
                <w:rFonts w:eastAsia="Calibri"/>
                <w:spacing w:val="-2"/>
              </w:rPr>
              <w:t>, although this will mean that some initiatives may not be funded within the regular budget</w:t>
            </w:r>
            <w:r w:rsidR="00AE4B07" w:rsidRPr="000905DE">
              <w:rPr>
                <w:rFonts w:eastAsia="Calibri"/>
                <w:spacing w:val="-2"/>
              </w:rPr>
              <w:t>.</w:t>
            </w:r>
            <w:r w:rsidR="00C67557" w:rsidRPr="000905DE">
              <w:rPr>
                <w:rFonts w:eastAsia="Calibri"/>
                <w:spacing w:val="-2"/>
              </w:rPr>
              <w:t xml:space="preserve"> The </w:t>
            </w:r>
            <w:r w:rsidR="00107FFD" w:rsidRPr="000905DE">
              <w:rPr>
                <w:rFonts w:eastAsia="Calibri"/>
                <w:spacing w:val="-2"/>
              </w:rPr>
              <w:t>s</w:t>
            </w:r>
            <w:r w:rsidR="00C67557" w:rsidRPr="000905DE">
              <w:rPr>
                <w:rFonts w:eastAsia="Calibri"/>
                <w:spacing w:val="-2"/>
              </w:rPr>
              <w:t xml:space="preserve">ecretariat will </w:t>
            </w:r>
            <w:r w:rsidR="007955D4" w:rsidRPr="000905DE">
              <w:rPr>
                <w:rFonts w:eastAsia="Calibri"/>
                <w:spacing w:val="-2"/>
              </w:rPr>
              <w:t xml:space="preserve">present </w:t>
            </w:r>
            <w:r w:rsidR="00C67557" w:rsidRPr="000905DE">
              <w:rPr>
                <w:rFonts w:eastAsia="Calibri"/>
                <w:spacing w:val="-2"/>
              </w:rPr>
              <w:t xml:space="preserve">annual </w:t>
            </w:r>
            <w:r w:rsidR="007955D4" w:rsidRPr="000905DE">
              <w:rPr>
                <w:rFonts w:eastAsia="Calibri"/>
                <w:spacing w:val="-2"/>
              </w:rPr>
              <w:t xml:space="preserve">updates to </w:t>
            </w:r>
            <w:r w:rsidR="00D21EF3" w:rsidRPr="000905DE">
              <w:rPr>
                <w:rFonts w:eastAsia="Calibri"/>
                <w:spacing w:val="-2"/>
              </w:rPr>
              <w:t xml:space="preserve">the </w:t>
            </w:r>
            <w:r w:rsidR="007955D4" w:rsidRPr="000905DE">
              <w:rPr>
                <w:rFonts w:eastAsia="Calibri"/>
                <w:spacing w:val="-2"/>
              </w:rPr>
              <w:t>Council</w:t>
            </w:r>
            <w:r w:rsidR="00C67557" w:rsidRPr="000905DE">
              <w:rPr>
                <w:rFonts w:eastAsia="Calibri"/>
                <w:spacing w:val="-2"/>
              </w:rPr>
              <w:t xml:space="preserve"> financial reporting </w:t>
            </w:r>
            <w:r w:rsidR="00E74FA6" w:rsidRPr="000905DE">
              <w:rPr>
                <w:rFonts w:eastAsia="Calibri"/>
                <w:spacing w:val="-2"/>
              </w:rPr>
              <w:t xml:space="preserve">assessing the </w:t>
            </w:r>
            <w:r w:rsidR="007955D4" w:rsidRPr="000905DE">
              <w:rPr>
                <w:rFonts w:eastAsia="Calibri"/>
                <w:spacing w:val="-2"/>
              </w:rPr>
              <w:t xml:space="preserve">criteria </w:t>
            </w:r>
            <w:r w:rsidR="00E312AC" w:rsidRPr="000905DE">
              <w:rPr>
                <w:rFonts w:eastAsia="Calibri"/>
                <w:spacing w:val="-2"/>
              </w:rPr>
              <w:t>relevant to the CU as identified in this document</w:t>
            </w:r>
            <w:r w:rsidR="007955D4" w:rsidRPr="000905DE">
              <w:rPr>
                <w:rFonts w:eastAsia="Calibri"/>
                <w:spacing w:val="-2"/>
              </w:rPr>
              <w:t>.</w:t>
            </w:r>
          </w:p>
          <w:p w14:paraId="5D3228C6" w14:textId="77777777" w:rsidR="00AD3606" w:rsidRPr="0090043F" w:rsidRDefault="00AD3606" w:rsidP="006F5464">
            <w:pPr>
              <w:rPr>
                <w:b/>
                <w:bCs/>
                <w:sz w:val="26"/>
                <w:szCs w:val="26"/>
              </w:rPr>
            </w:pPr>
            <w:r w:rsidRPr="0090043F">
              <w:rPr>
                <w:b/>
                <w:bCs/>
                <w:sz w:val="26"/>
                <w:szCs w:val="26"/>
              </w:rPr>
              <w:t>Action required</w:t>
            </w:r>
            <w:r w:rsidR="00F16BAB" w:rsidRPr="0090043F">
              <w:rPr>
                <w:b/>
                <w:bCs/>
                <w:sz w:val="26"/>
                <w:szCs w:val="26"/>
              </w:rPr>
              <w:t xml:space="preserve"> by the Council</w:t>
            </w:r>
          </w:p>
          <w:p w14:paraId="68530E97" w14:textId="78A8A1BD" w:rsidR="00722551" w:rsidRPr="00B4160A" w:rsidRDefault="00834F0F" w:rsidP="006F5464">
            <w:pPr>
              <w:spacing w:before="100"/>
              <w:rPr>
                <w:szCs w:val="24"/>
              </w:rPr>
            </w:pPr>
            <w:r w:rsidRPr="00B4160A">
              <w:rPr>
                <w:szCs w:val="24"/>
              </w:rPr>
              <w:t xml:space="preserve">The Council is invited to </w:t>
            </w:r>
            <w:r w:rsidR="008E6467" w:rsidRPr="00B4160A">
              <w:rPr>
                <w:b/>
                <w:bCs/>
                <w:szCs w:val="24"/>
              </w:rPr>
              <w:t>note</w:t>
            </w:r>
            <w:r w:rsidR="0022174C" w:rsidRPr="00B4160A">
              <w:rPr>
                <w:szCs w:val="24"/>
              </w:rPr>
              <w:t xml:space="preserve"> this document</w:t>
            </w:r>
            <w:r w:rsidR="00B4160A">
              <w:rPr>
                <w:szCs w:val="24"/>
              </w:rPr>
              <w:t>.</w:t>
            </w:r>
          </w:p>
          <w:p w14:paraId="5563AED1" w14:textId="77777777" w:rsidR="00722551" w:rsidRPr="00A66F8F" w:rsidRDefault="00722551" w:rsidP="006F5464">
            <w:pPr>
              <w:rPr>
                <w:b/>
                <w:bCs/>
                <w:sz w:val="26"/>
                <w:szCs w:val="26"/>
              </w:rPr>
            </w:pPr>
            <w:r w:rsidRPr="00A66F8F">
              <w:rPr>
                <w:b/>
                <w:bCs/>
                <w:sz w:val="26"/>
                <w:szCs w:val="26"/>
              </w:rPr>
              <w:t>Relevant link</w:t>
            </w:r>
            <w:r w:rsidR="00176F47" w:rsidRPr="00A66F8F">
              <w:rPr>
                <w:b/>
                <w:bCs/>
                <w:sz w:val="26"/>
                <w:szCs w:val="26"/>
              </w:rPr>
              <w:t>(s)</w:t>
            </w:r>
            <w:r w:rsidRPr="00A66F8F">
              <w:rPr>
                <w:b/>
                <w:bCs/>
                <w:sz w:val="26"/>
                <w:szCs w:val="26"/>
              </w:rPr>
              <w:t xml:space="preserve"> with the Strategic Plan</w:t>
            </w:r>
          </w:p>
          <w:p w14:paraId="755B70C0" w14:textId="2BC59B76" w:rsidR="00DC7EA0" w:rsidRDefault="00E312AC" w:rsidP="006F5464">
            <w:pPr>
              <w:spacing w:before="100"/>
              <w:rPr>
                <w:szCs w:val="24"/>
              </w:rPr>
            </w:pPr>
            <w:r w:rsidRPr="00B4160A">
              <w:rPr>
                <w:szCs w:val="24"/>
              </w:rPr>
              <w:t xml:space="preserve">The level of the </w:t>
            </w:r>
            <w:r w:rsidR="00FD2352" w:rsidRPr="00B4160A">
              <w:rPr>
                <w:szCs w:val="24"/>
              </w:rPr>
              <w:t>CU</w:t>
            </w:r>
            <w:r w:rsidR="00BE6EA6" w:rsidRPr="00B4160A">
              <w:rPr>
                <w:szCs w:val="24"/>
              </w:rPr>
              <w:t xml:space="preserve">, and the class of CU </w:t>
            </w:r>
            <w:r w:rsidR="00FD2352" w:rsidRPr="00B4160A">
              <w:rPr>
                <w:szCs w:val="24"/>
              </w:rPr>
              <w:t>informed by Member States,</w:t>
            </w:r>
            <w:r w:rsidRPr="00B4160A">
              <w:rPr>
                <w:szCs w:val="24"/>
              </w:rPr>
              <w:t xml:space="preserve"> determine the financial limitations applicable to the Union</w:t>
            </w:r>
            <w:r w:rsidR="00DC7EA0">
              <w:rPr>
                <w:szCs w:val="24"/>
              </w:rPr>
              <w:t>’</w:t>
            </w:r>
            <w:r w:rsidRPr="00B4160A">
              <w:rPr>
                <w:szCs w:val="24"/>
              </w:rPr>
              <w:t>s Strategic and Financial Plans.</w:t>
            </w:r>
          </w:p>
          <w:p w14:paraId="7C34DAAD" w14:textId="1D08CADE" w:rsidR="00722551" w:rsidRPr="0090043F" w:rsidRDefault="00722551" w:rsidP="006F5464">
            <w:pPr>
              <w:rPr>
                <w:b/>
                <w:bCs/>
                <w:sz w:val="28"/>
                <w:szCs w:val="28"/>
                <w:lang w:val="en-US"/>
              </w:rPr>
            </w:pPr>
            <w:r w:rsidRPr="0090043F">
              <w:rPr>
                <w:b/>
                <w:bCs/>
                <w:sz w:val="28"/>
                <w:szCs w:val="28"/>
                <w:lang w:val="en-US"/>
              </w:rPr>
              <w:t>Financial implications</w:t>
            </w:r>
          </w:p>
          <w:p w14:paraId="37127870" w14:textId="334DBFA7" w:rsidR="00E866B7" w:rsidRPr="00A66F8F" w:rsidRDefault="00E4108E" w:rsidP="006F5464">
            <w:pPr>
              <w:spacing w:before="100"/>
              <w:jc w:val="both"/>
              <w:rPr>
                <w:szCs w:val="24"/>
              </w:rPr>
            </w:pPr>
            <w:r w:rsidRPr="00A66F8F">
              <w:rPr>
                <w:szCs w:val="24"/>
              </w:rPr>
              <w:t>N/A</w:t>
            </w:r>
          </w:p>
          <w:p w14:paraId="6DAA204C" w14:textId="77777777" w:rsidR="00C0458D" w:rsidRPr="004033C0" w:rsidRDefault="00C0458D" w:rsidP="00D7669B">
            <w:pPr>
              <w:spacing w:before="0"/>
              <w:rPr>
                <w:sz w:val="22"/>
                <w:szCs w:val="22"/>
              </w:rPr>
            </w:pPr>
            <w:r w:rsidRPr="004033C0">
              <w:rPr>
                <w:sz w:val="22"/>
                <w:szCs w:val="22"/>
              </w:rPr>
              <w:t>_______________</w:t>
            </w:r>
          </w:p>
          <w:p w14:paraId="32A5FBF2" w14:textId="77777777" w:rsidR="00AD3606" w:rsidRPr="006F5464" w:rsidRDefault="00AD3606" w:rsidP="006F5464">
            <w:pPr>
              <w:spacing w:before="100"/>
              <w:rPr>
                <w:b/>
                <w:bCs/>
                <w:sz w:val="26"/>
                <w:szCs w:val="26"/>
              </w:rPr>
            </w:pPr>
            <w:r w:rsidRPr="006F5464">
              <w:rPr>
                <w:b/>
                <w:bCs/>
                <w:sz w:val="26"/>
                <w:szCs w:val="26"/>
              </w:rPr>
              <w:t>References</w:t>
            </w:r>
          </w:p>
          <w:p w14:paraId="24BF41F7" w14:textId="10DFCA89" w:rsidR="00AD3606" w:rsidRPr="004033C0" w:rsidRDefault="00F51DF8" w:rsidP="006F5464">
            <w:pPr>
              <w:spacing w:before="80" w:after="120"/>
              <w:rPr>
                <w:i/>
                <w:iCs/>
                <w:sz w:val="22"/>
                <w:szCs w:val="22"/>
              </w:rPr>
            </w:pPr>
            <w:hyperlink r:id="rId11" w:history="1">
              <w:r w:rsidRPr="00FB2E6D">
                <w:rPr>
                  <w:rStyle w:val="Hyperlink"/>
                  <w:i/>
                  <w:iCs/>
                  <w:sz w:val="22"/>
                  <w:szCs w:val="22"/>
                </w:rPr>
                <w:t>CWG-FHR website</w:t>
              </w:r>
            </w:hyperlink>
            <w:r w:rsidRPr="00FB2E6D">
              <w:rPr>
                <w:i/>
                <w:iCs/>
                <w:sz w:val="22"/>
                <w:szCs w:val="22"/>
              </w:rPr>
              <w:t xml:space="preserve">; Council Document </w:t>
            </w:r>
            <w:hyperlink r:id="rId12" w:history="1">
              <w:proofErr w:type="spellStart"/>
              <w:r w:rsidRPr="00FB2E6D">
                <w:rPr>
                  <w:rStyle w:val="Hyperlink"/>
                  <w:i/>
                  <w:iCs/>
                  <w:sz w:val="22"/>
                  <w:szCs w:val="22"/>
                </w:rPr>
                <w:t>C25</w:t>
              </w:r>
              <w:proofErr w:type="spellEnd"/>
              <w:r w:rsidRPr="00FB2E6D">
                <w:rPr>
                  <w:rStyle w:val="Hyperlink"/>
                  <w:i/>
                  <w:iCs/>
                  <w:sz w:val="22"/>
                  <w:szCs w:val="22"/>
                </w:rPr>
                <w:t>/54</w:t>
              </w:r>
            </w:hyperlink>
          </w:p>
        </w:tc>
      </w:tr>
    </w:tbl>
    <w:p w14:paraId="5045B62A" w14:textId="43BB10A3" w:rsidR="00BB4B74" w:rsidRPr="00BB4B74" w:rsidRDefault="00BB4B74" w:rsidP="0039626F">
      <w:pPr>
        <w:pStyle w:val="Headingb"/>
      </w:pPr>
      <w:bookmarkStart w:id="10" w:name="_Hlk133421428"/>
      <w:bookmarkEnd w:id="2"/>
      <w:bookmarkEnd w:id="9"/>
      <w:r w:rsidRPr="00BB4B74">
        <w:lastRenderedPageBreak/>
        <w:t>Background</w:t>
      </w:r>
      <w:r w:rsidR="00923C24">
        <w:t xml:space="preserve"> and </w:t>
      </w:r>
      <w:r w:rsidR="006F5464">
        <w:t>context</w:t>
      </w:r>
    </w:p>
    <w:p w14:paraId="465101AF" w14:textId="17A75B93" w:rsidR="005F4CFB" w:rsidRPr="005F4CFB" w:rsidRDefault="005F4CFB" w:rsidP="0039626F">
      <w:pPr>
        <w:jc w:val="both"/>
      </w:pPr>
      <w:r>
        <w:t xml:space="preserve">At its June 2025 session, the Council </w:t>
      </w:r>
      <w:r w:rsidR="3D63A833" w:rsidRPr="698CE718">
        <w:rPr>
          <w:rFonts w:eastAsia="Calibri" w:cs="Calibri"/>
        </w:rPr>
        <w:t xml:space="preserve">agreed to maintain the provisional level of the contributory unit at the same level of </w:t>
      </w:r>
      <w:r w:rsidR="00750773">
        <w:rPr>
          <w:rFonts w:eastAsia="Calibri" w:cs="Calibri"/>
        </w:rPr>
        <w:t>CHF </w:t>
      </w:r>
      <w:r w:rsidR="3D63A833" w:rsidRPr="698CE718">
        <w:rPr>
          <w:rFonts w:eastAsia="Calibri" w:cs="Calibri"/>
        </w:rPr>
        <w:t>318</w:t>
      </w:r>
      <w:r w:rsidR="00414CB4">
        <w:rPr>
          <w:rFonts w:eastAsia="Calibri" w:cs="Calibri"/>
        </w:rPr>
        <w:t> </w:t>
      </w:r>
      <w:r w:rsidR="3D63A833" w:rsidRPr="698CE718">
        <w:rPr>
          <w:rFonts w:eastAsia="Calibri" w:cs="Calibri"/>
        </w:rPr>
        <w:t>000. In addition, it</w:t>
      </w:r>
      <w:r w:rsidR="3D63A833">
        <w:t xml:space="preserve"> </w:t>
      </w:r>
      <w:r>
        <w:t>noted the</w:t>
      </w:r>
      <w:r w:rsidR="00FD2352">
        <w:t xml:space="preserve"> </w:t>
      </w:r>
      <w:r w:rsidR="00107FFD">
        <w:t>s</w:t>
      </w:r>
      <w:r w:rsidR="00FD2352">
        <w:t>ecretariat’s reports on the</w:t>
      </w:r>
      <w:r>
        <w:t xml:space="preserve"> long-standing nominal value of the contributory unit (CU), unchanged since 2006</w:t>
      </w:r>
      <w:r w:rsidR="007746E6">
        <w:t xml:space="preserve">. The Council </w:t>
      </w:r>
      <w:r>
        <w:t xml:space="preserve">requested the </w:t>
      </w:r>
      <w:r w:rsidR="00F56B93">
        <w:t>s</w:t>
      </w:r>
      <w:r>
        <w:t xml:space="preserve">ecretariat to present possible approaches for its future review, </w:t>
      </w:r>
      <w:proofErr w:type="gramStart"/>
      <w:r>
        <w:t>taking into account</w:t>
      </w:r>
      <w:proofErr w:type="gramEnd"/>
      <w:r>
        <w:t xml:space="preserve"> inflation, performance improvements, and the cost implications of new mandates.</w:t>
      </w:r>
    </w:p>
    <w:p w14:paraId="3D33990B" w14:textId="4894B297" w:rsidR="005F4CFB" w:rsidRDefault="005F4CFB" w:rsidP="0039626F">
      <w:pPr>
        <w:jc w:val="both"/>
      </w:pPr>
      <w:r w:rsidRPr="00A70E7A">
        <w:rPr>
          <w:spacing w:val="-4"/>
        </w:rPr>
        <w:t xml:space="preserve">In response, the </w:t>
      </w:r>
      <w:r w:rsidR="00107FFD" w:rsidRPr="00A70E7A">
        <w:rPr>
          <w:spacing w:val="-4"/>
        </w:rPr>
        <w:t>s</w:t>
      </w:r>
      <w:r w:rsidRPr="00A70E7A">
        <w:rPr>
          <w:spacing w:val="-4"/>
        </w:rPr>
        <w:t xml:space="preserve">ecretariat developed indicative approaches and further refined these following discussions at </w:t>
      </w:r>
      <w:r w:rsidR="00A70E7A" w:rsidRPr="00A70E7A">
        <w:rPr>
          <w:spacing w:val="-4"/>
        </w:rPr>
        <w:t>the Council Working Group on financial and human resources (</w:t>
      </w:r>
      <w:r w:rsidRPr="00A70E7A">
        <w:rPr>
          <w:spacing w:val="-4"/>
        </w:rPr>
        <w:t>CWG-FHR</w:t>
      </w:r>
      <w:r w:rsidR="00A70E7A" w:rsidRPr="00A70E7A">
        <w:rPr>
          <w:spacing w:val="-4"/>
        </w:rPr>
        <w:t>)</w:t>
      </w:r>
      <w:r w:rsidRPr="00A70E7A">
        <w:rPr>
          <w:spacing w:val="-4"/>
        </w:rPr>
        <w:t>,</w:t>
      </w:r>
      <w:r w:rsidRPr="005F4CFB">
        <w:t xml:space="preserve"> including in January 2026. </w:t>
      </w:r>
      <w:r>
        <w:t xml:space="preserve">The </w:t>
      </w:r>
      <w:r w:rsidR="00107FFD">
        <w:t>s</w:t>
      </w:r>
      <w:r>
        <w:t xml:space="preserve">ecretariat </w:t>
      </w:r>
      <w:r w:rsidR="014FA27A">
        <w:t xml:space="preserve">proposes to </w:t>
      </w:r>
      <w:r>
        <w:t>continue refin</w:t>
      </w:r>
      <w:r w:rsidR="2E54BD2C">
        <w:t>ing</w:t>
      </w:r>
      <w:r>
        <w:t xml:space="preserve"> the methodology to ensure a structured and transparent framework is available should future adjustments be required</w:t>
      </w:r>
      <w:r w:rsidR="1698EEB5">
        <w:t xml:space="preserve"> in the lead up to PP-30 and subsequent Plenipotentiary Conferences</w:t>
      </w:r>
      <w:r>
        <w:t xml:space="preserve">. </w:t>
      </w:r>
      <w:r w:rsidR="00555242">
        <w:t>The specific criteria</w:t>
      </w:r>
      <w:r w:rsidR="0045072D">
        <w:t xml:space="preserve"> are as outlined in</w:t>
      </w:r>
      <w:r w:rsidR="0039626F">
        <w:t xml:space="preserve"> Document</w:t>
      </w:r>
      <w:r w:rsidR="0045072D">
        <w:t xml:space="preserve"> </w:t>
      </w:r>
      <w:hyperlink r:id="rId13">
        <w:proofErr w:type="spellStart"/>
        <w:r w:rsidR="0045072D" w:rsidRPr="698CE718">
          <w:rPr>
            <w:rStyle w:val="Hyperlink"/>
          </w:rPr>
          <w:t>C25</w:t>
        </w:r>
        <w:proofErr w:type="spellEnd"/>
        <w:r w:rsidR="0045072D" w:rsidRPr="698CE718">
          <w:rPr>
            <w:rStyle w:val="Hyperlink"/>
          </w:rPr>
          <w:t>/54</w:t>
        </w:r>
      </w:hyperlink>
      <w:r w:rsidR="0045072D">
        <w:t xml:space="preserve"> as follows:</w:t>
      </w:r>
    </w:p>
    <w:p w14:paraId="65586C14" w14:textId="20A17B43" w:rsidR="00F47915" w:rsidRDefault="00F47915" w:rsidP="0039626F">
      <w:pPr>
        <w:pStyle w:val="enumlev1"/>
        <w:jc w:val="both"/>
      </w:pPr>
      <w:r>
        <w:t>1</w:t>
      </w:r>
      <w:r>
        <w:tab/>
      </w:r>
      <w:r w:rsidR="004B3FC5">
        <w:rPr>
          <w:b/>
          <w:bCs/>
        </w:rPr>
        <w:t>A</w:t>
      </w:r>
      <w:r w:rsidRPr="003749C9">
        <w:rPr>
          <w:b/>
          <w:bCs/>
        </w:rPr>
        <w:t>djusting the CU to reflect inflation</w:t>
      </w:r>
      <w:r w:rsidR="00EF7C59">
        <w:t xml:space="preserve"> </w:t>
      </w:r>
      <w:r w:rsidR="005A6B17">
        <w:t>–</w:t>
      </w:r>
      <w:r w:rsidR="00EF7C59">
        <w:t xml:space="preserve"> </w:t>
      </w:r>
      <w:r w:rsidR="005A6B17">
        <w:t xml:space="preserve">This will assess the level of </w:t>
      </w:r>
      <w:r w:rsidR="00372FC8" w:rsidRPr="00372FC8">
        <w:t xml:space="preserve">the contributory unit to </w:t>
      </w:r>
      <w:r w:rsidR="005A6B17">
        <w:t>account for</w:t>
      </w:r>
      <w:r w:rsidR="00372FC8" w:rsidRPr="00372FC8">
        <w:t xml:space="preserve"> the cumulative loss in purchasing power </w:t>
      </w:r>
      <w:r w:rsidR="005A6B17">
        <w:t xml:space="preserve">resulting from a static contributory unit in an environment of </w:t>
      </w:r>
      <w:r w:rsidR="0015259B" w:rsidRPr="0039626F">
        <w:t>annual</w:t>
      </w:r>
      <w:r w:rsidR="0015259B">
        <w:t xml:space="preserve"> inflation</w:t>
      </w:r>
      <w:r w:rsidR="00372FC8" w:rsidRPr="00372FC8">
        <w:t xml:space="preserve">. It provides a neutral, predictable, and technical </w:t>
      </w:r>
      <w:r w:rsidR="0015259B">
        <w:t>criteria for consideration</w:t>
      </w:r>
      <w:r w:rsidR="00372FC8" w:rsidRPr="00372FC8">
        <w:t xml:space="preserve"> aligned with underlying cost movements in Switzerland. </w:t>
      </w:r>
    </w:p>
    <w:p w14:paraId="0C3719D4" w14:textId="0488E523" w:rsidR="00F47915" w:rsidRDefault="00F47915" w:rsidP="0039626F">
      <w:pPr>
        <w:pStyle w:val="enumlev1"/>
        <w:jc w:val="both"/>
      </w:pPr>
      <w:r>
        <w:t>2</w:t>
      </w:r>
      <w:r>
        <w:tab/>
      </w:r>
      <w:r w:rsidR="004B3FC5">
        <w:rPr>
          <w:b/>
          <w:bCs/>
        </w:rPr>
        <w:t>L</w:t>
      </w:r>
      <w:r w:rsidRPr="003749C9">
        <w:rPr>
          <w:b/>
          <w:bCs/>
        </w:rPr>
        <w:t>inking CU increases to performance improvements</w:t>
      </w:r>
      <w:r w:rsidR="00372FC8" w:rsidRPr="003749C9">
        <w:rPr>
          <w:b/>
          <w:bCs/>
        </w:rPr>
        <w:t xml:space="preserve"> </w:t>
      </w:r>
      <w:r w:rsidR="0015259B">
        <w:t xml:space="preserve">– This would assess </w:t>
      </w:r>
      <w:r w:rsidR="00D53BFD" w:rsidRPr="00D53BFD">
        <w:t>demonstrated improvements in efficiency, transparency, and programme delivery</w:t>
      </w:r>
      <w:r w:rsidR="0015259B">
        <w:t>, which may incentivi</w:t>
      </w:r>
      <w:r w:rsidR="009927BF">
        <w:t>z</w:t>
      </w:r>
      <w:r w:rsidR="0015259B">
        <w:t>e membership to invest in ITU’s work</w:t>
      </w:r>
      <w:r w:rsidR="00D53BFD" w:rsidRPr="00D53BFD">
        <w:t xml:space="preserve">. Grounded in Results-Based Management indicators and aligned with broader UN reform principles, this approach would </w:t>
      </w:r>
      <w:r w:rsidR="0015259B">
        <w:t>provide</w:t>
      </w:r>
      <w:r w:rsidR="00D53BFD" w:rsidRPr="00D53BFD">
        <w:t xml:space="preserve"> clear evidence of value for money, strengthened service delivery, and internal process improvements, thereby reinforcing accountability and building confidence among Member States.</w:t>
      </w:r>
      <w:r>
        <w:t xml:space="preserve"> </w:t>
      </w:r>
    </w:p>
    <w:p w14:paraId="38E69655" w14:textId="0F679A61" w:rsidR="00F47915" w:rsidRDefault="00F47915" w:rsidP="0039626F">
      <w:pPr>
        <w:pStyle w:val="enumlev1"/>
        <w:jc w:val="both"/>
      </w:pPr>
      <w:r>
        <w:t>3</w:t>
      </w:r>
      <w:r>
        <w:tab/>
      </w:r>
      <w:r w:rsidR="0015259B">
        <w:rPr>
          <w:b/>
          <w:bCs/>
        </w:rPr>
        <w:t>Additional c</w:t>
      </w:r>
      <w:r w:rsidRPr="003749C9">
        <w:rPr>
          <w:b/>
          <w:bCs/>
        </w:rPr>
        <w:t xml:space="preserve">osts associated with new mandates approved by </w:t>
      </w:r>
      <w:r w:rsidR="0015259B">
        <w:rPr>
          <w:b/>
          <w:bCs/>
        </w:rPr>
        <w:t>membership</w:t>
      </w:r>
      <w:r w:rsidR="00D53BFD">
        <w:t xml:space="preserve"> </w:t>
      </w:r>
      <w:r w:rsidR="0015259B">
        <w:t xml:space="preserve">– This will assess the impact on </w:t>
      </w:r>
      <w:r w:rsidR="004B3FC5" w:rsidRPr="004B3FC5">
        <w:t xml:space="preserve">the contributory unit </w:t>
      </w:r>
      <w:r w:rsidR="0015259B">
        <w:t>of</w:t>
      </w:r>
      <w:r w:rsidR="004B3FC5" w:rsidRPr="004B3FC5">
        <w:t xml:space="preserve"> increased operational demands arising from decisions and resolutions adopted by Member States. By quantifying the cost implications of new or expanded mandates and linking these directly to resource requirements, this approach </w:t>
      </w:r>
      <w:r w:rsidR="0015259B">
        <w:t>identifies possible mis</w:t>
      </w:r>
      <w:r w:rsidR="004B3FC5" w:rsidRPr="004B3FC5">
        <w:t>alignment between strategic priorities and funding levels, while reinforcing the principle that collective decisions carry corresponding financial responsibilities</w:t>
      </w:r>
      <w:r>
        <w:t xml:space="preserve">. </w:t>
      </w:r>
    </w:p>
    <w:bookmarkEnd w:id="3"/>
    <w:bookmarkEnd w:id="4"/>
    <w:p w14:paraId="13F9884B" w14:textId="464F39C5" w:rsidR="00FD694C" w:rsidRPr="00FD694C" w:rsidRDefault="28909ADD" w:rsidP="0039626F">
      <w:pPr>
        <w:pStyle w:val="Headingb"/>
      </w:pPr>
      <w:r w:rsidRPr="000905DE">
        <w:t xml:space="preserve">Next </w:t>
      </w:r>
      <w:r w:rsidR="0039626F" w:rsidRPr="000905DE">
        <w:t>steps</w:t>
      </w:r>
    </w:p>
    <w:p w14:paraId="3D80B029" w14:textId="7D729F6C" w:rsidR="00FD694C" w:rsidRPr="00FD694C" w:rsidRDefault="00FD694C" w:rsidP="0039626F">
      <w:pPr>
        <w:jc w:val="both"/>
      </w:pPr>
      <w:r>
        <w:t xml:space="preserve">The </w:t>
      </w:r>
      <w:r w:rsidR="00107FFD">
        <w:t>s</w:t>
      </w:r>
      <w:r>
        <w:t>ecretariat will continue to operate within the approved budget through ongoing financial discipline and strengthened alignment between revenue and expenditure.</w:t>
      </w:r>
    </w:p>
    <w:p w14:paraId="0CF2DEA1" w14:textId="3CE6B7F9" w:rsidR="00FD694C" w:rsidRDefault="00FD694C" w:rsidP="0039626F">
      <w:pPr>
        <w:jc w:val="both"/>
      </w:pPr>
      <w:r w:rsidRPr="00FD694C">
        <w:t xml:space="preserve">The </w:t>
      </w:r>
      <w:r w:rsidR="00107FFD">
        <w:t>s</w:t>
      </w:r>
      <w:r w:rsidRPr="00FD694C">
        <w:t xml:space="preserve">ecretariat will continue to monitor the financial situation of the Union and </w:t>
      </w:r>
      <w:r w:rsidR="00A93000">
        <w:t>will</w:t>
      </w:r>
      <w:r w:rsidR="00A93000" w:rsidRPr="00FD694C">
        <w:t xml:space="preserve"> </w:t>
      </w:r>
      <w:r w:rsidR="00555242">
        <w:t xml:space="preserve">include an analysis of the CU adequacy as part of its annual budget implementation reports to </w:t>
      </w:r>
      <w:r w:rsidR="008A683F">
        <w:t xml:space="preserve">the </w:t>
      </w:r>
      <w:r w:rsidR="00555242">
        <w:t>Council</w:t>
      </w:r>
      <w:r w:rsidR="00A93000">
        <w:t xml:space="preserve">, </w:t>
      </w:r>
      <w:r w:rsidR="00555242">
        <w:t>based</w:t>
      </w:r>
      <w:r w:rsidR="00A93000">
        <w:t xml:space="preserve"> on the </w:t>
      </w:r>
      <w:r w:rsidR="00555242">
        <w:t>criteria outlined above</w:t>
      </w:r>
      <w:r w:rsidRPr="00FD694C">
        <w:t xml:space="preserve">. Any future consideration of adjustments to the contributory unit </w:t>
      </w:r>
      <w:r w:rsidR="0015259B">
        <w:t>c</w:t>
      </w:r>
      <w:r w:rsidR="0015259B" w:rsidRPr="00FD694C">
        <w:t xml:space="preserve">ould </w:t>
      </w:r>
      <w:r w:rsidR="0015259B">
        <w:t xml:space="preserve">then </w:t>
      </w:r>
      <w:r w:rsidRPr="00FD694C">
        <w:t xml:space="preserve">be </w:t>
      </w:r>
      <w:r w:rsidR="0015259B">
        <w:t xml:space="preserve">considered </w:t>
      </w:r>
      <w:r w:rsidR="00575EA8">
        <w:t xml:space="preserve">by the Council, </w:t>
      </w:r>
      <w:r w:rsidR="0015259B">
        <w:t xml:space="preserve">and </w:t>
      </w:r>
      <w:r w:rsidRPr="00FD694C">
        <w:t xml:space="preserve">based on </w:t>
      </w:r>
      <w:r w:rsidR="004D2AD7">
        <w:t>the reporting</w:t>
      </w:r>
      <w:r w:rsidR="0015259B">
        <w:t xml:space="preserve"> </w:t>
      </w:r>
      <w:r w:rsidR="00517408">
        <w:t xml:space="preserve">the </w:t>
      </w:r>
      <w:r w:rsidR="0015259B">
        <w:t>Council would be able to determine any future recommendations regarding the CU</w:t>
      </w:r>
      <w:r w:rsidRPr="00FD694C">
        <w:t>.</w:t>
      </w:r>
    </w:p>
    <w:p w14:paraId="19DC203C" w14:textId="77777777" w:rsidR="0039626F" w:rsidRDefault="0039626F" w:rsidP="0039626F">
      <w:pPr>
        <w:jc w:val="both"/>
      </w:pPr>
    </w:p>
    <w:p w14:paraId="4D3FB0EB" w14:textId="56F1D92F" w:rsidR="0039626F" w:rsidRPr="00FD694C" w:rsidRDefault="0039626F" w:rsidP="0039626F">
      <w:pPr>
        <w:jc w:val="center"/>
      </w:pPr>
      <w:r>
        <w:t>______________</w:t>
      </w:r>
    </w:p>
    <w:bookmarkEnd w:id="5"/>
    <w:bookmarkEnd w:id="10"/>
    <w:sectPr w:rsidR="0039626F" w:rsidRPr="00FD694C"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CE57" w14:textId="77777777" w:rsidR="00433B5A" w:rsidRDefault="00433B5A">
      <w:r>
        <w:separator/>
      </w:r>
    </w:p>
  </w:endnote>
  <w:endnote w:type="continuationSeparator" w:id="0">
    <w:p w14:paraId="3A40E2F5" w14:textId="77777777" w:rsidR="00433B5A" w:rsidRDefault="0043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3EE32B2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B4160A">
            <w:rPr>
              <w:bCs/>
            </w:rPr>
            <w:t>72</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203B415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B4160A">
            <w:rPr>
              <w:bCs/>
            </w:rPr>
            <w:t>72</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7854" w14:textId="77777777" w:rsidR="00433B5A" w:rsidRDefault="00433B5A">
      <w:r>
        <w:t>____________________</w:t>
      </w:r>
    </w:p>
  </w:footnote>
  <w:footnote w:type="continuationSeparator" w:id="0">
    <w:p w14:paraId="5BAF7ABC" w14:textId="77777777" w:rsidR="00433B5A" w:rsidRDefault="0043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337"/>
    <w:rsid w:val="0000239F"/>
    <w:rsid w:val="000210D4"/>
    <w:rsid w:val="000423AC"/>
    <w:rsid w:val="0006007D"/>
    <w:rsid w:val="00063016"/>
    <w:rsid w:val="0006302A"/>
    <w:rsid w:val="00066795"/>
    <w:rsid w:val="0007130A"/>
    <w:rsid w:val="00071793"/>
    <w:rsid w:val="00076AF6"/>
    <w:rsid w:val="00082FFD"/>
    <w:rsid w:val="00085CF2"/>
    <w:rsid w:val="000905DE"/>
    <w:rsid w:val="000B1705"/>
    <w:rsid w:val="000B7FB3"/>
    <w:rsid w:val="000C1ED0"/>
    <w:rsid w:val="000C73C4"/>
    <w:rsid w:val="000D3337"/>
    <w:rsid w:val="000D65EA"/>
    <w:rsid w:val="000D75B2"/>
    <w:rsid w:val="000E372C"/>
    <w:rsid w:val="000F5DDB"/>
    <w:rsid w:val="000F6850"/>
    <w:rsid w:val="000F6FD6"/>
    <w:rsid w:val="00105122"/>
    <w:rsid w:val="00107FFD"/>
    <w:rsid w:val="00110F95"/>
    <w:rsid w:val="0011180D"/>
    <w:rsid w:val="001121F5"/>
    <w:rsid w:val="00133DF1"/>
    <w:rsid w:val="001400DC"/>
    <w:rsid w:val="00140CE1"/>
    <w:rsid w:val="0015189A"/>
    <w:rsid w:val="0015259B"/>
    <w:rsid w:val="0017539C"/>
    <w:rsid w:val="00175AC2"/>
    <w:rsid w:val="0017609F"/>
    <w:rsid w:val="00176F47"/>
    <w:rsid w:val="00181F66"/>
    <w:rsid w:val="001A0874"/>
    <w:rsid w:val="001A3154"/>
    <w:rsid w:val="001A7D1D"/>
    <w:rsid w:val="001B0B86"/>
    <w:rsid w:val="001B3469"/>
    <w:rsid w:val="001B51DD"/>
    <w:rsid w:val="001C628E"/>
    <w:rsid w:val="001E0F7B"/>
    <w:rsid w:val="001E2190"/>
    <w:rsid w:val="001F5569"/>
    <w:rsid w:val="00203F6D"/>
    <w:rsid w:val="0020487B"/>
    <w:rsid w:val="002119FD"/>
    <w:rsid w:val="002130E0"/>
    <w:rsid w:val="0022174C"/>
    <w:rsid w:val="00221F46"/>
    <w:rsid w:val="00224838"/>
    <w:rsid w:val="00234CA1"/>
    <w:rsid w:val="00235300"/>
    <w:rsid w:val="0025554F"/>
    <w:rsid w:val="00260696"/>
    <w:rsid w:val="00260C66"/>
    <w:rsid w:val="00264425"/>
    <w:rsid w:val="00265875"/>
    <w:rsid w:val="00270354"/>
    <w:rsid w:val="002721EE"/>
    <w:rsid w:val="0027303B"/>
    <w:rsid w:val="002767BD"/>
    <w:rsid w:val="00277DEA"/>
    <w:rsid w:val="0028109B"/>
    <w:rsid w:val="002916B4"/>
    <w:rsid w:val="002965A3"/>
    <w:rsid w:val="002A0615"/>
    <w:rsid w:val="002A0D07"/>
    <w:rsid w:val="002A133E"/>
    <w:rsid w:val="002A2188"/>
    <w:rsid w:val="002B1F58"/>
    <w:rsid w:val="002B44C5"/>
    <w:rsid w:val="002B5076"/>
    <w:rsid w:val="002C1C7A"/>
    <w:rsid w:val="002C244F"/>
    <w:rsid w:val="002C3F32"/>
    <w:rsid w:val="002C54E2"/>
    <w:rsid w:val="002D29A3"/>
    <w:rsid w:val="002D2C6F"/>
    <w:rsid w:val="002E0695"/>
    <w:rsid w:val="002F50BF"/>
    <w:rsid w:val="0030160F"/>
    <w:rsid w:val="003070D5"/>
    <w:rsid w:val="00320223"/>
    <w:rsid w:val="0032200B"/>
    <w:rsid w:val="00322D0D"/>
    <w:rsid w:val="00361465"/>
    <w:rsid w:val="00363977"/>
    <w:rsid w:val="00372D9C"/>
    <w:rsid w:val="00372FC8"/>
    <w:rsid w:val="003749C9"/>
    <w:rsid w:val="003772E2"/>
    <w:rsid w:val="003877F5"/>
    <w:rsid w:val="003936D3"/>
    <w:rsid w:val="003942D4"/>
    <w:rsid w:val="003958A8"/>
    <w:rsid w:val="0039626F"/>
    <w:rsid w:val="003A39B8"/>
    <w:rsid w:val="003B29C2"/>
    <w:rsid w:val="003B3B66"/>
    <w:rsid w:val="003B4FAF"/>
    <w:rsid w:val="003C2533"/>
    <w:rsid w:val="003D5A7F"/>
    <w:rsid w:val="003F0228"/>
    <w:rsid w:val="003F0C2F"/>
    <w:rsid w:val="004033C0"/>
    <w:rsid w:val="0040435A"/>
    <w:rsid w:val="00414CB4"/>
    <w:rsid w:val="00415D80"/>
    <w:rsid w:val="00416A24"/>
    <w:rsid w:val="00430F0E"/>
    <w:rsid w:val="00431D9E"/>
    <w:rsid w:val="00433B5A"/>
    <w:rsid w:val="00433CE8"/>
    <w:rsid w:val="00434A5C"/>
    <w:rsid w:val="00436D96"/>
    <w:rsid w:val="00441E50"/>
    <w:rsid w:val="0045072D"/>
    <w:rsid w:val="00451203"/>
    <w:rsid w:val="00451618"/>
    <w:rsid w:val="00453079"/>
    <w:rsid w:val="004544D9"/>
    <w:rsid w:val="0046006F"/>
    <w:rsid w:val="00463FCC"/>
    <w:rsid w:val="00464993"/>
    <w:rsid w:val="00472520"/>
    <w:rsid w:val="00472BAD"/>
    <w:rsid w:val="00474E1F"/>
    <w:rsid w:val="00484009"/>
    <w:rsid w:val="00490E72"/>
    <w:rsid w:val="00491157"/>
    <w:rsid w:val="00491BA9"/>
    <w:rsid w:val="00491BF2"/>
    <w:rsid w:val="00491FC4"/>
    <w:rsid w:val="004921C8"/>
    <w:rsid w:val="0049369C"/>
    <w:rsid w:val="00495615"/>
    <w:rsid w:val="00495B0B"/>
    <w:rsid w:val="004A1B8B"/>
    <w:rsid w:val="004A5088"/>
    <w:rsid w:val="004B3FC5"/>
    <w:rsid w:val="004C5161"/>
    <w:rsid w:val="004D1851"/>
    <w:rsid w:val="004D2AD7"/>
    <w:rsid w:val="004D599D"/>
    <w:rsid w:val="004E2EA5"/>
    <w:rsid w:val="004E3AEB"/>
    <w:rsid w:val="004E7C92"/>
    <w:rsid w:val="004F732F"/>
    <w:rsid w:val="0050223C"/>
    <w:rsid w:val="00511742"/>
    <w:rsid w:val="00511CD5"/>
    <w:rsid w:val="00512087"/>
    <w:rsid w:val="00517408"/>
    <w:rsid w:val="005218A1"/>
    <w:rsid w:val="005243FF"/>
    <w:rsid w:val="005464B9"/>
    <w:rsid w:val="0055311C"/>
    <w:rsid w:val="00555242"/>
    <w:rsid w:val="00560D13"/>
    <w:rsid w:val="00564FBC"/>
    <w:rsid w:val="00575EA8"/>
    <w:rsid w:val="00577CFF"/>
    <w:rsid w:val="005800BC"/>
    <w:rsid w:val="00582442"/>
    <w:rsid w:val="00582EDD"/>
    <w:rsid w:val="00583525"/>
    <w:rsid w:val="00586409"/>
    <w:rsid w:val="00597228"/>
    <w:rsid w:val="005A6B17"/>
    <w:rsid w:val="005B719F"/>
    <w:rsid w:val="005D2229"/>
    <w:rsid w:val="005D7B93"/>
    <w:rsid w:val="005E726D"/>
    <w:rsid w:val="005F3269"/>
    <w:rsid w:val="005F4CFB"/>
    <w:rsid w:val="00607BA8"/>
    <w:rsid w:val="0061071E"/>
    <w:rsid w:val="006205EE"/>
    <w:rsid w:val="00622525"/>
    <w:rsid w:val="00623AE3"/>
    <w:rsid w:val="00626132"/>
    <w:rsid w:val="00627D0C"/>
    <w:rsid w:val="00632D53"/>
    <w:rsid w:val="00633310"/>
    <w:rsid w:val="006413B8"/>
    <w:rsid w:val="00642C08"/>
    <w:rsid w:val="00646873"/>
    <w:rsid w:val="0064737F"/>
    <w:rsid w:val="006535F1"/>
    <w:rsid w:val="0065557D"/>
    <w:rsid w:val="00660D50"/>
    <w:rsid w:val="00662984"/>
    <w:rsid w:val="006666C9"/>
    <w:rsid w:val="006716BB"/>
    <w:rsid w:val="00676F28"/>
    <w:rsid w:val="0068233C"/>
    <w:rsid w:val="00691952"/>
    <w:rsid w:val="00692E94"/>
    <w:rsid w:val="006A2F4B"/>
    <w:rsid w:val="006A7ECF"/>
    <w:rsid w:val="006B00C5"/>
    <w:rsid w:val="006B1859"/>
    <w:rsid w:val="006B6680"/>
    <w:rsid w:val="006B6DCC"/>
    <w:rsid w:val="006B77F1"/>
    <w:rsid w:val="006C4B54"/>
    <w:rsid w:val="006F3F48"/>
    <w:rsid w:val="006F5464"/>
    <w:rsid w:val="00702DEF"/>
    <w:rsid w:val="00703B32"/>
    <w:rsid w:val="00706861"/>
    <w:rsid w:val="00711BEF"/>
    <w:rsid w:val="0071640F"/>
    <w:rsid w:val="00720631"/>
    <w:rsid w:val="00721F9E"/>
    <w:rsid w:val="00722551"/>
    <w:rsid w:val="00732190"/>
    <w:rsid w:val="0075051B"/>
    <w:rsid w:val="00750773"/>
    <w:rsid w:val="00761608"/>
    <w:rsid w:val="00765C89"/>
    <w:rsid w:val="0077110E"/>
    <w:rsid w:val="007746E6"/>
    <w:rsid w:val="00792585"/>
    <w:rsid w:val="00793188"/>
    <w:rsid w:val="00794D34"/>
    <w:rsid w:val="007955D4"/>
    <w:rsid w:val="007958A3"/>
    <w:rsid w:val="00796856"/>
    <w:rsid w:val="007A07D8"/>
    <w:rsid w:val="007A2C45"/>
    <w:rsid w:val="007A3FCD"/>
    <w:rsid w:val="007A7572"/>
    <w:rsid w:val="007B19CF"/>
    <w:rsid w:val="007B47C8"/>
    <w:rsid w:val="007D01AF"/>
    <w:rsid w:val="007D0BC4"/>
    <w:rsid w:val="007D692F"/>
    <w:rsid w:val="007D7A13"/>
    <w:rsid w:val="007E7A34"/>
    <w:rsid w:val="007F190B"/>
    <w:rsid w:val="007F2CE8"/>
    <w:rsid w:val="007F307C"/>
    <w:rsid w:val="00813E5E"/>
    <w:rsid w:val="008312AD"/>
    <w:rsid w:val="00831BC5"/>
    <w:rsid w:val="0083488A"/>
    <w:rsid w:val="00834F0F"/>
    <w:rsid w:val="0083581B"/>
    <w:rsid w:val="0084546D"/>
    <w:rsid w:val="008514CF"/>
    <w:rsid w:val="0085163E"/>
    <w:rsid w:val="00851BF0"/>
    <w:rsid w:val="00852B8F"/>
    <w:rsid w:val="00863874"/>
    <w:rsid w:val="00864AFF"/>
    <w:rsid w:val="00865925"/>
    <w:rsid w:val="00872E1D"/>
    <w:rsid w:val="008832B5"/>
    <w:rsid w:val="008A034B"/>
    <w:rsid w:val="008A55B2"/>
    <w:rsid w:val="008A5899"/>
    <w:rsid w:val="008A5F55"/>
    <w:rsid w:val="008A683F"/>
    <w:rsid w:val="008A7B28"/>
    <w:rsid w:val="008B4A6A"/>
    <w:rsid w:val="008C3EFB"/>
    <w:rsid w:val="008C7E27"/>
    <w:rsid w:val="008D02D3"/>
    <w:rsid w:val="008E25E6"/>
    <w:rsid w:val="008E445D"/>
    <w:rsid w:val="008E6467"/>
    <w:rsid w:val="008E67B3"/>
    <w:rsid w:val="008F6C85"/>
    <w:rsid w:val="008F7448"/>
    <w:rsid w:val="0090043F"/>
    <w:rsid w:val="0090147A"/>
    <w:rsid w:val="00913B1E"/>
    <w:rsid w:val="009173EF"/>
    <w:rsid w:val="00923C24"/>
    <w:rsid w:val="00932906"/>
    <w:rsid w:val="00935B5E"/>
    <w:rsid w:val="00941EC4"/>
    <w:rsid w:val="00953801"/>
    <w:rsid w:val="00954C49"/>
    <w:rsid w:val="00961B0B"/>
    <w:rsid w:val="00962D33"/>
    <w:rsid w:val="00981D53"/>
    <w:rsid w:val="009842A1"/>
    <w:rsid w:val="00985916"/>
    <w:rsid w:val="009927BF"/>
    <w:rsid w:val="00993350"/>
    <w:rsid w:val="00996805"/>
    <w:rsid w:val="009A76A8"/>
    <w:rsid w:val="009B1682"/>
    <w:rsid w:val="009B38C3"/>
    <w:rsid w:val="009B4494"/>
    <w:rsid w:val="009D05E5"/>
    <w:rsid w:val="009E17BD"/>
    <w:rsid w:val="009E485A"/>
    <w:rsid w:val="009E5B2B"/>
    <w:rsid w:val="009E5FD2"/>
    <w:rsid w:val="009F47EB"/>
    <w:rsid w:val="00A04CEC"/>
    <w:rsid w:val="00A076AA"/>
    <w:rsid w:val="00A109AF"/>
    <w:rsid w:val="00A20387"/>
    <w:rsid w:val="00A23A50"/>
    <w:rsid w:val="00A27F92"/>
    <w:rsid w:val="00A32257"/>
    <w:rsid w:val="00A36D20"/>
    <w:rsid w:val="00A46107"/>
    <w:rsid w:val="00A514A4"/>
    <w:rsid w:val="00A55622"/>
    <w:rsid w:val="00A65CF4"/>
    <w:rsid w:val="00A65DB0"/>
    <w:rsid w:val="00A66010"/>
    <w:rsid w:val="00A66F8F"/>
    <w:rsid w:val="00A70E7A"/>
    <w:rsid w:val="00A74117"/>
    <w:rsid w:val="00A74207"/>
    <w:rsid w:val="00A802E0"/>
    <w:rsid w:val="00A83502"/>
    <w:rsid w:val="00A9184F"/>
    <w:rsid w:val="00A93000"/>
    <w:rsid w:val="00A94A1C"/>
    <w:rsid w:val="00A94BAB"/>
    <w:rsid w:val="00AC51D4"/>
    <w:rsid w:val="00AD15B3"/>
    <w:rsid w:val="00AD186A"/>
    <w:rsid w:val="00AD3606"/>
    <w:rsid w:val="00AD4A3D"/>
    <w:rsid w:val="00AE4B07"/>
    <w:rsid w:val="00AF6E49"/>
    <w:rsid w:val="00B04136"/>
    <w:rsid w:val="00B04A67"/>
    <w:rsid w:val="00B05702"/>
    <w:rsid w:val="00B0583C"/>
    <w:rsid w:val="00B07916"/>
    <w:rsid w:val="00B343C2"/>
    <w:rsid w:val="00B34B6B"/>
    <w:rsid w:val="00B40A81"/>
    <w:rsid w:val="00B4160A"/>
    <w:rsid w:val="00B44910"/>
    <w:rsid w:val="00B50EA1"/>
    <w:rsid w:val="00B5540D"/>
    <w:rsid w:val="00B72267"/>
    <w:rsid w:val="00B76EB6"/>
    <w:rsid w:val="00B7737B"/>
    <w:rsid w:val="00B7798B"/>
    <w:rsid w:val="00B824C8"/>
    <w:rsid w:val="00B84B9D"/>
    <w:rsid w:val="00B912D8"/>
    <w:rsid w:val="00B9131F"/>
    <w:rsid w:val="00B9696A"/>
    <w:rsid w:val="00BA2CA7"/>
    <w:rsid w:val="00BB0646"/>
    <w:rsid w:val="00BB4B74"/>
    <w:rsid w:val="00BC251A"/>
    <w:rsid w:val="00BC4A20"/>
    <w:rsid w:val="00BD02CF"/>
    <w:rsid w:val="00BD032B"/>
    <w:rsid w:val="00BD37EB"/>
    <w:rsid w:val="00BD5D99"/>
    <w:rsid w:val="00BE01C6"/>
    <w:rsid w:val="00BE2640"/>
    <w:rsid w:val="00BE6EA6"/>
    <w:rsid w:val="00BF1FDE"/>
    <w:rsid w:val="00BF3B03"/>
    <w:rsid w:val="00C01189"/>
    <w:rsid w:val="00C0458D"/>
    <w:rsid w:val="00C15DEE"/>
    <w:rsid w:val="00C17415"/>
    <w:rsid w:val="00C226F5"/>
    <w:rsid w:val="00C30043"/>
    <w:rsid w:val="00C3233D"/>
    <w:rsid w:val="00C335AF"/>
    <w:rsid w:val="00C374DE"/>
    <w:rsid w:val="00C46612"/>
    <w:rsid w:val="00C46F1D"/>
    <w:rsid w:val="00C47AD4"/>
    <w:rsid w:val="00C50746"/>
    <w:rsid w:val="00C5229B"/>
    <w:rsid w:val="00C52D81"/>
    <w:rsid w:val="00C55198"/>
    <w:rsid w:val="00C61C89"/>
    <w:rsid w:val="00C61EDF"/>
    <w:rsid w:val="00C645E8"/>
    <w:rsid w:val="00C6520B"/>
    <w:rsid w:val="00C65E93"/>
    <w:rsid w:val="00C67557"/>
    <w:rsid w:val="00CA2077"/>
    <w:rsid w:val="00CA4EEB"/>
    <w:rsid w:val="00CA6393"/>
    <w:rsid w:val="00CA7995"/>
    <w:rsid w:val="00CB18FF"/>
    <w:rsid w:val="00CB2D9B"/>
    <w:rsid w:val="00CD0C08"/>
    <w:rsid w:val="00CD17F4"/>
    <w:rsid w:val="00CD1888"/>
    <w:rsid w:val="00CE03FB"/>
    <w:rsid w:val="00CE433C"/>
    <w:rsid w:val="00CE69FE"/>
    <w:rsid w:val="00CF0161"/>
    <w:rsid w:val="00CF1DED"/>
    <w:rsid w:val="00CF33F3"/>
    <w:rsid w:val="00CF4A2B"/>
    <w:rsid w:val="00CF5A73"/>
    <w:rsid w:val="00CF65C0"/>
    <w:rsid w:val="00D024CA"/>
    <w:rsid w:val="00D06183"/>
    <w:rsid w:val="00D07D21"/>
    <w:rsid w:val="00D12612"/>
    <w:rsid w:val="00D21EF3"/>
    <w:rsid w:val="00D22C42"/>
    <w:rsid w:val="00D530ED"/>
    <w:rsid w:val="00D53BFD"/>
    <w:rsid w:val="00D63949"/>
    <w:rsid w:val="00D63E61"/>
    <w:rsid w:val="00D65041"/>
    <w:rsid w:val="00D71332"/>
    <w:rsid w:val="00D73F7D"/>
    <w:rsid w:val="00D7669B"/>
    <w:rsid w:val="00D80B8B"/>
    <w:rsid w:val="00D91D68"/>
    <w:rsid w:val="00D97F69"/>
    <w:rsid w:val="00DA2739"/>
    <w:rsid w:val="00DB0949"/>
    <w:rsid w:val="00DB1936"/>
    <w:rsid w:val="00DB1C46"/>
    <w:rsid w:val="00DB384B"/>
    <w:rsid w:val="00DC17F6"/>
    <w:rsid w:val="00DC7EA0"/>
    <w:rsid w:val="00DD2BC8"/>
    <w:rsid w:val="00DE532B"/>
    <w:rsid w:val="00DF0189"/>
    <w:rsid w:val="00DF0A6D"/>
    <w:rsid w:val="00DF2934"/>
    <w:rsid w:val="00DF377F"/>
    <w:rsid w:val="00DF5DC8"/>
    <w:rsid w:val="00DF5EEC"/>
    <w:rsid w:val="00DF77F2"/>
    <w:rsid w:val="00E01410"/>
    <w:rsid w:val="00E06FD5"/>
    <w:rsid w:val="00E10E80"/>
    <w:rsid w:val="00E124F0"/>
    <w:rsid w:val="00E13804"/>
    <w:rsid w:val="00E17B34"/>
    <w:rsid w:val="00E20ABE"/>
    <w:rsid w:val="00E227F3"/>
    <w:rsid w:val="00E23E28"/>
    <w:rsid w:val="00E242FB"/>
    <w:rsid w:val="00E27776"/>
    <w:rsid w:val="00E312AC"/>
    <w:rsid w:val="00E332AC"/>
    <w:rsid w:val="00E3639B"/>
    <w:rsid w:val="00E3760E"/>
    <w:rsid w:val="00E4108E"/>
    <w:rsid w:val="00E42E30"/>
    <w:rsid w:val="00E4632C"/>
    <w:rsid w:val="00E47124"/>
    <w:rsid w:val="00E545C6"/>
    <w:rsid w:val="00E60F04"/>
    <w:rsid w:val="00E65B24"/>
    <w:rsid w:val="00E74FA6"/>
    <w:rsid w:val="00E854E4"/>
    <w:rsid w:val="00E866B7"/>
    <w:rsid w:val="00E866F5"/>
    <w:rsid w:val="00E86DBF"/>
    <w:rsid w:val="00E92810"/>
    <w:rsid w:val="00E969AF"/>
    <w:rsid w:val="00E96AD0"/>
    <w:rsid w:val="00EA6652"/>
    <w:rsid w:val="00EB0D6F"/>
    <w:rsid w:val="00EB2232"/>
    <w:rsid w:val="00EC5337"/>
    <w:rsid w:val="00EC6677"/>
    <w:rsid w:val="00EE49E8"/>
    <w:rsid w:val="00EE7DCB"/>
    <w:rsid w:val="00EF21FB"/>
    <w:rsid w:val="00EF7C59"/>
    <w:rsid w:val="00F04944"/>
    <w:rsid w:val="00F1018B"/>
    <w:rsid w:val="00F16BAB"/>
    <w:rsid w:val="00F2150A"/>
    <w:rsid w:val="00F231D8"/>
    <w:rsid w:val="00F329D9"/>
    <w:rsid w:val="00F40E37"/>
    <w:rsid w:val="00F44C00"/>
    <w:rsid w:val="00F45D2C"/>
    <w:rsid w:val="00F46C5F"/>
    <w:rsid w:val="00F47915"/>
    <w:rsid w:val="00F50F76"/>
    <w:rsid w:val="00F51DF8"/>
    <w:rsid w:val="00F56B93"/>
    <w:rsid w:val="00F6088F"/>
    <w:rsid w:val="00F632C0"/>
    <w:rsid w:val="00F641E1"/>
    <w:rsid w:val="00F7182F"/>
    <w:rsid w:val="00F80A9A"/>
    <w:rsid w:val="00F81B7C"/>
    <w:rsid w:val="00F94A63"/>
    <w:rsid w:val="00FA1C28"/>
    <w:rsid w:val="00FA35BD"/>
    <w:rsid w:val="00FA50A3"/>
    <w:rsid w:val="00FA7140"/>
    <w:rsid w:val="00FB1279"/>
    <w:rsid w:val="00FB6788"/>
    <w:rsid w:val="00FB6B76"/>
    <w:rsid w:val="00FB7596"/>
    <w:rsid w:val="00FB7816"/>
    <w:rsid w:val="00FC1307"/>
    <w:rsid w:val="00FC2C95"/>
    <w:rsid w:val="00FD2352"/>
    <w:rsid w:val="00FD694C"/>
    <w:rsid w:val="00FE4077"/>
    <w:rsid w:val="00FE500D"/>
    <w:rsid w:val="00FE54F0"/>
    <w:rsid w:val="00FE77D2"/>
    <w:rsid w:val="00FF39B1"/>
    <w:rsid w:val="00FF6EA1"/>
    <w:rsid w:val="014FA27A"/>
    <w:rsid w:val="019E1B19"/>
    <w:rsid w:val="056262C0"/>
    <w:rsid w:val="06AE240B"/>
    <w:rsid w:val="08AAA514"/>
    <w:rsid w:val="0CE05CEF"/>
    <w:rsid w:val="1263AE57"/>
    <w:rsid w:val="1698EEB5"/>
    <w:rsid w:val="1A88B4CC"/>
    <w:rsid w:val="28909ADD"/>
    <w:rsid w:val="2BD75FCA"/>
    <w:rsid w:val="2E54BD2C"/>
    <w:rsid w:val="2EF6BBB9"/>
    <w:rsid w:val="35A5AF95"/>
    <w:rsid w:val="370AE133"/>
    <w:rsid w:val="38B4D2C3"/>
    <w:rsid w:val="3D63A833"/>
    <w:rsid w:val="3DF7A82B"/>
    <w:rsid w:val="46D30986"/>
    <w:rsid w:val="489B124F"/>
    <w:rsid w:val="4B1D93CE"/>
    <w:rsid w:val="4E3FBC00"/>
    <w:rsid w:val="54EE5BC1"/>
    <w:rsid w:val="593E9343"/>
    <w:rsid w:val="5A18A667"/>
    <w:rsid w:val="5D4EABB3"/>
    <w:rsid w:val="5EBC3094"/>
    <w:rsid w:val="60486087"/>
    <w:rsid w:val="698CE718"/>
    <w:rsid w:val="6CF7B21F"/>
    <w:rsid w:val="7512E0FB"/>
    <w:rsid w:val="79B9B569"/>
    <w:rsid w:val="7B82A5FA"/>
    <w:rsid w:val="7C1DFC18"/>
    <w:rsid w:val="7F4738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BCF833EF-9134-4B38-A38D-8FF70E68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D91D68"/>
    <w:pPr>
      <w:framePr w:hSpace="181" w:wrap="around" w:vAnchor="page" w:hAnchor="page" w:x="1589" w:y="2314"/>
      <w:spacing w:before="48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965A3"/>
    <w:rPr>
      <w:rFonts w:ascii="Calibri" w:hAnsi="Calibri"/>
      <w:sz w:val="24"/>
      <w:lang w:val="en-GB" w:eastAsia="en-US"/>
    </w:rPr>
  </w:style>
  <w:style w:type="character" w:styleId="CommentReference">
    <w:name w:val="annotation reference"/>
    <w:basedOn w:val="DefaultParagraphFont"/>
    <w:semiHidden/>
    <w:unhideWhenUsed/>
    <w:rsid w:val="007D692F"/>
    <w:rPr>
      <w:sz w:val="16"/>
      <w:szCs w:val="16"/>
    </w:rPr>
  </w:style>
  <w:style w:type="paragraph" w:styleId="CommentText">
    <w:name w:val="annotation text"/>
    <w:basedOn w:val="Normal"/>
    <w:link w:val="CommentTextChar"/>
    <w:unhideWhenUsed/>
    <w:rsid w:val="007D692F"/>
    <w:rPr>
      <w:sz w:val="20"/>
    </w:rPr>
  </w:style>
  <w:style w:type="character" w:customStyle="1" w:styleId="CommentTextChar">
    <w:name w:val="Comment Text Char"/>
    <w:basedOn w:val="DefaultParagraphFont"/>
    <w:link w:val="CommentText"/>
    <w:rsid w:val="007D692F"/>
    <w:rPr>
      <w:rFonts w:ascii="Calibri" w:hAnsi="Calibri"/>
      <w:lang w:val="en-GB" w:eastAsia="en-US"/>
    </w:rPr>
  </w:style>
  <w:style w:type="paragraph" w:styleId="CommentSubject">
    <w:name w:val="annotation subject"/>
    <w:basedOn w:val="CommentText"/>
    <w:next w:val="CommentText"/>
    <w:link w:val="CommentSubjectChar"/>
    <w:semiHidden/>
    <w:unhideWhenUsed/>
    <w:rsid w:val="007D692F"/>
    <w:rPr>
      <w:b/>
      <w:bCs/>
    </w:rPr>
  </w:style>
  <w:style w:type="character" w:customStyle="1" w:styleId="CommentSubjectChar">
    <w:name w:val="Comment Subject Char"/>
    <w:basedOn w:val="CommentTextChar"/>
    <w:link w:val="CommentSubject"/>
    <w:semiHidden/>
    <w:rsid w:val="007D692F"/>
    <w:rPr>
      <w:rFonts w:ascii="Calibri" w:hAnsi="Calibri"/>
      <w:b/>
      <w:bCs/>
      <w:lang w:val="en-GB" w:eastAsia="en-US"/>
    </w:rPr>
  </w:style>
  <w:style w:type="character" w:styleId="Mention">
    <w:name w:val="Mention"/>
    <w:basedOn w:val="DefaultParagraphFont"/>
    <w:uiPriority w:val="99"/>
    <w:unhideWhenUsed/>
    <w:rsid w:val="007D69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54/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054/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0DC215C6-75B8-4F6A-A106-F0A2ADFD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A2C9C-8ADA-420B-B73C-479384479E9E}">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a4c22657-7647-457b-a399-8471255bb166"/>
  </ds:schemaRefs>
</ds:datastoreItem>
</file>

<file path=customXml/itemProps4.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4605</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Methodology for review and revision of the contributory unit</vt:lpstr>
    </vt:vector>
  </TitlesOfParts>
  <Manager>General Secretariat</Manager>
  <Company>International Telecommunication Union (ITU)</Company>
  <LinksUpToDate>false</LinksUpToDate>
  <CharactersWithSpaces>5313</CharactersWithSpaces>
  <SharedDoc>false</SharedDoc>
  <HLinks>
    <vt:vector size="24" baseType="variant">
      <vt:variant>
        <vt:i4>7536697</vt:i4>
      </vt:variant>
      <vt:variant>
        <vt:i4>6</vt:i4>
      </vt:variant>
      <vt:variant>
        <vt:i4>0</vt:i4>
      </vt:variant>
      <vt:variant>
        <vt:i4>5</vt:i4>
      </vt:variant>
      <vt:variant>
        <vt:lpwstr>https://www.itu.int/md/S25-CL-C-0054/en</vt:lpwstr>
      </vt:variant>
      <vt:variant>
        <vt:lpwstr/>
      </vt:variant>
      <vt:variant>
        <vt:i4>7536697</vt:i4>
      </vt:variant>
      <vt:variant>
        <vt:i4>3</vt:i4>
      </vt:variant>
      <vt:variant>
        <vt:i4>0</vt:i4>
      </vt:variant>
      <vt:variant>
        <vt:i4>5</vt:i4>
      </vt:variant>
      <vt:variant>
        <vt:lpwstr>https://www.itu.int/md/S25-CL-C-0054/en</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review and revision of the contributory unit</dc:title>
  <dc:subject>ITU Council 2026</dc:subject>
  <cp:keywords>C26; C2026; Council 2026; PP26</cp:keywords>
  <dc:description/>
  <cp:lastPrinted>2000-07-19T07:30:00Z</cp:lastPrinted>
  <dcterms:created xsi:type="dcterms:W3CDTF">2026-03-30T14:37:00Z</dcterms:created>
  <dcterms:modified xsi:type="dcterms:W3CDTF">2026-03-30T14:41:00Z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