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0AE1AB49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D913AA9" w14:textId="13DD8421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4109A5" w:rsidRPr="004109A5">
              <w:rPr>
                <w:rFonts w:cstheme="minorHAnsi"/>
                <w:b/>
                <w:bCs/>
              </w:rPr>
              <w:t>ADM 1</w:t>
            </w:r>
          </w:p>
        </w:tc>
        <w:tc>
          <w:tcPr>
            <w:tcW w:w="5245" w:type="dxa"/>
          </w:tcPr>
          <w:p w14:paraId="578455F0" w14:textId="325A2FBE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4109A5" w:rsidRPr="004109A5">
              <w:rPr>
                <w:b/>
              </w:rPr>
              <w:t>72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469BFB7D" w14:textId="77777777" w:rsidTr="00555C29">
        <w:trPr>
          <w:cantSplit/>
        </w:trPr>
        <w:tc>
          <w:tcPr>
            <w:tcW w:w="3969" w:type="dxa"/>
            <w:vMerge/>
          </w:tcPr>
          <w:p w14:paraId="0E74D3DC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2F04536" w14:textId="0E620690" w:rsidR="00E24D59" w:rsidRPr="00E85629" w:rsidRDefault="004109A5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30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68DA8D07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690BC033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2D963E9" w14:textId="0CE18914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594451" w:rsidRPr="00594451">
              <w:rPr>
                <w:rFonts w:cstheme="minorHAnsi" w:hint="eastAsia"/>
                <w:b/>
                <w:bCs/>
                <w:lang w:val="ru-RU"/>
              </w:rPr>
              <w:t>英文</w:t>
            </w:r>
            <w:proofErr w:type="spellEnd"/>
          </w:p>
        </w:tc>
      </w:tr>
      <w:tr w:rsidR="00E24D59" w:rsidRPr="00813E5E" w14:paraId="22BFFF9B" w14:textId="77777777" w:rsidTr="00555C29">
        <w:trPr>
          <w:cantSplit/>
          <w:trHeight w:val="23"/>
        </w:trPr>
        <w:tc>
          <w:tcPr>
            <w:tcW w:w="3969" w:type="dxa"/>
          </w:tcPr>
          <w:p w14:paraId="236125E8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0F7F006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18ACBB0F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ABDA697" w14:textId="33196DCC" w:rsidR="00E24D59" w:rsidRPr="00C24DAC" w:rsidRDefault="003F086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秘书长的报告</w:t>
            </w:r>
          </w:p>
        </w:tc>
      </w:tr>
      <w:tr w:rsidR="00E24D59" w:rsidRPr="009470DE" w14:paraId="16684289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590FDE0" w14:textId="780D3714" w:rsidR="00E24D59" w:rsidRPr="00555BD4" w:rsidRDefault="00594451" w:rsidP="00C24DAC">
            <w:pPr>
              <w:pStyle w:val="Subtitle"/>
              <w:framePr w:hSpace="0" w:wrap="auto" w:vAnchor="margin" w:hAnchor="text" w:xAlign="left" w:yAlign="inline"/>
              <w:rPr>
                <w:lang w:val="en-GB"/>
              </w:rPr>
            </w:pPr>
            <w:bookmarkStart w:id="6" w:name="dtitle1" w:colFirst="0" w:colLast="0"/>
            <w:bookmarkEnd w:id="5"/>
            <w:r w:rsidRPr="00D416DA">
              <w:rPr>
                <w:rFonts w:hint="eastAsia"/>
              </w:rPr>
              <w:t>会费单位</w:t>
            </w:r>
            <w:r w:rsidR="009470DE" w:rsidRPr="00D416DA">
              <w:rPr>
                <w:rFonts w:hint="eastAsia"/>
                <w:lang w:val="en-GB"/>
              </w:rPr>
              <w:t>审</w:t>
            </w:r>
            <w:r w:rsidR="009470DE">
              <w:rPr>
                <w:rFonts w:hint="eastAsia"/>
                <w:lang w:val="en-GB"/>
              </w:rPr>
              <w:t>查与修订</w:t>
            </w:r>
            <w:r w:rsidRPr="00594451">
              <w:rPr>
                <w:rFonts w:hint="eastAsia"/>
              </w:rPr>
              <w:t>的方法</w:t>
            </w:r>
          </w:p>
        </w:tc>
      </w:tr>
      <w:tr w:rsidR="00E24D59" w:rsidRPr="00813E5E" w14:paraId="5D14FC72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8CD322D" w14:textId="694C3807" w:rsidR="003F086E" w:rsidRPr="00E60ECF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E60ECF">
              <w:rPr>
                <w:rFonts w:cs="Calibri"/>
                <w:b/>
                <w:bCs/>
                <w:lang w:eastAsia="zh-CN"/>
              </w:rPr>
              <w:t>目的</w:t>
            </w:r>
          </w:p>
          <w:p w14:paraId="3CA422D5" w14:textId="48111806" w:rsidR="004109A5" w:rsidRPr="00E60ECF" w:rsidRDefault="00594451" w:rsidP="00E60ECF">
            <w:pPr>
              <w:ind w:firstLineChars="200" w:firstLine="480"/>
              <w:rPr>
                <w:rFonts w:cs="Calibri"/>
                <w:lang w:eastAsia="zh-CN"/>
              </w:rPr>
            </w:pPr>
            <w:r w:rsidRPr="00E60ECF">
              <w:rPr>
                <w:rFonts w:cs="Calibri" w:hint="eastAsia"/>
                <w:lang w:eastAsia="zh-CN"/>
              </w:rPr>
              <w:t>本文件</w:t>
            </w:r>
            <w:r w:rsidR="009470DE" w:rsidRPr="00E60ECF">
              <w:rPr>
                <w:rFonts w:cs="Calibri" w:hint="eastAsia"/>
                <w:lang w:eastAsia="zh-CN"/>
              </w:rPr>
              <w:t>为</w:t>
            </w:r>
            <w:r w:rsidRPr="00E60ECF">
              <w:rPr>
                <w:rFonts w:cs="Calibri" w:hint="eastAsia"/>
                <w:lang w:eastAsia="zh-CN"/>
              </w:rPr>
              <w:t>正在进行的关于会费单位</w:t>
            </w:r>
            <w:r w:rsidR="00C51CE0" w:rsidRPr="00E60ECF">
              <w:rPr>
                <w:rFonts w:cs="Calibri" w:hint="eastAsia"/>
                <w:lang w:eastAsia="zh-CN"/>
              </w:rPr>
              <w:t>审查</w:t>
            </w:r>
            <w:r w:rsidRPr="00E60ECF">
              <w:rPr>
                <w:rFonts w:cs="Calibri" w:hint="eastAsia"/>
                <w:lang w:eastAsia="zh-CN"/>
              </w:rPr>
              <w:t>的讨论提出了</w:t>
            </w:r>
            <w:r w:rsidR="005017CF" w:rsidRPr="00E60ECF">
              <w:rPr>
                <w:rFonts w:cs="Calibri" w:hint="eastAsia"/>
                <w:lang w:eastAsia="zh-CN"/>
              </w:rPr>
              <w:t>下一步工作</w:t>
            </w:r>
            <w:r w:rsidR="00C51CE0" w:rsidRPr="00E60ECF">
              <w:rPr>
                <w:rFonts w:cs="Calibri" w:hint="eastAsia"/>
                <w:lang w:eastAsia="zh-CN"/>
              </w:rPr>
              <w:t>方向</w:t>
            </w:r>
            <w:r w:rsidR="005017CF" w:rsidRPr="00E60ECF">
              <w:rPr>
                <w:rFonts w:cs="Calibri" w:hint="eastAsia"/>
                <w:lang w:eastAsia="zh-CN"/>
              </w:rPr>
              <w:t>。</w:t>
            </w:r>
          </w:p>
          <w:p w14:paraId="7FD925A8" w14:textId="3D8F7854" w:rsidR="004109A5" w:rsidRPr="00E60ECF" w:rsidRDefault="00594451" w:rsidP="00E60ECF">
            <w:pPr>
              <w:ind w:firstLineChars="200" w:firstLine="480"/>
              <w:rPr>
                <w:rFonts w:cs="Calibri"/>
                <w:lang w:eastAsia="zh-CN"/>
              </w:rPr>
            </w:pPr>
            <w:r w:rsidRPr="00E60ECF">
              <w:rPr>
                <w:rFonts w:cs="Calibri" w:hint="eastAsia"/>
                <w:lang w:eastAsia="zh-CN"/>
              </w:rPr>
              <w:t>根据秘书处的</w:t>
            </w:r>
            <w:r w:rsidR="005017CF" w:rsidRPr="00E60ECF">
              <w:rPr>
                <w:rFonts w:cs="Calibri" w:hint="eastAsia"/>
                <w:lang w:eastAsia="zh-CN"/>
              </w:rPr>
              <w:t>建议，</w:t>
            </w:r>
            <w:r w:rsidRPr="00E60ECF">
              <w:rPr>
                <w:rFonts w:cs="Calibri" w:hint="eastAsia"/>
                <w:lang w:eastAsia="zh-CN"/>
              </w:rPr>
              <w:t>理事会</w:t>
            </w:r>
            <w:r w:rsidR="005017CF" w:rsidRPr="00E60ECF">
              <w:rPr>
                <w:rFonts w:cs="Calibri"/>
                <w:lang w:eastAsia="zh-CN"/>
              </w:rPr>
              <w:t>2025</w:t>
            </w:r>
            <w:r w:rsidRPr="00E60ECF">
              <w:rPr>
                <w:rFonts w:cs="Calibri" w:hint="eastAsia"/>
                <w:lang w:eastAsia="zh-CN"/>
              </w:rPr>
              <w:t>年会议同意将会费单位的</w:t>
            </w:r>
            <w:r w:rsidR="005017CF" w:rsidRPr="00E60ECF">
              <w:rPr>
                <w:rFonts w:cs="Calibri" w:hint="eastAsia"/>
                <w:lang w:eastAsia="zh-CN"/>
              </w:rPr>
              <w:t>暂定金额</w:t>
            </w:r>
            <w:r w:rsidRPr="00E60ECF">
              <w:rPr>
                <w:rFonts w:cs="Calibri" w:hint="eastAsia"/>
                <w:lang w:eastAsia="zh-CN"/>
              </w:rPr>
              <w:t>维持在</w:t>
            </w:r>
            <w:r w:rsidR="005017CF" w:rsidRPr="00E60ECF">
              <w:rPr>
                <w:rFonts w:cs="Calibri"/>
                <w:lang w:eastAsia="zh-CN"/>
              </w:rPr>
              <w:t>318</w:t>
            </w:r>
            <w:r w:rsidR="00E60ECF" w:rsidRPr="00E60ECF">
              <w:rPr>
                <w:rFonts w:cs="Calibri"/>
                <w:lang w:eastAsia="zh-CN"/>
              </w:rPr>
              <w:t xml:space="preserve"> </w:t>
            </w:r>
            <w:r w:rsidR="005017CF" w:rsidRPr="00E60ECF">
              <w:rPr>
                <w:rFonts w:cs="Calibri"/>
                <w:lang w:eastAsia="zh-CN"/>
              </w:rPr>
              <w:t>000</w:t>
            </w:r>
            <w:r w:rsidRPr="00E60ECF">
              <w:rPr>
                <w:rFonts w:cs="Calibri" w:hint="eastAsia"/>
                <w:lang w:eastAsia="zh-CN"/>
              </w:rPr>
              <w:t>瑞郎的水平</w:t>
            </w:r>
            <w:r w:rsidR="005017CF" w:rsidRPr="00E60ECF">
              <w:rPr>
                <w:rFonts w:cs="Calibri" w:hint="eastAsia"/>
                <w:lang w:eastAsia="zh-CN"/>
              </w:rPr>
              <w:t>。</w:t>
            </w:r>
            <w:r w:rsidRPr="00E60ECF">
              <w:rPr>
                <w:rFonts w:cs="Calibri" w:hint="eastAsia"/>
                <w:lang w:eastAsia="zh-CN"/>
              </w:rPr>
              <w:t>此外</w:t>
            </w:r>
            <w:r w:rsidR="005017CF" w:rsidRPr="00E60ECF">
              <w:rPr>
                <w:rFonts w:cs="Calibri" w:hint="eastAsia"/>
                <w:lang w:eastAsia="zh-CN"/>
              </w:rPr>
              <w:t>，理事国</w:t>
            </w:r>
            <w:r w:rsidRPr="00E60ECF">
              <w:rPr>
                <w:rFonts w:cs="Calibri" w:hint="eastAsia"/>
                <w:lang w:eastAsia="zh-CN"/>
              </w:rPr>
              <w:t>要求秘书处就</w:t>
            </w:r>
            <w:r w:rsidR="005017CF" w:rsidRPr="00E60ECF">
              <w:rPr>
                <w:rFonts w:cs="Calibri" w:hint="eastAsia"/>
                <w:lang w:eastAsia="zh-CN"/>
              </w:rPr>
              <w:t>会费单位</w:t>
            </w:r>
            <w:r w:rsidR="003E20AE" w:rsidRPr="00E60ECF">
              <w:rPr>
                <w:rFonts w:cs="Calibri" w:hint="eastAsia"/>
                <w:lang w:eastAsia="zh-CN"/>
              </w:rPr>
              <w:t>计算</w:t>
            </w:r>
            <w:r w:rsidRPr="00E60ECF">
              <w:rPr>
                <w:rFonts w:cs="Calibri" w:hint="eastAsia"/>
                <w:lang w:eastAsia="zh-CN"/>
              </w:rPr>
              <w:t>方法</w:t>
            </w:r>
            <w:r w:rsidR="003E20AE" w:rsidRPr="00E60ECF">
              <w:rPr>
                <w:rFonts w:cs="Calibri" w:hint="eastAsia"/>
                <w:lang w:eastAsia="zh-CN"/>
              </w:rPr>
              <w:t>的修订（包括针对通货膨胀、绩效以及新任务授权的成本进行可能的调整）</w:t>
            </w:r>
            <w:r w:rsidR="00C51CE0" w:rsidRPr="00E60ECF">
              <w:rPr>
                <w:rFonts w:cs="Calibri" w:hint="eastAsia"/>
                <w:lang w:eastAsia="zh-CN"/>
              </w:rPr>
              <w:t>拟定</w:t>
            </w:r>
            <w:r w:rsidR="003E20AE" w:rsidRPr="00E60ECF">
              <w:rPr>
                <w:rFonts w:cs="Calibri" w:hint="eastAsia"/>
                <w:lang w:eastAsia="zh-CN"/>
              </w:rPr>
              <w:t>提案，</w:t>
            </w:r>
            <w:r w:rsidRPr="00E60ECF">
              <w:rPr>
                <w:rFonts w:cs="Calibri" w:hint="eastAsia"/>
                <w:lang w:eastAsia="zh-CN"/>
              </w:rPr>
              <w:t>供成员国审议</w:t>
            </w:r>
            <w:r w:rsidR="005017CF" w:rsidRPr="00E60ECF">
              <w:rPr>
                <w:rFonts w:cs="Calibri" w:hint="eastAsia"/>
                <w:lang w:eastAsia="zh-CN"/>
              </w:rPr>
              <w:t>。</w:t>
            </w:r>
            <w:r w:rsidRPr="00E60ECF">
              <w:rPr>
                <w:rFonts w:cs="Calibri" w:hint="eastAsia"/>
                <w:lang w:eastAsia="zh-CN"/>
              </w:rPr>
              <w:t>该方法将在</w:t>
            </w:r>
            <w:r w:rsidR="005017CF" w:rsidRPr="00E60ECF">
              <w:rPr>
                <w:rFonts w:cs="Calibri"/>
                <w:lang w:eastAsia="zh-CN"/>
              </w:rPr>
              <w:t>PP-30</w:t>
            </w:r>
            <w:r w:rsidR="005017CF" w:rsidRPr="00E60ECF">
              <w:rPr>
                <w:rFonts w:cs="Calibri" w:hint="eastAsia"/>
                <w:lang w:eastAsia="zh-CN"/>
              </w:rPr>
              <w:t>召开</w:t>
            </w:r>
            <w:r w:rsidRPr="00E60ECF">
              <w:rPr>
                <w:rFonts w:cs="Calibri" w:hint="eastAsia"/>
                <w:lang w:eastAsia="zh-CN"/>
              </w:rPr>
              <w:t>前实施</w:t>
            </w:r>
            <w:r w:rsidR="005017CF" w:rsidRPr="00E60ECF">
              <w:rPr>
                <w:rFonts w:cs="Calibri" w:hint="eastAsia"/>
                <w:lang w:eastAsia="zh-CN"/>
              </w:rPr>
              <w:t>，</w:t>
            </w:r>
            <w:r w:rsidRPr="00E60ECF">
              <w:rPr>
                <w:rFonts w:cs="Calibri" w:hint="eastAsia"/>
                <w:lang w:eastAsia="zh-CN"/>
              </w:rPr>
              <w:t>任何</w:t>
            </w:r>
            <w:r w:rsidR="005017CF" w:rsidRPr="00E60ECF">
              <w:rPr>
                <w:rFonts w:cs="Calibri" w:hint="eastAsia"/>
                <w:lang w:eastAsia="zh-CN"/>
              </w:rPr>
              <w:t>会费单位</w:t>
            </w:r>
            <w:r w:rsidRPr="00E60ECF">
              <w:rPr>
                <w:rFonts w:cs="Calibri" w:hint="eastAsia"/>
                <w:lang w:eastAsia="zh-CN"/>
              </w:rPr>
              <w:t>调整都将</w:t>
            </w:r>
            <w:r w:rsidR="005017CF" w:rsidRPr="00E60ECF">
              <w:rPr>
                <w:rFonts w:cs="Calibri" w:hint="eastAsia"/>
                <w:lang w:eastAsia="zh-CN"/>
              </w:rPr>
              <w:t>自</w:t>
            </w:r>
            <w:r w:rsidR="005017CF" w:rsidRPr="00E60ECF">
              <w:rPr>
                <w:rFonts w:cs="Calibri"/>
                <w:lang w:eastAsia="zh-CN"/>
              </w:rPr>
              <w:t>2032</w:t>
            </w:r>
            <w:r w:rsidRPr="00E60ECF">
              <w:rPr>
                <w:rFonts w:cs="Calibri" w:hint="eastAsia"/>
                <w:lang w:eastAsia="zh-CN"/>
              </w:rPr>
              <w:t>年起生效</w:t>
            </w:r>
            <w:r w:rsidR="005017CF" w:rsidRPr="00E60ECF">
              <w:rPr>
                <w:rFonts w:cs="Calibri" w:hint="eastAsia"/>
                <w:lang w:eastAsia="zh-CN"/>
              </w:rPr>
              <w:t>。</w:t>
            </w:r>
            <w:r w:rsidRPr="00E60ECF">
              <w:rPr>
                <w:rFonts w:cs="Calibri" w:hint="eastAsia"/>
                <w:lang w:eastAsia="zh-CN"/>
              </w:rPr>
              <w:t>秘书处</w:t>
            </w:r>
            <w:r w:rsidR="003E20AE" w:rsidRPr="00E60ECF">
              <w:rPr>
                <w:rFonts w:cs="Calibri" w:hint="eastAsia"/>
                <w:lang w:eastAsia="zh-CN"/>
              </w:rPr>
              <w:t>已</w:t>
            </w:r>
            <w:r w:rsidR="00C854E8" w:rsidRPr="00E60ECF">
              <w:rPr>
                <w:rFonts w:cs="Calibri" w:hint="eastAsia"/>
                <w:lang w:eastAsia="zh-CN"/>
              </w:rPr>
              <w:t>就此</w:t>
            </w:r>
            <w:r w:rsidRPr="00E60ECF">
              <w:rPr>
                <w:rFonts w:cs="Calibri" w:hint="eastAsia"/>
                <w:lang w:eastAsia="zh-CN"/>
              </w:rPr>
              <w:t>向</w:t>
            </w:r>
            <w:r w:rsidR="005017CF" w:rsidRPr="00E60ECF">
              <w:rPr>
                <w:rFonts w:cs="Calibri"/>
                <w:lang w:eastAsia="zh-CN"/>
              </w:rPr>
              <w:t>2026</w:t>
            </w:r>
            <w:r w:rsidRPr="00E60ECF">
              <w:rPr>
                <w:rFonts w:cs="Calibri" w:hint="eastAsia"/>
                <w:lang w:eastAsia="zh-CN"/>
              </w:rPr>
              <w:t>年</w:t>
            </w:r>
            <w:r w:rsidRPr="00E60ECF">
              <w:rPr>
                <w:rFonts w:cs="Calibri" w:hint="eastAsia"/>
                <w:lang w:eastAsia="zh-CN"/>
              </w:rPr>
              <w:t>1</w:t>
            </w:r>
            <w:r w:rsidRPr="00E60ECF">
              <w:rPr>
                <w:rFonts w:cs="Calibri" w:hint="eastAsia"/>
                <w:lang w:eastAsia="zh-CN"/>
              </w:rPr>
              <w:t>月召开的理事会财务和人力资源工作组</w:t>
            </w:r>
            <w:r w:rsidR="00C854E8" w:rsidRPr="00E60ECF">
              <w:rPr>
                <w:rFonts w:cs="Calibri" w:hint="eastAsia"/>
                <w:lang w:eastAsia="zh-CN"/>
              </w:rPr>
              <w:t>会议</w:t>
            </w:r>
            <w:r w:rsidRPr="00E60ECF">
              <w:rPr>
                <w:rFonts w:cs="Calibri" w:hint="eastAsia"/>
                <w:lang w:eastAsia="zh-CN"/>
              </w:rPr>
              <w:t>提交了提案</w:t>
            </w:r>
            <w:r w:rsidR="00C854E8" w:rsidRPr="00E60ECF">
              <w:rPr>
                <w:rFonts w:cs="Calibri" w:hint="eastAsia"/>
                <w:lang w:eastAsia="zh-CN"/>
              </w:rPr>
              <w:t>。</w:t>
            </w:r>
          </w:p>
          <w:p w14:paraId="330AA8DD" w14:textId="211EF969" w:rsidR="003F086E" w:rsidRPr="00E60ECF" w:rsidRDefault="00594451" w:rsidP="00E60ECF">
            <w:pPr>
              <w:ind w:firstLineChars="200" w:firstLine="480"/>
              <w:rPr>
                <w:rFonts w:cs="Calibri"/>
                <w:lang w:eastAsia="zh-CN"/>
              </w:rPr>
            </w:pPr>
            <w:r w:rsidRPr="00E60ECF">
              <w:rPr>
                <w:rFonts w:cs="Calibri" w:hint="eastAsia"/>
                <w:lang w:eastAsia="zh-CN"/>
              </w:rPr>
              <w:t>秘书长已表示</w:t>
            </w:r>
            <w:r w:rsidR="00C854E8" w:rsidRPr="00E60ECF">
              <w:rPr>
                <w:rFonts w:cs="Calibri" w:hint="eastAsia"/>
                <w:lang w:eastAsia="zh-CN"/>
              </w:rPr>
              <w:t>，</w:t>
            </w:r>
            <w:r w:rsidR="003E20AE" w:rsidRPr="00E60ECF">
              <w:rPr>
                <w:rFonts w:cs="Calibri" w:hint="eastAsia"/>
                <w:lang w:eastAsia="zh-CN"/>
              </w:rPr>
              <w:t>不会</w:t>
            </w:r>
            <w:r w:rsidRPr="00E60ECF">
              <w:rPr>
                <w:rFonts w:cs="Calibri" w:hint="eastAsia"/>
                <w:lang w:eastAsia="zh-CN"/>
              </w:rPr>
              <w:t>在</w:t>
            </w:r>
            <w:r w:rsidR="00C854E8" w:rsidRPr="00E60ECF">
              <w:rPr>
                <w:rFonts w:cs="Calibri"/>
                <w:lang w:eastAsia="zh-CN"/>
              </w:rPr>
              <w:t>PP-26</w:t>
            </w:r>
            <w:r w:rsidRPr="00E60ECF">
              <w:rPr>
                <w:rFonts w:cs="Calibri" w:hint="eastAsia"/>
                <w:lang w:eastAsia="zh-CN"/>
              </w:rPr>
              <w:t>上</w:t>
            </w:r>
            <w:r w:rsidR="003E20AE" w:rsidRPr="00E60ECF">
              <w:rPr>
                <w:rFonts w:cs="Calibri" w:hint="eastAsia"/>
                <w:lang w:eastAsia="zh-CN"/>
              </w:rPr>
              <w:t>提出</w:t>
            </w:r>
            <w:r w:rsidRPr="00E60ECF">
              <w:rPr>
                <w:rFonts w:cs="Calibri" w:hint="eastAsia"/>
                <w:lang w:eastAsia="zh-CN"/>
              </w:rPr>
              <w:t>增加</w:t>
            </w:r>
            <w:r w:rsidR="00C854E8" w:rsidRPr="00E60ECF">
              <w:rPr>
                <w:rFonts w:cs="Calibri" w:hint="eastAsia"/>
                <w:lang w:eastAsia="zh-CN"/>
              </w:rPr>
              <w:t>会费单位金额</w:t>
            </w:r>
            <w:r w:rsidR="003E20AE" w:rsidRPr="00E60ECF">
              <w:rPr>
                <w:rFonts w:cs="Calibri" w:hint="eastAsia"/>
                <w:lang w:eastAsia="zh-CN"/>
              </w:rPr>
              <w:t>的建议</w:t>
            </w:r>
            <w:r w:rsidR="00C854E8" w:rsidRPr="00E60ECF">
              <w:rPr>
                <w:rFonts w:cs="Calibri" w:hint="eastAsia"/>
                <w:lang w:eastAsia="zh-CN"/>
              </w:rPr>
              <w:t>。</w:t>
            </w:r>
            <w:r w:rsidRPr="00E60ECF">
              <w:rPr>
                <w:rFonts w:cs="Calibri" w:hint="eastAsia"/>
                <w:lang w:eastAsia="zh-CN"/>
              </w:rPr>
              <w:t>此外</w:t>
            </w:r>
            <w:r w:rsidR="00C854E8" w:rsidRPr="00E60ECF">
              <w:rPr>
                <w:rFonts w:cs="Calibri" w:hint="eastAsia"/>
                <w:lang w:eastAsia="zh-CN"/>
              </w:rPr>
              <w:t>，</w:t>
            </w:r>
            <w:r w:rsidRPr="00E60ECF">
              <w:rPr>
                <w:rFonts w:cs="Calibri" w:hint="eastAsia"/>
                <w:lang w:eastAsia="zh-CN"/>
              </w:rPr>
              <w:t>国际电联</w:t>
            </w:r>
            <w:r w:rsidR="00C854E8" w:rsidRPr="00E60ECF">
              <w:rPr>
                <w:rFonts w:cs="Calibri" w:hint="eastAsia"/>
                <w:lang w:eastAsia="zh-CN"/>
              </w:rPr>
              <w:t>通过加强财务纪律，</w:t>
            </w:r>
            <w:r w:rsidR="00C51CE0" w:rsidRPr="00E60ECF">
              <w:rPr>
                <w:rFonts w:cs="Calibri" w:hint="eastAsia"/>
                <w:lang w:eastAsia="zh-CN"/>
              </w:rPr>
              <w:t>继续</w:t>
            </w:r>
            <w:r w:rsidRPr="00E60ECF">
              <w:rPr>
                <w:rFonts w:cs="Calibri" w:hint="eastAsia"/>
                <w:lang w:eastAsia="zh-CN"/>
              </w:rPr>
              <w:t>在</w:t>
            </w:r>
            <w:r w:rsidR="00C854E8" w:rsidRPr="00E60ECF">
              <w:rPr>
                <w:rFonts w:cs="Calibri" w:hint="eastAsia"/>
                <w:lang w:eastAsia="zh-CN"/>
              </w:rPr>
              <w:t>当前</w:t>
            </w:r>
            <w:r w:rsidR="00F63FCE" w:rsidRPr="00E60ECF">
              <w:rPr>
                <w:rFonts w:cs="Calibri" w:hint="eastAsia"/>
                <w:lang w:eastAsia="zh-CN"/>
              </w:rPr>
              <w:t>核定的</w:t>
            </w:r>
            <w:r w:rsidRPr="00E60ECF">
              <w:rPr>
                <w:rFonts w:cs="Calibri" w:hint="eastAsia"/>
                <w:lang w:eastAsia="zh-CN"/>
              </w:rPr>
              <w:t>预算范围内</w:t>
            </w:r>
            <w:r w:rsidR="00C854E8" w:rsidRPr="00E60ECF">
              <w:rPr>
                <w:rFonts w:cs="Calibri" w:hint="eastAsia"/>
                <w:lang w:eastAsia="zh-CN"/>
              </w:rPr>
              <w:t>运作。</w:t>
            </w:r>
            <w:r w:rsidRPr="00E60ECF">
              <w:rPr>
                <w:rFonts w:cs="Calibri" w:hint="eastAsia"/>
                <w:lang w:eastAsia="zh-CN"/>
              </w:rPr>
              <w:t>因此</w:t>
            </w:r>
            <w:r w:rsidR="00C854E8" w:rsidRPr="00E60ECF">
              <w:rPr>
                <w:rFonts w:cs="Calibri" w:hint="eastAsia"/>
                <w:lang w:eastAsia="zh-CN"/>
              </w:rPr>
              <w:t>，</w:t>
            </w:r>
            <w:r w:rsidRPr="00E60ECF">
              <w:rPr>
                <w:rFonts w:cs="Calibri" w:hint="eastAsia"/>
                <w:lang w:eastAsia="zh-CN"/>
              </w:rPr>
              <w:t>秘书处在本文件中建议</w:t>
            </w:r>
            <w:r w:rsidR="00C854E8" w:rsidRPr="00E60ECF">
              <w:rPr>
                <w:rFonts w:cs="Calibri" w:hint="eastAsia"/>
                <w:lang w:eastAsia="zh-CN"/>
              </w:rPr>
              <w:t>，</w:t>
            </w:r>
            <w:r w:rsidRPr="00E60ECF">
              <w:rPr>
                <w:rFonts w:cs="Calibri" w:hint="eastAsia"/>
                <w:lang w:eastAsia="zh-CN"/>
              </w:rPr>
              <w:t>继续</w:t>
            </w:r>
            <w:r w:rsidR="003E20AE" w:rsidRPr="00E60ECF">
              <w:rPr>
                <w:rFonts w:cs="Calibri" w:hint="eastAsia"/>
                <w:lang w:eastAsia="zh-CN"/>
              </w:rPr>
              <w:t>监测</w:t>
            </w:r>
            <w:r w:rsidRPr="00E60ECF">
              <w:rPr>
                <w:rFonts w:cs="Calibri" w:hint="eastAsia"/>
                <w:lang w:eastAsia="zh-CN"/>
              </w:rPr>
              <w:t>财务状况</w:t>
            </w:r>
            <w:r w:rsidR="00C854E8" w:rsidRPr="00E60ECF">
              <w:rPr>
                <w:rFonts w:cs="Calibri" w:hint="eastAsia"/>
                <w:lang w:eastAsia="zh-CN"/>
              </w:rPr>
              <w:t>，</w:t>
            </w:r>
            <w:r w:rsidRPr="00E60ECF">
              <w:rPr>
                <w:rFonts w:cs="Calibri" w:hint="eastAsia"/>
                <w:lang w:eastAsia="zh-CN"/>
              </w:rPr>
              <w:t>并采取措施提高效率</w:t>
            </w:r>
            <w:r w:rsidR="00C854E8" w:rsidRPr="00E60ECF">
              <w:rPr>
                <w:rFonts w:cs="Calibri" w:hint="eastAsia"/>
                <w:lang w:eastAsia="zh-CN"/>
              </w:rPr>
              <w:t>，</w:t>
            </w:r>
            <w:r w:rsidR="00C77FB8" w:rsidRPr="00E60ECF">
              <w:rPr>
                <w:rFonts w:cs="Calibri" w:hint="eastAsia"/>
                <w:lang w:val="en-US" w:eastAsia="zh-CN"/>
              </w:rPr>
              <w:t>强化</w:t>
            </w:r>
            <w:r w:rsidRPr="00E60ECF">
              <w:rPr>
                <w:rFonts w:cs="Calibri" w:hint="eastAsia"/>
                <w:lang w:eastAsia="zh-CN"/>
              </w:rPr>
              <w:t>重点</w:t>
            </w:r>
            <w:r w:rsidR="00C77FB8" w:rsidRPr="00E60ECF">
              <w:rPr>
                <w:rFonts w:cs="Calibri" w:hint="eastAsia"/>
                <w:lang w:eastAsia="zh-CN"/>
              </w:rPr>
              <w:t>与</w:t>
            </w:r>
            <w:r w:rsidRPr="00E60ECF">
              <w:rPr>
                <w:rFonts w:cs="Calibri" w:hint="eastAsia"/>
                <w:lang w:eastAsia="zh-CN"/>
              </w:rPr>
              <w:t>协调</w:t>
            </w:r>
            <w:r w:rsidR="00C854E8" w:rsidRPr="00E60ECF">
              <w:rPr>
                <w:rFonts w:cs="Calibri" w:hint="eastAsia"/>
                <w:lang w:eastAsia="zh-CN"/>
              </w:rPr>
              <w:t>，</w:t>
            </w:r>
            <w:r w:rsidRPr="00E60ECF">
              <w:rPr>
                <w:rFonts w:cs="Calibri" w:hint="eastAsia"/>
                <w:lang w:eastAsia="zh-CN"/>
              </w:rPr>
              <w:t>加强财务纪律</w:t>
            </w:r>
            <w:r w:rsidR="00C854E8" w:rsidRPr="00E60ECF">
              <w:rPr>
                <w:rFonts w:cs="Calibri" w:hint="eastAsia"/>
                <w:lang w:eastAsia="zh-CN"/>
              </w:rPr>
              <w:t>。相信</w:t>
            </w:r>
            <w:r w:rsidRPr="00E60ECF">
              <w:rPr>
                <w:rFonts w:cs="Calibri" w:hint="eastAsia"/>
                <w:lang w:eastAsia="zh-CN"/>
              </w:rPr>
              <w:t>这将有助于国际电联在</w:t>
            </w:r>
            <w:r w:rsidR="00C77FB8" w:rsidRPr="00E60ECF">
              <w:rPr>
                <w:rFonts w:cs="Calibri" w:hint="eastAsia"/>
                <w:lang w:eastAsia="zh-CN"/>
              </w:rPr>
              <w:t>当前</w:t>
            </w:r>
            <w:r w:rsidR="00F63FCE" w:rsidRPr="00E60ECF">
              <w:rPr>
                <w:rFonts w:cs="Calibri" w:hint="eastAsia"/>
                <w:lang w:eastAsia="zh-CN"/>
              </w:rPr>
              <w:t>核定的</w:t>
            </w:r>
            <w:r w:rsidRPr="00E60ECF">
              <w:rPr>
                <w:rFonts w:cs="Calibri" w:hint="eastAsia"/>
                <w:lang w:eastAsia="zh-CN"/>
              </w:rPr>
              <w:t>预算</w:t>
            </w:r>
            <w:r w:rsidR="00C854E8" w:rsidRPr="00E60ECF">
              <w:rPr>
                <w:rFonts w:cs="Calibri" w:hint="eastAsia"/>
                <w:lang w:eastAsia="zh-CN"/>
              </w:rPr>
              <w:t>范围</w:t>
            </w:r>
            <w:r w:rsidRPr="00E60ECF">
              <w:rPr>
                <w:rFonts w:cs="Calibri" w:hint="eastAsia"/>
                <w:lang w:eastAsia="zh-CN"/>
              </w:rPr>
              <w:t>内开展工作</w:t>
            </w:r>
            <w:r w:rsidR="00C854E8" w:rsidRPr="00E60ECF">
              <w:rPr>
                <w:rFonts w:cs="Calibri" w:hint="eastAsia"/>
                <w:lang w:eastAsia="zh-CN"/>
              </w:rPr>
              <w:t>，</w:t>
            </w:r>
            <w:r w:rsidRPr="00E60ECF">
              <w:rPr>
                <w:rFonts w:cs="Calibri" w:hint="eastAsia"/>
                <w:lang w:eastAsia="zh-CN"/>
              </w:rPr>
              <w:t>尽管这意味着一些举措可能无法</w:t>
            </w:r>
            <w:r w:rsidR="00C77FB8" w:rsidRPr="00E60ECF">
              <w:rPr>
                <w:rFonts w:cs="Calibri" w:hint="eastAsia"/>
                <w:lang w:eastAsia="zh-CN"/>
              </w:rPr>
              <w:t>通过</w:t>
            </w:r>
            <w:r w:rsidRPr="00E60ECF">
              <w:rPr>
                <w:rFonts w:cs="Calibri" w:hint="eastAsia"/>
                <w:lang w:eastAsia="zh-CN"/>
              </w:rPr>
              <w:t>正常预算</w:t>
            </w:r>
            <w:r w:rsidR="00C77FB8" w:rsidRPr="00E60ECF">
              <w:rPr>
                <w:rFonts w:cs="Calibri" w:hint="eastAsia"/>
                <w:lang w:eastAsia="zh-CN"/>
              </w:rPr>
              <w:t>获得</w:t>
            </w:r>
            <w:r w:rsidRPr="00E60ECF">
              <w:rPr>
                <w:rFonts w:cs="Calibri" w:hint="eastAsia"/>
                <w:lang w:eastAsia="zh-CN"/>
              </w:rPr>
              <w:t>资金支持</w:t>
            </w:r>
            <w:r w:rsidR="00C854E8" w:rsidRPr="00E60ECF">
              <w:rPr>
                <w:rFonts w:cs="Calibri" w:hint="eastAsia"/>
                <w:lang w:eastAsia="zh-CN"/>
              </w:rPr>
              <w:t>。</w:t>
            </w:r>
            <w:r w:rsidRPr="00E60ECF">
              <w:rPr>
                <w:rFonts w:cs="Calibri" w:hint="eastAsia"/>
                <w:lang w:eastAsia="zh-CN"/>
              </w:rPr>
              <w:t>秘书处将每年向理事会提交</w:t>
            </w:r>
            <w:r w:rsidR="00C854E8" w:rsidRPr="00E60ECF">
              <w:rPr>
                <w:rFonts w:cs="Calibri" w:hint="eastAsia"/>
                <w:lang w:eastAsia="zh-CN"/>
              </w:rPr>
              <w:t>最新</w:t>
            </w:r>
            <w:r w:rsidRPr="00E60ECF">
              <w:rPr>
                <w:rFonts w:cs="Calibri" w:hint="eastAsia"/>
                <w:lang w:eastAsia="zh-CN"/>
              </w:rPr>
              <w:t>财务报告</w:t>
            </w:r>
            <w:r w:rsidR="00C854E8" w:rsidRPr="00E60ECF">
              <w:rPr>
                <w:rFonts w:cs="Calibri" w:hint="eastAsia"/>
                <w:lang w:eastAsia="zh-CN"/>
              </w:rPr>
              <w:t>，</w:t>
            </w:r>
            <w:r w:rsidRPr="00E60ECF">
              <w:rPr>
                <w:rFonts w:cs="Calibri" w:hint="eastAsia"/>
                <w:lang w:eastAsia="zh-CN"/>
              </w:rPr>
              <w:t>评估本文件中</w:t>
            </w:r>
            <w:r w:rsidR="00C854E8" w:rsidRPr="00E60ECF">
              <w:rPr>
                <w:rFonts w:cs="Calibri" w:hint="eastAsia"/>
                <w:lang w:eastAsia="zh-CN"/>
              </w:rPr>
              <w:t>所</w:t>
            </w:r>
            <w:r w:rsidRPr="00E60ECF">
              <w:rPr>
                <w:rFonts w:cs="Calibri" w:hint="eastAsia"/>
                <w:lang w:eastAsia="zh-CN"/>
              </w:rPr>
              <w:t>确定的与</w:t>
            </w:r>
            <w:r w:rsidR="00C854E8" w:rsidRPr="00E60ECF">
              <w:rPr>
                <w:rFonts w:cs="Calibri" w:hint="eastAsia"/>
                <w:lang w:eastAsia="zh-CN"/>
              </w:rPr>
              <w:t>会费单位</w:t>
            </w:r>
            <w:r w:rsidRPr="00E60ECF">
              <w:rPr>
                <w:rFonts w:cs="Calibri" w:hint="eastAsia"/>
                <w:lang w:eastAsia="zh-CN"/>
              </w:rPr>
              <w:t>相关的标准</w:t>
            </w:r>
            <w:r w:rsidR="00C854E8" w:rsidRPr="00E60ECF">
              <w:rPr>
                <w:rFonts w:cs="Calibri" w:hint="eastAsia"/>
                <w:lang w:eastAsia="zh-CN"/>
              </w:rPr>
              <w:t>。</w:t>
            </w:r>
          </w:p>
          <w:p w14:paraId="3AFCE8D2" w14:textId="77777777" w:rsidR="003F086E" w:rsidRPr="00E60ECF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E60ECF">
              <w:rPr>
                <w:rFonts w:cs="Calibri"/>
                <w:b/>
                <w:bCs/>
                <w:lang w:eastAsia="zh-CN"/>
              </w:rPr>
              <w:t>理事会需采取的行动</w:t>
            </w:r>
          </w:p>
          <w:p w14:paraId="137CA585" w14:textId="394F1828" w:rsidR="003F086E" w:rsidRPr="00E60ECF" w:rsidRDefault="00594451" w:rsidP="00E60ECF">
            <w:pPr>
              <w:ind w:firstLineChars="200" w:firstLine="480"/>
              <w:rPr>
                <w:rFonts w:cs="Calibri"/>
                <w:lang w:eastAsia="zh-CN"/>
              </w:rPr>
            </w:pPr>
            <w:r w:rsidRPr="00E60ECF">
              <w:rPr>
                <w:rFonts w:cs="Calibri" w:hint="eastAsia"/>
                <w:lang w:eastAsia="zh-CN"/>
              </w:rPr>
              <w:t>请理事会将本</w:t>
            </w:r>
            <w:r w:rsidR="00C854E8" w:rsidRPr="00E60ECF">
              <w:rPr>
                <w:rFonts w:cs="Calibri" w:hint="eastAsia"/>
                <w:lang w:eastAsia="zh-CN"/>
              </w:rPr>
              <w:t>文件</w:t>
            </w:r>
            <w:r w:rsidRPr="00E60ECF">
              <w:rPr>
                <w:rFonts w:cs="Calibri" w:hint="eastAsia"/>
                <w:b/>
                <w:bCs/>
                <w:lang w:eastAsia="zh-CN"/>
              </w:rPr>
              <w:t>记录在案</w:t>
            </w:r>
            <w:r w:rsidR="00C854E8" w:rsidRPr="00E60ECF">
              <w:rPr>
                <w:rFonts w:cs="Calibri" w:hint="eastAsia"/>
                <w:lang w:eastAsia="zh-CN"/>
              </w:rPr>
              <w:t>。</w:t>
            </w:r>
          </w:p>
          <w:p w14:paraId="2FE6A201" w14:textId="77777777" w:rsidR="003F086E" w:rsidRPr="00E60ECF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E60ECF">
              <w:rPr>
                <w:rFonts w:cs="Calibri" w:hint="eastAsia"/>
                <w:b/>
                <w:bCs/>
                <w:lang w:eastAsia="zh-CN"/>
              </w:rPr>
              <w:t>与</w:t>
            </w:r>
            <w:r w:rsidRPr="00E60ECF">
              <w:rPr>
                <w:rFonts w:cs="Calibri"/>
                <w:b/>
                <w:bCs/>
                <w:lang w:eastAsia="zh-CN"/>
              </w:rPr>
              <w:t>《战略规划》</w:t>
            </w:r>
            <w:r w:rsidRPr="00E60ECF">
              <w:rPr>
                <w:rFonts w:cs="Calibri" w:hint="eastAsia"/>
                <w:b/>
                <w:bCs/>
                <w:lang w:eastAsia="zh-CN"/>
              </w:rPr>
              <w:t>的关联</w:t>
            </w:r>
          </w:p>
          <w:p w14:paraId="3DE1CD2A" w14:textId="0207CAA3" w:rsidR="003F086E" w:rsidRPr="00E60ECF" w:rsidRDefault="00594451" w:rsidP="00E60ECF">
            <w:pPr>
              <w:ind w:firstLineChars="200" w:firstLine="480"/>
              <w:rPr>
                <w:rFonts w:cs="Calibri"/>
                <w:lang w:eastAsia="zh-CN"/>
              </w:rPr>
            </w:pPr>
            <w:r w:rsidRPr="00E60ECF">
              <w:rPr>
                <w:rFonts w:cs="Calibri" w:hint="eastAsia"/>
                <w:lang w:eastAsia="zh-CN"/>
              </w:rPr>
              <w:t>会费单位的</w:t>
            </w:r>
            <w:r w:rsidR="00F051C3" w:rsidRPr="00E60ECF">
              <w:rPr>
                <w:rFonts w:cs="Calibri" w:hint="eastAsia"/>
                <w:lang w:eastAsia="zh-CN"/>
              </w:rPr>
              <w:t>金额</w:t>
            </w:r>
            <w:r w:rsidRPr="00E60ECF">
              <w:rPr>
                <w:rFonts w:cs="Calibri" w:hint="eastAsia"/>
                <w:lang w:eastAsia="zh-CN"/>
              </w:rPr>
              <w:t>以及成员国</w:t>
            </w:r>
            <w:r w:rsidR="00C51CE0" w:rsidRPr="00E60ECF">
              <w:rPr>
                <w:rFonts w:cs="Calibri" w:hint="eastAsia"/>
                <w:lang w:eastAsia="zh-CN"/>
              </w:rPr>
              <w:t>所</w:t>
            </w:r>
            <w:r w:rsidRPr="00E60ECF">
              <w:rPr>
                <w:rFonts w:cs="Calibri" w:hint="eastAsia"/>
                <w:lang w:eastAsia="zh-CN"/>
              </w:rPr>
              <w:t>通报的会费单位等级决定了适用于国际电联</w:t>
            </w:r>
            <w:r w:rsidR="00D64CDC" w:rsidRPr="00E60ECF">
              <w:rPr>
                <w:rFonts w:cs="Calibri" w:hint="eastAsia"/>
                <w:lang w:eastAsia="zh-CN"/>
              </w:rPr>
              <w:t>《战略规划》</w:t>
            </w:r>
            <w:r w:rsidRPr="00E60ECF">
              <w:rPr>
                <w:rFonts w:cs="Calibri" w:hint="eastAsia"/>
                <w:lang w:eastAsia="zh-CN"/>
              </w:rPr>
              <w:t>和</w:t>
            </w:r>
            <w:r w:rsidR="00D64CDC" w:rsidRPr="00E60ECF">
              <w:rPr>
                <w:rFonts w:cs="Calibri" w:hint="eastAsia"/>
                <w:lang w:eastAsia="zh-CN"/>
              </w:rPr>
              <w:t>《财务规划》</w:t>
            </w:r>
            <w:r w:rsidRPr="00E60ECF">
              <w:rPr>
                <w:rFonts w:cs="Calibri" w:hint="eastAsia"/>
                <w:lang w:eastAsia="zh-CN"/>
              </w:rPr>
              <w:t>的财务</w:t>
            </w:r>
            <w:r w:rsidR="00D64CDC" w:rsidRPr="00E60ECF">
              <w:rPr>
                <w:rFonts w:cs="Calibri" w:hint="eastAsia"/>
                <w:lang w:eastAsia="zh-CN"/>
              </w:rPr>
              <w:t>限制。</w:t>
            </w:r>
          </w:p>
          <w:p w14:paraId="1A88A511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E60ECF">
              <w:rPr>
                <w:rFonts w:cs="Calibri"/>
                <w:b/>
                <w:bCs/>
                <w:lang w:eastAsia="zh-CN"/>
              </w:rPr>
              <w:t>财务影响</w:t>
            </w:r>
          </w:p>
          <w:p w14:paraId="07314ABB" w14:textId="6599567F" w:rsidR="008F64AD" w:rsidRPr="00064124" w:rsidRDefault="00D64CDC" w:rsidP="00E60ECF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>
              <w:rPr>
                <w:rFonts w:eastAsiaTheme="majorEastAsia" w:cs="Calibri" w:hint="eastAsia"/>
                <w:lang w:eastAsia="zh-CN"/>
              </w:rPr>
              <w:t>不适用</w:t>
            </w:r>
          </w:p>
          <w:p w14:paraId="090C9B57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43AFFCF2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5187AD6C" w14:textId="28D11F67" w:rsidR="00E24D59" w:rsidRPr="00064124" w:rsidRDefault="004109A5" w:rsidP="00E60ECF">
            <w:pPr>
              <w:spacing w:after="120"/>
              <w:ind w:firstLineChars="200" w:firstLine="480"/>
              <w:rPr>
                <w:rFonts w:eastAsiaTheme="majorEastAsia" w:cs="Calibri"/>
                <w:sz w:val="22"/>
                <w:szCs w:val="22"/>
                <w:lang w:eastAsia="zh-CN"/>
              </w:rPr>
            </w:pPr>
            <w:hyperlink r:id="rId8" w:history="1">
              <w:r w:rsidRPr="00E60ECF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u w:val="single"/>
                  <w:lang w:eastAsia="zh-CN"/>
                </w:rPr>
                <w:t>CWG-FHR</w:t>
              </w:r>
              <w:r w:rsidR="00D64CDC" w:rsidRPr="00E60ECF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网站</w:t>
              </w:r>
            </w:hyperlink>
            <w:r w:rsidR="00D64CDC" w:rsidRPr="00D64CDC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；理事会</w:t>
            </w:r>
            <w:hyperlink r:id="rId9" w:history="1">
              <w:r w:rsidRPr="00E60ECF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u w:val="single"/>
                  <w:lang w:eastAsia="zh-CN"/>
                </w:rPr>
                <w:t>C25/54</w:t>
              </w:r>
            </w:hyperlink>
            <w:r w:rsidR="00D64CDC" w:rsidRPr="00D64CDC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号文件</w:t>
            </w:r>
          </w:p>
        </w:tc>
      </w:tr>
      <w:bookmarkEnd w:id="2"/>
      <w:bookmarkEnd w:id="6"/>
    </w:tbl>
    <w:p w14:paraId="0925970E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0220AE4F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17B44BD" w14:textId="737AC6A7" w:rsidR="004109A5" w:rsidRPr="00E60ECF" w:rsidRDefault="00594451" w:rsidP="004109A5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cs="Calibri"/>
          <w:lang w:eastAsia="zh-CN"/>
        </w:rPr>
      </w:pPr>
      <w:bookmarkStart w:id="7" w:name="_Hlk133421428"/>
      <w:r w:rsidRPr="00E60ECF">
        <w:rPr>
          <w:rFonts w:cs="Calibri" w:hint="eastAsia"/>
          <w:lang w:eastAsia="zh-CN"/>
        </w:rPr>
        <w:lastRenderedPageBreak/>
        <w:t>背景</w:t>
      </w:r>
      <w:r w:rsidR="00476588" w:rsidRPr="00E60ECF">
        <w:rPr>
          <w:rFonts w:cs="Calibri" w:hint="eastAsia"/>
          <w:lang w:eastAsia="zh-CN"/>
        </w:rPr>
        <w:t>和</w:t>
      </w:r>
      <w:r w:rsidRPr="00E60ECF">
        <w:rPr>
          <w:rFonts w:cs="Calibri" w:hint="eastAsia"/>
          <w:lang w:eastAsia="zh-CN"/>
        </w:rPr>
        <w:t>情况</w:t>
      </w:r>
    </w:p>
    <w:p w14:paraId="6108D87B" w14:textId="6149A000" w:rsidR="004109A5" w:rsidRPr="00E60ECF" w:rsidRDefault="00594451" w:rsidP="00E60ECF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rFonts w:cs="Calibri"/>
          <w:lang w:eastAsia="zh-CN"/>
        </w:rPr>
      </w:pPr>
      <w:r w:rsidRPr="00E60ECF">
        <w:rPr>
          <w:rFonts w:cs="Calibri" w:hint="eastAsia"/>
          <w:lang w:eastAsia="zh-CN"/>
        </w:rPr>
        <w:t>理事会在</w:t>
      </w:r>
      <w:r w:rsidR="00D64CDC" w:rsidRPr="00E60ECF">
        <w:rPr>
          <w:rFonts w:cs="Calibri"/>
          <w:lang w:eastAsia="zh-CN"/>
        </w:rPr>
        <w:t>2025</w:t>
      </w:r>
      <w:r w:rsidRPr="00E60ECF">
        <w:rPr>
          <w:rFonts w:cs="Calibri" w:hint="eastAsia"/>
          <w:lang w:eastAsia="zh-CN"/>
        </w:rPr>
        <w:t>年</w:t>
      </w:r>
      <w:r w:rsidRPr="00E60ECF">
        <w:rPr>
          <w:rFonts w:cs="Calibri" w:hint="eastAsia"/>
          <w:lang w:eastAsia="zh-CN"/>
        </w:rPr>
        <w:t>6</w:t>
      </w:r>
      <w:r w:rsidRPr="00E60ECF">
        <w:rPr>
          <w:rFonts w:cs="Calibri" w:hint="eastAsia"/>
          <w:lang w:eastAsia="zh-CN"/>
        </w:rPr>
        <w:t>月的会议上同意将会费单位的</w:t>
      </w:r>
      <w:r w:rsidR="00D64CDC" w:rsidRPr="00E60ECF">
        <w:rPr>
          <w:rFonts w:cs="Calibri" w:hint="eastAsia"/>
          <w:lang w:eastAsia="zh-CN"/>
        </w:rPr>
        <w:t>暂定金额</w:t>
      </w:r>
      <w:r w:rsidRPr="00E60ECF">
        <w:rPr>
          <w:rFonts w:cs="Calibri" w:hint="eastAsia"/>
          <w:lang w:eastAsia="zh-CN"/>
        </w:rPr>
        <w:t>维持在</w:t>
      </w:r>
      <w:r w:rsidR="00D64CDC" w:rsidRPr="00E60ECF">
        <w:rPr>
          <w:rFonts w:cs="Calibri"/>
          <w:lang w:eastAsia="zh-CN"/>
        </w:rPr>
        <w:t>318</w:t>
      </w:r>
      <w:r w:rsidR="00E60ECF">
        <w:rPr>
          <w:rFonts w:cs="Calibri"/>
          <w:lang w:eastAsia="zh-CN"/>
        </w:rPr>
        <w:t xml:space="preserve"> </w:t>
      </w:r>
      <w:r w:rsidR="00D64CDC" w:rsidRPr="00E60ECF">
        <w:rPr>
          <w:rFonts w:cs="Calibri"/>
          <w:lang w:eastAsia="zh-CN"/>
        </w:rPr>
        <w:t>000</w:t>
      </w:r>
      <w:r w:rsidRPr="00E60ECF">
        <w:rPr>
          <w:rFonts w:cs="Calibri" w:hint="eastAsia"/>
          <w:lang w:eastAsia="zh-CN"/>
        </w:rPr>
        <w:t>瑞郎的水平</w:t>
      </w:r>
      <w:r w:rsidR="00D64CDC" w:rsidRPr="00E60ECF">
        <w:rPr>
          <w:rFonts w:cs="Calibri" w:hint="eastAsia"/>
          <w:lang w:eastAsia="zh-CN"/>
        </w:rPr>
        <w:t>。</w:t>
      </w:r>
      <w:r w:rsidRPr="00E60ECF">
        <w:rPr>
          <w:rFonts w:cs="Calibri" w:hint="eastAsia"/>
          <w:lang w:eastAsia="zh-CN"/>
        </w:rPr>
        <w:t>此外</w:t>
      </w:r>
      <w:r w:rsidR="00D64CDC" w:rsidRPr="00E60ECF">
        <w:rPr>
          <w:rFonts w:cs="Calibri" w:hint="eastAsia"/>
          <w:lang w:eastAsia="zh-CN"/>
        </w:rPr>
        <w:t>，理事会将</w:t>
      </w:r>
      <w:r w:rsidRPr="00E60ECF">
        <w:rPr>
          <w:rFonts w:cs="Calibri" w:hint="eastAsia"/>
          <w:lang w:eastAsia="zh-CN"/>
        </w:rPr>
        <w:t>秘书处关于</w:t>
      </w:r>
      <w:r w:rsidR="00682E97" w:rsidRPr="00E60ECF">
        <w:rPr>
          <w:rFonts w:cs="Calibri" w:hint="eastAsia"/>
          <w:lang w:eastAsia="zh-CN"/>
        </w:rPr>
        <w:t>长期</w:t>
      </w:r>
      <w:r w:rsidR="00BF3F8B" w:rsidRPr="00E60ECF">
        <w:rPr>
          <w:rFonts w:cs="Calibri" w:hint="eastAsia"/>
          <w:lang w:eastAsia="zh-CN"/>
        </w:rPr>
        <w:t>保持不变</w:t>
      </w:r>
      <w:r w:rsidRPr="00E60ECF">
        <w:rPr>
          <w:rFonts w:cs="Calibri" w:hint="eastAsia"/>
          <w:lang w:eastAsia="zh-CN"/>
        </w:rPr>
        <w:t>的会费单位</w:t>
      </w:r>
      <w:r w:rsidR="00DA722E" w:rsidRPr="00E60ECF">
        <w:rPr>
          <w:rFonts w:cs="Calibri" w:hint="eastAsia"/>
          <w:lang w:eastAsia="zh-CN"/>
        </w:rPr>
        <w:t>金额</w:t>
      </w:r>
      <w:r w:rsidRPr="00E60ECF">
        <w:rPr>
          <w:rFonts w:cs="Calibri" w:hint="eastAsia"/>
          <w:lang w:eastAsia="zh-CN"/>
        </w:rPr>
        <w:t>的报告</w:t>
      </w:r>
      <w:r w:rsidR="00DA722E" w:rsidRPr="00E60ECF">
        <w:rPr>
          <w:rFonts w:cs="Calibri" w:hint="eastAsia"/>
          <w:lang w:eastAsia="zh-CN"/>
        </w:rPr>
        <w:t>记录在案</w:t>
      </w:r>
      <w:r w:rsidR="00682E97" w:rsidRPr="00E60ECF">
        <w:rPr>
          <w:rFonts w:cs="Calibri" w:hint="eastAsia"/>
          <w:lang w:eastAsia="zh-CN"/>
        </w:rPr>
        <w:t>，该金额自</w:t>
      </w:r>
      <w:r w:rsidR="00682E97" w:rsidRPr="00E60ECF">
        <w:rPr>
          <w:rFonts w:cs="Calibri"/>
          <w:lang w:eastAsia="zh-CN"/>
        </w:rPr>
        <w:t>2006</w:t>
      </w:r>
      <w:r w:rsidR="00682E97" w:rsidRPr="00E60ECF">
        <w:rPr>
          <w:rFonts w:cs="Calibri" w:hint="eastAsia"/>
          <w:lang w:eastAsia="zh-CN"/>
        </w:rPr>
        <w:t>年以来一直未做调整</w:t>
      </w:r>
      <w:r w:rsidR="00DA722E" w:rsidRPr="00E60ECF">
        <w:rPr>
          <w:rFonts w:cs="Calibri" w:hint="eastAsia"/>
          <w:lang w:eastAsia="zh-CN"/>
        </w:rPr>
        <w:t>。</w:t>
      </w:r>
      <w:r w:rsidRPr="00E60ECF">
        <w:rPr>
          <w:rFonts w:cs="Calibri" w:hint="eastAsia"/>
          <w:lang w:eastAsia="zh-CN"/>
        </w:rPr>
        <w:t>理事会</w:t>
      </w:r>
      <w:r w:rsidR="00476588" w:rsidRPr="00E60ECF">
        <w:rPr>
          <w:rFonts w:cs="Calibri" w:hint="eastAsia"/>
          <w:lang w:eastAsia="zh-CN"/>
        </w:rPr>
        <w:t>要求</w:t>
      </w:r>
      <w:r w:rsidRPr="00E60ECF">
        <w:rPr>
          <w:rFonts w:cs="Calibri" w:hint="eastAsia"/>
          <w:lang w:eastAsia="zh-CN"/>
        </w:rPr>
        <w:t>秘书处</w:t>
      </w:r>
      <w:r w:rsidR="00682E97" w:rsidRPr="00E60ECF">
        <w:rPr>
          <w:rFonts w:cs="Calibri" w:hint="eastAsia"/>
          <w:lang w:eastAsia="zh-CN"/>
        </w:rPr>
        <w:t>在考虑到通货膨胀、绩效提升以及新任务授权所涉成本的基础上，就</w:t>
      </w:r>
      <w:r w:rsidRPr="00E60ECF">
        <w:rPr>
          <w:rFonts w:cs="Calibri" w:hint="eastAsia"/>
          <w:lang w:eastAsia="zh-CN"/>
        </w:rPr>
        <w:t>未来的审查</w:t>
      </w:r>
      <w:r w:rsidR="00476588" w:rsidRPr="00E60ECF">
        <w:rPr>
          <w:rFonts w:cs="Calibri" w:hint="eastAsia"/>
          <w:lang w:eastAsia="zh-CN"/>
        </w:rPr>
        <w:t>工作</w:t>
      </w:r>
      <w:r w:rsidRPr="00E60ECF">
        <w:rPr>
          <w:rFonts w:cs="Calibri" w:hint="eastAsia"/>
          <w:lang w:eastAsia="zh-CN"/>
        </w:rPr>
        <w:t>提</w:t>
      </w:r>
      <w:r w:rsidR="00682E97" w:rsidRPr="00E60ECF">
        <w:rPr>
          <w:rFonts w:cs="Calibri" w:hint="eastAsia"/>
          <w:lang w:eastAsia="zh-CN"/>
        </w:rPr>
        <w:t>出</w:t>
      </w:r>
      <w:r w:rsidRPr="00E60ECF">
        <w:rPr>
          <w:rFonts w:cs="Calibri" w:hint="eastAsia"/>
          <w:lang w:eastAsia="zh-CN"/>
        </w:rPr>
        <w:t>可能的</w:t>
      </w:r>
      <w:r w:rsidR="00682E97" w:rsidRPr="00E60ECF">
        <w:rPr>
          <w:rFonts w:cs="Calibri" w:hint="eastAsia"/>
          <w:lang w:eastAsia="zh-CN"/>
        </w:rPr>
        <w:t>方案。</w:t>
      </w:r>
    </w:p>
    <w:p w14:paraId="2B65CE03" w14:textId="13DF39E7" w:rsidR="004109A5" w:rsidRPr="00E60ECF" w:rsidRDefault="00DA722E" w:rsidP="00E60ECF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rFonts w:cs="Calibri"/>
          <w:lang w:eastAsia="zh-CN"/>
        </w:rPr>
      </w:pPr>
      <w:r w:rsidRPr="00E60ECF">
        <w:rPr>
          <w:rFonts w:cs="Calibri" w:hint="eastAsia"/>
          <w:lang w:eastAsia="zh-CN"/>
        </w:rPr>
        <w:t>为此，</w:t>
      </w:r>
      <w:r w:rsidR="00594451" w:rsidRPr="00E60ECF">
        <w:rPr>
          <w:rFonts w:cs="Calibri" w:hint="eastAsia"/>
          <w:lang w:eastAsia="zh-CN"/>
        </w:rPr>
        <w:t>秘书处制定了</w:t>
      </w:r>
      <w:r w:rsidR="00BC2E3B" w:rsidRPr="00E60ECF">
        <w:rPr>
          <w:rFonts w:cs="Calibri" w:hint="eastAsia"/>
          <w:lang w:eastAsia="zh-CN"/>
        </w:rPr>
        <w:t>指示性</w:t>
      </w:r>
      <w:r w:rsidR="00682E97" w:rsidRPr="00E60ECF">
        <w:rPr>
          <w:rFonts w:cs="Calibri" w:hint="eastAsia"/>
          <w:lang w:eastAsia="zh-CN"/>
        </w:rPr>
        <w:t>方案</w:t>
      </w:r>
      <w:r w:rsidRPr="00E60ECF">
        <w:rPr>
          <w:rFonts w:cs="Calibri" w:hint="eastAsia"/>
          <w:lang w:eastAsia="zh-CN"/>
        </w:rPr>
        <w:t>，</w:t>
      </w:r>
      <w:r w:rsidR="00594451" w:rsidRPr="00E60ECF">
        <w:rPr>
          <w:rFonts w:cs="Calibri" w:hint="eastAsia"/>
          <w:lang w:eastAsia="zh-CN"/>
        </w:rPr>
        <w:t>并在理事会财务和人力资源工作组</w:t>
      </w:r>
      <w:r w:rsidRPr="00E60ECF">
        <w:rPr>
          <w:rFonts w:cs="Calibri" w:hint="eastAsia"/>
          <w:lang w:eastAsia="zh-CN"/>
        </w:rPr>
        <w:t>（</w:t>
      </w:r>
      <w:r w:rsidRPr="00E60ECF">
        <w:rPr>
          <w:rFonts w:cs="Calibri"/>
          <w:lang w:eastAsia="zh-CN"/>
        </w:rPr>
        <w:t>CWG-FHR</w:t>
      </w:r>
      <w:r w:rsidRPr="00E60ECF">
        <w:rPr>
          <w:rFonts w:cs="Calibri" w:hint="eastAsia"/>
          <w:lang w:eastAsia="zh-CN"/>
        </w:rPr>
        <w:t>）</w:t>
      </w:r>
      <w:r w:rsidR="00682E97" w:rsidRPr="00E60ECF">
        <w:rPr>
          <w:rFonts w:cs="Calibri" w:hint="eastAsia"/>
          <w:lang w:eastAsia="zh-CN"/>
        </w:rPr>
        <w:t>的</w:t>
      </w:r>
      <w:r w:rsidR="00594451" w:rsidRPr="00E60ECF">
        <w:rPr>
          <w:rFonts w:cs="Calibri" w:hint="eastAsia"/>
          <w:lang w:eastAsia="zh-CN"/>
        </w:rPr>
        <w:t>讨论后</w:t>
      </w:r>
      <w:r w:rsidRPr="00E60ECF">
        <w:rPr>
          <w:rFonts w:cs="Calibri" w:hint="eastAsia"/>
          <w:lang w:eastAsia="zh-CN"/>
        </w:rPr>
        <w:t>（包括</w:t>
      </w:r>
      <w:r w:rsidRPr="00E60ECF">
        <w:rPr>
          <w:rFonts w:cs="Calibri"/>
          <w:lang w:eastAsia="zh-CN"/>
        </w:rPr>
        <w:t>2026</w:t>
      </w:r>
      <w:r w:rsidRPr="00E60ECF">
        <w:rPr>
          <w:rFonts w:cs="Calibri" w:hint="eastAsia"/>
          <w:lang w:eastAsia="zh-CN"/>
        </w:rPr>
        <w:t>年</w:t>
      </w:r>
      <w:r w:rsidRPr="00E60ECF">
        <w:rPr>
          <w:rFonts w:cs="Calibri" w:hint="eastAsia"/>
          <w:lang w:eastAsia="zh-CN"/>
        </w:rPr>
        <w:t>1</w:t>
      </w:r>
      <w:r w:rsidRPr="00E60ECF">
        <w:rPr>
          <w:rFonts w:cs="Calibri" w:hint="eastAsia"/>
          <w:lang w:eastAsia="zh-CN"/>
        </w:rPr>
        <w:t>月</w:t>
      </w:r>
      <w:r w:rsidR="00BC2E3B" w:rsidRPr="00E60ECF">
        <w:rPr>
          <w:rFonts w:cs="Calibri" w:hint="eastAsia"/>
          <w:lang w:eastAsia="zh-CN"/>
        </w:rPr>
        <w:t>进行的讨论</w:t>
      </w:r>
      <w:r w:rsidRPr="00E60ECF">
        <w:rPr>
          <w:rFonts w:cs="Calibri" w:hint="eastAsia"/>
          <w:lang w:eastAsia="zh-CN"/>
        </w:rPr>
        <w:t>）</w:t>
      </w:r>
      <w:r w:rsidR="00594451" w:rsidRPr="00E60ECF">
        <w:rPr>
          <w:rFonts w:cs="Calibri" w:hint="eastAsia"/>
          <w:lang w:eastAsia="zh-CN"/>
        </w:rPr>
        <w:t>进一步完善了这些</w:t>
      </w:r>
      <w:r w:rsidR="00BC2E3B" w:rsidRPr="00E60ECF">
        <w:rPr>
          <w:rFonts w:cs="Calibri" w:hint="eastAsia"/>
          <w:lang w:eastAsia="zh-CN"/>
        </w:rPr>
        <w:t>方案</w:t>
      </w:r>
      <w:r w:rsidRPr="00E60ECF">
        <w:rPr>
          <w:rFonts w:cs="Calibri" w:hint="eastAsia"/>
          <w:lang w:eastAsia="zh-CN"/>
        </w:rPr>
        <w:t>。</w:t>
      </w:r>
      <w:r w:rsidR="00594451" w:rsidRPr="00E60ECF">
        <w:rPr>
          <w:rFonts w:cs="Calibri" w:hint="eastAsia"/>
          <w:lang w:eastAsia="zh-CN"/>
        </w:rPr>
        <w:t>秘书处建议继续完善方法</w:t>
      </w:r>
      <w:r w:rsidR="00BC2E3B" w:rsidRPr="00E60ECF">
        <w:rPr>
          <w:rFonts w:cs="Calibri" w:hint="eastAsia"/>
          <w:lang w:eastAsia="zh-CN"/>
        </w:rPr>
        <w:t>，</w:t>
      </w:r>
      <w:r w:rsidR="00594451" w:rsidRPr="00E60ECF">
        <w:rPr>
          <w:rFonts w:cs="Calibri" w:hint="eastAsia"/>
          <w:lang w:eastAsia="zh-CN"/>
        </w:rPr>
        <w:t>以确保在</w:t>
      </w:r>
      <w:r w:rsidRPr="00E60ECF">
        <w:rPr>
          <w:rFonts w:cs="Calibri"/>
          <w:lang w:eastAsia="zh-CN"/>
        </w:rPr>
        <w:t>PP-30</w:t>
      </w:r>
      <w:r w:rsidR="00BC2E3B" w:rsidRPr="00E60ECF">
        <w:rPr>
          <w:rFonts w:cs="Calibri" w:hint="eastAsia"/>
          <w:lang w:eastAsia="zh-CN"/>
        </w:rPr>
        <w:t>及后续</w:t>
      </w:r>
      <w:r w:rsidR="00594451" w:rsidRPr="00E60ECF">
        <w:rPr>
          <w:rFonts w:cs="Calibri" w:hint="eastAsia"/>
          <w:lang w:eastAsia="zh-CN"/>
        </w:rPr>
        <w:t>全权代表大会</w:t>
      </w:r>
      <w:r w:rsidR="00BC2E3B" w:rsidRPr="00E60ECF">
        <w:rPr>
          <w:rFonts w:cs="Calibri" w:hint="eastAsia"/>
          <w:lang w:eastAsia="zh-CN"/>
        </w:rPr>
        <w:t>召开</w:t>
      </w:r>
      <w:r w:rsidR="00594451" w:rsidRPr="00E60ECF">
        <w:rPr>
          <w:rFonts w:cs="Calibri" w:hint="eastAsia"/>
          <w:lang w:eastAsia="zh-CN"/>
        </w:rPr>
        <w:t>之前</w:t>
      </w:r>
      <w:r w:rsidRPr="00E60ECF">
        <w:rPr>
          <w:rFonts w:cs="Calibri" w:hint="eastAsia"/>
          <w:lang w:eastAsia="zh-CN"/>
        </w:rPr>
        <w:t>，</w:t>
      </w:r>
      <w:r w:rsidR="00594451" w:rsidRPr="00E60ECF">
        <w:rPr>
          <w:rFonts w:cs="Calibri" w:hint="eastAsia"/>
          <w:lang w:eastAsia="zh-CN"/>
        </w:rPr>
        <w:t>如需进行调整</w:t>
      </w:r>
      <w:r w:rsidR="00BC2E3B" w:rsidRPr="00E60ECF">
        <w:rPr>
          <w:rFonts w:cs="Calibri" w:hint="eastAsia"/>
          <w:lang w:eastAsia="zh-CN"/>
        </w:rPr>
        <w:t>时</w:t>
      </w:r>
      <w:r w:rsidRPr="00E60ECF">
        <w:rPr>
          <w:rFonts w:cs="Calibri" w:hint="eastAsia"/>
          <w:lang w:eastAsia="zh-CN"/>
        </w:rPr>
        <w:t>，</w:t>
      </w:r>
      <w:r w:rsidR="00BC2E3B" w:rsidRPr="00E60ECF">
        <w:rPr>
          <w:rFonts w:cs="Calibri" w:hint="eastAsia"/>
          <w:lang w:eastAsia="zh-CN"/>
        </w:rPr>
        <w:t>能够提供</w:t>
      </w:r>
      <w:r w:rsidR="00594451" w:rsidRPr="00E60ECF">
        <w:rPr>
          <w:rFonts w:cs="Calibri" w:hint="eastAsia"/>
          <w:lang w:eastAsia="zh-CN"/>
        </w:rPr>
        <w:t>一个结构化</w:t>
      </w:r>
      <w:r w:rsidR="00BC2E3B" w:rsidRPr="00E60ECF">
        <w:rPr>
          <w:rFonts w:cs="Calibri" w:hint="eastAsia"/>
          <w:lang w:eastAsia="zh-CN"/>
        </w:rPr>
        <w:t>且</w:t>
      </w:r>
      <w:r w:rsidR="00594451" w:rsidRPr="00E60ECF">
        <w:rPr>
          <w:rFonts w:cs="Calibri" w:hint="eastAsia"/>
          <w:lang w:eastAsia="zh-CN"/>
        </w:rPr>
        <w:t>透明的框架</w:t>
      </w:r>
      <w:r w:rsidRPr="00E60ECF">
        <w:rPr>
          <w:rFonts w:cs="Calibri" w:hint="eastAsia"/>
          <w:lang w:eastAsia="zh-CN"/>
        </w:rPr>
        <w:t>。</w:t>
      </w:r>
      <w:r w:rsidR="00594451" w:rsidRPr="00E60ECF">
        <w:rPr>
          <w:rFonts w:cs="Calibri" w:hint="eastAsia"/>
          <w:lang w:eastAsia="zh-CN"/>
        </w:rPr>
        <w:t>具体标准</w:t>
      </w:r>
      <w:r w:rsidR="00BC2E3B" w:rsidRPr="00E60ECF">
        <w:rPr>
          <w:rFonts w:cs="Calibri" w:hint="eastAsia"/>
          <w:lang w:eastAsia="zh-CN"/>
        </w:rPr>
        <w:t>如</w:t>
      </w:r>
      <w:hyperlink r:id="rId10" w:history="1">
        <w:r w:rsidRPr="00E60ECF">
          <w:rPr>
            <w:rStyle w:val="Hyperlink"/>
            <w:rFonts w:eastAsia="SimSun" w:cs="Calibri"/>
            <w:noProof w:val="0"/>
            <w:u w:val="single"/>
            <w:lang w:eastAsia="zh-CN"/>
          </w:rPr>
          <w:t>C25/54</w:t>
        </w:r>
      </w:hyperlink>
      <w:r w:rsidR="00594451" w:rsidRPr="00E60ECF">
        <w:rPr>
          <w:rFonts w:cs="Calibri" w:hint="eastAsia"/>
          <w:lang w:eastAsia="zh-CN"/>
        </w:rPr>
        <w:t>号文件</w:t>
      </w:r>
      <w:r w:rsidR="00BC2E3B" w:rsidRPr="00E60ECF">
        <w:rPr>
          <w:rFonts w:cs="Calibri" w:hint="eastAsia"/>
          <w:lang w:eastAsia="zh-CN"/>
        </w:rPr>
        <w:t>所述</w:t>
      </w:r>
      <w:r w:rsidRPr="00E60ECF">
        <w:rPr>
          <w:rFonts w:cs="Calibri" w:hint="eastAsia"/>
          <w:lang w:eastAsia="zh-CN"/>
        </w:rPr>
        <w:t>，</w:t>
      </w:r>
      <w:r w:rsidR="00BC2E3B" w:rsidRPr="00E60ECF">
        <w:rPr>
          <w:rFonts w:cs="Calibri" w:hint="eastAsia"/>
          <w:lang w:eastAsia="zh-CN"/>
        </w:rPr>
        <w:t>内容</w:t>
      </w:r>
      <w:r w:rsidR="00594451" w:rsidRPr="00E60ECF">
        <w:rPr>
          <w:rFonts w:cs="Calibri" w:hint="eastAsia"/>
          <w:lang w:eastAsia="zh-CN"/>
        </w:rPr>
        <w:t>如下</w:t>
      </w:r>
      <w:r w:rsidRPr="00E60ECF">
        <w:rPr>
          <w:rFonts w:cs="Calibri" w:hint="eastAsia"/>
          <w:lang w:eastAsia="zh-CN"/>
        </w:rPr>
        <w:t>：</w:t>
      </w:r>
    </w:p>
    <w:p w14:paraId="7B9D0F12" w14:textId="1BD32F03" w:rsidR="004109A5" w:rsidRPr="00E60ECF" w:rsidRDefault="004109A5" w:rsidP="004109A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cs="Calibri"/>
          <w:lang w:eastAsia="zh-CN"/>
        </w:rPr>
      </w:pPr>
      <w:r w:rsidRPr="00E60ECF">
        <w:rPr>
          <w:rFonts w:cs="Calibri"/>
          <w:lang w:eastAsia="zh-CN"/>
        </w:rPr>
        <w:t>1</w:t>
      </w:r>
      <w:r w:rsidRPr="00E60ECF">
        <w:rPr>
          <w:rFonts w:cs="Calibri"/>
          <w:lang w:eastAsia="zh-CN"/>
        </w:rPr>
        <w:tab/>
      </w:r>
      <w:r w:rsidR="00DA722E" w:rsidRPr="00E60ECF">
        <w:rPr>
          <w:rFonts w:cs="Calibri" w:hint="eastAsia"/>
          <w:b/>
          <w:bCs/>
          <w:lang w:eastAsia="zh-CN"/>
        </w:rPr>
        <w:t>调整会费单位以反映通货膨胀</w:t>
      </w:r>
      <w:r w:rsidR="00E60ECF">
        <w:rPr>
          <w:rFonts w:cs="Calibri"/>
          <w:lang w:eastAsia="zh-CN"/>
        </w:rPr>
        <w:t xml:space="preserve"> </w:t>
      </w:r>
      <w:r w:rsidR="00E60ECF" w:rsidRPr="00E60ECF">
        <w:rPr>
          <w:rFonts w:cs="Calibri"/>
          <w:lang w:eastAsia="zh-CN"/>
        </w:rPr>
        <w:t>–</w:t>
      </w:r>
      <w:r w:rsidR="00E60ECF">
        <w:rPr>
          <w:rFonts w:cs="Calibri"/>
          <w:lang w:eastAsia="zh-CN"/>
        </w:rPr>
        <w:t xml:space="preserve"> </w:t>
      </w:r>
      <w:r w:rsidR="00962E9E" w:rsidRPr="00E60ECF">
        <w:rPr>
          <w:rFonts w:cs="Calibri" w:hint="eastAsia"/>
          <w:lang w:eastAsia="zh-CN"/>
        </w:rPr>
        <w:t>此</w:t>
      </w:r>
      <w:r w:rsidR="00E53A5A" w:rsidRPr="00E60ECF">
        <w:rPr>
          <w:rFonts w:cs="Calibri" w:hint="eastAsia"/>
          <w:lang w:eastAsia="zh-CN"/>
        </w:rPr>
        <w:t>项将</w:t>
      </w:r>
      <w:r w:rsidR="00594451" w:rsidRPr="00E60ECF">
        <w:rPr>
          <w:rFonts w:cs="Calibri" w:hint="eastAsia"/>
          <w:lang w:eastAsia="zh-CN"/>
        </w:rPr>
        <w:t>评估会费单位</w:t>
      </w:r>
      <w:r w:rsidR="00BC2E3B" w:rsidRPr="00E60ECF">
        <w:rPr>
          <w:rFonts w:cs="Calibri" w:hint="eastAsia"/>
          <w:lang w:eastAsia="zh-CN"/>
        </w:rPr>
        <w:t>水平</w:t>
      </w:r>
      <w:r w:rsidR="00DA722E" w:rsidRPr="00E60ECF">
        <w:rPr>
          <w:rFonts w:cs="Calibri" w:hint="eastAsia"/>
          <w:lang w:eastAsia="zh-CN"/>
        </w:rPr>
        <w:t>，</w:t>
      </w:r>
      <w:r w:rsidR="00594451" w:rsidRPr="00E60ECF">
        <w:rPr>
          <w:rFonts w:cs="Calibri" w:hint="eastAsia"/>
          <w:lang w:eastAsia="zh-CN"/>
        </w:rPr>
        <w:t>以</w:t>
      </w:r>
      <w:r w:rsidR="00962E9E" w:rsidRPr="00E60ECF">
        <w:rPr>
          <w:rFonts w:cs="Calibri" w:hint="eastAsia"/>
          <w:lang w:eastAsia="zh-CN"/>
        </w:rPr>
        <w:t>反映</w:t>
      </w:r>
      <w:r w:rsidR="00594451" w:rsidRPr="00E60ECF">
        <w:rPr>
          <w:rFonts w:cs="Calibri" w:hint="eastAsia"/>
          <w:lang w:eastAsia="zh-CN"/>
        </w:rPr>
        <w:t>在年度</w:t>
      </w:r>
      <w:r w:rsidR="00986943" w:rsidRPr="00E60ECF">
        <w:rPr>
          <w:rFonts w:cs="Calibri" w:hint="eastAsia"/>
          <w:lang w:eastAsia="zh-CN"/>
        </w:rPr>
        <w:t>通货膨胀</w:t>
      </w:r>
      <w:r w:rsidR="00E53A5A" w:rsidRPr="00E60ECF">
        <w:rPr>
          <w:rFonts w:cs="Calibri" w:hint="eastAsia"/>
          <w:lang w:eastAsia="zh-CN"/>
        </w:rPr>
        <w:t>的</w:t>
      </w:r>
      <w:r w:rsidR="00594451" w:rsidRPr="00E60ECF">
        <w:rPr>
          <w:rFonts w:cs="Calibri" w:hint="eastAsia"/>
          <w:lang w:eastAsia="zh-CN"/>
        </w:rPr>
        <w:t>环境</w:t>
      </w:r>
      <w:r w:rsidR="00E53A5A" w:rsidRPr="00E60ECF">
        <w:rPr>
          <w:rFonts w:cs="Calibri" w:hint="eastAsia"/>
          <w:lang w:eastAsia="zh-CN"/>
        </w:rPr>
        <w:t>下</w:t>
      </w:r>
      <w:r w:rsidR="00962E9E" w:rsidRPr="00E60ECF">
        <w:rPr>
          <w:rFonts w:cs="Calibri" w:hint="eastAsia"/>
          <w:lang w:eastAsia="zh-CN"/>
        </w:rPr>
        <w:t>，</w:t>
      </w:r>
      <w:r w:rsidR="00E53A5A" w:rsidRPr="00E60ECF">
        <w:rPr>
          <w:rFonts w:cs="Calibri" w:hint="eastAsia"/>
          <w:lang w:eastAsia="zh-CN"/>
        </w:rPr>
        <w:t>因</w:t>
      </w:r>
      <w:r w:rsidR="00594451" w:rsidRPr="00E60ECF">
        <w:rPr>
          <w:rFonts w:cs="Calibri" w:hint="eastAsia"/>
          <w:lang w:eastAsia="zh-CN"/>
        </w:rPr>
        <w:t>会费单位</w:t>
      </w:r>
      <w:r w:rsidR="00E53A5A" w:rsidRPr="00E60ECF">
        <w:rPr>
          <w:rFonts w:cs="Calibri" w:hint="eastAsia"/>
          <w:lang w:eastAsia="zh-CN"/>
        </w:rPr>
        <w:t>保持不变而</w:t>
      </w:r>
      <w:r w:rsidR="00594451" w:rsidRPr="00E60ECF">
        <w:rPr>
          <w:rFonts w:cs="Calibri" w:hint="eastAsia"/>
          <w:lang w:eastAsia="zh-CN"/>
        </w:rPr>
        <w:t>导致的购买力</w:t>
      </w:r>
      <w:r w:rsidR="00962E9E" w:rsidRPr="00E60ECF">
        <w:rPr>
          <w:rFonts w:cs="Calibri" w:hint="eastAsia"/>
          <w:lang w:eastAsia="zh-CN"/>
        </w:rPr>
        <w:t>累计损失。</w:t>
      </w:r>
      <w:r w:rsidR="00E53A5A" w:rsidRPr="00E60ECF">
        <w:rPr>
          <w:rFonts w:cs="Calibri" w:hint="eastAsia"/>
          <w:lang w:eastAsia="zh-CN"/>
        </w:rPr>
        <w:t>该措施</w:t>
      </w:r>
      <w:r w:rsidR="00594451" w:rsidRPr="00E60ECF">
        <w:rPr>
          <w:rFonts w:cs="Calibri" w:hint="eastAsia"/>
          <w:lang w:eastAsia="zh-CN"/>
        </w:rPr>
        <w:t>提供</w:t>
      </w:r>
      <w:r w:rsidR="00E53A5A" w:rsidRPr="00E60ECF">
        <w:rPr>
          <w:rFonts w:cs="Calibri" w:hint="eastAsia"/>
          <w:lang w:eastAsia="zh-CN"/>
        </w:rPr>
        <w:t>了</w:t>
      </w:r>
      <w:r w:rsidR="00594451" w:rsidRPr="00E60ECF">
        <w:rPr>
          <w:rFonts w:cs="Calibri" w:hint="eastAsia"/>
          <w:lang w:eastAsia="zh-CN"/>
        </w:rPr>
        <w:t>一</w:t>
      </w:r>
      <w:r w:rsidR="00962E9E" w:rsidRPr="00E60ECF">
        <w:rPr>
          <w:rFonts w:cs="Calibri" w:hint="eastAsia"/>
          <w:lang w:eastAsia="zh-CN"/>
        </w:rPr>
        <w:t>套</w:t>
      </w:r>
      <w:r w:rsidR="00594451" w:rsidRPr="00E60ECF">
        <w:rPr>
          <w:rFonts w:cs="Calibri" w:hint="eastAsia"/>
          <w:lang w:eastAsia="zh-CN"/>
        </w:rPr>
        <w:t>中立</w:t>
      </w:r>
      <w:r w:rsidR="00962E9E" w:rsidRPr="00E60ECF">
        <w:rPr>
          <w:rFonts w:cs="Calibri" w:hint="eastAsia"/>
          <w:lang w:eastAsia="zh-CN"/>
        </w:rPr>
        <w:t>、</w:t>
      </w:r>
      <w:r w:rsidR="00594451" w:rsidRPr="00E60ECF">
        <w:rPr>
          <w:rFonts w:cs="Calibri" w:hint="eastAsia"/>
          <w:lang w:eastAsia="zh-CN"/>
        </w:rPr>
        <w:t>可预测</w:t>
      </w:r>
      <w:r w:rsidR="00962E9E" w:rsidRPr="00E60ECF">
        <w:rPr>
          <w:rFonts w:cs="Calibri" w:hint="eastAsia"/>
          <w:lang w:eastAsia="zh-CN"/>
        </w:rPr>
        <w:t>且</w:t>
      </w:r>
      <w:r w:rsidR="00986943" w:rsidRPr="00E60ECF">
        <w:rPr>
          <w:rFonts w:cs="Calibri" w:hint="eastAsia"/>
          <w:lang w:eastAsia="zh-CN"/>
        </w:rPr>
        <w:t>与</w:t>
      </w:r>
      <w:r w:rsidR="00962E9E" w:rsidRPr="00E60ECF">
        <w:rPr>
          <w:rFonts w:cs="Calibri" w:hint="eastAsia"/>
          <w:lang w:eastAsia="zh-CN"/>
        </w:rPr>
        <w:t>瑞士</w:t>
      </w:r>
      <w:r w:rsidR="00986943" w:rsidRPr="00E60ECF">
        <w:rPr>
          <w:rFonts w:cs="Calibri" w:hint="eastAsia"/>
          <w:lang w:eastAsia="zh-CN"/>
        </w:rPr>
        <w:t>的</w:t>
      </w:r>
      <w:r w:rsidR="00BF3F8B" w:rsidRPr="00E60ECF">
        <w:rPr>
          <w:rFonts w:cs="Calibri" w:hint="eastAsia"/>
          <w:lang w:eastAsia="zh-CN"/>
        </w:rPr>
        <w:t>基础</w:t>
      </w:r>
      <w:r w:rsidR="00962E9E" w:rsidRPr="00E60ECF">
        <w:rPr>
          <w:rFonts w:cs="Calibri" w:hint="eastAsia"/>
          <w:lang w:eastAsia="zh-CN"/>
        </w:rPr>
        <w:t>成本变动</w:t>
      </w:r>
      <w:r w:rsidR="00986943" w:rsidRPr="00E60ECF">
        <w:rPr>
          <w:rFonts w:cs="Calibri" w:hint="eastAsia"/>
          <w:lang w:eastAsia="zh-CN"/>
        </w:rPr>
        <w:t>趋势</w:t>
      </w:r>
      <w:r w:rsidR="00E53A5A" w:rsidRPr="00E60ECF">
        <w:rPr>
          <w:rFonts w:cs="Calibri" w:hint="eastAsia"/>
          <w:lang w:eastAsia="zh-CN"/>
        </w:rPr>
        <w:t>保持一致</w:t>
      </w:r>
      <w:r w:rsidR="00962E9E" w:rsidRPr="00E60ECF">
        <w:rPr>
          <w:rFonts w:cs="Calibri" w:hint="eastAsia"/>
          <w:lang w:eastAsia="zh-CN"/>
        </w:rPr>
        <w:t>的</w:t>
      </w:r>
      <w:r w:rsidR="00594451" w:rsidRPr="00E60ECF">
        <w:rPr>
          <w:rFonts w:cs="Calibri" w:hint="eastAsia"/>
          <w:lang w:eastAsia="zh-CN"/>
        </w:rPr>
        <w:t>技术</w:t>
      </w:r>
      <w:r w:rsidR="00986943" w:rsidRPr="00E60ECF">
        <w:rPr>
          <w:rFonts w:cs="Calibri" w:hint="eastAsia"/>
          <w:lang w:eastAsia="zh-CN"/>
        </w:rPr>
        <w:t>性考量</w:t>
      </w:r>
      <w:r w:rsidR="00594451" w:rsidRPr="00E60ECF">
        <w:rPr>
          <w:rFonts w:cs="Calibri" w:hint="eastAsia"/>
          <w:lang w:eastAsia="zh-CN"/>
        </w:rPr>
        <w:t>标准</w:t>
      </w:r>
      <w:r w:rsidR="00962E9E" w:rsidRPr="00E60ECF">
        <w:rPr>
          <w:rFonts w:cs="Calibri" w:hint="eastAsia"/>
          <w:lang w:eastAsia="zh-CN"/>
        </w:rPr>
        <w:t>。</w:t>
      </w:r>
    </w:p>
    <w:p w14:paraId="53581867" w14:textId="69D5C4B4" w:rsidR="004109A5" w:rsidRPr="00E60ECF" w:rsidRDefault="004109A5" w:rsidP="004109A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cs="Calibri"/>
          <w:lang w:eastAsia="zh-CN"/>
        </w:rPr>
      </w:pPr>
      <w:r w:rsidRPr="00E60ECF">
        <w:rPr>
          <w:rFonts w:cs="Calibri"/>
          <w:lang w:eastAsia="zh-CN"/>
        </w:rPr>
        <w:t>2</w:t>
      </w:r>
      <w:r w:rsidRPr="00E60ECF">
        <w:rPr>
          <w:rFonts w:cs="Calibri"/>
          <w:lang w:eastAsia="zh-CN"/>
        </w:rPr>
        <w:tab/>
      </w:r>
      <w:r w:rsidR="00DB2988" w:rsidRPr="00E60ECF">
        <w:rPr>
          <w:rFonts w:cs="Calibri" w:hint="eastAsia"/>
          <w:b/>
          <w:bCs/>
          <w:lang w:eastAsia="zh-CN"/>
        </w:rPr>
        <w:t>将会费单位</w:t>
      </w:r>
      <w:r w:rsidR="00986943" w:rsidRPr="00E60ECF">
        <w:rPr>
          <w:rFonts w:cs="Calibri" w:hint="eastAsia"/>
          <w:b/>
          <w:bCs/>
          <w:lang w:eastAsia="zh-CN"/>
        </w:rPr>
        <w:t>金额</w:t>
      </w:r>
      <w:r w:rsidR="00DB2988" w:rsidRPr="00E60ECF">
        <w:rPr>
          <w:rFonts w:cs="Calibri" w:hint="eastAsia"/>
          <w:b/>
          <w:bCs/>
          <w:lang w:eastAsia="zh-CN"/>
        </w:rPr>
        <w:t>的</w:t>
      </w:r>
      <w:r w:rsidR="00986943" w:rsidRPr="00E60ECF">
        <w:rPr>
          <w:rFonts w:cs="Calibri" w:hint="eastAsia"/>
          <w:b/>
          <w:bCs/>
          <w:lang w:eastAsia="zh-CN"/>
        </w:rPr>
        <w:t>增加</w:t>
      </w:r>
      <w:r w:rsidR="00DB2988" w:rsidRPr="00E60ECF">
        <w:rPr>
          <w:rFonts w:cs="Calibri" w:hint="eastAsia"/>
          <w:b/>
          <w:bCs/>
          <w:lang w:eastAsia="zh-CN"/>
        </w:rPr>
        <w:t>与绩效</w:t>
      </w:r>
      <w:r w:rsidR="00986943" w:rsidRPr="00E60ECF">
        <w:rPr>
          <w:rFonts w:cs="Calibri" w:hint="eastAsia"/>
          <w:b/>
          <w:bCs/>
          <w:lang w:eastAsia="zh-CN"/>
        </w:rPr>
        <w:t>提升</w:t>
      </w:r>
      <w:r w:rsidR="00DB2988" w:rsidRPr="00E60ECF">
        <w:rPr>
          <w:rFonts w:cs="Calibri" w:hint="eastAsia"/>
          <w:b/>
          <w:bCs/>
          <w:lang w:eastAsia="zh-CN"/>
        </w:rPr>
        <w:t>挂钩</w:t>
      </w:r>
      <w:r w:rsidR="00E60ECF">
        <w:rPr>
          <w:rFonts w:cs="Calibri"/>
          <w:lang w:eastAsia="zh-CN"/>
        </w:rPr>
        <w:t xml:space="preserve"> </w:t>
      </w:r>
      <w:r w:rsidR="00E60ECF" w:rsidRPr="00E60ECF">
        <w:rPr>
          <w:rFonts w:cs="Calibri"/>
          <w:lang w:eastAsia="zh-CN"/>
        </w:rPr>
        <w:t>–</w:t>
      </w:r>
      <w:r w:rsidR="00E60ECF">
        <w:rPr>
          <w:rFonts w:cs="Calibri"/>
          <w:lang w:eastAsia="zh-CN"/>
        </w:rPr>
        <w:t xml:space="preserve"> </w:t>
      </w:r>
      <w:r w:rsidR="00986943" w:rsidRPr="00E60ECF">
        <w:rPr>
          <w:rFonts w:cs="Calibri" w:hint="eastAsia"/>
          <w:lang w:eastAsia="zh-CN"/>
        </w:rPr>
        <w:t>此项将</w:t>
      </w:r>
      <w:r w:rsidR="00594451" w:rsidRPr="00E60ECF">
        <w:rPr>
          <w:rFonts w:cs="Calibri" w:hint="eastAsia"/>
          <w:lang w:eastAsia="zh-CN"/>
        </w:rPr>
        <w:t>评估在效率</w:t>
      </w:r>
      <w:r w:rsidR="00DB2988" w:rsidRPr="00E60ECF">
        <w:rPr>
          <w:rFonts w:cs="Calibri" w:hint="eastAsia"/>
          <w:lang w:eastAsia="zh-CN"/>
        </w:rPr>
        <w:t>、</w:t>
      </w:r>
      <w:r w:rsidR="00594451" w:rsidRPr="00E60ECF">
        <w:rPr>
          <w:rFonts w:cs="Calibri" w:hint="eastAsia"/>
          <w:lang w:eastAsia="zh-CN"/>
        </w:rPr>
        <w:t>透明度和项目</w:t>
      </w:r>
      <w:r w:rsidR="00D773A8" w:rsidRPr="00E60ECF">
        <w:rPr>
          <w:rFonts w:cs="Calibri" w:hint="eastAsia"/>
          <w:lang w:eastAsia="zh-CN"/>
        </w:rPr>
        <w:t>交付</w:t>
      </w:r>
      <w:r w:rsidR="00594451" w:rsidRPr="00E60ECF">
        <w:rPr>
          <w:rFonts w:cs="Calibri" w:hint="eastAsia"/>
          <w:lang w:eastAsia="zh-CN"/>
        </w:rPr>
        <w:t>方面</w:t>
      </w:r>
      <w:r w:rsidR="00986943" w:rsidRPr="00E60ECF">
        <w:rPr>
          <w:rFonts w:cs="Calibri" w:hint="eastAsia"/>
          <w:lang w:eastAsia="zh-CN"/>
        </w:rPr>
        <w:t>所取得</w:t>
      </w:r>
      <w:r w:rsidR="00594451" w:rsidRPr="00E60ECF">
        <w:rPr>
          <w:rFonts w:cs="Calibri" w:hint="eastAsia"/>
          <w:lang w:eastAsia="zh-CN"/>
        </w:rPr>
        <w:t>的</w:t>
      </w:r>
      <w:r w:rsidR="008D40AB" w:rsidRPr="00E60ECF">
        <w:rPr>
          <w:rFonts w:cs="Calibri" w:hint="eastAsia"/>
          <w:lang w:eastAsia="zh-CN"/>
        </w:rPr>
        <w:t>显著</w:t>
      </w:r>
      <w:r w:rsidR="00594451" w:rsidRPr="00E60ECF">
        <w:rPr>
          <w:rFonts w:cs="Calibri" w:hint="eastAsia"/>
          <w:lang w:eastAsia="zh-CN"/>
        </w:rPr>
        <w:t>改进</w:t>
      </w:r>
      <w:r w:rsidR="00DB2988" w:rsidRPr="00E60ECF">
        <w:rPr>
          <w:rFonts w:cs="Calibri" w:hint="eastAsia"/>
          <w:lang w:eastAsia="zh-CN"/>
        </w:rPr>
        <w:t>，</w:t>
      </w:r>
      <w:r w:rsidR="00986943" w:rsidRPr="00E60ECF">
        <w:rPr>
          <w:rFonts w:cs="Calibri" w:hint="eastAsia"/>
          <w:lang w:eastAsia="zh-CN"/>
        </w:rPr>
        <w:t>从而</w:t>
      </w:r>
      <w:r w:rsidR="00594451" w:rsidRPr="00E60ECF">
        <w:rPr>
          <w:rFonts w:cs="Calibri" w:hint="eastAsia"/>
          <w:lang w:eastAsia="zh-CN"/>
        </w:rPr>
        <w:t>激励成员</w:t>
      </w:r>
      <w:r w:rsidR="00986943" w:rsidRPr="00E60ECF">
        <w:rPr>
          <w:rFonts w:cs="Calibri" w:hint="eastAsia"/>
          <w:lang w:eastAsia="zh-CN"/>
        </w:rPr>
        <w:t>投资于</w:t>
      </w:r>
      <w:r w:rsidR="00594451" w:rsidRPr="00E60ECF">
        <w:rPr>
          <w:rFonts w:cs="Calibri" w:hint="eastAsia"/>
          <w:lang w:eastAsia="zh-CN"/>
        </w:rPr>
        <w:t>国际电联的工作</w:t>
      </w:r>
      <w:r w:rsidR="00DB2988" w:rsidRPr="00E60ECF">
        <w:rPr>
          <w:rFonts w:cs="Calibri" w:hint="eastAsia"/>
          <w:lang w:eastAsia="zh-CN"/>
        </w:rPr>
        <w:t>。</w:t>
      </w:r>
      <w:r w:rsidR="00986943" w:rsidRPr="00E60ECF">
        <w:rPr>
          <w:rFonts w:cs="Calibri" w:hint="eastAsia"/>
          <w:lang w:eastAsia="zh-CN"/>
        </w:rPr>
        <w:t>此方案</w:t>
      </w:r>
      <w:r w:rsidR="00594451" w:rsidRPr="00E60ECF">
        <w:rPr>
          <w:rFonts w:cs="Calibri" w:hint="eastAsia"/>
          <w:lang w:eastAsia="zh-CN"/>
        </w:rPr>
        <w:t>以基于结果的管理指标为基础</w:t>
      </w:r>
      <w:r w:rsidR="00DB2988" w:rsidRPr="00E60ECF">
        <w:rPr>
          <w:rFonts w:cs="Calibri" w:hint="eastAsia"/>
          <w:lang w:eastAsia="zh-CN"/>
        </w:rPr>
        <w:t>，</w:t>
      </w:r>
      <w:r w:rsidR="00594451" w:rsidRPr="00E60ECF">
        <w:rPr>
          <w:rFonts w:cs="Calibri" w:hint="eastAsia"/>
          <w:lang w:eastAsia="zh-CN"/>
        </w:rPr>
        <w:t>并</w:t>
      </w:r>
      <w:r w:rsidR="008D40AB" w:rsidRPr="00E60ECF">
        <w:rPr>
          <w:rFonts w:cs="Calibri" w:hint="eastAsia"/>
          <w:lang w:eastAsia="zh-CN"/>
        </w:rPr>
        <w:t>符合</w:t>
      </w:r>
      <w:r w:rsidR="00594451" w:rsidRPr="00E60ECF">
        <w:rPr>
          <w:rFonts w:cs="Calibri" w:hint="eastAsia"/>
          <w:lang w:eastAsia="zh-CN"/>
        </w:rPr>
        <w:t>更广泛的联合国改革原则</w:t>
      </w:r>
      <w:r w:rsidR="00DB2988" w:rsidRPr="00E60ECF">
        <w:rPr>
          <w:rFonts w:cs="Calibri" w:hint="eastAsia"/>
          <w:lang w:eastAsia="zh-CN"/>
        </w:rPr>
        <w:t>，</w:t>
      </w:r>
      <w:r w:rsidR="00594451" w:rsidRPr="00E60ECF">
        <w:rPr>
          <w:rFonts w:cs="Calibri" w:hint="eastAsia"/>
          <w:lang w:eastAsia="zh-CN"/>
        </w:rPr>
        <w:t>将</w:t>
      </w:r>
      <w:r w:rsidR="00DB2988" w:rsidRPr="00E60ECF">
        <w:rPr>
          <w:rFonts w:cs="Calibri" w:hint="eastAsia"/>
          <w:lang w:eastAsia="zh-CN"/>
        </w:rPr>
        <w:t>提供</w:t>
      </w:r>
      <w:r w:rsidR="008D40AB" w:rsidRPr="00E60ECF">
        <w:rPr>
          <w:rFonts w:cs="Calibri" w:hint="eastAsia"/>
          <w:lang w:eastAsia="zh-CN"/>
        </w:rPr>
        <w:t>资金使用效益、</w:t>
      </w:r>
      <w:r w:rsidR="00594451" w:rsidRPr="00E60ECF">
        <w:rPr>
          <w:rFonts w:cs="Calibri" w:hint="eastAsia"/>
          <w:lang w:eastAsia="zh-CN"/>
        </w:rPr>
        <w:t>服务</w:t>
      </w:r>
      <w:r w:rsidR="008D40AB" w:rsidRPr="00E60ECF">
        <w:rPr>
          <w:rFonts w:cs="Calibri" w:hint="eastAsia"/>
          <w:lang w:eastAsia="zh-CN"/>
        </w:rPr>
        <w:t>交付能力提升以及</w:t>
      </w:r>
      <w:r w:rsidR="00594451" w:rsidRPr="00E60ECF">
        <w:rPr>
          <w:rFonts w:cs="Calibri" w:hint="eastAsia"/>
          <w:lang w:eastAsia="zh-CN"/>
        </w:rPr>
        <w:t>内部流程</w:t>
      </w:r>
      <w:r w:rsidR="008D40AB" w:rsidRPr="00E60ECF">
        <w:rPr>
          <w:rFonts w:cs="Calibri" w:hint="eastAsia"/>
          <w:lang w:eastAsia="zh-CN"/>
        </w:rPr>
        <w:t>改进的明确证据</w:t>
      </w:r>
      <w:r w:rsidR="00DB2988" w:rsidRPr="00E60ECF">
        <w:rPr>
          <w:rFonts w:cs="Calibri" w:hint="eastAsia"/>
          <w:lang w:eastAsia="zh-CN"/>
        </w:rPr>
        <w:t>，</w:t>
      </w:r>
      <w:r w:rsidR="00594451" w:rsidRPr="00E60ECF">
        <w:rPr>
          <w:rFonts w:cs="Calibri" w:hint="eastAsia"/>
          <w:lang w:eastAsia="zh-CN"/>
        </w:rPr>
        <w:t>从而</w:t>
      </w:r>
      <w:r w:rsidR="008D40AB" w:rsidRPr="00E60ECF">
        <w:rPr>
          <w:rFonts w:cs="Calibri" w:hint="eastAsia"/>
          <w:lang w:eastAsia="zh-CN"/>
        </w:rPr>
        <w:t>强化</w:t>
      </w:r>
      <w:r w:rsidR="00594451" w:rsidRPr="00E60ECF">
        <w:rPr>
          <w:rFonts w:cs="Calibri" w:hint="eastAsia"/>
          <w:lang w:eastAsia="zh-CN"/>
        </w:rPr>
        <w:t>问责制并</w:t>
      </w:r>
      <w:r w:rsidR="00DB2988" w:rsidRPr="00E60ECF">
        <w:rPr>
          <w:rFonts w:cs="Calibri" w:hint="eastAsia"/>
          <w:lang w:eastAsia="zh-CN"/>
        </w:rPr>
        <w:t>增强</w:t>
      </w:r>
      <w:r w:rsidR="00594451" w:rsidRPr="00E60ECF">
        <w:rPr>
          <w:rFonts w:cs="Calibri" w:hint="eastAsia"/>
          <w:lang w:eastAsia="zh-CN"/>
        </w:rPr>
        <w:t>成员国</w:t>
      </w:r>
      <w:r w:rsidR="00DB2988" w:rsidRPr="00E60ECF">
        <w:rPr>
          <w:rFonts w:cs="Calibri" w:hint="eastAsia"/>
          <w:lang w:eastAsia="zh-CN"/>
        </w:rPr>
        <w:t>的</w:t>
      </w:r>
      <w:r w:rsidR="00594451" w:rsidRPr="00E60ECF">
        <w:rPr>
          <w:rFonts w:cs="Calibri" w:hint="eastAsia"/>
          <w:lang w:eastAsia="zh-CN"/>
        </w:rPr>
        <w:t>信心</w:t>
      </w:r>
      <w:r w:rsidR="00DB2988" w:rsidRPr="00E60ECF">
        <w:rPr>
          <w:rFonts w:cs="Calibri" w:hint="eastAsia"/>
          <w:lang w:eastAsia="zh-CN"/>
        </w:rPr>
        <w:t>。</w:t>
      </w:r>
    </w:p>
    <w:p w14:paraId="75AD12CA" w14:textId="68C4C99D" w:rsidR="004109A5" w:rsidRPr="00E60ECF" w:rsidRDefault="004109A5" w:rsidP="004109A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cs="Calibri"/>
          <w:lang w:eastAsia="zh-CN"/>
        </w:rPr>
      </w:pPr>
      <w:r w:rsidRPr="00E60ECF">
        <w:rPr>
          <w:rFonts w:cs="Calibri"/>
          <w:lang w:eastAsia="zh-CN"/>
        </w:rPr>
        <w:t>3</w:t>
      </w:r>
      <w:r w:rsidRPr="00E60ECF">
        <w:rPr>
          <w:rFonts w:cs="Calibri"/>
          <w:lang w:eastAsia="zh-CN"/>
        </w:rPr>
        <w:tab/>
      </w:r>
      <w:r w:rsidR="00C205F9" w:rsidRPr="00E60ECF">
        <w:rPr>
          <w:rFonts w:cs="Calibri" w:hint="eastAsia"/>
          <w:b/>
          <w:bCs/>
          <w:lang w:eastAsia="zh-CN"/>
        </w:rPr>
        <w:t>与成员所批准的新任务授权相关的额外成本</w:t>
      </w:r>
      <w:r w:rsidR="00E60ECF">
        <w:rPr>
          <w:rFonts w:cs="Calibri"/>
          <w:lang w:eastAsia="zh-CN"/>
        </w:rPr>
        <w:t xml:space="preserve"> </w:t>
      </w:r>
      <w:r w:rsidR="00E60ECF" w:rsidRPr="00E60ECF">
        <w:rPr>
          <w:rFonts w:cs="Calibri"/>
          <w:lang w:eastAsia="zh-CN"/>
        </w:rPr>
        <w:t>–</w:t>
      </w:r>
      <w:r w:rsidR="00E60ECF">
        <w:rPr>
          <w:rFonts w:cs="Calibri"/>
          <w:lang w:eastAsia="zh-CN"/>
        </w:rPr>
        <w:t xml:space="preserve"> </w:t>
      </w:r>
      <w:r w:rsidR="00F254AC" w:rsidRPr="00E60ECF">
        <w:rPr>
          <w:rFonts w:cs="Calibri" w:hint="eastAsia"/>
          <w:lang w:eastAsia="zh-CN"/>
        </w:rPr>
        <w:t>此项</w:t>
      </w:r>
      <w:r w:rsidR="00594451" w:rsidRPr="00E60ECF">
        <w:rPr>
          <w:rFonts w:cs="Calibri" w:hint="eastAsia"/>
          <w:lang w:eastAsia="zh-CN"/>
        </w:rPr>
        <w:t>将评估成员国通过的决定和决议</w:t>
      </w:r>
      <w:r w:rsidR="00F254AC" w:rsidRPr="00E60ECF">
        <w:rPr>
          <w:rFonts w:cs="Calibri" w:hint="eastAsia"/>
          <w:lang w:eastAsia="zh-CN"/>
        </w:rPr>
        <w:t>所带来</w:t>
      </w:r>
      <w:r w:rsidR="00594451" w:rsidRPr="00E60ECF">
        <w:rPr>
          <w:rFonts w:cs="Calibri" w:hint="eastAsia"/>
          <w:lang w:eastAsia="zh-CN"/>
        </w:rPr>
        <w:t>的业务需求增长对会费单位的影响</w:t>
      </w:r>
      <w:r w:rsidR="00C205F9" w:rsidRPr="00E60ECF">
        <w:rPr>
          <w:rFonts w:cs="Calibri" w:hint="eastAsia"/>
          <w:lang w:eastAsia="zh-CN"/>
        </w:rPr>
        <w:t>。</w:t>
      </w:r>
      <w:r w:rsidR="00594451" w:rsidRPr="00E60ECF">
        <w:rPr>
          <w:rFonts w:cs="Calibri" w:hint="eastAsia"/>
          <w:lang w:eastAsia="zh-CN"/>
        </w:rPr>
        <w:t>通过量化新</w:t>
      </w:r>
      <w:r w:rsidR="005E4EE8" w:rsidRPr="00E60ECF">
        <w:rPr>
          <w:rFonts w:cs="Calibri" w:hint="eastAsia"/>
          <w:lang w:eastAsia="zh-CN"/>
        </w:rPr>
        <w:t>任务授权</w:t>
      </w:r>
      <w:r w:rsidR="00594451" w:rsidRPr="00E60ECF">
        <w:rPr>
          <w:rFonts w:cs="Calibri" w:hint="eastAsia"/>
          <w:lang w:eastAsia="zh-CN"/>
        </w:rPr>
        <w:t>或扩大的任务</w:t>
      </w:r>
      <w:r w:rsidR="00C205F9" w:rsidRPr="00E60ECF">
        <w:rPr>
          <w:rFonts w:cs="Calibri" w:hint="eastAsia"/>
          <w:lang w:eastAsia="zh-CN"/>
        </w:rPr>
        <w:t>授权所</w:t>
      </w:r>
      <w:r w:rsidR="00594451" w:rsidRPr="00E60ECF">
        <w:rPr>
          <w:rFonts w:cs="Calibri" w:hint="eastAsia"/>
          <w:lang w:eastAsia="zh-CN"/>
        </w:rPr>
        <w:t>产生的成本影响</w:t>
      </w:r>
      <w:r w:rsidR="00551CB5" w:rsidRPr="00E60ECF">
        <w:rPr>
          <w:rFonts w:cs="Calibri" w:hint="eastAsia"/>
          <w:lang w:eastAsia="zh-CN"/>
        </w:rPr>
        <w:t>，</w:t>
      </w:r>
      <w:r w:rsidR="00594451" w:rsidRPr="00E60ECF">
        <w:rPr>
          <w:rFonts w:cs="Calibri" w:hint="eastAsia"/>
          <w:lang w:eastAsia="zh-CN"/>
        </w:rPr>
        <w:t>并将其</w:t>
      </w:r>
      <w:r w:rsidR="00551CB5" w:rsidRPr="00E60ECF">
        <w:rPr>
          <w:rFonts w:cs="Calibri" w:hint="eastAsia"/>
          <w:lang w:eastAsia="zh-CN"/>
        </w:rPr>
        <w:t>直接</w:t>
      </w:r>
      <w:r w:rsidR="00594451" w:rsidRPr="00E60ECF">
        <w:rPr>
          <w:rFonts w:cs="Calibri" w:hint="eastAsia"/>
          <w:lang w:eastAsia="zh-CN"/>
        </w:rPr>
        <w:t>与资源需求</w:t>
      </w:r>
      <w:r w:rsidR="00551CB5" w:rsidRPr="00E60ECF">
        <w:rPr>
          <w:rFonts w:cs="Calibri" w:hint="eastAsia"/>
          <w:lang w:eastAsia="zh-CN"/>
        </w:rPr>
        <w:t>挂钩，</w:t>
      </w:r>
      <w:r w:rsidR="00F254AC" w:rsidRPr="00E60ECF">
        <w:rPr>
          <w:rFonts w:cs="Calibri" w:hint="eastAsia"/>
          <w:lang w:eastAsia="zh-CN"/>
        </w:rPr>
        <w:t>此方案</w:t>
      </w:r>
      <w:r w:rsidR="00594451" w:rsidRPr="00E60ECF">
        <w:rPr>
          <w:rFonts w:cs="Calibri" w:hint="eastAsia"/>
          <w:lang w:eastAsia="zh-CN"/>
        </w:rPr>
        <w:t>可以</w:t>
      </w:r>
      <w:r w:rsidR="005E4EE8" w:rsidRPr="00E60ECF">
        <w:rPr>
          <w:rFonts w:cs="Calibri" w:hint="eastAsia"/>
          <w:lang w:eastAsia="zh-CN"/>
        </w:rPr>
        <w:t>识别</w:t>
      </w:r>
      <w:r w:rsidR="00594451" w:rsidRPr="00E60ECF">
        <w:rPr>
          <w:rFonts w:cs="Calibri" w:hint="eastAsia"/>
          <w:lang w:eastAsia="zh-CN"/>
        </w:rPr>
        <w:t>战略重点与</w:t>
      </w:r>
      <w:r w:rsidR="005E4EE8" w:rsidRPr="00E60ECF">
        <w:rPr>
          <w:rFonts w:cs="Calibri" w:hint="eastAsia"/>
          <w:lang w:eastAsia="zh-CN"/>
        </w:rPr>
        <w:t>资金</w:t>
      </w:r>
      <w:r w:rsidR="00594451" w:rsidRPr="00E60ECF">
        <w:rPr>
          <w:rFonts w:cs="Calibri" w:hint="eastAsia"/>
          <w:lang w:eastAsia="zh-CN"/>
        </w:rPr>
        <w:t>水平之间可能</w:t>
      </w:r>
      <w:r w:rsidR="00F254AC" w:rsidRPr="00E60ECF">
        <w:rPr>
          <w:rFonts w:cs="Calibri" w:hint="eastAsia"/>
          <w:lang w:eastAsia="zh-CN"/>
        </w:rPr>
        <w:t>存在</w:t>
      </w:r>
      <w:r w:rsidR="00594451" w:rsidRPr="00E60ECF">
        <w:rPr>
          <w:rFonts w:cs="Calibri" w:hint="eastAsia"/>
          <w:lang w:eastAsia="zh-CN"/>
        </w:rPr>
        <w:t>的</w:t>
      </w:r>
      <w:r w:rsidR="00551CB5" w:rsidRPr="00E60ECF">
        <w:rPr>
          <w:rFonts w:cs="Calibri" w:hint="eastAsia"/>
          <w:lang w:eastAsia="zh-CN"/>
        </w:rPr>
        <w:t>脱节，</w:t>
      </w:r>
      <w:r w:rsidR="00594451" w:rsidRPr="00E60ECF">
        <w:rPr>
          <w:rFonts w:cs="Calibri" w:hint="eastAsia"/>
          <w:lang w:eastAsia="zh-CN"/>
        </w:rPr>
        <w:t>同时强化集体决策</w:t>
      </w:r>
      <w:r w:rsidR="005E4EE8" w:rsidRPr="00E60ECF">
        <w:rPr>
          <w:rFonts w:cs="Calibri" w:hint="eastAsia"/>
          <w:lang w:eastAsia="zh-CN"/>
        </w:rPr>
        <w:t>需</w:t>
      </w:r>
      <w:r w:rsidR="00594451" w:rsidRPr="00E60ECF">
        <w:rPr>
          <w:rFonts w:cs="Calibri" w:hint="eastAsia"/>
          <w:lang w:eastAsia="zh-CN"/>
        </w:rPr>
        <w:t>承担相应财务责任的原则</w:t>
      </w:r>
      <w:r w:rsidR="00551CB5" w:rsidRPr="00E60ECF">
        <w:rPr>
          <w:rFonts w:cs="Calibri" w:hint="eastAsia"/>
          <w:lang w:eastAsia="zh-CN"/>
        </w:rPr>
        <w:t>。</w:t>
      </w:r>
    </w:p>
    <w:p w14:paraId="0BB6B464" w14:textId="108670F3" w:rsidR="004109A5" w:rsidRPr="00E60ECF" w:rsidRDefault="00594451" w:rsidP="004109A5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cs="Calibri"/>
          <w:lang w:eastAsia="zh-CN"/>
        </w:rPr>
      </w:pPr>
      <w:r w:rsidRPr="00E60ECF">
        <w:rPr>
          <w:rFonts w:cs="Calibri" w:hint="eastAsia"/>
          <w:lang w:eastAsia="zh-CN"/>
        </w:rPr>
        <w:t>后续步骤</w:t>
      </w:r>
    </w:p>
    <w:p w14:paraId="7B330E1B" w14:textId="5E9DD4A9" w:rsidR="004109A5" w:rsidRPr="00E60ECF" w:rsidRDefault="00594451" w:rsidP="00E60ECF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rFonts w:cs="Calibri"/>
          <w:lang w:eastAsia="zh-CN"/>
        </w:rPr>
      </w:pPr>
      <w:r w:rsidRPr="00E60ECF">
        <w:rPr>
          <w:rFonts w:cs="Calibri" w:hint="eastAsia"/>
          <w:lang w:eastAsia="zh-CN"/>
        </w:rPr>
        <w:t>秘书处将通过</w:t>
      </w:r>
      <w:r w:rsidR="00551CB5" w:rsidRPr="00E60ECF">
        <w:rPr>
          <w:rFonts w:cs="Calibri" w:hint="eastAsia"/>
          <w:lang w:eastAsia="zh-CN"/>
        </w:rPr>
        <w:t>持续保持</w:t>
      </w:r>
      <w:r w:rsidRPr="00E60ECF">
        <w:rPr>
          <w:rFonts w:cs="Calibri" w:hint="eastAsia"/>
          <w:lang w:eastAsia="zh-CN"/>
        </w:rPr>
        <w:t>财务纪律</w:t>
      </w:r>
      <w:r w:rsidR="00E656EC" w:rsidRPr="00E60ECF">
        <w:rPr>
          <w:rFonts w:cs="Calibri" w:hint="eastAsia"/>
          <w:lang w:eastAsia="zh-CN"/>
        </w:rPr>
        <w:t>和</w:t>
      </w:r>
      <w:r w:rsidRPr="00E60ECF">
        <w:rPr>
          <w:rFonts w:cs="Calibri" w:hint="eastAsia"/>
          <w:lang w:eastAsia="zh-CN"/>
        </w:rPr>
        <w:t>加强收支</w:t>
      </w:r>
      <w:r w:rsidR="00E656EC" w:rsidRPr="00E60ECF">
        <w:rPr>
          <w:rFonts w:cs="Calibri" w:hint="eastAsia"/>
          <w:lang w:eastAsia="zh-CN"/>
        </w:rPr>
        <w:t>平衡</w:t>
      </w:r>
      <w:r w:rsidR="00551CB5" w:rsidRPr="00E60ECF">
        <w:rPr>
          <w:rFonts w:cs="Calibri" w:hint="eastAsia"/>
          <w:lang w:eastAsia="zh-CN"/>
        </w:rPr>
        <w:t>，继续</w:t>
      </w:r>
      <w:r w:rsidRPr="00E60ECF">
        <w:rPr>
          <w:rFonts w:cs="Calibri" w:hint="eastAsia"/>
          <w:lang w:eastAsia="zh-CN"/>
        </w:rPr>
        <w:t>在</w:t>
      </w:r>
      <w:r w:rsidR="00E656EC" w:rsidRPr="00E60ECF">
        <w:rPr>
          <w:rFonts w:cs="Calibri" w:hint="eastAsia"/>
          <w:lang w:eastAsia="zh-CN"/>
        </w:rPr>
        <w:t>核定</w:t>
      </w:r>
      <w:r w:rsidRPr="00E60ECF">
        <w:rPr>
          <w:rFonts w:cs="Calibri" w:hint="eastAsia"/>
          <w:lang w:eastAsia="zh-CN"/>
        </w:rPr>
        <w:t>预算范围内</w:t>
      </w:r>
      <w:r w:rsidR="00551CB5" w:rsidRPr="00E60ECF">
        <w:rPr>
          <w:rFonts w:cs="Calibri" w:hint="eastAsia"/>
          <w:lang w:eastAsia="zh-CN"/>
        </w:rPr>
        <w:t>开展工作。</w:t>
      </w:r>
    </w:p>
    <w:p w14:paraId="70B12155" w14:textId="0107531C" w:rsidR="004109A5" w:rsidRPr="00E60ECF" w:rsidRDefault="00594451" w:rsidP="00E60ECF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rFonts w:cs="Calibri"/>
          <w:lang w:eastAsia="zh-CN"/>
        </w:rPr>
      </w:pPr>
      <w:r w:rsidRPr="00E60ECF">
        <w:rPr>
          <w:rFonts w:cs="Calibri" w:hint="eastAsia"/>
          <w:lang w:eastAsia="zh-CN"/>
        </w:rPr>
        <w:t>秘书处将继续</w:t>
      </w:r>
      <w:r w:rsidR="00804CE8" w:rsidRPr="00E60ECF">
        <w:rPr>
          <w:rFonts w:cs="Calibri" w:hint="eastAsia"/>
          <w:lang w:eastAsia="zh-CN"/>
        </w:rPr>
        <w:t>监测</w:t>
      </w:r>
      <w:r w:rsidRPr="00E60ECF">
        <w:rPr>
          <w:rFonts w:cs="Calibri" w:hint="eastAsia"/>
          <w:lang w:eastAsia="zh-CN"/>
        </w:rPr>
        <w:t>国际电联的财务状况</w:t>
      </w:r>
      <w:r w:rsidR="00804CE8" w:rsidRPr="00E60ECF">
        <w:rPr>
          <w:rFonts w:cs="Calibri" w:hint="eastAsia"/>
          <w:lang w:eastAsia="zh-CN"/>
        </w:rPr>
        <w:t>，</w:t>
      </w:r>
      <w:r w:rsidRPr="00E60ECF">
        <w:rPr>
          <w:rFonts w:cs="Calibri" w:hint="eastAsia"/>
          <w:lang w:eastAsia="zh-CN"/>
        </w:rPr>
        <w:t>并根据</w:t>
      </w:r>
      <w:r w:rsidR="008E1DFD" w:rsidRPr="00E60ECF">
        <w:rPr>
          <w:rFonts w:cs="Calibri" w:hint="eastAsia"/>
          <w:lang w:eastAsia="zh-CN"/>
        </w:rPr>
        <w:t>上述</w:t>
      </w:r>
      <w:r w:rsidRPr="00E60ECF">
        <w:rPr>
          <w:rFonts w:cs="Calibri" w:hint="eastAsia"/>
          <w:lang w:eastAsia="zh-CN"/>
        </w:rPr>
        <w:t>标准</w:t>
      </w:r>
      <w:r w:rsidR="00804CE8" w:rsidRPr="00E60ECF">
        <w:rPr>
          <w:rFonts w:cs="Calibri" w:hint="eastAsia"/>
          <w:lang w:eastAsia="zh-CN"/>
        </w:rPr>
        <w:t>，在提交给理事会的年度预算执行报告中纳入</w:t>
      </w:r>
      <w:r w:rsidRPr="00E60ECF">
        <w:rPr>
          <w:rFonts w:cs="Calibri" w:hint="eastAsia"/>
          <w:lang w:eastAsia="zh-CN"/>
        </w:rPr>
        <w:t>对</w:t>
      </w:r>
      <w:r w:rsidR="00804CE8" w:rsidRPr="00E60ECF">
        <w:rPr>
          <w:rFonts w:cs="Calibri" w:hint="eastAsia"/>
          <w:lang w:eastAsia="zh-CN"/>
        </w:rPr>
        <w:t>会费单位</w:t>
      </w:r>
      <w:r w:rsidRPr="00E60ECF">
        <w:rPr>
          <w:rFonts w:cs="Calibri" w:hint="eastAsia"/>
          <w:lang w:eastAsia="zh-CN"/>
        </w:rPr>
        <w:t>充足性的分析</w:t>
      </w:r>
      <w:r w:rsidR="00804CE8" w:rsidRPr="00E60ECF">
        <w:rPr>
          <w:rFonts w:cs="Calibri" w:hint="eastAsia"/>
          <w:lang w:eastAsia="zh-CN"/>
        </w:rPr>
        <w:t>。此后，</w:t>
      </w:r>
      <w:r w:rsidRPr="00E60ECF">
        <w:rPr>
          <w:rFonts w:cs="Calibri" w:hint="eastAsia"/>
          <w:lang w:eastAsia="zh-CN"/>
        </w:rPr>
        <w:t>理事会</w:t>
      </w:r>
      <w:r w:rsidR="00804CE8" w:rsidRPr="00E60ECF">
        <w:rPr>
          <w:rFonts w:cs="Calibri" w:hint="eastAsia"/>
          <w:lang w:eastAsia="zh-CN"/>
        </w:rPr>
        <w:t>可</w:t>
      </w:r>
      <w:r w:rsidR="00E656EC" w:rsidRPr="00E60ECF">
        <w:rPr>
          <w:rFonts w:cs="Calibri" w:hint="eastAsia"/>
          <w:lang w:eastAsia="zh-CN"/>
        </w:rPr>
        <w:t>据此审议</w:t>
      </w:r>
      <w:r w:rsidRPr="00E60ECF">
        <w:rPr>
          <w:rFonts w:cs="Calibri" w:hint="eastAsia"/>
          <w:lang w:eastAsia="zh-CN"/>
        </w:rPr>
        <w:t>未来对会费单位</w:t>
      </w:r>
      <w:r w:rsidR="00E656EC" w:rsidRPr="00E60ECF">
        <w:rPr>
          <w:rFonts w:cs="Calibri" w:hint="eastAsia"/>
          <w:lang w:eastAsia="zh-CN"/>
        </w:rPr>
        <w:t>的任何</w:t>
      </w:r>
      <w:r w:rsidRPr="00E60ECF">
        <w:rPr>
          <w:rFonts w:cs="Calibri" w:hint="eastAsia"/>
          <w:lang w:eastAsia="zh-CN"/>
        </w:rPr>
        <w:t>调整</w:t>
      </w:r>
      <w:r w:rsidR="00804CE8" w:rsidRPr="00E60ECF">
        <w:rPr>
          <w:rFonts w:cs="Calibri" w:hint="eastAsia"/>
          <w:lang w:eastAsia="zh-CN"/>
        </w:rPr>
        <w:t>，</w:t>
      </w:r>
      <w:r w:rsidRPr="00E60ECF">
        <w:rPr>
          <w:rFonts w:cs="Calibri" w:hint="eastAsia"/>
          <w:lang w:eastAsia="zh-CN"/>
        </w:rPr>
        <w:t>并根据</w:t>
      </w:r>
      <w:r w:rsidR="00804CE8" w:rsidRPr="00E60ECF">
        <w:rPr>
          <w:rFonts w:cs="Calibri" w:hint="eastAsia"/>
          <w:lang w:eastAsia="zh-CN"/>
        </w:rPr>
        <w:t>相关</w:t>
      </w:r>
      <w:r w:rsidRPr="00E60ECF">
        <w:rPr>
          <w:rFonts w:cs="Calibri" w:hint="eastAsia"/>
          <w:lang w:eastAsia="zh-CN"/>
        </w:rPr>
        <w:t>报告</w:t>
      </w:r>
      <w:r w:rsidR="00804CE8" w:rsidRPr="00E60ECF">
        <w:rPr>
          <w:rFonts w:cs="Calibri" w:hint="eastAsia"/>
          <w:lang w:eastAsia="zh-CN"/>
        </w:rPr>
        <w:t>，</w:t>
      </w:r>
      <w:r w:rsidRPr="00E60ECF">
        <w:rPr>
          <w:rFonts w:cs="Calibri" w:hint="eastAsia"/>
          <w:lang w:eastAsia="zh-CN"/>
        </w:rPr>
        <w:t>确定关于会费单位的任何</w:t>
      </w:r>
      <w:r w:rsidR="00E656EC" w:rsidRPr="00E60ECF">
        <w:rPr>
          <w:rFonts w:cs="Calibri" w:hint="eastAsia"/>
          <w:lang w:eastAsia="zh-CN"/>
        </w:rPr>
        <w:t>未来</w:t>
      </w:r>
      <w:r w:rsidRPr="00E60ECF">
        <w:rPr>
          <w:rFonts w:cs="Calibri" w:hint="eastAsia"/>
          <w:lang w:eastAsia="zh-CN"/>
        </w:rPr>
        <w:t>建议</w:t>
      </w:r>
      <w:r w:rsidR="00804CE8" w:rsidRPr="00E60ECF">
        <w:rPr>
          <w:rFonts w:cs="Calibri" w:hint="eastAsia"/>
          <w:lang w:eastAsia="zh-CN"/>
        </w:rPr>
        <w:t>。</w:t>
      </w:r>
    </w:p>
    <w:bookmarkEnd w:id="7"/>
    <w:p w14:paraId="12663AC5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550D" w14:textId="77777777" w:rsidR="00445E49" w:rsidRDefault="00445E49">
      <w:r>
        <w:separator/>
      </w:r>
    </w:p>
  </w:endnote>
  <w:endnote w:type="continuationSeparator" w:id="0">
    <w:p w14:paraId="0BF4889D" w14:textId="77777777" w:rsidR="00445E49" w:rsidRDefault="0044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A131A82" w14:textId="77777777" w:rsidTr="00E31DCE">
      <w:trPr>
        <w:jc w:val="center"/>
      </w:trPr>
      <w:tc>
        <w:tcPr>
          <w:tcW w:w="1803" w:type="dxa"/>
          <w:vAlign w:val="center"/>
        </w:tcPr>
        <w:p w14:paraId="1D74BEF0" w14:textId="7F5E2645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#gDoc</w:t>
          </w:r>
          <w:r w:rsidR="00C127AE">
            <w:rPr>
              <w:noProof/>
              <w:color w:val="808080" w:themeColor="background1" w:themeShade="80"/>
            </w:rPr>
            <w:t xml:space="preserve"> 2600729</w:t>
          </w:r>
        </w:p>
      </w:tc>
      <w:tc>
        <w:tcPr>
          <w:tcW w:w="8261" w:type="dxa"/>
        </w:tcPr>
        <w:p w14:paraId="22CDBE88" w14:textId="7D28CFF4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C127AE">
            <w:rPr>
              <w:bCs/>
              <w:color w:val="808080" w:themeColor="background1" w:themeShade="80"/>
            </w:rPr>
            <w:t>72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9ECC26B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1CB0F89" w14:textId="77777777" w:rsidTr="00E31DCE">
      <w:trPr>
        <w:jc w:val="center"/>
      </w:trPr>
      <w:tc>
        <w:tcPr>
          <w:tcW w:w="1803" w:type="dxa"/>
          <w:vAlign w:val="center"/>
        </w:tcPr>
        <w:p w14:paraId="36696192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03D0F170" w14:textId="0B442BF5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E60ECF">
            <w:rPr>
              <w:bCs/>
              <w:color w:val="808080" w:themeColor="background1" w:themeShade="80"/>
            </w:rPr>
            <w:t>72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61FB6EF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02FF" w14:textId="77777777" w:rsidR="00445E49" w:rsidRDefault="00445E49">
      <w:r>
        <w:t>____________________</w:t>
      </w:r>
    </w:p>
  </w:footnote>
  <w:footnote w:type="continuationSeparator" w:id="0">
    <w:p w14:paraId="077F58C3" w14:textId="77777777" w:rsidR="00445E49" w:rsidRDefault="0044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C100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A5"/>
    <w:rsid w:val="00001B77"/>
    <w:rsid w:val="0000517A"/>
    <w:rsid w:val="0000538F"/>
    <w:rsid w:val="00031E72"/>
    <w:rsid w:val="000404D2"/>
    <w:rsid w:val="000445DC"/>
    <w:rsid w:val="00064124"/>
    <w:rsid w:val="000646BD"/>
    <w:rsid w:val="000853C0"/>
    <w:rsid w:val="00093DD9"/>
    <w:rsid w:val="0009409E"/>
    <w:rsid w:val="000A1C21"/>
    <w:rsid w:val="000C0BC5"/>
    <w:rsid w:val="000D15EA"/>
    <w:rsid w:val="000D61FE"/>
    <w:rsid w:val="000D7012"/>
    <w:rsid w:val="00100D84"/>
    <w:rsid w:val="00124C9D"/>
    <w:rsid w:val="001305DE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764AD"/>
    <w:rsid w:val="00277DEA"/>
    <w:rsid w:val="00280EB8"/>
    <w:rsid w:val="002916B4"/>
    <w:rsid w:val="002A1D39"/>
    <w:rsid w:val="002A6670"/>
    <w:rsid w:val="002C3F32"/>
    <w:rsid w:val="00303502"/>
    <w:rsid w:val="00325C25"/>
    <w:rsid w:val="00372C8F"/>
    <w:rsid w:val="00380ECE"/>
    <w:rsid w:val="00393DDF"/>
    <w:rsid w:val="00397F55"/>
    <w:rsid w:val="003B4454"/>
    <w:rsid w:val="003C1BD8"/>
    <w:rsid w:val="003C2E37"/>
    <w:rsid w:val="003E20AE"/>
    <w:rsid w:val="003F086E"/>
    <w:rsid w:val="003F1415"/>
    <w:rsid w:val="003F252F"/>
    <w:rsid w:val="0040144C"/>
    <w:rsid w:val="00403EB7"/>
    <w:rsid w:val="00404FAC"/>
    <w:rsid w:val="004109A5"/>
    <w:rsid w:val="004178E6"/>
    <w:rsid w:val="00430BF0"/>
    <w:rsid w:val="00445E49"/>
    <w:rsid w:val="00465C35"/>
    <w:rsid w:val="004672E6"/>
    <w:rsid w:val="00474ED1"/>
    <w:rsid w:val="00476588"/>
    <w:rsid w:val="00477D57"/>
    <w:rsid w:val="00491BA9"/>
    <w:rsid w:val="00493085"/>
    <w:rsid w:val="004A36EC"/>
    <w:rsid w:val="004D163F"/>
    <w:rsid w:val="004E4BFF"/>
    <w:rsid w:val="004F2598"/>
    <w:rsid w:val="005017CF"/>
    <w:rsid w:val="005403F7"/>
    <w:rsid w:val="00540632"/>
    <w:rsid w:val="00541CF4"/>
    <w:rsid w:val="005451E8"/>
    <w:rsid w:val="005507F2"/>
    <w:rsid w:val="00551CB5"/>
    <w:rsid w:val="00555BD4"/>
    <w:rsid w:val="00555C29"/>
    <w:rsid w:val="005759CC"/>
    <w:rsid w:val="00576C08"/>
    <w:rsid w:val="00594451"/>
    <w:rsid w:val="005A72E1"/>
    <w:rsid w:val="005C6632"/>
    <w:rsid w:val="005D1C9E"/>
    <w:rsid w:val="005E4EE8"/>
    <w:rsid w:val="00602842"/>
    <w:rsid w:val="00630DD5"/>
    <w:rsid w:val="00637584"/>
    <w:rsid w:val="00654257"/>
    <w:rsid w:val="0065435A"/>
    <w:rsid w:val="00670D8A"/>
    <w:rsid w:val="00682E97"/>
    <w:rsid w:val="006976F0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4CE8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5905"/>
    <w:rsid w:val="008D40AB"/>
    <w:rsid w:val="008E1DFD"/>
    <w:rsid w:val="008F64AD"/>
    <w:rsid w:val="00911230"/>
    <w:rsid w:val="00911867"/>
    <w:rsid w:val="009164A9"/>
    <w:rsid w:val="009258CB"/>
    <w:rsid w:val="0093362E"/>
    <w:rsid w:val="00944563"/>
    <w:rsid w:val="009470DE"/>
    <w:rsid w:val="00953160"/>
    <w:rsid w:val="009625D8"/>
    <w:rsid w:val="00962E9E"/>
    <w:rsid w:val="00972E7A"/>
    <w:rsid w:val="00983878"/>
    <w:rsid w:val="0098459B"/>
    <w:rsid w:val="00986943"/>
    <w:rsid w:val="00997185"/>
    <w:rsid w:val="009A3456"/>
    <w:rsid w:val="009A76A8"/>
    <w:rsid w:val="009B1114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C2E3B"/>
    <w:rsid w:val="00BD0954"/>
    <w:rsid w:val="00BD1A5A"/>
    <w:rsid w:val="00BD7A9B"/>
    <w:rsid w:val="00BD7BE1"/>
    <w:rsid w:val="00BE5D7C"/>
    <w:rsid w:val="00BF3F8B"/>
    <w:rsid w:val="00BF416B"/>
    <w:rsid w:val="00C127AE"/>
    <w:rsid w:val="00C205F9"/>
    <w:rsid w:val="00C24DAC"/>
    <w:rsid w:val="00C45EB2"/>
    <w:rsid w:val="00C51CE0"/>
    <w:rsid w:val="00C63BAC"/>
    <w:rsid w:val="00C64E4E"/>
    <w:rsid w:val="00C66E64"/>
    <w:rsid w:val="00C7504E"/>
    <w:rsid w:val="00C761A0"/>
    <w:rsid w:val="00C77FB8"/>
    <w:rsid w:val="00C854E8"/>
    <w:rsid w:val="00C85F7E"/>
    <w:rsid w:val="00C90D53"/>
    <w:rsid w:val="00C912CE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69B"/>
    <w:rsid w:val="00D02B4E"/>
    <w:rsid w:val="00D21F11"/>
    <w:rsid w:val="00D36817"/>
    <w:rsid w:val="00D416DA"/>
    <w:rsid w:val="00D453EE"/>
    <w:rsid w:val="00D5666C"/>
    <w:rsid w:val="00D64CDC"/>
    <w:rsid w:val="00D666BC"/>
    <w:rsid w:val="00D773A8"/>
    <w:rsid w:val="00D83542"/>
    <w:rsid w:val="00D87C3A"/>
    <w:rsid w:val="00D92F45"/>
    <w:rsid w:val="00D94637"/>
    <w:rsid w:val="00D9725C"/>
    <w:rsid w:val="00DA0E66"/>
    <w:rsid w:val="00DA2D30"/>
    <w:rsid w:val="00DA7006"/>
    <w:rsid w:val="00DA722E"/>
    <w:rsid w:val="00DB2988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3BC6"/>
    <w:rsid w:val="00E34C96"/>
    <w:rsid w:val="00E378D8"/>
    <w:rsid w:val="00E43A12"/>
    <w:rsid w:val="00E53A5A"/>
    <w:rsid w:val="00E60ECF"/>
    <w:rsid w:val="00E656EC"/>
    <w:rsid w:val="00E67C67"/>
    <w:rsid w:val="00E77476"/>
    <w:rsid w:val="00E8228B"/>
    <w:rsid w:val="00EA33B9"/>
    <w:rsid w:val="00EE5706"/>
    <w:rsid w:val="00EF373D"/>
    <w:rsid w:val="00F051C3"/>
    <w:rsid w:val="00F07053"/>
    <w:rsid w:val="00F11595"/>
    <w:rsid w:val="00F13BC9"/>
    <w:rsid w:val="00F254AC"/>
    <w:rsid w:val="00F357B2"/>
    <w:rsid w:val="00F36556"/>
    <w:rsid w:val="00F57247"/>
    <w:rsid w:val="00F60EDE"/>
    <w:rsid w:val="00F63FCE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F7C5E"/>
  <w15:docId w15:val="{B1CC1209-690F-49FC-8FC0-FE8FB250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qFormat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cwg-fhr/Pages/default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5-CL-C-0054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054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youqi\Desktop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</Template>
  <TotalTime>0</TotalTime>
  <Pages>2</Pages>
  <Words>818</Words>
  <Characters>876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1661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Methodology for review and revision of the contributory unit</dc:title>
  <dc:subject>ITU Council 2026</dc:subject>
  <dc:creator>GBS</dc:creator>
  <cp:keywords>C26; C2026; Council 2026; PP26</cp:keywords>
  <dc:description/>
  <cp:lastModifiedBy>GBS</cp:lastModifiedBy>
  <cp:revision>2</cp:revision>
  <cp:lastPrinted>2015-02-24T13:23:00Z</cp:lastPrinted>
  <dcterms:created xsi:type="dcterms:W3CDTF">2026-04-17T11:34:00Z</dcterms:created>
  <dcterms:modified xsi:type="dcterms:W3CDTF">2026-04-17T11:34:00Z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