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1016BAE0" w14:textId="77777777" w:rsidTr="00F363FE">
        <w:tc>
          <w:tcPr>
            <w:tcW w:w="6512" w:type="dxa"/>
          </w:tcPr>
          <w:p w14:paraId="2794C3D8" w14:textId="745BA6BA"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5C3816">
              <w:rPr>
                <w:rFonts w:hint="cs"/>
                <w:b/>
                <w:bCs/>
                <w:rtl/>
                <w:lang w:bidi="ar-EG"/>
              </w:rPr>
              <w:t xml:space="preserve"> </w:t>
            </w:r>
            <w:r w:rsidR="005C3816">
              <w:rPr>
                <w:b/>
                <w:bCs/>
                <w:lang w:bidi="ar-EG"/>
              </w:rPr>
              <w:t>ADM 1</w:t>
            </w:r>
          </w:p>
        </w:tc>
        <w:tc>
          <w:tcPr>
            <w:tcW w:w="3117" w:type="dxa"/>
          </w:tcPr>
          <w:p w14:paraId="1129EA85" w14:textId="084A4BD3"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5C3816">
              <w:rPr>
                <w:b/>
                <w:bCs/>
                <w:lang w:bidi="ar-EG"/>
              </w:rPr>
              <w:t>72</w:t>
            </w:r>
            <w:r w:rsidRPr="007B0AA0">
              <w:rPr>
                <w:b/>
                <w:bCs/>
                <w:lang w:bidi="ar-EG"/>
              </w:rPr>
              <w:t>-A</w:t>
            </w:r>
          </w:p>
        </w:tc>
      </w:tr>
      <w:tr w:rsidR="007B0AA0" w14:paraId="52B68504" w14:textId="77777777" w:rsidTr="00F363FE">
        <w:tc>
          <w:tcPr>
            <w:tcW w:w="6512" w:type="dxa"/>
          </w:tcPr>
          <w:p w14:paraId="530BCC96" w14:textId="77777777" w:rsidR="007B0AA0" w:rsidRPr="007B0AA0" w:rsidRDefault="007B0AA0" w:rsidP="00F363FE">
            <w:pPr>
              <w:spacing w:before="60" w:after="60" w:line="260" w:lineRule="exact"/>
              <w:rPr>
                <w:b/>
                <w:bCs/>
                <w:rtl/>
                <w:lang w:bidi="ar-EG"/>
              </w:rPr>
            </w:pPr>
          </w:p>
        </w:tc>
        <w:tc>
          <w:tcPr>
            <w:tcW w:w="3117" w:type="dxa"/>
          </w:tcPr>
          <w:p w14:paraId="06B46C97" w14:textId="2473D896" w:rsidR="007B0AA0" w:rsidRPr="007B0AA0" w:rsidRDefault="005C3816" w:rsidP="00F363FE">
            <w:pPr>
              <w:spacing w:before="60" w:after="60" w:line="260" w:lineRule="exact"/>
              <w:rPr>
                <w:b/>
                <w:bCs/>
                <w:rtl/>
                <w:lang w:bidi="ar-EG"/>
              </w:rPr>
            </w:pPr>
            <w:r>
              <w:rPr>
                <w:rFonts w:hint="cs"/>
                <w:b/>
                <w:bCs/>
                <w:rtl/>
              </w:rPr>
              <w:t>‏30‏ مارس‏ 2026</w:t>
            </w:r>
          </w:p>
        </w:tc>
      </w:tr>
      <w:tr w:rsidR="007B0AA0" w14:paraId="148C26A5" w14:textId="77777777" w:rsidTr="00F363FE">
        <w:tc>
          <w:tcPr>
            <w:tcW w:w="6512" w:type="dxa"/>
          </w:tcPr>
          <w:p w14:paraId="3F19D214" w14:textId="77777777" w:rsidR="007B0AA0" w:rsidRPr="007B0AA0" w:rsidRDefault="007B0AA0" w:rsidP="00F363FE">
            <w:pPr>
              <w:spacing w:before="60" w:after="60" w:line="260" w:lineRule="exact"/>
              <w:rPr>
                <w:b/>
                <w:bCs/>
                <w:rtl/>
                <w:lang w:bidi="ar-EG"/>
              </w:rPr>
            </w:pPr>
          </w:p>
        </w:tc>
        <w:tc>
          <w:tcPr>
            <w:tcW w:w="3117" w:type="dxa"/>
          </w:tcPr>
          <w:p w14:paraId="5C9D2B1F"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33D7D939" w14:textId="77777777" w:rsidTr="00F363FE">
        <w:tc>
          <w:tcPr>
            <w:tcW w:w="6512" w:type="dxa"/>
          </w:tcPr>
          <w:p w14:paraId="5FB34E5F" w14:textId="77777777" w:rsidR="007B0AA0" w:rsidRDefault="007B0AA0" w:rsidP="00F363FE">
            <w:pPr>
              <w:spacing w:before="60" w:after="60" w:line="260" w:lineRule="exact"/>
              <w:rPr>
                <w:lang w:bidi="ar-EG"/>
              </w:rPr>
            </w:pPr>
          </w:p>
        </w:tc>
        <w:tc>
          <w:tcPr>
            <w:tcW w:w="3117" w:type="dxa"/>
          </w:tcPr>
          <w:p w14:paraId="7CD288D2" w14:textId="77777777" w:rsidR="007B0AA0" w:rsidRDefault="007B0AA0" w:rsidP="00F363FE">
            <w:pPr>
              <w:spacing w:before="60" w:after="60" w:line="260" w:lineRule="exact"/>
              <w:rPr>
                <w:rtl/>
                <w:lang w:bidi="ar-EG"/>
              </w:rPr>
            </w:pPr>
          </w:p>
        </w:tc>
      </w:tr>
      <w:tr w:rsidR="007B0AA0" w14:paraId="166A7627" w14:textId="77777777" w:rsidTr="00EE7446">
        <w:tc>
          <w:tcPr>
            <w:tcW w:w="9629" w:type="dxa"/>
            <w:gridSpan w:val="2"/>
          </w:tcPr>
          <w:p w14:paraId="7AB54023" w14:textId="77777777" w:rsidR="007B0AA0" w:rsidRDefault="001D64C7" w:rsidP="007B0AA0">
            <w:pPr>
              <w:pStyle w:val="Source"/>
              <w:jc w:val="left"/>
              <w:rPr>
                <w:lang w:bidi="ar-EG"/>
              </w:rPr>
            </w:pPr>
            <w:r>
              <w:rPr>
                <w:rFonts w:hint="cs"/>
                <w:rtl/>
                <w:lang w:bidi="ar-EG"/>
              </w:rPr>
              <w:t>تقرير من الأمينة العامة</w:t>
            </w:r>
          </w:p>
        </w:tc>
      </w:tr>
      <w:tr w:rsidR="007B0AA0" w14:paraId="71520CEB" w14:textId="77777777" w:rsidTr="007B0AA0">
        <w:tc>
          <w:tcPr>
            <w:tcW w:w="9629" w:type="dxa"/>
            <w:gridSpan w:val="2"/>
            <w:tcBorders>
              <w:bottom w:val="single" w:sz="4" w:space="0" w:color="auto"/>
            </w:tcBorders>
          </w:tcPr>
          <w:p w14:paraId="0D437E54" w14:textId="3B575EB6" w:rsidR="007B0AA0" w:rsidRPr="005546CF" w:rsidRDefault="005C3816" w:rsidP="007B0AA0">
            <w:pPr>
              <w:pStyle w:val="Subtitle0"/>
              <w:rPr>
                <w:sz w:val="32"/>
                <w:szCs w:val="32"/>
              </w:rPr>
            </w:pPr>
            <w:r w:rsidRPr="00AA5E4F">
              <w:rPr>
                <w:sz w:val="32"/>
                <w:szCs w:val="32"/>
                <w:rtl/>
              </w:rPr>
              <w:t>منهجية استعراض ومراجعة الوحدة المساهمة</w:t>
            </w:r>
          </w:p>
        </w:tc>
      </w:tr>
      <w:tr w:rsidR="007B0AA0" w14:paraId="75915BE0" w14:textId="77777777" w:rsidTr="007B0AA0">
        <w:tc>
          <w:tcPr>
            <w:tcW w:w="9629" w:type="dxa"/>
            <w:gridSpan w:val="2"/>
            <w:tcBorders>
              <w:top w:val="single" w:sz="4" w:space="0" w:color="auto"/>
              <w:bottom w:val="single" w:sz="4" w:space="0" w:color="auto"/>
            </w:tcBorders>
          </w:tcPr>
          <w:p w14:paraId="73C67A3F" w14:textId="77777777" w:rsidR="007B0AA0" w:rsidRPr="007B0AA0" w:rsidRDefault="007B0AA0" w:rsidP="007B0AA0">
            <w:pPr>
              <w:rPr>
                <w:b/>
                <w:bCs/>
                <w:rtl/>
              </w:rPr>
            </w:pPr>
            <w:r w:rsidRPr="00494119">
              <w:rPr>
                <w:rFonts w:hint="cs"/>
                <w:b/>
                <w:bCs/>
                <w:rtl/>
              </w:rPr>
              <w:t>الغرض</w:t>
            </w:r>
          </w:p>
          <w:p w14:paraId="35829C36" w14:textId="558D3946" w:rsidR="005C3816" w:rsidRPr="005C3816" w:rsidRDefault="005C3816" w:rsidP="005C3816">
            <w:pPr>
              <w:rPr>
                <w:rtl/>
              </w:rPr>
            </w:pPr>
            <w:r w:rsidRPr="005C3816">
              <w:rPr>
                <w:rtl/>
              </w:rPr>
              <w:t>تقترح هذه الوثيقة سبيلاً للمضي قدماً في المناقشات الجارية بشأن استعراض وحدة المساهمة (</w:t>
            </w:r>
            <w:r w:rsidRPr="005C3816">
              <w:t>CU</w:t>
            </w:r>
            <w:r w:rsidRPr="005C3816">
              <w:rPr>
                <w:rtl/>
              </w:rPr>
              <w:t>).</w:t>
            </w:r>
          </w:p>
          <w:p w14:paraId="6EAF8C72" w14:textId="64469A0A" w:rsidR="005C3816" w:rsidRPr="005C3816" w:rsidRDefault="005C3816" w:rsidP="005C3816">
            <w:pPr>
              <w:rPr>
                <w:rtl/>
              </w:rPr>
            </w:pPr>
            <w:r w:rsidRPr="005C3816">
              <w:rPr>
                <w:rtl/>
              </w:rPr>
              <w:t xml:space="preserve">ووفقاً لمقترح الأمانة، وافق المجلس في دورته لعام 2025 على الإبقاء على المستوى المؤقت لوحدة المساهمة عند المستوى نفسه البالغ </w:t>
            </w:r>
            <w:r>
              <w:t>318 000</w:t>
            </w:r>
            <w:r w:rsidRPr="005C3816">
              <w:rPr>
                <w:rtl/>
              </w:rPr>
              <w:t xml:space="preserve"> فرنك سويسري. وبالإضافة إلى ذلك، طلب أعضاء المجلس من الأمانة إعداد مقترحات لعرضها على الدول الأعضاء للنظر فيها فيما يتعلق بمراجعات منهجية وحدة المساهمة، بما في ذلك التعديلات المحتملة لمراعاة التضخم والأداء وتكلفة الولايات الجديدة. وستُنفذ هذه المنهجية في الفترة التي تسبق مؤتمر المندوبين لعام 2030، وستُدخل أي تعديلات على وحدة المساهمة حيز التنفيذ اعتباراً من عام 2032. وقدمت الأمانة مقترحات بهذا الشأن إلى فريق العمل التابع للمجلس والمعني بالموارد المالية والبشرية، في اجتماعه الذي عقد في يناير 2026.</w:t>
            </w:r>
          </w:p>
          <w:p w14:paraId="204CABDD" w14:textId="5FABE088" w:rsidR="007B0AA0" w:rsidRDefault="005C3816" w:rsidP="005C3816">
            <w:pPr>
              <w:rPr>
                <w:rtl/>
              </w:rPr>
            </w:pPr>
            <w:r w:rsidRPr="005C3816">
              <w:rPr>
                <w:rtl/>
              </w:rPr>
              <w:t>وأشارت الأمينة العامة إلى أنه لن يتم اقتراح أي زيادة في الميزانية المقررة في مؤتمر المندوبين لعام 2026. وبالإضافة إلى ذلك، يواصل الاتحاد العمل ضمن حدود الميزانية المعتمدة حالياً من خلال تعزيز الانضباط المالي. ولذلك، تقترح الأمانة في هذه الوثيقة مواصلة رصد الوضع المالي وتنفيذ تدابير لتعزيز الكفاءة، وتحسين التركيز والتنسيق، وتعزيز الانضباط المالي. ويُرى أن ذلك يُمكّن الاتحاد من العمل ضمن حدود ميزانيته المعتمدة حالياً، على الرغم من أن ذلك قد يعني عدم تمويل بعض المبادرات ضمن الميزانية العادية. وستقدم الأمانة تحديثات سنوية إلى المجلس بشأن التقارير المالية وتقيّم المعايير ذات الصلة بوحدة المساهمة على النحو المحدد في هذه الوثيقة.</w:t>
            </w:r>
          </w:p>
          <w:p w14:paraId="386A0332" w14:textId="77777777" w:rsidR="007B0AA0" w:rsidRPr="007B0AA0" w:rsidRDefault="007B0AA0" w:rsidP="007B0AA0">
            <w:pPr>
              <w:rPr>
                <w:b/>
                <w:bCs/>
                <w:rtl/>
              </w:rPr>
            </w:pPr>
            <w:r w:rsidRPr="007B0AA0">
              <w:rPr>
                <w:rFonts w:hint="cs"/>
                <w:b/>
                <w:bCs/>
                <w:rtl/>
              </w:rPr>
              <w:t>الإجراء المطلوب من المجلس</w:t>
            </w:r>
          </w:p>
          <w:p w14:paraId="56095AB2" w14:textId="764097E0" w:rsidR="007B0AA0" w:rsidRDefault="005C3816" w:rsidP="005C3816">
            <w:pPr>
              <w:rPr>
                <w:rtl/>
              </w:rPr>
            </w:pPr>
            <w:r w:rsidRPr="005C3816">
              <w:rPr>
                <w:rtl/>
                <w:lang w:bidi="ar-EG"/>
              </w:rPr>
              <w:t xml:space="preserve">يُدعى المجلس إلى </w:t>
            </w:r>
            <w:r w:rsidRPr="005C3816">
              <w:rPr>
                <w:b/>
                <w:bCs/>
                <w:rtl/>
                <w:lang w:bidi="ar-EG"/>
              </w:rPr>
              <w:t>الإحاطة علماً</w:t>
            </w:r>
            <w:r w:rsidRPr="005C3816">
              <w:rPr>
                <w:rtl/>
                <w:lang w:bidi="ar-EG"/>
              </w:rPr>
              <w:t xml:space="preserve"> بهذه الوثيقة.</w:t>
            </w:r>
          </w:p>
          <w:p w14:paraId="3FE94E15"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74655949" w14:textId="440685CC" w:rsidR="007B0AA0" w:rsidRDefault="005C3816" w:rsidP="005C3816">
            <w:pPr>
              <w:rPr>
                <w:rtl/>
                <w:lang w:bidi="ar-EG"/>
              </w:rPr>
            </w:pPr>
            <w:r w:rsidRPr="005C3816">
              <w:rPr>
                <w:rtl/>
                <w:lang w:bidi="ar-EG"/>
              </w:rPr>
              <w:t>يحدد مستوى وحدة المساهمة، وفئة وحدة المساهمة التي تضعها الدول الأعضاء، القيود المالية المطبقة على الخطط الاستراتيجية والمالية للاتحاد.</w:t>
            </w:r>
          </w:p>
          <w:p w14:paraId="6F1F47AB" w14:textId="77777777" w:rsidR="007B0AA0" w:rsidRDefault="007B0AA0" w:rsidP="00B97F32">
            <w:pPr>
              <w:rPr>
                <w:b/>
                <w:bCs/>
              </w:rPr>
            </w:pPr>
            <w:r w:rsidRPr="007B0AA0">
              <w:rPr>
                <w:rFonts w:hint="cs"/>
                <w:b/>
                <w:bCs/>
                <w:rtl/>
              </w:rPr>
              <w:t>الآثار المالية</w:t>
            </w:r>
          </w:p>
          <w:p w14:paraId="1E0D5898" w14:textId="6D5FD5FB" w:rsidR="006F363C" w:rsidRPr="005546CF" w:rsidRDefault="005C3816" w:rsidP="005C3816">
            <w:pPr>
              <w:rPr>
                <w:rtl/>
              </w:rPr>
            </w:pPr>
            <w:r w:rsidRPr="005C3816">
              <w:rPr>
                <w:rtl/>
              </w:rPr>
              <w:t>لا تنطبق</w:t>
            </w:r>
          </w:p>
          <w:p w14:paraId="010C813C"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7C68F3F" w14:textId="77777777" w:rsidR="007B0AA0" w:rsidRPr="007B0AA0" w:rsidRDefault="007B0AA0" w:rsidP="007B0AA0">
            <w:pPr>
              <w:rPr>
                <w:b/>
                <w:bCs/>
                <w:rtl/>
              </w:rPr>
            </w:pPr>
            <w:r w:rsidRPr="007B0AA0">
              <w:rPr>
                <w:rFonts w:hint="cs"/>
                <w:b/>
                <w:bCs/>
                <w:rtl/>
              </w:rPr>
              <w:t>المراجع</w:t>
            </w:r>
          </w:p>
          <w:p w14:paraId="7772436B" w14:textId="63A66A98" w:rsidR="007B0AA0" w:rsidRPr="005546CF" w:rsidRDefault="005C3816" w:rsidP="005C3816">
            <w:pPr>
              <w:rPr>
                <w:i/>
                <w:iCs/>
                <w:rtl/>
              </w:rPr>
            </w:pPr>
            <w:hyperlink r:id="rId8" w:anchor="/ar" w:history="1">
              <w:r w:rsidRPr="005C3816">
                <w:rPr>
                  <w:rStyle w:val="Hyperlink"/>
                  <w:i/>
                  <w:iCs/>
                  <w:noProof w:val="0"/>
                  <w:rtl/>
                  <w:lang w:val="en-US" w:eastAsia="zh-CN"/>
                </w:rPr>
                <w:t>الموقع الإلكتروني لفريق العمل</w:t>
              </w:r>
              <w:r w:rsidRPr="005C3816">
                <w:rPr>
                  <w:rStyle w:val="Hyperlink"/>
                  <w:b/>
                  <w:bCs/>
                  <w:i/>
                  <w:iCs/>
                  <w:noProof w:val="0"/>
                  <w:rtl/>
                  <w:lang w:val="en-US" w:eastAsia="zh-CN"/>
                </w:rPr>
                <w:t xml:space="preserve"> </w:t>
              </w:r>
              <w:r w:rsidRPr="005C3816">
                <w:rPr>
                  <w:rStyle w:val="Hyperlink"/>
                  <w:i/>
                  <w:iCs/>
                  <w:noProof w:val="0"/>
                  <w:lang w:eastAsia="zh-CN"/>
                </w:rPr>
                <w:t>CWG-FHR</w:t>
              </w:r>
            </w:hyperlink>
            <w:r w:rsidRPr="005C3816">
              <w:rPr>
                <w:i/>
                <w:iCs/>
                <w:rtl/>
              </w:rPr>
              <w:t xml:space="preserve">؛ ووثيقة المجلس </w:t>
            </w:r>
            <w:hyperlink r:id="rId9" w:history="1">
              <w:r w:rsidRPr="005C3816">
                <w:rPr>
                  <w:rStyle w:val="Hyperlink"/>
                  <w:i/>
                  <w:iCs/>
                  <w:noProof w:val="0"/>
                  <w:lang w:eastAsia="zh-CN"/>
                </w:rPr>
                <w:t>C25/54</w:t>
              </w:r>
            </w:hyperlink>
          </w:p>
        </w:tc>
      </w:tr>
    </w:tbl>
    <w:p w14:paraId="76BED096" w14:textId="77777777" w:rsidR="005C3816" w:rsidRPr="005C3816" w:rsidRDefault="005C3816" w:rsidP="005C3816">
      <w:pPr>
        <w:pStyle w:val="Headingb"/>
        <w:rPr>
          <w:lang w:bidi="ar-EG"/>
        </w:rPr>
      </w:pPr>
      <w:r w:rsidRPr="005C3816">
        <w:rPr>
          <w:rtl/>
        </w:rPr>
        <w:lastRenderedPageBreak/>
        <w:t>الخلفية والسياق</w:t>
      </w:r>
    </w:p>
    <w:p w14:paraId="1155077A" w14:textId="3B08FF41" w:rsidR="005C3816" w:rsidRPr="005C3816" w:rsidRDefault="005C3816" w:rsidP="00361918">
      <w:pPr>
        <w:rPr>
          <w:rtl/>
          <w:lang w:bidi="ar-EG"/>
        </w:rPr>
      </w:pPr>
      <w:r w:rsidRPr="005C3816">
        <w:rPr>
          <w:rtl/>
          <w:lang w:bidi="ar-EG"/>
        </w:rPr>
        <w:t xml:space="preserve">وافق المجلس في دورته المنعقدة في يونيو 2025 على الإبقاء على المستوى المؤقت للوحدة المساهمة عند نفس المستوى البالغ </w:t>
      </w:r>
      <w:r>
        <w:rPr>
          <w:lang w:bidi="ar-EG"/>
        </w:rPr>
        <w:t>318 000</w:t>
      </w:r>
      <w:r w:rsidRPr="005C3816">
        <w:rPr>
          <w:rtl/>
          <w:lang w:bidi="ar-EG"/>
        </w:rPr>
        <w:t xml:space="preserve"> فرنك سويسري. وبالإضافة إلى ذلك، أشار المجلس إلى تقارير الأمانة عن القيمة الاسمية طويلة المدى للوحدة المساهمة</w:t>
      </w:r>
      <w:r w:rsidR="0058655A">
        <w:rPr>
          <w:rFonts w:hint="cs"/>
          <w:rtl/>
          <w:lang w:bidi="ar-EG"/>
        </w:rPr>
        <w:t xml:space="preserve"> </w:t>
      </w:r>
      <w:r w:rsidR="0058655A">
        <w:rPr>
          <w:lang w:bidi="ar-EG"/>
        </w:rPr>
        <w:t>(CU)</w:t>
      </w:r>
      <w:r w:rsidRPr="005C3816">
        <w:rPr>
          <w:rtl/>
          <w:lang w:bidi="ar-EG"/>
        </w:rPr>
        <w:t>، والتي لم تتغير منذ عام 2006. وطلب المجلس من الأمانة تقديم نُهج محتملة لاستعراضها في المستقبل، مع مراعاة التضخم وتحسينات الأداء وانعكاسات الولايات الجديدة على التكاليف.</w:t>
      </w:r>
    </w:p>
    <w:p w14:paraId="060C85E7" w14:textId="13B9BB26" w:rsidR="005C3816" w:rsidRPr="005C3816" w:rsidRDefault="005C3816" w:rsidP="005C3816">
      <w:pPr>
        <w:rPr>
          <w:spacing w:val="-2"/>
          <w:rtl/>
          <w:lang w:bidi="ar-EG"/>
        </w:rPr>
      </w:pPr>
      <w:r w:rsidRPr="005C3816">
        <w:rPr>
          <w:spacing w:val="-2"/>
          <w:rtl/>
          <w:lang w:bidi="ar-EG"/>
        </w:rPr>
        <w:t>واستجابة</w:t>
      </w:r>
      <w:r w:rsidR="0058655A">
        <w:rPr>
          <w:rFonts w:hint="cs"/>
          <w:spacing w:val="-2"/>
          <w:rtl/>
          <w:lang w:bidi="ar-EG"/>
        </w:rPr>
        <w:t>ً</w:t>
      </w:r>
      <w:r w:rsidRPr="005C3816">
        <w:rPr>
          <w:spacing w:val="-2"/>
          <w:rtl/>
          <w:lang w:bidi="ar-EG"/>
        </w:rPr>
        <w:t xml:space="preserve"> لذلك، وضعت الأمانة نُهجاً استرشادية، ثم حسنتها لاحقاً في أعقاب مناقشات جرت في فريق العمل التابع للمجلس والمعني بالموارد المالية والبشرية </w:t>
      </w:r>
      <w:r w:rsidRPr="005C3816">
        <w:rPr>
          <w:spacing w:val="-2"/>
          <w:lang w:bidi="ar-EG"/>
        </w:rPr>
        <w:t>(CWG-FHR)</w:t>
      </w:r>
      <w:r w:rsidRPr="005C3816">
        <w:rPr>
          <w:spacing w:val="-2"/>
          <w:rtl/>
          <w:lang w:bidi="ar-EG"/>
        </w:rPr>
        <w:t xml:space="preserve">، بما في ذلك في يناير 2026. وتقترح الأمانة مواصلة تحسين المنهجية لضمان وجود إطار منظم وشفاف في حال تطلب الأمر إجراء تعديلات في المستقبل قبل انعقاد مؤتمر المندوبين المفوضين لعام 2030 ومؤتمرات المندوبين المفوضين اللاحقة. وترد المعايير المحددة في الوثيقة </w:t>
      </w:r>
      <w:hyperlink r:id="rId10">
        <w:r w:rsidRPr="005C3816">
          <w:rPr>
            <w:rStyle w:val="Hyperlink"/>
            <w:noProof w:val="0"/>
            <w:spacing w:val="-2"/>
            <w:lang w:eastAsia="zh-CN" w:bidi="ar-EG"/>
          </w:rPr>
          <w:t>C25/54</w:t>
        </w:r>
      </w:hyperlink>
      <w:r w:rsidRPr="0089411D">
        <w:rPr>
          <w:rtl/>
        </w:rPr>
        <w:t xml:space="preserve"> </w:t>
      </w:r>
      <w:r w:rsidRPr="005C3816">
        <w:rPr>
          <w:spacing w:val="-2"/>
          <w:rtl/>
          <w:lang w:bidi="ar-EG"/>
        </w:rPr>
        <w:t>على النحو التالي:</w:t>
      </w:r>
    </w:p>
    <w:p w14:paraId="29799356" w14:textId="77777777" w:rsidR="005C3816" w:rsidRPr="005C3816" w:rsidRDefault="005C3816" w:rsidP="0089411D">
      <w:pPr>
        <w:pStyle w:val="enumlev1"/>
        <w:rPr>
          <w:rtl/>
        </w:rPr>
      </w:pPr>
      <w:r w:rsidRPr="005C3816">
        <w:rPr>
          <w:rtl/>
        </w:rPr>
        <w:t>1</w:t>
      </w:r>
      <w:r w:rsidRPr="005C3816">
        <w:rPr>
          <w:rtl/>
        </w:rPr>
        <w:tab/>
      </w:r>
      <w:r w:rsidRPr="005C3816">
        <w:rPr>
          <w:b/>
          <w:bCs/>
          <w:rtl/>
        </w:rPr>
        <w:t>تعديل وحدة المساهمة لتعكس التضخم</w:t>
      </w:r>
      <w:r w:rsidRPr="005C3816">
        <w:rPr>
          <w:rtl/>
        </w:rPr>
        <w:t xml:space="preserve"> - من شأن ذلك أن يقيّم مستوى وحدة المساهمة لمراعاة الخسارة التراكمية في القوة الشرائية الناتجة عن مساهمة ثابتة في ظل بيئة تشهد تضخماً سنوياً. وسيوفر معياراً محايداً وقابلاً للتنبؤ به وتقنياً للنظر فيه، بما يتوافق مع تحركات التكاليف الأساسية في سويسرا.</w:t>
      </w:r>
    </w:p>
    <w:p w14:paraId="3816085C" w14:textId="77777777" w:rsidR="005C3816" w:rsidRPr="005C3816" w:rsidRDefault="005C3816" w:rsidP="0089411D">
      <w:pPr>
        <w:pStyle w:val="enumlev1"/>
        <w:rPr>
          <w:rtl/>
        </w:rPr>
      </w:pPr>
      <w:r w:rsidRPr="005C3816">
        <w:rPr>
          <w:rtl/>
        </w:rPr>
        <w:t>2</w:t>
      </w:r>
      <w:r w:rsidRPr="005C3816">
        <w:rPr>
          <w:rtl/>
        </w:rPr>
        <w:tab/>
      </w:r>
      <w:r w:rsidRPr="005C3816">
        <w:rPr>
          <w:b/>
          <w:bCs/>
          <w:rtl/>
        </w:rPr>
        <w:t xml:space="preserve">ربط الزيادات في وحدة المساهمة بتحسينات الأداء </w:t>
      </w:r>
      <w:r w:rsidRPr="005C3816">
        <w:rPr>
          <w:rtl/>
        </w:rPr>
        <w:t>- من شأن ذلك أن يقيّم التحسينات الملموسة في الكفاءة والشفافية وتنفيذ البرامج، مما قد يحفز الدول الأعضاء على الاستثمار في عمل الاتحاد. واستناداً إلى مؤشرات الإدارة القائمة على النتائج، وتماشياً مع مبادئ الإصلاح الأوسع للأمم المتحدة، سيوفر هذا النهج دليلاً واضحاً على القيمة مقابل المال، ويعزز تقديم الخدمات، ويحسن العمليات الداخلية، وبالتالي تعزيز المساءلة وبناء الثقة بين الدول الأعضاء.</w:t>
      </w:r>
    </w:p>
    <w:p w14:paraId="404B7B27" w14:textId="72570A32" w:rsidR="005C3816" w:rsidRPr="005C3816" w:rsidRDefault="005C3816" w:rsidP="0089411D">
      <w:pPr>
        <w:pStyle w:val="enumlev1"/>
        <w:rPr>
          <w:rtl/>
        </w:rPr>
      </w:pPr>
      <w:r w:rsidRPr="005C3816">
        <w:rPr>
          <w:rtl/>
        </w:rPr>
        <w:t>3</w:t>
      </w:r>
      <w:r w:rsidRPr="005C3816">
        <w:rPr>
          <w:rtl/>
        </w:rPr>
        <w:tab/>
      </w:r>
      <w:r w:rsidRPr="005C3816">
        <w:rPr>
          <w:b/>
          <w:bCs/>
          <w:rtl/>
        </w:rPr>
        <w:t>التكاليف الإضافية المرتبطة بالتكليفات الجديدة التي تقرها الدول الأعضاء</w:t>
      </w:r>
      <w:r w:rsidRPr="005C3816">
        <w:rPr>
          <w:rtl/>
        </w:rPr>
        <w:t xml:space="preserve"> - من شأن ذلك أن يقيّم أثر زيادة المتطلبات التشغيلية الناجمة عن القرارات والتوصيات التي تعتمدها الدول الأعضاء على وحدة المساهمة. ومن خلال تحديد التكاليف المترتبة على التكليفات الجديدة أو الموسعة وربطها مباشرة</w:t>
      </w:r>
      <w:r w:rsidR="005F7861">
        <w:rPr>
          <w:rFonts w:hint="cs"/>
          <w:rtl/>
        </w:rPr>
        <w:t>ً</w:t>
      </w:r>
      <w:r w:rsidRPr="005C3816">
        <w:rPr>
          <w:rtl/>
        </w:rPr>
        <w:t xml:space="preserve"> بالاحتياجات من الموارد، يحدد هذا النهج أي تباين محتمل بين الأولويات الاستراتيجية ومستويات التمويل، مع التأكيد على مبدأ أن القرارات الجماعية تترتب عليها مسؤوليات مالية مقابلة.</w:t>
      </w:r>
    </w:p>
    <w:p w14:paraId="2AC056D2" w14:textId="77777777" w:rsidR="005C3816" w:rsidRPr="005C3816" w:rsidRDefault="005C3816" w:rsidP="00361918">
      <w:pPr>
        <w:pStyle w:val="Headingb"/>
        <w:rPr>
          <w:rtl/>
          <w:lang w:bidi="ar-EG"/>
        </w:rPr>
      </w:pPr>
      <w:r w:rsidRPr="005C3816">
        <w:rPr>
          <w:rtl/>
          <w:lang w:bidi="ar-EG"/>
        </w:rPr>
        <w:t>الخطوات التالية</w:t>
      </w:r>
    </w:p>
    <w:p w14:paraId="2FCF6CFD" w14:textId="680F37AD" w:rsidR="005C3816" w:rsidRPr="005C3816" w:rsidRDefault="005C3816" w:rsidP="005C3816">
      <w:pPr>
        <w:rPr>
          <w:rtl/>
          <w:lang w:bidi="ar-EG"/>
        </w:rPr>
      </w:pPr>
      <w:r w:rsidRPr="005C3816">
        <w:rPr>
          <w:rtl/>
          <w:lang w:bidi="ar-EG"/>
        </w:rPr>
        <w:t>ستواصل الأمانة العمل ضمن إطار الميزانية الموافق عليها من خلال الانضباط المالي الجاري وتعزيز التوافق بين الإيرادات</w:t>
      </w:r>
      <w:r w:rsidR="00361918">
        <w:rPr>
          <w:rFonts w:hint="cs"/>
          <w:rtl/>
          <w:lang w:bidi="ar-EG"/>
        </w:rPr>
        <w:t> </w:t>
      </w:r>
      <w:r w:rsidRPr="005C3816">
        <w:rPr>
          <w:rtl/>
          <w:lang w:bidi="ar-EG"/>
        </w:rPr>
        <w:t>والنفقات.</w:t>
      </w:r>
    </w:p>
    <w:p w14:paraId="4AF85F7B" w14:textId="3B329968" w:rsidR="00F50E3F" w:rsidRPr="0089411D" w:rsidRDefault="005C3816" w:rsidP="005C3816">
      <w:pPr>
        <w:rPr>
          <w:spacing w:val="-3"/>
          <w:lang w:bidi="ar-EG"/>
        </w:rPr>
      </w:pPr>
      <w:r w:rsidRPr="0089411D">
        <w:rPr>
          <w:spacing w:val="-3"/>
          <w:rtl/>
          <w:lang w:bidi="ar-EG"/>
        </w:rPr>
        <w:t>وستواصل الأمانة رصد الوضع المالي للاتحاد، وستُدرج تحليلاً لمدى كفاية وحدة المساهمة كجزء من تقاريرها السنوية لتنفيذ الميزانية المقدمة إلى المجلس، استناداً إلى المعايير المذكورة أعلاه. ويمكن للمجلس حينها النظر في أي تعديلات مستقبلية على وحدة المساهمة، وبناء</w:t>
      </w:r>
      <w:r w:rsidR="005F7861" w:rsidRPr="0089411D">
        <w:rPr>
          <w:spacing w:val="-3"/>
          <w:rtl/>
          <w:lang w:bidi="ar-EG"/>
        </w:rPr>
        <w:t>ً</w:t>
      </w:r>
      <w:r w:rsidRPr="0089411D">
        <w:rPr>
          <w:spacing w:val="-3"/>
          <w:rtl/>
          <w:lang w:bidi="ar-EG"/>
        </w:rPr>
        <w:t xml:space="preserve"> على التقارير، سيتمكن المجلس من تحديد أي توصيات مستقبلية بشأن وحدة</w:t>
      </w:r>
      <w:r w:rsidR="00361918" w:rsidRPr="0089411D">
        <w:rPr>
          <w:rFonts w:hint="eastAsia"/>
          <w:spacing w:val="-3"/>
          <w:rtl/>
          <w:lang w:bidi="ar-EG"/>
        </w:rPr>
        <w:t> </w:t>
      </w:r>
      <w:r w:rsidRPr="0089411D">
        <w:rPr>
          <w:spacing w:val="-3"/>
          <w:rtl/>
          <w:lang w:bidi="ar-EG"/>
        </w:rPr>
        <w:t>المساهمة.</w:t>
      </w:r>
    </w:p>
    <w:p w14:paraId="3573CBAC"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1"/>
      <w:headerReference w:type="first" r:id="rId12"/>
      <w:footerReference w:type="first" r:id="rId1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4DDF" w14:textId="77777777" w:rsidR="005C3816" w:rsidRDefault="005C3816" w:rsidP="006C3242">
      <w:pPr>
        <w:spacing w:before="0" w:line="240" w:lineRule="auto"/>
      </w:pPr>
      <w:r>
        <w:separator/>
      </w:r>
    </w:p>
  </w:endnote>
  <w:endnote w:type="continuationSeparator" w:id="0">
    <w:p w14:paraId="475D933E" w14:textId="77777777" w:rsidR="005C3816" w:rsidRDefault="005C3816"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8ACCB73" w14:textId="77777777" w:rsidTr="00A67F05">
      <w:trPr>
        <w:jc w:val="center"/>
      </w:trPr>
      <w:tc>
        <w:tcPr>
          <w:tcW w:w="868" w:type="pct"/>
          <w:vAlign w:val="center"/>
        </w:tcPr>
        <w:p w14:paraId="097F9DCD" w14:textId="63352CBD" w:rsidR="00F50E3F" w:rsidRPr="007B0AA0" w:rsidRDefault="005C3816"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5C3816">
            <w:rPr>
              <w:rFonts w:ascii="Calibri" w:hAnsi="Calibri" w:cs="Arial"/>
              <w:sz w:val="18"/>
              <w:szCs w:val="14"/>
            </w:rPr>
            <w:t>2600729</w:t>
          </w:r>
        </w:p>
      </w:tc>
      <w:tc>
        <w:tcPr>
          <w:tcW w:w="3912" w:type="pct"/>
        </w:tcPr>
        <w:p w14:paraId="7FD57CBD" w14:textId="34853883"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5C3816">
            <w:rPr>
              <w:rFonts w:ascii="Calibri" w:hAnsi="Calibri" w:cs="Arial"/>
              <w:bCs/>
              <w:color w:val="7F7F7F"/>
              <w:sz w:val="18"/>
            </w:rPr>
            <w:t>72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C1F5280"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805B12D"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2C10DFBE" w14:textId="77777777" w:rsidTr="00A67F05">
      <w:trPr>
        <w:jc w:val="center"/>
      </w:trPr>
      <w:tc>
        <w:tcPr>
          <w:tcW w:w="1013" w:type="pct"/>
          <w:vAlign w:val="center"/>
        </w:tcPr>
        <w:p w14:paraId="29348828"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F583488" w14:textId="4E1BBE6F"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5C3816">
            <w:rPr>
              <w:rFonts w:ascii="Calibri" w:hAnsi="Calibri" w:cs="Arial"/>
              <w:bCs/>
              <w:color w:val="7F7F7F"/>
              <w:sz w:val="18"/>
            </w:rPr>
            <w:t>72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5E4229E"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E64356C"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6518" w14:textId="77777777" w:rsidR="005C3816" w:rsidRDefault="005C3816" w:rsidP="006C3242">
      <w:pPr>
        <w:spacing w:before="0" w:line="240" w:lineRule="auto"/>
      </w:pPr>
      <w:r>
        <w:separator/>
      </w:r>
    </w:p>
  </w:footnote>
  <w:footnote w:type="continuationSeparator" w:id="0">
    <w:p w14:paraId="667B859F" w14:textId="77777777" w:rsidR="005C3816" w:rsidRDefault="005C3816"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7CA6" w14:textId="77777777" w:rsidR="001A3E13" w:rsidRPr="00057769" w:rsidRDefault="001A3E13" w:rsidP="001A3E13">
    <w:pPr>
      <w:pStyle w:val="Header"/>
    </w:pPr>
    <w:r>
      <w:rPr>
        <w:noProof/>
      </w:rPr>
      <w:drawing>
        <wp:inline distT="0" distB="0" distL="0" distR="0" wp14:anchorId="5E4AE91E" wp14:editId="7ADE0C58">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7504622">
    <w:abstractNumId w:val="9"/>
  </w:num>
  <w:num w:numId="2" w16cid:durableId="1481002793">
    <w:abstractNumId w:val="7"/>
  </w:num>
  <w:num w:numId="3" w16cid:durableId="1831211813">
    <w:abstractNumId w:val="6"/>
  </w:num>
  <w:num w:numId="4" w16cid:durableId="50620419">
    <w:abstractNumId w:val="5"/>
  </w:num>
  <w:num w:numId="5" w16cid:durableId="1846673712">
    <w:abstractNumId w:val="4"/>
  </w:num>
  <w:num w:numId="6" w16cid:durableId="2032800140">
    <w:abstractNumId w:val="8"/>
  </w:num>
  <w:num w:numId="7" w16cid:durableId="1472599710">
    <w:abstractNumId w:val="3"/>
  </w:num>
  <w:num w:numId="8" w16cid:durableId="1668825758">
    <w:abstractNumId w:val="2"/>
  </w:num>
  <w:num w:numId="9" w16cid:durableId="1409187741">
    <w:abstractNumId w:val="1"/>
  </w:num>
  <w:num w:numId="10" w16cid:durableId="1201477779">
    <w:abstractNumId w:val="0"/>
  </w:num>
  <w:num w:numId="11" w16cid:durableId="1880127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6"/>
    <w:rsid w:val="000116AF"/>
    <w:rsid w:val="0006468A"/>
    <w:rsid w:val="00077A58"/>
    <w:rsid w:val="00090574"/>
    <w:rsid w:val="000C1C0E"/>
    <w:rsid w:val="000C548A"/>
    <w:rsid w:val="000F54A2"/>
    <w:rsid w:val="00191059"/>
    <w:rsid w:val="001A3E13"/>
    <w:rsid w:val="001B6E2B"/>
    <w:rsid w:val="001C0169"/>
    <w:rsid w:val="001C0C21"/>
    <w:rsid w:val="001D1D50"/>
    <w:rsid w:val="001D64C7"/>
    <w:rsid w:val="001D6745"/>
    <w:rsid w:val="001E446E"/>
    <w:rsid w:val="002154EE"/>
    <w:rsid w:val="00217371"/>
    <w:rsid w:val="00223E4C"/>
    <w:rsid w:val="002276D2"/>
    <w:rsid w:val="0023283D"/>
    <w:rsid w:val="00254393"/>
    <w:rsid w:val="0026373E"/>
    <w:rsid w:val="00271C43"/>
    <w:rsid w:val="00290728"/>
    <w:rsid w:val="002978F4"/>
    <w:rsid w:val="002B028D"/>
    <w:rsid w:val="002C3F32"/>
    <w:rsid w:val="002E6541"/>
    <w:rsid w:val="00334924"/>
    <w:rsid w:val="003409BC"/>
    <w:rsid w:val="00357185"/>
    <w:rsid w:val="00361918"/>
    <w:rsid w:val="00383829"/>
    <w:rsid w:val="003F4B29"/>
    <w:rsid w:val="00406D58"/>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8655A"/>
    <w:rsid w:val="00592EA5"/>
    <w:rsid w:val="005A3170"/>
    <w:rsid w:val="005C3816"/>
    <w:rsid w:val="005F466D"/>
    <w:rsid w:val="005F7861"/>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39F9"/>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9411D"/>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36E78"/>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1AF806"/>
  <w15:chartTrackingRefBased/>
  <w15:docId w15:val="{97E47703-0CED-4B21-AECC-048FC1FF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58655A"/>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fhr/Pages/default.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S25-CL-C-0054/en" TargetMode="External"/><Relationship Id="rId4" Type="http://schemas.openxmlformats.org/officeDocument/2006/relationships/settings" Target="settings.xml"/><Relationship Id="rId9" Type="http://schemas.openxmlformats.org/officeDocument/2006/relationships/hyperlink" Target="https://www.itu.int/md/S25-CL-C-0054/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3763</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for review and revision of the contributory unit</dc:title>
  <dc:subject>ITU Council 2026</dc:subject>
  <dc:creator>GBS</dc:creator>
  <cp:keywords>C26; C2026; Council 2026; PP26</cp:keywords>
  <dc:description/>
  <cp:lastModifiedBy>GBS</cp:lastModifiedBy>
  <cp:revision>3</cp:revision>
  <dcterms:created xsi:type="dcterms:W3CDTF">2026-04-26T13:14:00Z</dcterms:created>
  <dcterms:modified xsi:type="dcterms:W3CDTF">2026-04-26T13:14:00Z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