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AB3690" w14:paraId="08AE2812" w14:textId="77777777" w:rsidTr="00C4421B">
        <w:trPr>
          <w:cantSplit/>
          <w:trHeight w:val="23"/>
        </w:trPr>
        <w:tc>
          <w:tcPr>
            <w:tcW w:w="3969" w:type="dxa"/>
            <w:vMerge w:val="restart"/>
            <w:tcMar>
              <w:left w:w="0" w:type="dxa"/>
            </w:tcMar>
          </w:tcPr>
          <w:p w14:paraId="5C0F2A80" w14:textId="40EB85A2" w:rsidR="00FE57F6" w:rsidRPr="00AB3690" w:rsidRDefault="00BB6FD8" w:rsidP="00C4421B">
            <w:pPr>
              <w:tabs>
                <w:tab w:val="left" w:pos="851"/>
              </w:tabs>
              <w:spacing w:before="0" w:line="240" w:lineRule="atLeast"/>
              <w:rPr>
                <w:b/>
                <w:lang w:val="es-ES"/>
              </w:rPr>
            </w:pPr>
            <w:bookmarkStart w:id="0" w:name="_Hlk133421839"/>
            <w:r w:rsidRPr="00AB3690">
              <w:rPr>
                <w:b/>
                <w:lang w:val="es-ES"/>
              </w:rPr>
              <w:t>Orden del día</w:t>
            </w:r>
            <w:r w:rsidR="00FE57F6" w:rsidRPr="00AB3690">
              <w:rPr>
                <w:b/>
                <w:lang w:val="es-ES"/>
              </w:rPr>
              <w:t xml:space="preserve">: </w:t>
            </w:r>
            <w:r w:rsidR="002C4049">
              <w:rPr>
                <w:b/>
                <w:lang w:val="es-ES"/>
              </w:rPr>
              <w:t>ADM 3</w:t>
            </w:r>
          </w:p>
        </w:tc>
        <w:tc>
          <w:tcPr>
            <w:tcW w:w="5245" w:type="dxa"/>
          </w:tcPr>
          <w:p w14:paraId="4CDE56A0" w14:textId="4C4762D5" w:rsidR="00FE57F6" w:rsidRPr="00AB3690" w:rsidRDefault="00FE57F6" w:rsidP="00C4421B">
            <w:pPr>
              <w:tabs>
                <w:tab w:val="left" w:pos="851"/>
              </w:tabs>
              <w:spacing w:before="0" w:line="240" w:lineRule="atLeast"/>
              <w:jc w:val="right"/>
              <w:rPr>
                <w:b/>
                <w:lang w:val="es-ES"/>
              </w:rPr>
            </w:pPr>
            <w:r w:rsidRPr="00AB3690">
              <w:rPr>
                <w:b/>
                <w:lang w:val="es-ES"/>
              </w:rPr>
              <w:t>Document</w:t>
            </w:r>
            <w:r w:rsidR="00F24B71" w:rsidRPr="00AB3690">
              <w:rPr>
                <w:b/>
                <w:lang w:val="es-ES"/>
              </w:rPr>
              <w:t>o</w:t>
            </w:r>
            <w:r w:rsidRPr="00AB3690">
              <w:rPr>
                <w:b/>
                <w:lang w:val="es-ES"/>
              </w:rPr>
              <w:t xml:space="preserve"> C2</w:t>
            </w:r>
            <w:r w:rsidR="00F85E5C" w:rsidRPr="00AB3690">
              <w:rPr>
                <w:b/>
                <w:lang w:val="es-ES"/>
              </w:rPr>
              <w:t>6</w:t>
            </w:r>
            <w:r w:rsidRPr="00AB3690">
              <w:rPr>
                <w:b/>
                <w:lang w:val="es-ES"/>
              </w:rPr>
              <w:t>/</w:t>
            </w:r>
            <w:r w:rsidR="00961D6D" w:rsidRPr="00AB3690">
              <w:rPr>
                <w:b/>
                <w:lang w:val="es-ES"/>
              </w:rPr>
              <w:t>71</w:t>
            </w:r>
            <w:r w:rsidRPr="00AB3690">
              <w:rPr>
                <w:b/>
                <w:lang w:val="es-ES"/>
              </w:rPr>
              <w:t>-</w:t>
            </w:r>
            <w:r w:rsidR="00F24B71" w:rsidRPr="00AB3690">
              <w:rPr>
                <w:b/>
                <w:lang w:val="es-ES"/>
              </w:rPr>
              <w:t>S</w:t>
            </w:r>
          </w:p>
        </w:tc>
      </w:tr>
      <w:tr w:rsidR="00FE57F6" w:rsidRPr="00AB3690" w14:paraId="2F21F93E" w14:textId="77777777" w:rsidTr="00C4421B">
        <w:trPr>
          <w:cantSplit/>
        </w:trPr>
        <w:tc>
          <w:tcPr>
            <w:tcW w:w="3969" w:type="dxa"/>
            <w:vMerge/>
          </w:tcPr>
          <w:p w14:paraId="1C43FC41" w14:textId="77777777" w:rsidR="00FE57F6" w:rsidRPr="00AB3690" w:rsidRDefault="00FE57F6" w:rsidP="00C4421B">
            <w:pPr>
              <w:tabs>
                <w:tab w:val="left" w:pos="851"/>
              </w:tabs>
              <w:spacing w:line="240" w:lineRule="atLeast"/>
              <w:rPr>
                <w:b/>
                <w:lang w:val="es-ES"/>
              </w:rPr>
            </w:pPr>
          </w:p>
        </w:tc>
        <w:tc>
          <w:tcPr>
            <w:tcW w:w="5245" w:type="dxa"/>
          </w:tcPr>
          <w:p w14:paraId="7731088D" w14:textId="11852987" w:rsidR="00FE57F6" w:rsidRPr="00AB3690" w:rsidRDefault="00961D6D" w:rsidP="00C4421B">
            <w:pPr>
              <w:tabs>
                <w:tab w:val="left" w:pos="851"/>
              </w:tabs>
              <w:spacing w:before="0"/>
              <w:jc w:val="right"/>
              <w:rPr>
                <w:b/>
                <w:lang w:val="es-ES"/>
              </w:rPr>
            </w:pPr>
            <w:r w:rsidRPr="00AB3690">
              <w:rPr>
                <w:b/>
                <w:lang w:val="es-ES"/>
              </w:rPr>
              <w:t>27 de marzo de 2026</w:t>
            </w:r>
          </w:p>
        </w:tc>
      </w:tr>
      <w:tr w:rsidR="00FE57F6" w:rsidRPr="00AB3690" w14:paraId="5FEE50D2" w14:textId="77777777" w:rsidTr="00C4421B">
        <w:trPr>
          <w:cantSplit/>
          <w:trHeight w:val="23"/>
        </w:trPr>
        <w:tc>
          <w:tcPr>
            <w:tcW w:w="3969" w:type="dxa"/>
            <w:vMerge/>
          </w:tcPr>
          <w:p w14:paraId="45638847" w14:textId="77777777" w:rsidR="00FE57F6" w:rsidRPr="00AB3690" w:rsidRDefault="00FE57F6" w:rsidP="00C4421B">
            <w:pPr>
              <w:tabs>
                <w:tab w:val="left" w:pos="851"/>
              </w:tabs>
              <w:spacing w:line="240" w:lineRule="atLeast"/>
              <w:rPr>
                <w:b/>
                <w:lang w:val="es-ES"/>
              </w:rPr>
            </w:pPr>
          </w:p>
        </w:tc>
        <w:tc>
          <w:tcPr>
            <w:tcW w:w="5245" w:type="dxa"/>
          </w:tcPr>
          <w:p w14:paraId="166FF3F2" w14:textId="77777777" w:rsidR="00FE57F6" w:rsidRPr="00AB3690" w:rsidRDefault="00F24B71" w:rsidP="00C4421B">
            <w:pPr>
              <w:tabs>
                <w:tab w:val="left" w:pos="851"/>
              </w:tabs>
              <w:spacing w:before="0" w:line="240" w:lineRule="atLeast"/>
              <w:jc w:val="right"/>
              <w:rPr>
                <w:b/>
                <w:bCs/>
                <w:lang w:val="es-ES"/>
              </w:rPr>
            </w:pPr>
            <w:r w:rsidRPr="00AB3690">
              <w:rPr>
                <w:rFonts w:cstheme="minorHAnsi"/>
                <w:b/>
                <w:bCs/>
                <w:lang w:val="es-ES"/>
              </w:rPr>
              <w:t>Original: inglés</w:t>
            </w:r>
          </w:p>
        </w:tc>
      </w:tr>
      <w:tr w:rsidR="00FE57F6" w:rsidRPr="00AB3690" w14:paraId="1E53A570" w14:textId="77777777" w:rsidTr="00C4421B">
        <w:trPr>
          <w:cantSplit/>
          <w:trHeight w:val="23"/>
        </w:trPr>
        <w:tc>
          <w:tcPr>
            <w:tcW w:w="3969" w:type="dxa"/>
          </w:tcPr>
          <w:p w14:paraId="549F742F" w14:textId="77777777" w:rsidR="00FE57F6" w:rsidRPr="00AB3690" w:rsidRDefault="00FE57F6" w:rsidP="00C4421B">
            <w:pPr>
              <w:tabs>
                <w:tab w:val="left" w:pos="851"/>
              </w:tabs>
              <w:spacing w:line="240" w:lineRule="atLeast"/>
              <w:rPr>
                <w:b/>
                <w:lang w:val="es-ES"/>
              </w:rPr>
            </w:pPr>
          </w:p>
        </w:tc>
        <w:tc>
          <w:tcPr>
            <w:tcW w:w="5245" w:type="dxa"/>
          </w:tcPr>
          <w:p w14:paraId="04391E7F" w14:textId="77777777" w:rsidR="00FE57F6" w:rsidRPr="00AB3690" w:rsidRDefault="00FE57F6" w:rsidP="00C4421B">
            <w:pPr>
              <w:tabs>
                <w:tab w:val="left" w:pos="851"/>
              </w:tabs>
              <w:spacing w:before="0" w:line="240" w:lineRule="atLeast"/>
              <w:jc w:val="right"/>
              <w:rPr>
                <w:b/>
                <w:lang w:val="es-ES"/>
              </w:rPr>
            </w:pPr>
          </w:p>
        </w:tc>
      </w:tr>
      <w:tr w:rsidR="00FE57F6" w:rsidRPr="00B67C2E" w14:paraId="00F97292" w14:textId="77777777" w:rsidTr="00C4421B">
        <w:trPr>
          <w:cantSplit/>
        </w:trPr>
        <w:tc>
          <w:tcPr>
            <w:tcW w:w="9214" w:type="dxa"/>
            <w:gridSpan w:val="2"/>
            <w:tcMar>
              <w:left w:w="0" w:type="dxa"/>
            </w:tcMar>
          </w:tcPr>
          <w:p w14:paraId="09FE6F1D" w14:textId="77777777" w:rsidR="00FE57F6" w:rsidRPr="00AB3690" w:rsidRDefault="00157AC4" w:rsidP="00C4421B">
            <w:pPr>
              <w:pStyle w:val="Source"/>
              <w:jc w:val="left"/>
              <w:rPr>
                <w:sz w:val="34"/>
                <w:szCs w:val="34"/>
                <w:lang w:val="es-ES"/>
              </w:rPr>
            </w:pPr>
            <w:r w:rsidRPr="00AB3690">
              <w:rPr>
                <w:rFonts w:cstheme="minorHAnsi"/>
                <w:sz w:val="34"/>
                <w:szCs w:val="34"/>
                <w:lang w:val="es-ES"/>
              </w:rPr>
              <w:t>Informe de la Secretaria General</w:t>
            </w:r>
          </w:p>
        </w:tc>
      </w:tr>
      <w:tr w:rsidR="00FE57F6" w:rsidRPr="00B67C2E" w14:paraId="14CC52B2" w14:textId="77777777" w:rsidTr="00C4421B">
        <w:trPr>
          <w:cantSplit/>
        </w:trPr>
        <w:tc>
          <w:tcPr>
            <w:tcW w:w="9214" w:type="dxa"/>
            <w:gridSpan w:val="2"/>
            <w:tcMar>
              <w:left w:w="0" w:type="dxa"/>
            </w:tcMar>
          </w:tcPr>
          <w:p w14:paraId="7CAD0601" w14:textId="79A929F9" w:rsidR="00FE57F6" w:rsidRPr="00AB3690" w:rsidRDefault="00DF5D96" w:rsidP="00C4421B">
            <w:pPr>
              <w:pStyle w:val="Subtitle"/>
              <w:framePr w:hSpace="0" w:wrap="auto" w:hAnchor="text" w:xAlign="left" w:yAlign="inline"/>
              <w:rPr>
                <w:lang w:val="es-ES"/>
              </w:rPr>
            </w:pPr>
            <w:r w:rsidRPr="00AB3690">
              <w:rPr>
                <w:lang w:val="es-ES"/>
              </w:rPr>
              <w:t>ACTUALIZACIÓN DE LAS MEDIDAS PARA REDUCIR LA CARGA FINANCIERA DE LOS PAÍSES ANFITRIONES DE LAS CONFERENCIAS, REUNIONES Y ACTIVIDADES DE LA UIT</w:t>
            </w:r>
          </w:p>
        </w:tc>
      </w:tr>
      <w:tr w:rsidR="00FE57F6" w:rsidRPr="00B67C2E" w14:paraId="4B76E057" w14:textId="77777777" w:rsidTr="00C4421B">
        <w:trPr>
          <w:cantSplit/>
        </w:trPr>
        <w:tc>
          <w:tcPr>
            <w:tcW w:w="9214" w:type="dxa"/>
            <w:gridSpan w:val="2"/>
            <w:tcBorders>
              <w:top w:val="single" w:sz="4" w:space="0" w:color="auto"/>
              <w:bottom w:val="single" w:sz="4" w:space="0" w:color="auto"/>
            </w:tcBorders>
            <w:tcMar>
              <w:left w:w="0" w:type="dxa"/>
            </w:tcMar>
          </w:tcPr>
          <w:p w14:paraId="7D8D3F1E" w14:textId="77777777" w:rsidR="00FE57F6" w:rsidRPr="00AB3690" w:rsidRDefault="00F24B71" w:rsidP="00C4421B">
            <w:pPr>
              <w:spacing w:before="160"/>
              <w:rPr>
                <w:b/>
                <w:bCs/>
                <w:sz w:val="26"/>
                <w:szCs w:val="26"/>
                <w:lang w:val="es-ES"/>
              </w:rPr>
            </w:pPr>
            <w:r w:rsidRPr="00AB3690">
              <w:rPr>
                <w:b/>
                <w:bCs/>
                <w:sz w:val="26"/>
                <w:szCs w:val="26"/>
                <w:lang w:val="es-ES"/>
              </w:rPr>
              <w:t>Finalidad</w:t>
            </w:r>
          </w:p>
          <w:p w14:paraId="2EBB548A" w14:textId="2868D7B7" w:rsidR="00FE57F6" w:rsidRPr="00AC4836" w:rsidRDefault="00961D6D" w:rsidP="00DF5D96">
            <w:pPr>
              <w:jc w:val="both"/>
              <w:rPr>
                <w:spacing w:val="-2"/>
                <w:lang w:val="es-ES"/>
              </w:rPr>
            </w:pPr>
            <w:r w:rsidRPr="00AC4836">
              <w:rPr>
                <w:spacing w:val="-2"/>
                <w:lang w:val="es-ES"/>
              </w:rPr>
              <w:t xml:space="preserve">En el presente documento se informa sobre las posibles medidas para reducir la carga financiera de los países anfitriones de las conferencias, reuniones y actividades de la UIT. Está en consonancia con las propuestas para reducir las cargas financieras formuladas al Consejo de 2025 en la contribución de varios países del Documento </w:t>
            </w:r>
            <w:hyperlink r:id="rId6" w:history="1">
              <w:r w:rsidRPr="00AC4836">
                <w:rPr>
                  <w:rStyle w:val="Hyperlink"/>
                  <w:rFonts w:eastAsia="Times New Roman" w:cs="Times New Roman"/>
                  <w:spacing w:val="-2"/>
                  <w:szCs w:val="20"/>
                  <w:lang w:val="es-ES"/>
                </w:rPr>
                <w:t>C25/95</w:t>
              </w:r>
            </w:hyperlink>
            <w:r w:rsidRPr="00AC4836">
              <w:rPr>
                <w:spacing w:val="-2"/>
                <w:lang w:val="es-ES"/>
              </w:rPr>
              <w:t xml:space="preserve"> y sigue a los informes presentados al GTC-RHF en su 21.ª reunión de septiembre de 2025 (Documento </w:t>
            </w:r>
            <w:hyperlink r:id="rId7" w:history="1">
              <w:r w:rsidRPr="00AC4836">
                <w:rPr>
                  <w:rStyle w:val="Hyperlink"/>
                  <w:rFonts w:eastAsia="Times New Roman" w:cs="Times New Roman"/>
                  <w:spacing w:val="-2"/>
                  <w:szCs w:val="20"/>
                  <w:lang w:val="es-ES"/>
                </w:rPr>
                <w:t>CWG-FHR-21/8</w:t>
              </w:r>
            </w:hyperlink>
            <w:r w:rsidRPr="00AC4836">
              <w:rPr>
                <w:spacing w:val="-2"/>
                <w:lang w:val="es-ES"/>
              </w:rPr>
              <w:t xml:space="preserve">) y su 22.ª reunión de enero de 2026 (Documento </w:t>
            </w:r>
            <w:hyperlink r:id="rId8" w:history="1">
              <w:r w:rsidRPr="00AC4836">
                <w:rPr>
                  <w:rStyle w:val="Hyperlink"/>
                  <w:rFonts w:eastAsia="Times New Roman" w:cs="Times New Roman"/>
                  <w:spacing w:val="-2"/>
                  <w:szCs w:val="20"/>
                  <w:lang w:val="es-ES"/>
                </w:rPr>
                <w:t>CWG-FHR-22/19</w:t>
              </w:r>
            </w:hyperlink>
            <w:r w:rsidRPr="00AC4836">
              <w:rPr>
                <w:spacing w:val="-2"/>
                <w:lang w:val="es-ES"/>
              </w:rPr>
              <w:t>).</w:t>
            </w:r>
          </w:p>
          <w:p w14:paraId="63A708AC" w14:textId="77777777" w:rsidR="00FE57F6" w:rsidRPr="00AB3690" w:rsidRDefault="00F24B71" w:rsidP="00C4421B">
            <w:pPr>
              <w:spacing w:before="160"/>
              <w:rPr>
                <w:b/>
                <w:bCs/>
                <w:sz w:val="26"/>
                <w:szCs w:val="26"/>
                <w:lang w:val="es-ES"/>
              </w:rPr>
            </w:pPr>
            <w:r w:rsidRPr="00AB3690">
              <w:rPr>
                <w:b/>
                <w:bCs/>
                <w:sz w:val="26"/>
                <w:szCs w:val="26"/>
                <w:lang w:val="es-ES"/>
              </w:rPr>
              <w:t xml:space="preserve">Acción solicitada </w:t>
            </w:r>
            <w:r w:rsidR="00677A97" w:rsidRPr="00AB3690">
              <w:rPr>
                <w:b/>
                <w:bCs/>
                <w:sz w:val="26"/>
                <w:szCs w:val="26"/>
                <w:lang w:val="es-ES"/>
              </w:rPr>
              <w:t>al</w:t>
            </w:r>
            <w:r w:rsidRPr="00AB3690">
              <w:rPr>
                <w:b/>
                <w:bCs/>
                <w:sz w:val="26"/>
                <w:szCs w:val="26"/>
                <w:lang w:val="es-ES"/>
              </w:rPr>
              <w:t xml:space="preserve"> Consejo</w:t>
            </w:r>
          </w:p>
          <w:p w14:paraId="1A04A6D2" w14:textId="245C5613" w:rsidR="00F92BED" w:rsidRPr="00AB3690" w:rsidRDefault="00961D6D" w:rsidP="00C4421B">
            <w:pPr>
              <w:spacing w:before="160"/>
              <w:rPr>
                <w:szCs w:val="24"/>
                <w:lang w:val="es-ES"/>
              </w:rPr>
            </w:pPr>
            <w:r w:rsidRPr="00AB3690">
              <w:rPr>
                <w:szCs w:val="24"/>
                <w:lang w:val="es-ES"/>
              </w:rPr>
              <w:t xml:space="preserve">Se invita al Consejo a </w:t>
            </w:r>
            <w:r w:rsidRPr="00AB3690">
              <w:rPr>
                <w:b/>
                <w:bCs/>
                <w:szCs w:val="24"/>
                <w:lang w:val="es-ES"/>
              </w:rPr>
              <w:t xml:space="preserve">tomar nota </w:t>
            </w:r>
            <w:r w:rsidRPr="00AB3690">
              <w:rPr>
                <w:szCs w:val="24"/>
                <w:lang w:val="es-ES"/>
              </w:rPr>
              <w:t>de este documento.</w:t>
            </w:r>
          </w:p>
          <w:p w14:paraId="3F809530" w14:textId="77777777" w:rsidR="00F92BED" w:rsidRPr="00AB3690" w:rsidRDefault="00F92BED" w:rsidP="00C4421B">
            <w:pPr>
              <w:spacing w:before="160"/>
              <w:rPr>
                <w:b/>
                <w:bCs/>
                <w:sz w:val="26"/>
                <w:szCs w:val="26"/>
                <w:lang w:val="es-ES"/>
              </w:rPr>
            </w:pPr>
            <w:r w:rsidRPr="00AB3690">
              <w:rPr>
                <w:b/>
                <w:bCs/>
                <w:sz w:val="26"/>
                <w:szCs w:val="26"/>
                <w:lang w:val="es-ES"/>
              </w:rPr>
              <w:t>Vínculo(s) pertinente(s) con el Plan Estratégico</w:t>
            </w:r>
          </w:p>
          <w:p w14:paraId="42E8368B" w14:textId="58465980" w:rsidR="00F92BED" w:rsidRPr="00AB3690" w:rsidRDefault="00961D6D" w:rsidP="00C4421B">
            <w:pPr>
              <w:rPr>
                <w:lang w:val="es-ES"/>
              </w:rPr>
            </w:pPr>
            <w:r w:rsidRPr="00AB3690">
              <w:rPr>
                <w:lang w:val="es-ES"/>
              </w:rPr>
              <w:t>Plataformas de reunión</w:t>
            </w:r>
          </w:p>
          <w:p w14:paraId="61813FBF" w14:textId="77777777" w:rsidR="00F92BED" w:rsidRPr="00AB3690" w:rsidRDefault="00F92BED" w:rsidP="00C4421B">
            <w:pPr>
              <w:spacing w:before="160"/>
              <w:rPr>
                <w:b/>
                <w:bCs/>
                <w:sz w:val="26"/>
                <w:szCs w:val="26"/>
                <w:lang w:val="es-ES"/>
              </w:rPr>
            </w:pPr>
            <w:r w:rsidRPr="00AB3690">
              <w:rPr>
                <w:b/>
                <w:bCs/>
                <w:sz w:val="26"/>
                <w:szCs w:val="26"/>
                <w:lang w:val="es-ES"/>
              </w:rPr>
              <w:t>Repercusiones financieras</w:t>
            </w:r>
          </w:p>
          <w:p w14:paraId="367766A4" w14:textId="0AB54D48" w:rsidR="00F92BED" w:rsidRPr="00AB3690" w:rsidRDefault="00961D6D" w:rsidP="00C4421B">
            <w:pPr>
              <w:rPr>
                <w:lang w:val="es-ES"/>
              </w:rPr>
            </w:pPr>
            <w:r w:rsidRPr="00AB3690">
              <w:rPr>
                <w:lang w:val="es-ES"/>
              </w:rPr>
              <w:t>Con cargo al presupuesto asignado para 2026-2027.</w:t>
            </w:r>
          </w:p>
          <w:p w14:paraId="1DA97CC5" w14:textId="77777777" w:rsidR="00FE57F6" w:rsidRPr="00AB3690" w:rsidRDefault="00FE57F6" w:rsidP="00C4421B">
            <w:pPr>
              <w:spacing w:before="160"/>
              <w:rPr>
                <w:caps/>
                <w:sz w:val="22"/>
                <w:lang w:val="es-ES"/>
              </w:rPr>
            </w:pPr>
            <w:r w:rsidRPr="00AB3690">
              <w:rPr>
                <w:sz w:val="22"/>
                <w:lang w:val="es-ES"/>
              </w:rPr>
              <w:t>__________________</w:t>
            </w:r>
          </w:p>
          <w:p w14:paraId="0A244738" w14:textId="77777777" w:rsidR="00FE57F6" w:rsidRPr="00AB3690" w:rsidRDefault="00F24B71" w:rsidP="00C4421B">
            <w:pPr>
              <w:spacing w:before="160"/>
              <w:rPr>
                <w:b/>
                <w:bCs/>
                <w:sz w:val="26"/>
                <w:szCs w:val="26"/>
                <w:lang w:val="es-ES"/>
              </w:rPr>
            </w:pPr>
            <w:r w:rsidRPr="00AB3690">
              <w:rPr>
                <w:b/>
                <w:bCs/>
                <w:sz w:val="26"/>
                <w:szCs w:val="26"/>
                <w:lang w:val="es-ES"/>
              </w:rPr>
              <w:t>Referencia</w:t>
            </w:r>
            <w:r w:rsidR="00F92BED" w:rsidRPr="00AB3690">
              <w:rPr>
                <w:b/>
                <w:bCs/>
                <w:sz w:val="26"/>
                <w:szCs w:val="26"/>
                <w:lang w:val="es-ES"/>
              </w:rPr>
              <w:t>s</w:t>
            </w:r>
            <w:r w:rsidR="00D375E0" w:rsidRPr="00AB3690">
              <w:rPr>
                <w:sz w:val="26"/>
                <w:szCs w:val="26"/>
                <w:lang w:val="es-ES"/>
              </w:rPr>
              <w:t xml:space="preserve"> </w:t>
            </w:r>
          </w:p>
          <w:p w14:paraId="2CCCE4EB" w14:textId="7A78B3EC" w:rsidR="00FE57F6" w:rsidRPr="00DF5D96" w:rsidRDefault="00961D6D" w:rsidP="00C4421B">
            <w:pPr>
              <w:spacing w:after="160"/>
              <w:rPr>
                <w:i/>
                <w:iCs/>
                <w:sz w:val="22"/>
                <w:szCs w:val="22"/>
                <w:lang w:val="es-ES"/>
              </w:rPr>
            </w:pPr>
            <w:r w:rsidRPr="00DF5D96">
              <w:rPr>
                <w:i/>
                <w:iCs/>
                <w:sz w:val="22"/>
                <w:szCs w:val="22"/>
                <w:lang w:val="es-ES"/>
              </w:rPr>
              <w:t xml:space="preserve">Documentos </w:t>
            </w:r>
            <w:hyperlink r:id="rId9" w:history="1">
              <w:r w:rsidRPr="00DF5D96">
                <w:rPr>
                  <w:rStyle w:val="Hyperlink"/>
                  <w:rFonts w:eastAsia="Times New Roman" w:cs="Times New Roman"/>
                  <w:i/>
                  <w:iCs/>
                  <w:sz w:val="22"/>
                  <w:lang w:val="es-ES"/>
                </w:rPr>
                <w:t>C25/95</w:t>
              </w:r>
            </w:hyperlink>
            <w:r w:rsidRPr="00DF5D96">
              <w:rPr>
                <w:i/>
                <w:iCs/>
                <w:sz w:val="22"/>
                <w:szCs w:val="22"/>
                <w:lang w:val="es-ES"/>
              </w:rPr>
              <w:t xml:space="preserve">, </w:t>
            </w:r>
            <w:hyperlink r:id="rId10" w:history="1">
              <w:r w:rsidRPr="00DF5D96">
                <w:rPr>
                  <w:rStyle w:val="Hyperlink"/>
                  <w:rFonts w:eastAsia="Times New Roman" w:cs="Times New Roman"/>
                  <w:i/>
                  <w:iCs/>
                  <w:sz w:val="22"/>
                  <w:lang w:val="es-ES"/>
                </w:rPr>
                <w:t>CWG-FHR-21/8</w:t>
              </w:r>
            </w:hyperlink>
            <w:r w:rsidRPr="00DF5D96">
              <w:rPr>
                <w:i/>
                <w:iCs/>
                <w:sz w:val="22"/>
                <w:szCs w:val="22"/>
                <w:lang w:val="es-ES"/>
              </w:rPr>
              <w:t xml:space="preserve">, </w:t>
            </w:r>
            <w:hyperlink r:id="rId11" w:history="1">
              <w:r w:rsidRPr="00DF5D96">
                <w:rPr>
                  <w:rStyle w:val="Hyperlink"/>
                  <w:rFonts w:eastAsia="Times New Roman" w:cs="Times New Roman"/>
                  <w:i/>
                  <w:iCs/>
                  <w:sz w:val="22"/>
                  <w:lang w:val="es-ES"/>
                </w:rPr>
                <w:t>CWG-FHR-22/19</w:t>
              </w:r>
            </w:hyperlink>
            <w:r w:rsidRPr="00DF5D96">
              <w:rPr>
                <w:i/>
                <w:iCs/>
                <w:sz w:val="22"/>
                <w:szCs w:val="22"/>
                <w:lang w:val="es-ES"/>
              </w:rPr>
              <w:t xml:space="preserve"> y </w:t>
            </w:r>
            <w:hyperlink r:id="rId12" w:history="1">
              <w:r w:rsidRPr="00DF5D96">
                <w:rPr>
                  <w:rStyle w:val="Hyperlink"/>
                  <w:rFonts w:eastAsia="Times New Roman" w:cs="Times New Roman"/>
                  <w:i/>
                  <w:iCs/>
                  <w:sz w:val="22"/>
                  <w:lang w:val="es-ES"/>
                </w:rPr>
                <w:t>CWG-FHR-22/36</w:t>
              </w:r>
            </w:hyperlink>
            <w:r w:rsidRPr="00DF5D96">
              <w:rPr>
                <w:i/>
                <w:iCs/>
                <w:sz w:val="22"/>
                <w:szCs w:val="22"/>
                <w:lang w:val="es-ES"/>
              </w:rPr>
              <w:t>.</w:t>
            </w:r>
          </w:p>
        </w:tc>
      </w:tr>
      <w:bookmarkEnd w:id="0"/>
    </w:tbl>
    <w:p w14:paraId="6ED07F60" w14:textId="77777777" w:rsidR="001559F5" w:rsidRPr="00AB3690"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AB3690">
        <w:rPr>
          <w:lang w:val="es-ES"/>
        </w:rPr>
        <w:br w:type="page"/>
      </w:r>
    </w:p>
    <w:p w14:paraId="4FB38879" w14:textId="49430E0C" w:rsidR="00927F93" w:rsidRPr="00AB3690" w:rsidRDefault="005D5622" w:rsidP="005D5622">
      <w:pPr>
        <w:pStyle w:val="Headingb"/>
        <w:rPr>
          <w:lang w:val="es-ES"/>
        </w:rPr>
      </w:pPr>
      <w:r w:rsidRPr="00AB3690">
        <w:rPr>
          <w:lang w:val="es-ES"/>
        </w:rPr>
        <w:lastRenderedPageBreak/>
        <w:t>Propuesta 1: Utilizar más recursos de interpretación locales y/o nacionales e implementar la interpretación simultánea a distancia (RSI) en los eventos de la UIT</w:t>
      </w:r>
    </w:p>
    <w:p w14:paraId="28A9D7BA" w14:textId="77777777" w:rsidR="005D5622" w:rsidRPr="00AB3690" w:rsidRDefault="005D5622" w:rsidP="00AC4836">
      <w:pPr>
        <w:jc w:val="both"/>
        <w:rPr>
          <w:lang w:val="es-ES"/>
        </w:rPr>
      </w:pPr>
      <w:r w:rsidRPr="00AB3690">
        <w:rPr>
          <w:lang w:val="es-ES"/>
        </w:rPr>
        <w:t>La contratación de intérpretes locales cualificados reduciría los gastos de viaje, alojamiento y dietas de los intérpretes, que en otro caso serían sufragados por el país anfitrión o la UIT.</w:t>
      </w:r>
    </w:p>
    <w:p w14:paraId="16C5BD56" w14:textId="24BA080A" w:rsidR="005D5622" w:rsidRPr="00AB3690" w:rsidRDefault="005D5622" w:rsidP="00AC4836">
      <w:pPr>
        <w:pStyle w:val="Headingi"/>
        <w:rPr>
          <w:lang w:val="es-ES"/>
        </w:rPr>
      </w:pPr>
      <w:r w:rsidRPr="00AB3690">
        <w:rPr>
          <w:lang w:val="es-ES"/>
        </w:rPr>
        <w:t>Actualización de las medidas para formalizar y ampliar la utilización de intérpretes locales y</w:t>
      </w:r>
      <w:r w:rsidR="0066701A">
        <w:rPr>
          <w:lang w:val="es-ES"/>
        </w:rPr>
        <w:t> </w:t>
      </w:r>
      <w:r w:rsidRPr="00AB3690">
        <w:rPr>
          <w:lang w:val="es-ES"/>
        </w:rPr>
        <w:t>nacionales</w:t>
      </w:r>
    </w:p>
    <w:p w14:paraId="3AFD39A6" w14:textId="77777777" w:rsidR="005D5622" w:rsidRPr="00AB3690" w:rsidRDefault="005D5622" w:rsidP="00AC4836">
      <w:pPr>
        <w:jc w:val="both"/>
        <w:rPr>
          <w:lang w:val="es-ES"/>
        </w:rPr>
      </w:pPr>
      <w:r w:rsidRPr="00AB3690">
        <w:rPr>
          <w:lang w:val="es-ES"/>
        </w:rPr>
        <w:t>En enero de 2026, el GTC-Idiomas presentó y aprobó una propuesta sobre el fortalecimiento de la cooperación con los Estados Miembros de la UIT en materia de servicios profesionales de interpretación. Se invita a los Estados Miembros a que recomienden intérpretes profesionales locales que cumplan los criterios de combinación de idiomas, calificaciones educativas y experiencia suficiente para ser seleccionados por la Secretaría de la UIT a fin de establecer una lista de intérpretes cualificados para los eventos de la UIT.</w:t>
      </w:r>
    </w:p>
    <w:p w14:paraId="1F9971FE" w14:textId="77777777" w:rsidR="005D5622" w:rsidRPr="00AB3690" w:rsidRDefault="005D5622" w:rsidP="00AC4836">
      <w:pPr>
        <w:jc w:val="both"/>
        <w:rPr>
          <w:lang w:val="es-ES"/>
        </w:rPr>
      </w:pPr>
      <w:r w:rsidRPr="00AB3690">
        <w:rPr>
          <w:lang w:val="es-ES"/>
        </w:rPr>
        <w:t>También se invita a los Estados Miembros a facilitar los contactos entre la Secretaría de la UIT y las Instituciones Académicas locales que ofrecen cursos profesionales de interpretación de conferencias, a fin de permitir una formación orientada a las necesidades de la UIT y crear capacidad a largo plazo.</w:t>
      </w:r>
    </w:p>
    <w:p w14:paraId="5CB6EB33" w14:textId="35CB98E8" w:rsidR="005D5622" w:rsidRPr="00AB3690" w:rsidRDefault="005D5622" w:rsidP="00AC4836">
      <w:pPr>
        <w:jc w:val="both"/>
        <w:rPr>
          <w:lang w:val="es-ES"/>
        </w:rPr>
      </w:pPr>
      <w:r w:rsidRPr="00AB3690">
        <w:rPr>
          <w:lang w:val="es-ES"/>
        </w:rPr>
        <w:t>Los principales beneficios de esta iniciativa son la reducción de costes para la UIT y los países anfitriones; mejora de la presentación geográfica en el grupo de intérpretes; continuidad de servicio mejorada; desarrollo de capacidades</w:t>
      </w:r>
      <w:r w:rsidR="0066701A">
        <w:rPr>
          <w:lang w:val="es-ES"/>
        </w:rPr>
        <w:t>,</w:t>
      </w:r>
      <w:r w:rsidRPr="00AB3690">
        <w:rPr>
          <w:lang w:val="es-ES"/>
        </w:rPr>
        <w:t xml:space="preserve"> y disponibilidad sostenible de intérpretes a largo plazo.</w:t>
      </w:r>
    </w:p>
    <w:p w14:paraId="7069D9C4" w14:textId="18CD7778" w:rsidR="005D5622" w:rsidRPr="00AB3690" w:rsidRDefault="005D5622" w:rsidP="00AC4836">
      <w:pPr>
        <w:jc w:val="both"/>
        <w:rPr>
          <w:lang w:val="es-ES"/>
        </w:rPr>
      </w:pPr>
      <w:r w:rsidRPr="00AB3690">
        <w:rPr>
          <w:lang w:val="es-ES"/>
        </w:rPr>
        <w:t>La Secretaría ha enviado una Carta Circular (</w:t>
      </w:r>
      <w:hyperlink r:id="rId13" w:history="1">
        <w:r w:rsidRPr="00AB3690">
          <w:rPr>
            <w:rStyle w:val="Hyperlink"/>
            <w:rFonts w:eastAsia="Times New Roman" w:cs="Times New Roman"/>
            <w:szCs w:val="20"/>
            <w:lang w:val="es-ES"/>
          </w:rPr>
          <w:t>CL-26/11</w:t>
        </w:r>
      </w:hyperlink>
      <w:r w:rsidRPr="00AB3690">
        <w:rPr>
          <w:lang w:val="es-ES"/>
        </w:rPr>
        <w:t>) a todos los Estados Miembros y a las Organizaciones Regionales de Telecomunicaciones (ORT) fijando como fecha límite para la presentación de las respuestas de las partes interesadas el 31 de mayo de 2026. La Secretaría de la UIT se pondrá en contacto con los Estados Miembros y las ORT interesados para debatir la colaboración a nivel nacional o regional en junio/julio de 2026.</w:t>
      </w:r>
    </w:p>
    <w:p w14:paraId="27D43708" w14:textId="6F7E7417" w:rsidR="005D5622" w:rsidRPr="00AB3690" w:rsidRDefault="005D5622" w:rsidP="00AC4836">
      <w:pPr>
        <w:pStyle w:val="Headingi"/>
        <w:rPr>
          <w:lang w:val="es-ES"/>
        </w:rPr>
      </w:pPr>
      <w:r w:rsidRPr="00AB3690">
        <w:rPr>
          <w:lang w:val="es-ES"/>
        </w:rPr>
        <w:t>Información actualizada sobre la implementación de la interpretación simultánea a distancia</w:t>
      </w:r>
      <w:r w:rsidR="00913122" w:rsidRPr="00AB3690">
        <w:rPr>
          <w:lang w:val="es-ES"/>
        </w:rPr>
        <w:t> </w:t>
      </w:r>
      <w:r w:rsidRPr="00AB3690">
        <w:rPr>
          <w:lang w:val="es-ES"/>
        </w:rPr>
        <w:t>(RSI)</w:t>
      </w:r>
    </w:p>
    <w:p w14:paraId="134FE714" w14:textId="6EBCFD81" w:rsidR="005D5622" w:rsidRPr="00AB3690" w:rsidRDefault="005D5622" w:rsidP="00AC4836">
      <w:pPr>
        <w:jc w:val="both"/>
        <w:rPr>
          <w:lang w:val="es-ES"/>
        </w:rPr>
      </w:pPr>
      <w:r w:rsidRPr="00AB3690">
        <w:rPr>
          <w:lang w:val="es-ES"/>
        </w:rPr>
        <w:t>La Secretaría está ampliando su prueba sobre el uso de interpretación simultánea a distancia (RSI) y está ampliando su uso para incluir ciertas reuniones de la UIT con intérpretes que trabajan a distancia, reduciendo así sustancialmente los costes relacionados con los viajes. La RSI implica la prestación de servicios estándar de interpretación de conferencias por parte de intérpretes profesionales y experimentados que no están presentes en el lugar. Se estima que la reducción de costes que supondría utilizar RSI en lugar de intérpretes in situ representará entre un 20</w:t>
      </w:r>
      <w:r w:rsidR="00D61EC2">
        <w:rPr>
          <w:lang w:val="es-ES"/>
        </w:rPr>
        <w:t> </w:t>
      </w:r>
      <w:r w:rsidRPr="00AB3690">
        <w:rPr>
          <w:lang w:val="es-ES"/>
        </w:rPr>
        <w:t>% y un 25</w:t>
      </w:r>
      <w:r w:rsidR="00D61EC2">
        <w:rPr>
          <w:lang w:val="es-ES"/>
        </w:rPr>
        <w:t> </w:t>
      </w:r>
      <w:r w:rsidRPr="00AB3690">
        <w:rPr>
          <w:lang w:val="es-ES"/>
        </w:rPr>
        <w:t>%.</w:t>
      </w:r>
    </w:p>
    <w:p w14:paraId="7B60B471" w14:textId="77777777" w:rsidR="005D5622" w:rsidRPr="00AB3690" w:rsidRDefault="005D5622" w:rsidP="005D5622">
      <w:pPr>
        <w:rPr>
          <w:lang w:val="es-ES"/>
        </w:rPr>
      </w:pPr>
      <w:r w:rsidRPr="00AB3690">
        <w:rPr>
          <w:lang w:val="es-ES"/>
        </w:rPr>
        <w:t xml:space="preserve">En 2026, la RSI se aplicará a los eventos celebrados fuera de Ginebra con el acuerdo del país anfitrión y en estrecha colaboración entre los equipos técnicos de la UIT y el país anfitrión. </w:t>
      </w:r>
    </w:p>
    <w:p w14:paraId="47F74C82" w14:textId="77777777" w:rsidR="005D5622" w:rsidRPr="00AB3690" w:rsidRDefault="005D5622" w:rsidP="00AC4836">
      <w:pPr>
        <w:pStyle w:val="Headingi"/>
        <w:rPr>
          <w:lang w:val="es-ES"/>
        </w:rPr>
      </w:pPr>
      <w:r w:rsidRPr="00AB3690">
        <w:rPr>
          <w:lang w:val="es-ES"/>
        </w:rPr>
        <w:t>Interpretación basada en IA</w:t>
      </w:r>
    </w:p>
    <w:p w14:paraId="69BE66CB" w14:textId="2DFE9A1C" w:rsidR="005D5622" w:rsidRPr="00AB3690" w:rsidRDefault="005D5622" w:rsidP="00AC4836">
      <w:pPr>
        <w:jc w:val="both"/>
        <w:rPr>
          <w:lang w:val="es-ES"/>
        </w:rPr>
      </w:pPr>
      <w:r w:rsidRPr="00AB3690">
        <w:rPr>
          <w:lang w:val="es-ES"/>
        </w:rPr>
        <w:t xml:space="preserve">Como parte de su estrategia de interpretación a largo plazo, y con el fin de mantenerse al día de los nuevos avances tecnológicos, la UIT sigue probando y evaluando los servicios de interpretación y subtitulado basados en IA. Esto incluye la prueba de productos de una gama de proveedores comerciales, así como el desarrollo y prueba de herramientas internas de subtitulado e interpretación. La calidad de la interpretación basada en IA está mejorando </w:t>
      </w:r>
      <w:r w:rsidRPr="00AB3690">
        <w:rPr>
          <w:lang w:val="es-ES"/>
        </w:rPr>
        <w:lastRenderedPageBreak/>
        <w:t xml:space="preserve">rápidamente, pero no es de nivel suficiente para ser utilizada en reuniones formales. Las pruebas se centrarán en los siguientes tipos de reuniones, de conformidad con el Informe sobre los retos y oportunidades de la interpretación de IA </w:t>
      </w:r>
      <w:r w:rsidR="00F12FBF">
        <w:rPr>
          <w:lang w:val="es-ES"/>
        </w:rPr>
        <w:t>(</w:t>
      </w:r>
      <w:r w:rsidR="00F12FBF" w:rsidRPr="00F12FBF">
        <w:rPr>
          <w:lang w:val="es-ES"/>
        </w:rPr>
        <w:t xml:space="preserve">Documento </w:t>
      </w:r>
      <w:hyperlink r:id="rId14" w:history="1">
        <w:r w:rsidRPr="00AB3690">
          <w:rPr>
            <w:rStyle w:val="Hyperlink"/>
            <w:rFonts w:eastAsia="Times New Roman" w:cs="Times New Roman"/>
            <w:szCs w:val="20"/>
            <w:lang w:val="es-ES"/>
          </w:rPr>
          <w:t>CWG-LANG-16/INF/1</w:t>
        </w:r>
      </w:hyperlink>
      <w:r w:rsidRPr="00AB3690">
        <w:rPr>
          <w:lang w:val="es-ES"/>
        </w:rPr>
        <w:t>):</w:t>
      </w:r>
    </w:p>
    <w:p w14:paraId="2AB6CF3E" w14:textId="77777777" w:rsidR="005D5622" w:rsidRPr="00AB3690" w:rsidRDefault="005D5622" w:rsidP="00AC4836">
      <w:pPr>
        <w:pStyle w:val="enumlev1"/>
        <w:jc w:val="both"/>
        <w:rPr>
          <w:lang w:val="es-ES"/>
        </w:rPr>
      </w:pPr>
      <w:r w:rsidRPr="00AB3690">
        <w:rPr>
          <w:lang w:val="es-ES"/>
        </w:rPr>
        <w:t>–</w:t>
      </w:r>
      <w:r w:rsidRPr="00AB3690">
        <w:rPr>
          <w:lang w:val="es-ES"/>
        </w:rPr>
        <w:tab/>
        <w:t>Reuniones en las que sólo se hace uso de la palabra, como reuniones informativas con escasa participación con la audiencia.</w:t>
      </w:r>
    </w:p>
    <w:p w14:paraId="42393E90" w14:textId="77777777" w:rsidR="005D5622" w:rsidRPr="00AB3690" w:rsidRDefault="005D5622" w:rsidP="00AC4836">
      <w:pPr>
        <w:pStyle w:val="enumlev1"/>
        <w:jc w:val="both"/>
        <w:rPr>
          <w:lang w:val="es-ES"/>
        </w:rPr>
      </w:pPr>
      <w:r w:rsidRPr="00AB3690">
        <w:rPr>
          <w:lang w:val="es-ES"/>
        </w:rPr>
        <w:t>–</w:t>
      </w:r>
      <w:r w:rsidRPr="00AB3690">
        <w:rPr>
          <w:lang w:val="es-ES"/>
        </w:rPr>
        <w:tab/>
        <w:t>Reuniones informales, como reuniones internas de la Secretaría con escasa participación de los delegados.</w:t>
      </w:r>
    </w:p>
    <w:p w14:paraId="2921E744" w14:textId="77777777" w:rsidR="005D5622" w:rsidRPr="00AB3690" w:rsidRDefault="005D5622" w:rsidP="00AC4836">
      <w:pPr>
        <w:pStyle w:val="enumlev1"/>
        <w:jc w:val="both"/>
        <w:rPr>
          <w:lang w:val="es-ES"/>
        </w:rPr>
      </w:pPr>
      <w:r w:rsidRPr="00AB3690">
        <w:rPr>
          <w:lang w:val="es-ES"/>
        </w:rPr>
        <w:t>–</w:t>
      </w:r>
      <w:r w:rsidRPr="00AB3690">
        <w:rPr>
          <w:lang w:val="es-ES"/>
        </w:rPr>
        <w:tab/>
        <w:t>Talleres temáticos</w:t>
      </w:r>
    </w:p>
    <w:p w14:paraId="14B1E416" w14:textId="77777777" w:rsidR="005D5622" w:rsidRPr="00AB3690" w:rsidRDefault="005D5622" w:rsidP="00AC4836">
      <w:pPr>
        <w:pStyle w:val="enumlev1"/>
        <w:jc w:val="both"/>
        <w:rPr>
          <w:lang w:val="es-ES"/>
        </w:rPr>
      </w:pPr>
      <w:r w:rsidRPr="00AB3690">
        <w:rPr>
          <w:lang w:val="es-ES"/>
        </w:rPr>
        <w:t>–</w:t>
      </w:r>
      <w:r w:rsidRPr="00AB3690">
        <w:rPr>
          <w:lang w:val="es-ES"/>
        </w:rPr>
        <w:tab/>
        <w:t xml:space="preserve">Reuniones regionales </w:t>
      </w:r>
    </w:p>
    <w:p w14:paraId="0787E54E" w14:textId="77777777" w:rsidR="005D5622" w:rsidRPr="00AB3690" w:rsidRDefault="005D5622" w:rsidP="00AC4836">
      <w:pPr>
        <w:pStyle w:val="enumlev1"/>
        <w:jc w:val="both"/>
        <w:rPr>
          <w:lang w:val="es-ES"/>
        </w:rPr>
      </w:pPr>
      <w:r w:rsidRPr="00AB3690">
        <w:rPr>
          <w:lang w:val="es-ES"/>
        </w:rPr>
        <w:t>–</w:t>
      </w:r>
      <w:r w:rsidRPr="00AB3690">
        <w:rPr>
          <w:lang w:val="es-ES"/>
        </w:rPr>
        <w:tab/>
        <w:t>Eventos que impliquen mesas redondas con más de una mesa en los que la interpretación en persona resulte poco práctica o prohibitivamente costosa.</w:t>
      </w:r>
    </w:p>
    <w:p w14:paraId="0374957D" w14:textId="77777777" w:rsidR="005D5622" w:rsidRPr="00AB3690" w:rsidRDefault="005D5622" w:rsidP="00AC4836">
      <w:pPr>
        <w:pStyle w:val="enumlev1"/>
        <w:jc w:val="both"/>
        <w:rPr>
          <w:lang w:val="es-ES"/>
        </w:rPr>
      </w:pPr>
      <w:r w:rsidRPr="00AB3690">
        <w:rPr>
          <w:lang w:val="es-ES"/>
        </w:rPr>
        <w:t>–</w:t>
      </w:r>
      <w:r w:rsidRPr="00AB3690">
        <w:rPr>
          <w:lang w:val="es-ES"/>
        </w:rPr>
        <w:tab/>
        <w:t>Reuniones de grupos de trabajo sin capacidad decisoria en las que, de otro modo, no se dispondría de servicios de interpretación.</w:t>
      </w:r>
    </w:p>
    <w:p w14:paraId="1AE210C4" w14:textId="339DBB37" w:rsidR="005D5622" w:rsidRPr="00AB3690" w:rsidRDefault="005D5622" w:rsidP="005D5622">
      <w:pPr>
        <w:pStyle w:val="Headingb"/>
        <w:rPr>
          <w:lang w:val="es-ES"/>
        </w:rPr>
      </w:pPr>
      <w:r w:rsidRPr="00AB3690">
        <w:rPr>
          <w:lang w:val="es-ES"/>
        </w:rPr>
        <w:t>Propuesta 2: Suministro local de equipos y dispositivos de TI</w:t>
      </w:r>
    </w:p>
    <w:p w14:paraId="3307B9EB" w14:textId="2979B837" w:rsidR="005D5622" w:rsidRPr="00AB3690" w:rsidRDefault="005D5622" w:rsidP="00AC4836">
      <w:pPr>
        <w:jc w:val="both"/>
        <w:rPr>
          <w:lang w:val="es-ES"/>
        </w:rPr>
      </w:pPr>
      <w:r w:rsidRPr="00AB3690">
        <w:rPr>
          <w:lang w:val="es-ES"/>
        </w:rPr>
        <w:t>Conforme a lo solicitado por el GTC-RHF en su 22</w:t>
      </w:r>
      <w:r w:rsidR="008B0299">
        <w:rPr>
          <w:lang w:val="es-ES"/>
        </w:rPr>
        <w:t>.</w:t>
      </w:r>
      <w:r w:rsidRPr="00AB3690">
        <w:rPr>
          <w:lang w:val="es-ES"/>
        </w:rPr>
        <w:t xml:space="preserve">ª reunión (Documento </w:t>
      </w:r>
      <w:hyperlink r:id="rId15" w:history="1">
        <w:r w:rsidRPr="00AB3690">
          <w:rPr>
            <w:rStyle w:val="Hyperlink"/>
            <w:rFonts w:eastAsia="Times New Roman" w:cs="Times New Roman"/>
            <w:szCs w:val="20"/>
            <w:lang w:val="es-ES"/>
          </w:rPr>
          <w:t>CWG-FHR-22/36</w:t>
        </w:r>
      </w:hyperlink>
      <w:r w:rsidRPr="00AB3690">
        <w:rPr>
          <w:lang w:val="es-ES"/>
        </w:rPr>
        <w:t xml:space="preserve">), en el Anexo 1 al Documento </w:t>
      </w:r>
      <w:hyperlink r:id="rId16" w:history="1">
        <w:r w:rsidRPr="008B0299">
          <w:rPr>
            <w:rStyle w:val="Hyperlink"/>
            <w:rFonts w:eastAsia="Times New Roman" w:cs="Times New Roman"/>
            <w:szCs w:val="20"/>
            <w:lang w:val="es-ES"/>
          </w:rPr>
          <w:t>C26/INF/8</w:t>
        </w:r>
      </w:hyperlink>
      <w:r w:rsidRPr="00AB3690">
        <w:rPr>
          <w:lang w:val="es-ES"/>
        </w:rPr>
        <w:t xml:space="preserve"> se facilita una lista de muestras de equipos de TI enviados y el coste de compra de cada elemento, según la CMDT 2025, y en el Anexo 2 al Documento </w:t>
      </w:r>
      <w:r w:rsidRPr="008B0299">
        <w:rPr>
          <w:lang w:val="es-ES"/>
        </w:rPr>
        <w:t>C26/INF/8</w:t>
      </w:r>
      <w:r w:rsidRPr="00AB3690">
        <w:rPr>
          <w:lang w:val="es-ES"/>
        </w:rPr>
        <w:t xml:space="preserve"> un resumen de los gastos de envío de los principales eventos de la UIT celebrados fuera de Ginebra desde 2024.</w:t>
      </w:r>
    </w:p>
    <w:p w14:paraId="4A743906" w14:textId="77777777" w:rsidR="005D5622" w:rsidRPr="00AB3690" w:rsidRDefault="005D5622" w:rsidP="00AC4836">
      <w:pPr>
        <w:jc w:val="both"/>
        <w:rPr>
          <w:lang w:val="es-ES"/>
        </w:rPr>
      </w:pPr>
      <w:r w:rsidRPr="00AB3690">
        <w:rPr>
          <w:lang w:val="es-ES"/>
        </w:rPr>
        <w:t xml:space="preserve">Para reducir el tiempo de implementación </w:t>
      </w:r>
      <w:r w:rsidRPr="008B0299">
        <w:rPr>
          <w:i/>
          <w:iCs/>
          <w:lang w:val="es-ES"/>
        </w:rPr>
        <w:t>in situ</w:t>
      </w:r>
      <w:r w:rsidRPr="00AB3690">
        <w:rPr>
          <w:lang w:val="es-ES"/>
        </w:rPr>
        <w:t>, todos los equipos se envían preconfigurados de acuerdo con los requisitos de la conferencia. Además, la UIT solicita al país anfitrión que proporcione equipos e infraestructura normalizados, incluidos monitores informáticos, infraestructura de red alámbrica, infraestructura Wi-Fi, infraestructura audiovisual (AV) y sistemas de señalización.</w:t>
      </w:r>
    </w:p>
    <w:p w14:paraId="67BC6E0C" w14:textId="77777777" w:rsidR="005D5622" w:rsidRPr="00AB3690" w:rsidRDefault="005D5622" w:rsidP="00AC4836">
      <w:pPr>
        <w:jc w:val="both"/>
        <w:rPr>
          <w:lang w:val="es-ES"/>
        </w:rPr>
      </w:pPr>
      <w:r w:rsidRPr="00AB3690">
        <w:rPr>
          <w:lang w:val="es-ES"/>
        </w:rPr>
        <w:t>Se están desplegando esfuerzos continuos para modernizar los sistemas y reducir aún más la dependencia de la infraestructura con sede en Ginebra.</w:t>
      </w:r>
    </w:p>
    <w:p w14:paraId="42D6BE84" w14:textId="228302C7" w:rsidR="005D5622" w:rsidRPr="00AB3690" w:rsidRDefault="005D5622" w:rsidP="00AC4836">
      <w:pPr>
        <w:jc w:val="both"/>
        <w:rPr>
          <w:lang w:val="es-ES"/>
        </w:rPr>
      </w:pPr>
      <w:r w:rsidRPr="00AB3690">
        <w:rPr>
          <w:lang w:val="es-ES"/>
        </w:rPr>
        <w:t xml:space="preserve">En la medida de lo posible, si se dispone de un proveedor de servicios local cualificado capaz de soportar la tecnología y la integración necesarias, determinados equipos audiovisuales de la UIT </w:t>
      </w:r>
      <w:r w:rsidR="008B0299" w:rsidRPr="008B0299">
        <w:rPr>
          <w:lang w:val="es-ES"/>
        </w:rPr>
        <w:t>–</w:t>
      </w:r>
      <w:r w:rsidRPr="00AB3690">
        <w:rPr>
          <w:lang w:val="es-ES"/>
        </w:rPr>
        <w:t>como los bastidores AV o las maletas técnicas de transporte profesional</w:t>
      </w:r>
      <w:r w:rsidR="008B0299" w:rsidRPr="008B0299">
        <w:rPr>
          <w:lang w:val="es-ES"/>
        </w:rPr>
        <w:t>–</w:t>
      </w:r>
      <w:r w:rsidRPr="00AB3690">
        <w:rPr>
          <w:lang w:val="es-ES"/>
        </w:rPr>
        <w:t xml:space="preserve"> ya no podrán incluirse en el envío de la UIT, previa aprobación durante los preparativos previos al evento.</w:t>
      </w:r>
    </w:p>
    <w:p w14:paraId="4523EBFF" w14:textId="4357A6F8" w:rsidR="005D5622" w:rsidRPr="00AB3690" w:rsidRDefault="005D5622" w:rsidP="00AC4836">
      <w:pPr>
        <w:jc w:val="both"/>
        <w:rPr>
          <w:lang w:val="es-ES"/>
        </w:rPr>
      </w:pPr>
      <w:r w:rsidRPr="00AB3690">
        <w:rPr>
          <w:lang w:val="es-ES"/>
        </w:rPr>
        <w:t>Sobre la base de las cifras financieras indicadas en el Documento C26/INF/8, el país anfitrión debería realizar una evaluación financiera para determinar si es más rentable obtener los equipos enumerados de la UIT o obtenerlos localmente. Si el equipo se suministra localmente, el país anfitrión debe garantizar su compatibilidad técnica, su plena configuración y operatividad a tiempo para la conferencia, y de que se disponga del apoyo técnico adecuado durante todo el evento.</w:t>
      </w:r>
    </w:p>
    <w:p w14:paraId="2BCB6378" w14:textId="31E97D28" w:rsidR="005D5622" w:rsidRPr="00AB3690" w:rsidRDefault="005D5622" w:rsidP="005D5622">
      <w:pPr>
        <w:pStyle w:val="Headingb"/>
        <w:rPr>
          <w:lang w:val="es-ES"/>
        </w:rPr>
      </w:pPr>
      <w:r w:rsidRPr="00AB3690">
        <w:rPr>
          <w:lang w:val="es-ES"/>
        </w:rPr>
        <w:t>Propuesta 3: Avanzar hacia un modelo de acreditación totalmente digital para conferencias a través de procesos simplificados e insignias digitales habilitadas</w:t>
      </w:r>
    </w:p>
    <w:p w14:paraId="5F163F8D" w14:textId="77777777" w:rsidR="005D5622" w:rsidRPr="00AB3690" w:rsidRDefault="005D5622" w:rsidP="00AC4836">
      <w:pPr>
        <w:jc w:val="both"/>
        <w:rPr>
          <w:lang w:val="es-ES"/>
        </w:rPr>
      </w:pPr>
      <w:r w:rsidRPr="00AB3690">
        <w:rPr>
          <w:lang w:val="es-ES"/>
        </w:rPr>
        <w:t xml:space="preserve">El paso de los materiales de identificación impresos a las credenciales digitales de conferencia reduce los costes administrativos y materiales de la producción de tarjetas de identificación y mejora la sostenibilidad. Sin embargo, esta transición también conlleva nuevos costes, como la adquisición o el alquiler de herramientas de acceso digital como los equipos de escaneo y </w:t>
      </w:r>
      <w:r w:rsidRPr="00AB3690">
        <w:rPr>
          <w:lang w:val="es-ES"/>
        </w:rPr>
        <w:lastRenderedPageBreak/>
        <w:t xml:space="preserve">los dispositivos de verificación biométrica. Estas necesidades difieren según el lugar de celebración del evento y dependen principalmente de si el evento se celebra en Ginebra o en otro país anfitrión. </w:t>
      </w:r>
    </w:p>
    <w:p w14:paraId="7390E387" w14:textId="77777777" w:rsidR="005D5622" w:rsidRPr="00AB3690" w:rsidRDefault="005D5622" w:rsidP="00AC4836">
      <w:pPr>
        <w:jc w:val="both"/>
        <w:rPr>
          <w:lang w:val="es-ES"/>
        </w:rPr>
      </w:pPr>
      <w:r w:rsidRPr="00AB3690">
        <w:rPr>
          <w:lang w:val="es-ES"/>
        </w:rPr>
        <w:t xml:space="preserve">Los exámenes iniciales de la infraestructura y las operaciones necesarias indican que, si bien la creación de sistemas de acreditación digital puede requerir una mayor inversión inicial para la integración de </w:t>
      </w:r>
      <w:r w:rsidRPr="00AB3690">
        <w:rPr>
          <w:i/>
          <w:iCs/>
          <w:lang w:val="es-ES"/>
        </w:rPr>
        <w:t>hardware</w:t>
      </w:r>
      <w:r w:rsidRPr="00AB3690">
        <w:rPr>
          <w:lang w:val="es-ES"/>
        </w:rPr>
        <w:t xml:space="preserve"> y TI, estos costes pueden compensarse con ahorros en los costes operativos relacionados con los suministros, la logística y el personal </w:t>
      </w:r>
      <w:r w:rsidRPr="00AB3690">
        <w:rPr>
          <w:i/>
          <w:iCs/>
          <w:lang w:val="es-ES"/>
        </w:rPr>
        <w:t>in situ</w:t>
      </w:r>
      <w:r w:rsidRPr="00AB3690">
        <w:rPr>
          <w:lang w:val="es-ES"/>
        </w:rPr>
        <w:t>. En particular, una reducción significativa de la utilización de elementos físicos tales como tarjetas de identificación y cordones de PVC podría reducir la necesidad de transportar equipos de impresión de tarjetas y materiales conexos.</w:t>
      </w:r>
    </w:p>
    <w:p w14:paraId="1875B40C" w14:textId="77777777" w:rsidR="005D5622" w:rsidRPr="00AB3690" w:rsidRDefault="005D5622" w:rsidP="00AC4836">
      <w:pPr>
        <w:jc w:val="both"/>
        <w:rPr>
          <w:lang w:val="es-ES"/>
        </w:rPr>
      </w:pPr>
      <w:r w:rsidRPr="00AB3690">
        <w:rPr>
          <w:lang w:val="es-ES"/>
        </w:rPr>
        <w:t>La elección de las soluciones de acreditación y acreditación digital depende de la estrategia de TI y de los requisitos de seguridad, así como de la revisión del panorama de modernización de las soluciones de TI. En Ginebra, la infraestructura existente puede aprovecharse para lograr una mayor eficiencia utilizando equipos in situ en la medida de lo posible. Para los eventos en el extranjero, las credenciales digitales reducen los costes de envío y aduana, aunque algunos equipos siguen siendo necesarios para la verificación segura de los participantes.</w:t>
      </w:r>
    </w:p>
    <w:p w14:paraId="7688E987" w14:textId="7B4AC9F1" w:rsidR="005D5622" w:rsidRPr="00AB3690" w:rsidRDefault="005D5622" w:rsidP="00AC4836">
      <w:pPr>
        <w:jc w:val="both"/>
        <w:rPr>
          <w:lang w:val="es-ES"/>
        </w:rPr>
      </w:pPr>
      <w:r w:rsidRPr="00AB3690">
        <w:rPr>
          <w:lang w:val="es-ES"/>
        </w:rPr>
        <w:t>Un análisis detallado de los costes de infraestructura y funcionamiento indica que, si bien los gastos de capital para la integración de equipos y TI pueden aumentar inicialmente, se compensan con una reducción del 30</w:t>
      </w:r>
      <w:r w:rsidR="00D61EC2">
        <w:rPr>
          <w:lang w:val="es-ES"/>
        </w:rPr>
        <w:t> </w:t>
      </w:r>
      <w:r w:rsidRPr="00AB3690">
        <w:rPr>
          <w:lang w:val="es-ES"/>
        </w:rPr>
        <w:t>% al 40</w:t>
      </w:r>
      <w:r w:rsidR="00D61EC2">
        <w:rPr>
          <w:lang w:val="es-ES"/>
        </w:rPr>
        <w:t> </w:t>
      </w:r>
      <w:r w:rsidRPr="00AB3690">
        <w:rPr>
          <w:lang w:val="es-ES"/>
        </w:rPr>
        <w:t>% de los gastos operativos relacionados con los consumibles físicos y la dotación de personal.</w:t>
      </w:r>
    </w:p>
    <w:p w14:paraId="65733BAC" w14:textId="5F15DDBC" w:rsidR="005D5622" w:rsidRPr="00AB3690" w:rsidRDefault="005D5622" w:rsidP="00AC4836">
      <w:pPr>
        <w:spacing w:after="120"/>
        <w:jc w:val="both"/>
        <w:rPr>
          <w:lang w:val="es-ES"/>
        </w:rPr>
      </w:pPr>
      <w:r w:rsidRPr="00AB3690">
        <w:rPr>
          <w:lang w:val="es-ES"/>
        </w:rPr>
        <w:t>En el cuadro siguiente se resumen los factores de coste comparativos entre el modelo RFID físico tradicional y el modelo digital/biométrico propuesto:</w:t>
      </w:r>
    </w:p>
    <w:tbl>
      <w:tblPr>
        <w:tblStyle w:val="TableGrid"/>
        <w:tblW w:w="9072" w:type="dxa"/>
        <w:jc w:val="center"/>
        <w:tblLayout w:type="fixed"/>
        <w:tblCellMar>
          <w:left w:w="28" w:type="dxa"/>
          <w:right w:w="28" w:type="dxa"/>
        </w:tblCellMar>
        <w:tblLook w:val="06A0" w:firstRow="1" w:lastRow="0" w:firstColumn="1" w:lastColumn="0" w:noHBand="1" w:noVBand="1"/>
      </w:tblPr>
      <w:tblGrid>
        <w:gridCol w:w="1466"/>
        <w:gridCol w:w="2730"/>
        <w:gridCol w:w="3008"/>
        <w:gridCol w:w="1868"/>
      </w:tblGrid>
      <w:tr w:rsidR="005D5622" w:rsidRPr="00AB3690" w14:paraId="05C861DD" w14:textId="77777777" w:rsidTr="00913122">
        <w:trPr>
          <w:trHeight w:val="300"/>
          <w:jc w:val="center"/>
        </w:trPr>
        <w:tc>
          <w:tcPr>
            <w:tcW w:w="1466" w:type="dxa"/>
          </w:tcPr>
          <w:p w14:paraId="5FA76DE7" w14:textId="77777777" w:rsidR="005D5622" w:rsidRPr="00AB3690" w:rsidRDefault="005D5622" w:rsidP="002B5365">
            <w:pPr>
              <w:pStyle w:val="Tablehead"/>
              <w:rPr>
                <w:lang w:val="es-ES"/>
              </w:rPr>
            </w:pPr>
            <w:r w:rsidRPr="00AB3690">
              <w:rPr>
                <w:bCs/>
                <w:color w:val="000000"/>
                <w:lang w:val="es-ES"/>
              </w:rPr>
              <w:t>Factor de coste</w:t>
            </w:r>
          </w:p>
        </w:tc>
        <w:tc>
          <w:tcPr>
            <w:tcW w:w="2730" w:type="dxa"/>
          </w:tcPr>
          <w:p w14:paraId="35301D7F" w14:textId="77777777" w:rsidR="005D5622" w:rsidRPr="00AB3690" w:rsidRDefault="005D5622" w:rsidP="002B5365">
            <w:pPr>
              <w:pStyle w:val="Tablehead"/>
              <w:rPr>
                <w:lang w:val="es-ES"/>
              </w:rPr>
            </w:pPr>
            <w:r w:rsidRPr="00AB3690">
              <w:rPr>
                <w:bCs/>
                <w:color w:val="000000"/>
                <w:lang w:val="es-ES"/>
              </w:rPr>
              <w:t>Modelo físico RFID</w:t>
            </w:r>
          </w:p>
        </w:tc>
        <w:tc>
          <w:tcPr>
            <w:tcW w:w="3008" w:type="dxa"/>
          </w:tcPr>
          <w:p w14:paraId="11E85E2B" w14:textId="77777777" w:rsidR="005D5622" w:rsidRPr="00AB3690" w:rsidRDefault="005D5622" w:rsidP="002B5365">
            <w:pPr>
              <w:pStyle w:val="Tablehead"/>
              <w:rPr>
                <w:lang w:val="es-ES"/>
              </w:rPr>
            </w:pPr>
            <w:r w:rsidRPr="00AB3690">
              <w:rPr>
                <w:bCs/>
                <w:color w:val="000000"/>
                <w:lang w:val="es-ES"/>
              </w:rPr>
              <w:t>Modelo digital/biométrico</w:t>
            </w:r>
          </w:p>
        </w:tc>
        <w:tc>
          <w:tcPr>
            <w:tcW w:w="1868" w:type="dxa"/>
          </w:tcPr>
          <w:p w14:paraId="1A71409C" w14:textId="77777777" w:rsidR="005D5622" w:rsidRPr="00AB3690" w:rsidRDefault="005D5622" w:rsidP="002B5365">
            <w:pPr>
              <w:pStyle w:val="Tablehead"/>
              <w:rPr>
                <w:lang w:val="es-ES"/>
              </w:rPr>
            </w:pPr>
            <w:r w:rsidRPr="00AB3690">
              <w:rPr>
                <w:bCs/>
                <w:color w:val="000000"/>
                <w:lang w:val="es-ES"/>
              </w:rPr>
              <w:t>Consecuencias financieras</w:t>
            </w:r>
          </w:p>
        </w:tc>
      </w:tr>
      <w:tr w:rsidR="005D5622" w:rsidRPr="00AB3690" w14:paraId="6E8B9836" w14:textId="77777777" w:rsidTr="00913122">
        <w:trPr>
          <w:trHeight w:val="300"/>
          <w:jc w:val="center"/>
        </w:trPr>
        <w:tc>
          <w:tcPr>
            <w:tcW w:w="1466" w:type="dxa"/>
          </w:tcPr>
          <w:p w14:paraId="735F0FCF" w14:textId="77777777" w:rsidR="005D5622" w:rsidRPr="00AB3690" w:rsidRDefault="005D5622" w:rsidP="002B5365">
            <w:pPr>
              <w:pStyle w:val="Tabletext"/>
              <w:rPr>
                <w:lang w:val="es-ES"/>
              </w:rPr>
            </w:pPr>
            <w:r w:rsidRPr="00AB3690">
              <w:rPr>
                <w:color w:val="000000"/>
                <w:lang w:val="es-ES"/>
              </w:rPr>
              <w:t>Consumibles</w:t>
            </w:r>
          </w:p>
        </w:tc>
        <w:tc>
          <w:tcPr>
            <w:tcW w:w="2730" w:type="dxa"/>
          </w:tcPr>
          <w:p w14:paraId="20EE5EB4" w14:textId="77777777" w:rsidR="005D5622" w:rsidRPr="00AB3690" w:rsidRDefault="005D5622" w:rsidP="002B5365">
            <w:pPr>
              <w:pStyle w:val="Tabletext"/>
              <w:rPr>
                <w:lang w:val="es-ES"/>
              </w:rPr>
            </w:pPr>
            <w:r w:rsidRPr="00AB3690">
              <w:rPr>
                <w:color w:val="000000"/>
                <w:lang w:val="es-ES"/>
              </w:rPr>
              <w:t>Alto (tarjetas de PVC, cordones, cintas)</w:t>
            </w:r>
          </w:p>
        </w:tc>
        <w:tc>
          <w:tcPr>
            <w:tcW w:w="3008" w:type="dxa"/>
          </w:tcPr>
          <w:p w14:paraId="73B3E572" w14:textId="77777777" w:rsidR="005D5622" w:rsidRPr="00AB3690" w:rsidRDefault="005D5622" w:rsidP="002B5365">
            <w:pPr>
              <w:pStyle w:val="Tabletext"/>
              <w:rPr>
                <w:lang w:val="es-ES"/>
              </w:rPr>
            </w:pPr>
            <w:r w:rsidRPr="00AB3690">
              <w:rPr>
                <w:color w:val="000000"/>
                <w:lang w:val="es-ES"/>
              </w:rPr>
              <w:t>Casi cero (entrega móvil)</w:t>
            </w:r>
          </w:p>
        </w:tc>
        <w:tc>
          <w:tcPr>
            <w:tcW w:w="1868" w:type="dxa"/>
          </w:tcPr>
          <w:p w14:paraId="5776403F" w14:textId="77777777" w:rsidR="005D5622" w:rsidRPr="00AB3690" w:rsidRDefault="005D5622" w:rsidP="002B5365">
            <w:pPr>
              <w:pStyle w:val="Tabletext"/>
              <w:rPr>
                <w:lang w:val="es-ES"/>
              </w:rPr>
            </w:pPr>
            <w:r w:rsidRPr="00AB3690">
              <w:rPr>
                <w:color w:val="000000"/>
                <w:lang w:val="es-ES"/>
              </w:rPr>
              <w:t>~90 % de ahorro</w:t>
            </w:r>
          </w:p>
        </w:tc>
      </w:tr>
      <w:tr w:rsidR="005D5622" w:rsidRPr="00AB3690" w14:paraId="0F9E10A9" w14:textId="77777777" w:rsidTr="00913122">
        <w:trPr>
          <w:trHeight w:val="300"/>
          <w:jc w:val="center"/>
        </w:trPr>
        <w:tc>
          <w:tcPr>
            <w:tcW w:w="1466" w:type="dxa"/>
          </w:tcPr>
          <w:p w14:paraId="7C5B3BF6" w14:textId="77777777" w:rsidR="005D5622" w:rsidRPr="00AB3690" w:rsidRDefault="005D5622" w:rsidP="002B5365">
            <w:pPr>
              <w:pStyle w:val="Tabletext"/>
              <w:rPr>
                <w:lang w:val="es-ES"/>
              </w:rPr>
            </w:pPr>
            <w:r w:rsidRPr="00AB3690">
              <w:rPr>
                <w:color w:val="000000"/>
                <w:lang w:val="es-ES"/>
              </w:rPr>
              <w:t>Logística</w:t>
            </w:r>
          </w:p>
        </w:tc>
        <w:tc>
          <w:tcPr>
            <w:tcW w:w="2730" w:type="dxa"/>
          </w:tcPr>
          <w:p w14:paraId="53183F62" w14:textId="77777777" w:rsidR="005D5622" w:rsidRPr="00AB3690" w:rsidRDefault="005D5622" w:rsidP="002B5365">
            <w:pPr>
              <w:pStyle w:val="Tabletext"/>
              <w:rPr>
                <w:lang w:val="es-ES"/>
              </w:rPr>
            </w:pPr>
            <w:r w:rsidRPr="00AB3690">
              <w:rPr>
                <w:color w:val="000000"/>
                <w:lang w:val="es-ES"/>
              </w:rPr>
              <w:t>Alto (carga pesada, derechos de aduana)</w:t>
            </w:r>
          </w:p>
        </w:tc>
        <w:tc>
          <w:tcPr>
            <w:tcW w:w="3008" w:type="dxa"/>
          </w:tcPr>
          <w:p w14:paraId="6444658C" w14:textId="77777777" w:rsidR="005D5622" w:rsidRPr="00AB3690" w:rsidRDefault="005D5622" w:rsidP="002B5365">
            <w:pPr>
              <w:pStyle w:val="Tabletext"/>
              <w:rPr>
                <w:lang w:val="es-ES"/>
              </w:rPr>
            </w:pPr>
            <w:r w:rsidRPr="00AB3690">
              <w:rPr>
                <w:color w:val="000000"/>
                <w:lang w:val="es-ES"/>
              </w:rPr>
              <w:t>Baja (huella de hardware mínima)</w:t>
            </w:r>
          </w:p>
        </w:tc>
        <w:tc>
          <w:tcPr>
            <w:tcW w:w="1868" w:type="dxa"/>
          </w:tcPr>
          <w:p w14:paraId="2EF8889F" w14:textId="77777777" w:rsidR="005D5622" w:rsidRPr="00AB3690" w:rsidRDefault="005D5622" w:rsidP="002B5365">
            <w:pPr>
              <w:pStyle w:val="Tabletext"/>
              <w:rPr>
                <w:lang w:val="es-ES"/>
              </w:rPr>
            </w:pPr>
            <w:r w:rsidRPr="00AB3690">
              <w:rPr>
                <w:color w:val="000000"/>
                <w:lang w:val="es-ES"/>
              </w:rPr>
              <w:t>~60 % de ahorro</w:t>
            </w:r>
          </w:p>
        </w:tc>
      </w:tr>
      <w:tr w:rsidR="005D5622" w:rsidRPr="00B67C2E" w14:paraId="08E1D838" w14:textId="77777777" w:rsidTr="00913122">
        <w:trPr>
          <w:trHeight w:val="300"/>
          <w:jc w:val="center"/>
        </w:trPr>
        <w:tc>
          <w:tcPr>
            <w:tcW w:w="1466" w:type="dxa"/>
          </w:tcPr>
          <w:p w14:paraId="3DF1CF27" w14:textId="77777777" w:rsidR="005D5622" w:rsidRPr="00AB3690" w:rsidRDefault="005D5622" w:rsidP="002B5365">
            <w:pPr>
              <w:pStyle w:val="Tabletext"/>
              <w:rPr>
                <w:lang w:val="es-ES"/>
              </w:rPr>
            </w:pPr>
            <w:r w:rsidRPr="00AB3690">
              <w:rPr>
                <w:color w:val="000000"/>
                <w:lang w:val="es-ES"/>
              </w:rPr>
              <w:t>Equipos</w:t>
            </w:r>
          </w:p>
        </w:tc>
        <w:tc>
          <w:tcPr>
            <w:tcW w:w="2730" w:type="dxa"/>
          </w:tcPr>
          <w:p w14:paraId="00A4E802" w14:textId="77777777" w:rsidR="005D5622" w:rsidRPr="00AB3690" w:rsidRDefault="005D5622" w:rsidP="002B5365">
            <w:pPr>
              <w:pStyle w:val="Tabletext"/>
              <w:rPr>
                <w:lang w:val="es-ES"/>
              </w:rPr>
            </w:pPr>
            <w:r w:rsidRPr="00AB3690">
              <w:rPr>
                <w:color w:val="000000"/>
                <w:lang w:val="es-ES"/>
              </w:rPr>
              <w:t>Impresoras de tarjetas de identificación, codificadores</w:t>
            </w:r>
          </w:p>
        </w:tc>
        <w:tc>
          <w:tcPr>
            <w:tcW w:w="3008" w:type="dxa"/>
          </w:tcPr>
          <w:p w14:paraId="51654A3A" w14:textId="77777777" w:rsidR="005D5622" w:rsidRPr="00AB3690" w:rsidRDefault="005D5622" w:rsidP="002B5365">
            <w:pPr>
              <w:pStyle w:val="Tabletext"/>
              <w:rPr>
                <w:lang w:val="es-ES"/>
              </w:rPr>
            </w:pPr>
            <w:r w:rsidRPr="00AB3690">
              <w:rPr>
                <w:color w:val="000000"/>
                <w:lang w:val="es-ES"/>
              </w:rPr>
              <w:t>Escáneres, quioscos biométricos</w:t>
            </w:r>
          </w:p>
        </w:tc>
        <w:tc>
          <w:tcPr>
            <w:tcW w:w="1868" w:type="dxa"/>
          </w:tcPr>
          <w:p w14:paraId="35DD6113" w14:textId="77777777" w:rsidR="005D5622" w:rsidRPr="00AB3690" w:rsidRDefault="005D5622" w:rsidP="002B5365">
            <w:pPr>
              <w:pStyle w:val="Tabletext"/>
              <w:rPr>
                <w:lang w:val="es-ES"/>
              </w:rPr>
            </w:pPr>
            <w:r w:rsidRPr="00AB3690">
              <w:rPr>
                <w:color w:val="000000"/>
                <w:lang w:val="es-ES"/>
              </w:rPr>
              <w:t>Aumento de los gastos de capital</w:t>
            </w:r>
          </w:p>
        </w:tc>
      </w:tr>
      <w:tr w:rsidR="005D5622" w:rsidRPr="00AB3690" w14:paraId="66521F18" w14:textId="77777777" w:rsidTr="00913122">
        <w:trPr>
          <w:trHeight w:val="300"/>
          <w:jc w:val="center"/>
        </w:trPr>
        <w:tc>
          <w:tcPr>
            <w:tcW w:w="1466" w:type="dxa"/>
          </w:tcPr>
          <w:p w14:paraId="5B30864D" w14:textId="77777777" w:rsidR="005D5622" w:rsidRPr="00AB3690" w:rsidRDefault="005D5622" w:rsidP="002B5365">
            <w:pPr>
              <w:pStyle w:val="Tabletext"/>
              <w:rPr>
                <w:lang w:val="es-ES"/>
              </w:rPr>
            </w:pPr>
            <w:r w:rsidRPr="00AB3690">
              <w:rPr>
                <w:color w:val="000000"/>
                <w:lang w:val="es-ES"/>
              </w:rPr>
              <w:t xml:space="preserve">Personal </w:t>
            </w:r>
            <w:r w:rsidRPr="00AB3690">
              <w:rPr>
                <w:i/>
                <w:iCs/>
                <w:color w:val="000000"/>
                <w:lang w:val="es-ES"/>
              </w:rPr>
              <w:t>in situ</w:t>
            </w:r>
          </w:p>
        </w:tc>
        <w:tc>
          <w:tcPr>
            <w:tcW w:w="2730" w:type="dxa"/>
          </w:tcPr>
          <w:p w14:paraId="6F9D2D62" w14:textId="77777777" w:rsidR="005D5622" w:rsidRPr="00AB3690" w:rsidRDefault="005D5622" w:rsidP="002B5365">
            <w:pPr>
              <w:pStyle w:val="Tabletext"/>
              <w:rPr>
                <w:lang w:val="es-ES"/>
              </w:rPr>
            </w:pPr>
            <w:r w:rsidRPr="00AB3690">
              <w:rPr>
                <w:color w:val="000000"/>
                <w:lang w:val="es-ES"/>
              </w:rPr>
              <w:t>Alta (mostradores de impresión/distribución)</w:t>
            </w:r>
          </w:p>
        </w:tc>
        <w:tc>
          <w:tcPr>
            <w:tcW w:w="3008" w:type="dxa"/>
          </w:tcPr>
          <w:p w14:paraId="7BE2FAA4" w14:textId="77777777" w:rsidR="005D5622" w:rsidRPr="00AB3690" w:rsidRDefault="005D5622" w:rsidP="002B5365">
            <w:pPr>
              <w:pStyle w:val="Tabletext"/>
              <w:rPr>
                <w:lang w:val="es-ES"/>
              </w:rPr>
            </w:pPr>
            <w:r w:rsidRPr="00AB3690">
              <w:rPr>
                <w:color w:val="000000"/>
                <w:lang w:val="es-ES"/>
              </w:rPr>
              <w:t>Moderado (soporte técnico)</w:t>
            </w:r>
          </w:p>
        </w:tc>
        <w:tc>
          <w:tcPr>
            <w:tcW w:w="1868" w:type="dxa"/>
          </w:tcPr>
          <w:p w14:paraId="4DB6511A" w14:textId="77777777" w:rsidR="005D5622" w:rsidRPr="00AB3690" w:rsidRDefault="005D5622" w:rsidP="002B5365">
            <w:pPr>
              <w:pStyle w:val="Tabletext"/>
              <w:rPr>
                <w:lang w:val="es-ES"/>
              </w:rPr>
            </w:pPr>
            <w:r w:rsidRPr="00AB3690">
              <w:rPr>
                <w:color w:val="000000"/>
                <w:lang w:val="es-ES"/>
              </w:rPr>
              <w:t>~25 % de ahorro</w:t>
            </w:r>
          </w:p>
        </w:tc>
      </w:tr>
    </w:tbl>
    <w:p w14:paraId="38590340" w14:textId="77777777" w:rsidR="00AC4836" w:rsidRDefault="00AC4836" w:rsidP="00AC4836">
      <w:pPr>
        <w:pStyle w:val="Tablefin"/>
      </w:pPr>
    </w:p>
    <w:p w14:paraId="64E86E01" w14:textId="5E59DBFB" w:rsidR="005D5622" w:rsidRPr="00AB3690" w:rsidRDefault="00913122" w:rsidP="00D61EC2">
      <w:pPr>
        <w:keepNext/>
        <w:keepLines/>
        <w:jc w:val="both"/>
        <w:rPr>
          <w:lang w:val="es-ES"/>
        </w:rPr>
      </w:pPr>
      <w:r w:rsidRPr="00AB3690">
        <w:rPr>
          <w:lang w:val="es-ES"/>
        </w:rPr>
        <w:t xml:space="preserve">El modelo de negocio ya sea interno </w:t>
      </w:r>
      <w:r w:rsidR="008B0299" w:rsidRPr="008B0299">
        <w:rPr>
          <w:lang w:val="es-ES"/>
        </w:rPr>
        <w:t>–</w:t>
      </w:r>
      <w:r w:rsidRPr="00AB3690">
        <w:rPr>
          <w:lang w:val="es-ES"/>
        </w:rPr>
        <w:t>SaaS o de alquiler</w:t>
      </w:r>
      <w:r w:rsidR="008B0299" w:rsidRPr="008B0299">
        <w:rPr>
          <w:lang w:val="es-ES"/>
        </w:rPr>
        <w:t>–</w:t>
      </w:r>
      <w:r w:rsidRPr="00AB3690">
        <w:rPr>
          <w:lang w:val="es-ES"/>
        </w:rPr>
        <w:t xml:space="preserve"> determina directamente la carga financiera de los países anfitriones.</w:t>
      </w:r>
    </w:p>
    <w:p w14:paraId="73F5C93F" w14:textId="77777777" w:rsidR="00913122" w:rsidRPr="00AB3690" w:rsidRDefault="00913122" w:rsidP="00D61EC2">
      <w:pPr>
        <w:pStyle w:val="enumlev1"/>
        <w:jc w:val="both"/>
        <w:rPr>
          <w:lang w:val="es-ES"/>
        </w:rPr>
      </w:pPr>
      <w:r w:rsidRPr="00AB3690">
        <w:rPr>
          <w:lang w:val="es-ES"/>
        </w:rPr>
        <w:t>–</w:t>
      </w:r>
      <w:r w:rsidRPr="00AB3690">
        <w:rPr>
          <w:lang w:val="es-ES"/>
        </w:rPr>
        <w:tab/>
      </w:r>
      <w:r w:rsidRPr="00AB3690">
        <w:rPr>
          <w:b/>
          <w:bCs/>
          <w:lang w:val="es-ES"/>
        </w:rPr>
        <w:t>Eventos adyacentes a Ginebra</w:t>
      </w:r>
      <w:r w:rsidRPr="00AB3690">
        <w:rPr>
          <w:lang w:val="es-ES"/>
        </w:rPr>
        <w:t>: se benefician de la infraestructura de propiedad de la UIT existente y de unos costes de envío insignificantes, lo que hace que la transición digital sea una ganancia de eficiencia de alto margen.</w:t>
      </w:r>
    </w:p>
    <w:p w14:paraId="4616F14F" w14:textId="6098920E" w:rsidR="005D5622" w:rsidRPr="00AB3690" w:rsidRDefault="00913122" w:rsidP="00D61EC2">
      <w:pPr>
        <w:pStyle w:val="enumlev1"/>
        <w:jc w:val="both"/>
        <w:rPr>
          <w:lang w:val="es-ES"/>
        </w:rPr>
      </w:pPr>
      <w:r w:rsidRPr="00AB3690">
        <w:rPr>
          <w:lang w:val="es-ES"/>
        </w:rPr>
        <w:t>–</w:t>
      </w:r>
      <w:r w:rsidRPr="00AB3690">
        <w:rPr>
          <w:lang w:val="es-ES"/>
        </w:rPr>
        <w:tab/>
      </w:r>
      <w:r w:rsidRPr="00AB3690">
        <w:rPr>
          <w:b/>
          <w:bCs/>
          <w:lang w:val="es-ES"/>
        </w:rPr>
        <w:t>Eventos internacionales</w:t>
      </w:r>
      <w:r w:rsidRPr="00AB3690">
        <w:rPr>
          <w:lang w:val="es-ES"/>
        </w:rPr>
        <w:t xml:space="preserve">: las insignias digitales reducen significativamente la prima logística. Al eliminar la necesidad de enviar miles de tarjetas físicas e impresoras industriales pesadas (que a menudo requieren una compleja documentación del carné ATA y un costoso transporte aéreo), los países anfitriones pueden ver reducidos los </w:t>
      </w:r>
      <w:r w:rsidRPr="00AB3690">
        <w:rPr>
          <w:lang w:val="es-ES"/>
        </w:rPr>
        <w:lastRenderedPageBreak/>
        <w:t>gastos de envío especializados de aproximadamente 10 000-15 000 dólares de los Estados Unidos por evento importante.</w:t>
      </w:r>
    </w:p>
    <w:p w14:paraId="1DFEB7B4" w14:textId="77777777" w:rsidR="00913122" w:rsidRPr="00AB3690" w:rsidRDefault="00913122" w:rsidP="00D61EC2">
      <w:pPr>
        <w:jc w:val="both"/>
        <w:rPr>
          <w:lang w:val="es-ES"/>
        </w:rPr>
      </w:pPr>
      <w:r w:rsidRPr="00AB3690">
        <w:rPr>
          <w:lang w:val="es-ES"/>
        </w:rPr>
        <w:t>Aunque la acreditación digital reduce los requisitos logísticos generales, el envío de equipos biométricos y de control de acceso sigue siendo un factor de coste y debe optimizarse explorando un modelo híbrido que combine activos centralizados y alquiler local cuando sea posible.</w:t>
      </w:r>
    </w:p>
    <w:p w14:paraId="4FDA235F" w14:textId="77777777" w:rsidR="00913122" w:rsidRPr="00AB3690" w:rsidRDefault="00913122" w:rsidP="00D61EC2">
      <w:pPr>
        <w:jc w:val="both"/>
        <w:rPr>
          <w:lang w:val="es-ES"/>
        </w:rPr>
      </w:pPr>
      <w:r w:rsidRPr="00AB3690">
        <w:rPr>
          <w:lang w:val="es-ES"/>
        </w:rPr>
        <w:t>La selección de soluciones de acreditación digital y modelos de despliegue debe estar en consonancia con la estrategia más amplia de modernización de las TI, que también debe dar prioridad a la reducción de la carga operativa y financiera de los países anfitriones mediante la simplificación de la logística, la minimización del envío de equipos y la flexibilidad de los métodos de abastecimiento.</w:t>
      </w:r>
    </w:p>
    <w:p w14:paraId="7E8BC914" w14:textId="0AC1C575" w:rsidR="00913122" w:rsidRPr="00AB3690" w:rsidRDefault="00913122" w:rsidP="00D61EC2">
      <w:pPr>
        <w:jc w:val="both"/>
        <w:rPr>
          <w:lang w:val="es-ES"/>
        </w:rPr>
      </w:pPr>
      <w:r w:rsidRPr="00AB3690">
        <w:rPr>
          <w:lang w:val="es-ES"/>
        </w:rPr>
        <w:t>La Secretaría está evaluando actualmente diversas soluciones digitales para los procesos de inscripción, acreditación y obtención de tarjetas en diferentes tipos de eventos, incluidas las conferencias reglamentarias y las reuniones técnicas celebradas en Ginebra y otros lugares. El plan de despliegue tiene como objetivo lograr la capacidad operativa digital para 2027 para eventos seleccionados, posiblemente alineados con conferencias importantes como la Conferencia Mundial de Radiocomunicaciones de 2027.</w:t>
      </w:r>
    </w:p>
    <w:p w14:paraId="6C38C3B9" w14:textId="53ADEEBD" w:rsidR="005D5622" w:rsidRPr="00AB3690" w:rsidRDefault="00913122" w:rsidP="00D61EC2">
      <w:pPr>
        <w:jc w:val="both"/>
        <w:rPr>
          <w:lang w:val="es-ES"/>
        </w:rPr>
      </w:pPr>
      <w:r w:rsidRPr="00AB3690">
        <w:rPr>
          <w:lang w:val="es-ES"/>
        </w:rPr>
        <w:t>La actual hoja de ruta incluye los siguientes hitos:</w:t>
      </w:r>
    </w:p>
    <w:p w14:paraId="321E0C00" w14:textId="2DFFD820" w:rsidR="00913122" w:rsidRPr="00AB3690" w:rsidRDefault="00CC29C7" w:rsidP="00D61EC2">
      <w:pPr>
        <w:pStyle w:val="enumlev1"/>
        <w:jc w:val="both"/>
        <w:rPr>
          <w:rFonts w:eastAsia="Calibri"/>
          <w:lang w:val="es-ES"/>
        </w:rPr>
      </w:pPr>
      <w:r w:rsidRPr="00AB3690">
        <w:rPr>
          <w:lang w:val="es-ES"/>
        </w:rPr>
        <w:t>–</w:t>
      </w:r>
      <w:r w:rsidRPr="00AB3690">
        <w:rPr>
          <w:lang w:val="es-ES"/>
        </w:rPr>
        <w:tab/>
      </w:r>
      <w:r w:rsidR="00913122" w:rsidRPr="00AB3690">
        <w:rPr>
          <w:lang w:val="es-ES"/>
        </w:rPr>
        <w:t>A finales de 2025 se creó un grupo especial y las actividades de evaluación continuarán a lo largo de 2026.</w:t>
      </w:r>
    </w:p>
    <w:p w14:paraId="45BF3427" w14:textId="77777777" w:rsidR="00913122" w:rsidRPr="00AB3690" w:rsidRDefault="00913122" w:rsidP="00D61EC2">
      <w:pPr>
        <w:pStyle w:val="enumlev1"/>
        <w:jc w:val="both"/>
        <w:rPr>
          <w:rFonts w:eastAsia="Calibri"/>
          <w:lang w:val="es-ES"/>
        </w:rPr>
      </w:pPr>
      <w:r w:rsidRPr="00AB3690">
        <w:rPr>
          <w:lang w:val="es-ES"/>
        </w:rPr>
        <w:t>–</w:t>
      </w:r>
      <w:r w:rsidRPr="00AB3690">
        <w:rPr>
          <w:lang w:val="es-ES"/>
        </w:rPr>
        <w:tab/>
        <w:t xml:space="preserve">Identificar y priorizar tipos de eventos para definir las necesidades técnicas, de seguridad y operativas. </w:t>
      </w:r>
    </w:p>
    <w:p w14:paraId="53409DB0" w14:textId="77777777" w:rsidR="00913122" w:rsidRPr="00AB3690" w:rsidRDefault="00913122" w:rsidP="00D61EC2">
      <w:pPr>
        <w:pStyle w:val="enumlev1"/>
        <w:jc w:val="both"/>
        <w:rPr>
          <w:rFonts w:eastAsia="Calibri"/>
          <w:lang w:val="es-ES"/>
        </w:rPr>
      </w:pPr>
      <w:r w:rsidRPr="00AB3690">
        <w:rPr>
          <w:lang w:val="es-ES"/>
        </w:rPr>
        <w:t>–</w:t>
      </w:r>
      <w:r w:rsidRPr="00AB3690">
        <w:rPr>
          <w:lang w:val="es-ES"/>
        </w:rPr>
        <w:tab/>
        <w:t xml:space="preserve">Aplicar programas piloto progresivos durante 2026, comenzando con pequeñas pruebas en reuniones de Ginebra para comprobar los indicadores fundamentales de rendimiento en materia de costes, eficiencia, seguridad y experiencia de los participantes. </w:t>
      </w:r>
    </w:p>
    <w:p w14:paraId="61A6A0BC" w14:textId="70EE3F1A" w:rsidR="005D5622" w:rsidRPr="00AB3690" w:rsidRDefault="00913122" w:rsidP="00D61EC2">
      <w:pPr>
        <w:pStyle w:val="enumlev1"/>
        <w:jc w:val="both"/>
        <w:rPr>
          <w:lang w:val="es-ES"/>
        </w:rPr>
      </w:pPr>
      <w:r w:rsidRPr="00AB3690">
        <w:rPr>
          <w:lang w:val="es-ES"/>
        </w:rPr>
        <w:t>–</w:t>
      </w:r>
      <w:r w:rsidRPr="00AB3690">
        <w:rPr>
          <w:lang w:val="es-ES"/>
        </w:rPr>
        <w:tab/>
        <w:t>Evaluar los beneficios de sostenibilidad y las implicaciones de costes a medida que se obtengan los resultados del piloto.</w:t>
      </w:r>
    </w:p>
    <w:p w14:paraId="2800A2B0" w14:textId="4B13057D" w:rsidR="00913122" w:rsidRPr="00AB3690" w:rsidRDefault="00913122" w:rsidP="00D61EC2">
      <w:pPr>
        <w:jc w:val="both"/>
        <w:rPr>
          <w:lang w:val="es-ES"/>
        </w:rPr>
      </w:pPr>
      <w:r w:rsidRPr="00AB3690">
        <w:rPr>
          <w:lang w:val="es-ES"/>
        </w:rPr>
        <w:t>En 2026, la UIT pondrá a prueba una solución comercial de gestión de eventos (para los eventos AI4Good y CMSI) que ya utilizan otros organismos de las Naciones Unidas para evaluar su idoneidad para los eventos de la UIT en diferentes ámbitos. El proyecto piloto comprende la prueba de diversas características y una evaluación financiera en la que se comparan los eventos celebrados en Ginebra y los eventos en el extranjero. Los resultados servirán de base para el proceso de toma de decisiones para la modernización de la gestión de eventos.</w:t>
      </w:r>
    </w:p>
    <w:p w14:paraId="3B6E0D7C" w14:textId="77777777" w:rsidR="00913122" w:rsidRPr="00AB3690" w:rsidRDefault="00913122" w:rsidP="00D61EC2">
      <w:pPr>
        <w:jc w:val="both"/>
        <w:rPr>
          <w:lang w:val="es-ES"/>
        </w:rPr>
      </w:pPr>
      <w:r w:rsidRPr="00AB3690">
        <w:rPr>
          <w:lang w:val="es-ES"/>
        </w:rPr>
        <w:t>La hoja de ruta para la modernización de la plataforma de gestión de eventos se desarrollará y definirá a lo largo de 2026-2027, en consonancia con la modernización más amplia de la tecnología y los sistemas empresariales, incluidos los sistemas de gestión de eventos, y se basará en los resultados de las evaluaciones piloto y de las soluciones de arquitectura empresarial de la UIT.</w:t>
      </w:r>
    </w:p>
    <w:p w14:paraId="22E19B15" w14:textId="080815D5" w:rsidR="005D5622" w:rsidRPr="00AB3690" w:rsidRDefault="00913122" w:rsidP="00D61EC2">
      <w:pPr>
        <w:jc w:val="both"/>
        <w:rPr>
          <w:lang w:val="es-ES"/>
        </w:rPr>
      </w:pPr>
      <w:r w:rsidRPr="00AB3690">
        <w:rPr>
          <w:lang w:val="es-ES"/>
        </w:rPr>
        <w:t xml:space="preserve">Al mismo tiempo, la Secretaría tiene previsto aprovechar los avances de la Iniciativa de Identificación Digital de las Naciones Unidas a partir de 2026. Esta iniciativa establecerá identidades digitales fiables en todo el sistema de las Naciones Unidas utilizando tecnologías móviles seguras y métodos mejorados de verificación de la identidad. La UIT pretende integrar estas capacidades en el proceso de acreditación para soportar credenciales digitales seguras, </w:t>
      </w:r>
      <w:r w:rsidRPr="00AB3690">
        <w:rPr>
          <w:lang w:val="es-ES"/>
        </w:rPr>
        <w:lastRenderedPageBreak/>
        <w:t>permitir la autenticación de participantes en tiempo real y reducir la dependencia de tarjetas físicas y procedimientos de verificación manuales.</w:t>
      </w:r>
    </w:p>
    <w:p w14:paraId="2981B2F3" w14:textId="77777777" w:rsidR="00F92BED" w:rsidRPr="00AB3690" w:rsidRDefault="00F92BED" w:rsidP="0032202E">
      <w:pPr>
        <w:pStyle w:val="Reasons"/>
        <w:rPr>
          <w:lang w:val="es-ES"/>
        </w:rPr>
      </w:pPr>
    </w:p>
    <w:p w14:paraId="6FBAEA5E" w14:textId="77777777" w:rsidR="00F92BED" w:rsidRPr="00AB3690" w:rsidRDefault="00F92BED" w:rsidP="00F92BED">
      <w:pPr>
        <w:jc w:val="center"/>
        <w:rPr>
          <w:lang w:val="es-ES"/>
        </w:rPr>
      </w:pPr>
      <w:r w:rsidRPr="00AB3690">
        <w:rPr>
          <w:lang w:val="es-ES"/>
        </w:rPr>
        <w:t>______________</w:t>
      </w:r>
    </w:p>
    <w:sectPr w:rsidR="00F92BED" w:rsidRPr="00AB3690" w:rsidSect="00C538FC">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C759" w14:textId="77777777" w:rsidR="0069589C" w:rsidRDefault="0069589C">
      <w:r>
        <w:separator/>
      </w:r>
    </w:p>
  </w:endnote>
  <w:endnote w:type="continuationSeparator" w:id="0">
    <w:p w14:paraId="6E520914" w14:textId="77777777" w:rsidR="0069589C" w:rsidRDefault="0069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CC8EF67" w14:textId="77777777" w:rsidTr="00E31DCE">
      <w:trPr>
        <w:jc w:val="center"/>
      </w:trPr>
      <w:tc>
        <w:tcPr>
          <w:tcW w:w="1803" w:type="dxa"/>
          <w:vAlign w:val="center"/>
        </w:tcPr>
        <w:p w14:paraId="33B739DC" w14:textId="77777777" w:rsidR="003273A4" w:rsidRDefault="002946E2" w:rsidP="003273A4">
          <w:pPr>
            <w:pStyle w:val="Header"/>
            <w:jc w:val="left"/>
            <w:rPr>
              <w:noProof/>
            </w:rPr>
          </w:pPr>
          <w:r>
            <w:rPr>
              <w:noProof/>
            </w:rPr>
            <w:t>gDoc #</w:t>
          </w:r>
        </w:p>
      </w:tc>
      <w:tc>
        <w:tcPr>
          <w:tcW w:w="8261" w:type="dxa"/>
        </w:tcPr>
        <w:p w14:paraId="17337980" w14:textId="5CC3FA41"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BF5186">
            <w:rPr>
              <w:bCs/>
            </w:rPr>
            <w:t>71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3951C5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44FCB41" w14:textId="77777777" w:rsidTr="00E31DCE">
      <w:trPr>
        <w:jc w:val="center"/>
      </w:trPr>
      <w:tc>
        <w:tcPr>
          <w:tcW w:w="1803" w:type="dxa"/>
          <w:vAlign w:val="center"/>
        </w:tcPr>
        <w:p w14:paraId="1B5585B2"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AF6ACCB" w14:textId="3EF53405"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BF5186">
            <w:rPr>
              <w:bCs/>
            </w:rPr>
            <w:t>71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435387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0D09" w14:textId="77777777" w:rsidR="0069589C" w:rsidRDefault="0069589C">
      <w:r>
        <w:t>____________________</w:t>
      </w:r>
    </w:p>
  </w:footnote>
  <w:footnote w:type="continuationSeparator" w:id="0">
    <w:p w14:paraId="14ADA820" w14:textId="77777777" w:rsidR="0069589C" w:rsidRDefault="0069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E096" w14:textId="77777777" w:rsidR="001559F5" w:rsidRPr="00B1560D" w:rsidRDefault="00B1560D" w:rsidP="00B1560D">
    <w:pPr>
      <w:pStyle w:val="Header"/>
    </w:pPr>
    <w:r>
      <w:rPr>
        <w:noProof/>
      </w:rPr>
      <w:drawing>
        <wp:inline distT="0" distB="0" distL="0" distR="0" wp14:anchorId="41213AC2" wp14:editId="32D80BC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9C"/>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049"/>
    <w:rsid w:val="002C4676"/>
    <w:rsid w:val="002C70B0"/>
    <w:rsid w:val="002F3CC4"/>
    <w:rsid w:val="003032E2"/>
    <w:rsid w:val="0031300A"/>
    <w:rsid w:val="003273A4"/>
    <w:rsid w:val="0034796E"/>
    <w:rsid w:val="0041651C"/>
    <w:rsid w:val="004571B0"/>
    <w:rsid w:val="00465C35"/>
    <w:rsid w:val="00473962"/>
    <w:rsid w:val="004B5D49"/>
    <w:rsid w:val="004D3A3C"/>
    <w:rsid w:val="00513630"/>
    <w:rsid w:val="00560125"/>
    <w:rsid w:val="00585553"/>
    <w:rsid w:val="005B34D9"/>
    <w:rsid w:val="005D0CCF"/>
    <w:rsid w:val="005D5622"/>
    <w:rsid w:val="005E627B"/>
    <w:rsid w:val="005F0915"/>
    <w:rsid w:val="005F3BCB"/>
    <w:rsid w:val="005F410F"/>
    <w:rsid w:val="0060149A"/>
    <w:rsid w:val="00601924"/>
    <w:rsid w:val="00633617"/>
    <w:rsid w:val="006447EA"/>
    <w:rsid w:val="0064481D"/>
    <w:rsid w:val="0064731F"/>
    <w:rsid w:val="00664572"/>
    <w:rsid w:val="00666D09"/>
    <w:rsid w:val="0066701A"/>
    <w:rsid w:val="00670579"/>
    <w:rsid w:val="006710F6"/>
    <w:rsid w:val="00677A97"/>
    <w:rsid w:val="0069589C"/>
    <w:rsid w:val="006C1B56"/>
    <w:rsid w:val="006D4761"/>
    <w:rsid w:val="00726872"/>
    <w:rsid w:val="00760F1C"/>
    <w:rsid w:val="007657F0"/>
    <w:rsid w:val="0077110E"/>
    <w:rsid w:val="0077252D"/>
    <w:rsid w:val="007955DA"/>
    <w:rsid w:val="007E5DD3"/>
    <w:rsid w:val="007F350B"/>
    <w:rsid w:val="00820BE4"/>
    <w:rsid w:val="008451E8"/>
    <w:rsid w:val="0084546D"/>
    <w:rsid w:val="008B0299"/>
    <w:rsid w:val="008F6ABC"/>
    <w:rsid w:val="00913122"/>
    <w:rsid w:val="00913B9C"/>
    <w:rsid w:val="00927F93"/>
    <w:rsid w:val="00956E77"/>
    <w:rsid w:val="00961D6D"/>
    <w:rsid w:val="009908D9"/>
    <w:rsid w:val="009A338E"/>
    <w:rsid w:val="009A76A8"/>
    <w:rsid w:val="009F4811"/>
    <w:rsid w:val="00A01F4F"/>
    <w:rsid w:val="00A109AF"/>
    <w:rsid w:val="00A94438"/>
    <w:rsid w:val="00AA390C"/>
    <w:rsid w:val="00AB3690"/>
    <w:rsid w:val="00AC4836"/>
    <w:rsid w:val="00AD5A4D"/>
    <w:rsid w:val="00AF0EAC"/>
    <w:rsid w:val="00B0200A"/>
    <w:rsid w:val="00B060DF"/>
    <w:rsid w:val="00B1560D"/>
    <w:rsid w:val="00B574DB"/>
    <w:rsid w:val="00B67C2E"/>
    <w:rsid w:val="00B826C2"/>
    <w:rsid w:val="00B8298E"/>
    <w:rsid w:val="00BB6FD8"/>
    <w:rsid w:val="00BD0723"/>
    <w:rsid w:val="00BD2518"/>
    <w:rsid w:val="00BF1D1C"/>
    <w:rsid w:val="00BF5186"/>
    <w:rsid w:val="00C20C59"/>
    <w:rsid w:val="00C2727F"/>
    <w:rsid w:val="00C4421B"/>
    <w:rsid w:val="00C538FC"/>
    <w:rsid w:val="00C55B1F"/>
    <w:rsid w:val="00C64431"/>
    <w:rsid w:val="00CC29C7"/>
    <w:rsid w:val="00CF1A67"/>
    <w:rsid w:val="00D2750E"/>
    <w:rsid w:val="00D375E0"/>
    <w:rsid w:val="00D50A36"/>
    <w:rsid w:val="00D61EC2"/>
    <w:rsid w:val="00D62446"/>
    <w:rsid w:val="00DA4EA2"/>
    <w:rsid w:val="00DC3D3E"/>
    <w:rsid w:val="00DE2C90"/>
    <w:rsid w:val="00DE3B24"/>
    <w:rsid w:val="00DE7376"/>
    <w:rsid w:val="00DF5D96"/>
    <w:rsid w:val="00E06947"/>
    <w:rsid w:val="00E11319"/>
    <w:rsid w:val="00E21444"/>
    <w:rsid w:val="00E34072"/>
    <w:rsid w:val="00E3592D"/>
    <w:rsid w:val="00E50D76"/>
    <w:rsid w:val="00E8018B"/>
    <w:rsid w:val="00E92DE8"/>
    <w:rsid w:val="00EB1212"/>
    <w:rsid w:val="00ED65AB"/>
    <w:rsid w:val="00F12850"/>
    <w:rsid w:val="00F12FBF"/>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1E7BCB"/>
  <w15:docId w15:val="{4AADCA84-65F3-46B7-8DF4-C02BCEB6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customStyle="1" w:styleId="Heading">
    <w:name w:val="Heading"/>
    <w:basedOn w:val="Normal"/>
    <w:rsid w:val="005D5622"/>
    <w:rPr>
      <w:lang w:val="es-ES"/>
    </w:rPr>
  </w:style>
  <w:style w:type="paragraph" w:customStyle="1" w:styleId="Tablefin">
    <w:name w:val="Table_fin"/>
    <w:basedOn w:val="Tabletext"/>
    <w:rsid w:val="00AC4836"/>
    <w:pPr>
      <w:spacing w:before="0" w:after="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19/es" TargetMode="External"/><Relationship Id="rId13" Type="http://schemas.openxmlformats.org/officeDocument/2006/relationships/hyperlink" Target="https://www.itu.int/md/S26-SG-CIR-0011/e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tu.int/md/S25-CWGFHR21-C-0008/es" TargetMode="External"/><Relationship Id="rId12" Type="http://schemas.openxmlformats.org/officeDocument/2006/relationships/hyperlink" Target="https://www.itu.int/md/S26-CWGFHR22-C-0036/e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itu.int/md/S26-CL-INF-0008/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md/S25-CL-C-0095/es" TargetMode="External"/><Relationship Id="rId11" Type="http://schemas.openxmlformats.org/officeDocument/2006/relationships/hyperlink" Target="https://www.itu.int/md/S26-CWGFHR22-C-0019/es" TargetMode="External"/><Relationship Id="rId5" Type="http://schemas.openxmlformats.org/officeDocument/2006/relationships/endnotes" Target="endnotes.xml"/><Relationship Id="rId15" Type="http://schemas.openxmlformats.org/officeDocument/2006/relationships/hyperlink" Target="https://www.itu.int/md/S26-CWGFHR22-C-0036/es" TargetMode="External"/><Relationship Id="rId10" Type="http://schemas.openxmlformats.org/officeDocument/2006/relationships/hyperlink" Target="https://www.itu.int/md/S25-CWGFHR21-C-0008/es"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tu.int/md/S25-CL-C-0095/es" TargetMode="External"/><Relationship Id="rId14" Type="http://schemas.openxmlformats.org/officeDocument/2006/relationships/hyperlink" Target="https://www.itu.int/md/S25-RCLCWGLANG16-INF-0001/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6</TotalTime>
  <Pages>6</Pages>
  <Words>2160</Words>
  <Characters>12763</Characters>
  <Application>Microsoft Office Word</Application>
  <DocSecurity>0</DocSecurity>
  <Lines>236</Lines>
  <Paragraphs>100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Actualización de las medidas para reducir la carga financiera de los países anfitriones de las conferencias, reuniones y actividades de la UIT</vt:lpstr>
    </vt:vector>
  </TitlesOfParts>
  <Manager>Secretaría General - Pool</Manager>
  <Company>International Telecommunication Union</Company>
  <LinksUpToDate>false</LinksUpToDate>
  <CharactersWithSpaces>14823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Actualización de las medidas para reducir la carga financiera de los países anfitriones de las conferencias, reuniones y actividades de la UIT</dc:title>
  <dc:subject>Consejo 2026 de la UIT</dc:subject>
  <cp:keywords>C26; C2026; Council 2026; PP26</cp:keywords>
  <dc:description/>
  <cp:lastPrinted>2006-03-24T09:51:00Z</cp:lastPrinted>
  <dcterms:created xsi:type="dcterms:W3CDTF">2026-04-02T12:46:00Z</dcterms:created>
  <dcterms:modified xsi:type="dcterms:W3CDTF">2026-04-02T12:51:00Z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