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D12BA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7D989355" w:rsidR="00796BD3" w:rsidRPr="00ED12BA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D12BA">
              <w:rPr>
                <w:b/>
                <w:lang w:val="ru-RU"/>
              </w:rPr>
              <w:t>Пункт повестки дня:</w:t>
            </w:r>
            <w:r w:rsidR="00153DD7" w:rsidRPr="00ED12BA">
              <w:rPr>
                <w:b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5BC5C034" w14:textId="2403EEE5" w:rsidR="00796BD3" w:rsidRPr="00ED12B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D12BA">
              <w:rPr>
                <w:b/>
                <w:lang w:val="ru-RU"/>
              </w:rPr>
              <w:t xml:space="preserve">Документ </w:t>
            </w:r>
            <w:r w:rsidR="00796BD3" w:rsidRPr="00ED12BA">
              <w:rPr>
                <w:b/>
                <w:lang w:val="ru-RU"/>
              </w:rPr>
              <w:t>C2</w:t>
            </w:r>
            <w:r w:rsidR="00BE00DD" w:rsidRPr="00ED12BA">
              <w:rPr>
                <w:b/>
                <w:lang w:val="ru-RU"/>
              </w:rPr>
              <w:t>6</w:t>
            </w:r>
            <w:r w:rsidR="00796BD3" w:rsidRPr="00ED12BA">
              <w:rPr>
                <w:b/>
                <w:lang w:val="ru-RU"/>
              </w:rPr>
              <w:t>/</w:t>
            </w:r>
            <w:r w:rsidR="00153DD7" w:rsidRPr="00ED12BA">
              <w:rPr>
                <w:b/>
                <w:lang w:val="ru-RU"/>
              </w:rPr>
              <w:t>71</w:t>
            </w:r>
            <w:r w:rsidR="00796BD3" w:rsidRPr="00ED12BA">
              <w:rPr>
                <w:b/>
                <w:lang w:val="ru-RU"/>
              </w:rPr>
              <w:t>-R</w:t>
            </w:r>
          </w:p>
        </w:tc>
      </w:tr>
      <w:tr w:rsidR="00796BD3" w:rsidRPr="00ED12BA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ED12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2D2DD33C" w:rsidR="00796BD3" w:rsidRPr="00ED12BA" w:rsidRDefault="00153DD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D12BA">
              <w:rPr>
                <w:b/>
                <w:lang w:val="ru-RU"/>
              </w:rPr>
              <w:t>27 марта 2026 года</w:t>
            </w:r>
          </w:p>
        </w:tc>
      </w:tr>
      <w:tr w:rsidR="00796BD3" w:rsidRPr="00ED12BA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ED12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ED12B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D12BA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D12BA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ED12B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ED12B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D12BA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ED12BA" w:rsidRDefault="0033025A" w:rsidP="002A5016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ED12BA">
              <w:t>Отчет Генерального секретаря</w:t>
            </w:r>
          </w:p>
        </w:tc>
      </w:tr>
      <w:tr w:rsidR="00796BD3" w:rsidRPr="00937ABE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334B515F" w:rsidR="00796BD3" w:rsidRPr="008A2B14" w:rsidRDefault="00153DD7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8A2B14">
              <w:rPr>
                <w:sz w:val="32"/>
              </w:rPr>
              <w:t>ОБНОВЛЕННАЯ ИНФОРМАЦИЯ О МЕРАХ ПО УМЕНЬШЕНИЮ ФИНАНСОВОГО БРЕМЕНИ ДЛЯ СТРАН, ПРИНИМАЮЩИХ КОНФЕРЕНЦИИ, СОБРАНИЯ И МЕРОПРИЯТИЯ МСЭ</w:t>
            </w:r>
          </w:p>
        </w:tc>
      </w:tr>
      <w:tr w:rsidR="00796BD3" w:rsidRPr="00937ABE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ED12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2B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3B8BB65E" w:rsidR="00796BD3" w:rsidRPr="00ED12BA" w:rsidRDefault="00153DD7" w:rsidP="002A5016">
            <w:pPr>
              <w:jc w:val="both"/>
              <w:rPr>
                <w:lang w:val="ru-RU"/>
              </w:rPr>
            </w:pPr>
            <w:r w:rsidRPr="00ED12BA">
              <w:rPr>
                <w:lang w:val="ru-RU"/>
              </w:rPr>
              <w:t xml:space="preserve">В настоящем документе содержится обновленная информация о возможных мерах по уменьшению финансового бремени для стран, принимающих конференции, собрания и мероприятия МСЭ. Он соответствует предложениям по уменьшению финансового бремени, представленным Совету 2025 года во вкладе группы стран (Документ </w:t>
            </w:r>
            <w:hyperlink r:id="rId7" w:history="1">
              <w:r w:rsidRPr="00ED12BA">
                <w:rPr>
                  <w:rStyle w:val="Hyperlink"/>
                  <w:lang w:val="ru-RU"/>
                </w:rPr>
                <w:t>C25/95</w:t>
              </w:r>
            </w:hyperlink>
            <w:r w:rsidRPr="00ED12BA">
              <w:rPr>
                <w:lang w:val="ru-RU"/>
              </w:rPr>
              <w:t>), и является продолжением отчетов, представленных РГС-ФЛР на ее 21-м собрании в сентябре 2025</w:t>
            </w:r>
            <w:r w:rsidR="00370C01" w:rsidRPr="00ED12BA">
              <w:rPr>
                <w:lang w:val="ru-RU"/>
              </w:rPr>
              <w:t> </w:t>
            </w:r>
            <w:r w:rsidRPr="00ED12BA">
              <w:rPr>
                <w:lang w:val="ru-RU"/>
              </w:rPr>
              <w:t xml:space="preserve">года (Документ </w:t>
            </w:r>
            <w:hyperlink r:id="rId8" w:history="1">
              <w:r w:rsidRPr="00ED12BA">
                <w:rPr>
                  <w:rStyle w:val="Hyperlink"/>
                  <w:lang w:val="ru-RU"/>
                </w:rPr>
                <w:t>CWG-FHR-21/8</w:t>
              </w:r>
            </w:hyperlink>
            <w:r w:rsidRPr="00ED12BA">
              <w:rPr>
                <w:lang w:val="ru-RU"/>
              </w:rPr>
              <w:t xml:space="preserve">) и ее 22-м собрании в январе 2026 года (Документ </w:t>
            </w:r>
            <w:hyperlink r:id="rId9" w:history="1">
              <w:r w:rsidRPr="00ED12BA">
                <w:rPr>
                  <w:rStyle w:val="Hyperlink"/>
                  <w:lang w:val="ru-RU"/>
                </w:rPr>
                <w:t>CWG-FHR-22/19</w:t>
              </w:r>
            </w:hyperlink>
            <w:r w:rsidRPr="00ED12BA">
              <w:rPr>
                <w:lang w:val="ru-RU"/>
              </w:rPr>
              <w:t>).</w:t>
            </w:r>
          </w:p>
          <w:p w14:paraId="1678CBF8" w14:textId="77777777" w:rsidR="00796BD3" w:rsidRPr="00ED12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2B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064CDEBB" w:rsidR="00796BD3" w:rsidRPr="00ED12BA" w:rsidRDefault="00153DD7" w:rsidP="00153DD7">
            <w:pPr>
              <w:rPr>
                <w:lang w:val="ru-RU"/>
              </w:rPr>
            </w:pPr>
            <w:r w:rsidRPr="00ED12BA">
              <w:rPr>
                <w:lang w:val="ru-RU"/>
              </w:rPr>
              <w:t xml:space="preserve">Совету предлагается </w:t>
            </w:r>
            <w:r w:rsidRPr="00ED12BA">
              <w:rPr>
                <w:b/>
                <w:bCs/>
                <w:lang w:val="ru-RU"/>
              </w:rPr>
              <w:t>принять к сведению</w:t>
            </w:r>
            <w:r w:rsidRPr="00ED12BA">
              <w:rPr>
                <w:lang w:val="ru-RU"/>
              </w:rPr>
              <w:t xml:space="preserve"> настоящий документ.</w:t>
            </w:r>
          </w:p>
          <w:p w14:paraId="2BD8524C" w14:textId="77777777" w:rsidR="00796BD3" w:rsidRPr="00ED12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2BA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3B9C3747" w:rsidR="00796BD3" w:rsidRPr="00ED12BA" w:rsidRDefault="00153DD7" w:rsidP="00153DD7">
            <w:pPr>
              <w:rPr>
                <w:lang w:val="ru-RU"/>
              </w:rPr>
            </w:pPr>
            <w:r w:rsidRPr="00ED12BA">
              <w:rPr>
                <w:lang w:val="ru-RU"/>
              </w:rPr>
              <w:t>Платформы для созыва мероприятий.</w:t>
            </w:r>
          </w:p>
          <w:p w14:paraId="597F6DEB" w14:textId="77777777" w:rsidR="00796BD3" w:rsidRPr="00ED12BA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D12BA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30D7E7F6" w:rsidR="00345D2A" w:rsidRPr="00ED12BA" w:rsidRDefault="00153DD7" w:rsidP="008A2B14">
            <w:pPr>
              <w:rPr>
                <w:szCs w:val="22"/>
                <w:lang w:val="ru-RU"/>
              </w:rPr>
            </w:pPr>
            <w:r w:rsidRPr="00ED12BA">
              <w:rPr>
                <w:szCs w:val="22"/>
                <w:lang w:val="ru-RU"/>
              </w:rPr>
              <w:t>В рамках выделенного бюджета на 2026–2027 годы.</w:t>
            </w:r>
          </w:p>
          <w:p w14:paraId="488E3730" w14:textId="77777777" w:rsidR="00796BD3" w:rsidRPr="00ED12BA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ED12BA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ED12BA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D12BA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066E5B26" w:rsidR="00796BD3" w:rsidRPr="00ED12BA" w:rsidRDefault="00153DD7" w:rsidP="00153DD7">
            <w:pPr>
              <w:spacing w:after="160"/>
              <w:rPr>
                <w:i/>
                <w:iCs/>
                <w:lang w:val="ru-RU"/>
              </w:rPr>
            </w:pPr>
            <w:r w:rsidRPr="00ED12BA">
              <w:rPr>
                <w:i/>
                <w:iCs/>
                <w:lang w:val="ru-RU"/>
              </w:rPr>
              <w:t xml:space="preserve">Документы </w:t>
            </w:r>
            <w:hyperlink r:id="rId10" w:history="1">
              <w:r w:rsidRPr="00ED12BA">
                <w:rPr>
                  <w:rStyle w:val="Hyperlink"/>
                  <w:i/>
                  <w:iCs/>
                  <w:lang w:val="ru-RU"/>
                </w:rPr>
                <w:t>C25/95</w:t>
              </w:r>
            </w:hyperlink>
            <w:r w:rsidRPr="00ED12BA">
              <w:rPr>
                <w:i/>
                <w:iCs/>
                <w:lang w:val="ru-RU"/>
              </w:rPr>
              <w:t xml:space="preserve">, </w:t>
            </w:r>
            <w:hyperlink r:id="rId11" w:history="1">
              <w:r w:rsidRPr="00ED12BA">
                <w:rPr>
                  <w:rStyle w:val="Hyperlink"/>
                  <w:i/>
                  <w:iCs/>
                  <w:lang w:val="ru-RU"/>
                </w:rPr>
                <w:t>CWG-FHR-21/8</w:t>
              </w:r>
            </w:hyperlink>
            <w:r w:rsidRPr="00ED12BA">
              <w:rPr>
                <w:i/>
                <w:iCs/>
                <w:lang w:val="ru-RU"/>
              </w:rPr>
              <w:t xml:space="preserve">, </w:t>
            </w:r>
            <w:hyperlink r:id="rId12" w:history="1">
              <w:r w:rsidRPr="00ED12BA">
                <w:rPr>
                  <w:rStyle w:val="Hyperlink"/>
                  <w:i/>
                  <w:iCs/>
                  <w:lang w:val="ru-RU"/>
                </w:rPr>
                <w:t>CWG-FHR-22/19</w:t>
              </w:r>
            </w:hyperlink>
            <w:r w:rsidRPr="00ED12BA">
              <w:rPr>
                <w:i/>
                <w:iCs/>
                <w:lang w:val="ru-RU"/>
              </w:rPr>
              <w:t xml:space="preserve"> и </w:t>
            </w:r>
            <w:hyperlink r:id="rId13" w:history="1">
              <w:r w:rsidRPr="00ED12BA">
                <w:rPr>
                  <w:rStyle w:val="Hyperlink"/>
                  <w:i/>
                  <w:iCs/>
                  <w:lang w:val="ru-RU"/>
                </w:rPr>
                <w:t>CWG-FHR-22/36</w:t>
              </w:r>
            </w:hyperlink>
          </w:p>
        </w:tc>
      </w:tr>
      <w:bookmarkEnd w:id="2"/>
      <w:bookmarkEnd w:id="6"/>
    </w:tbl>
    <w:p w14:paraId="2075259B" w14:textId="77777777" w:rsidR="00796BD3" w:rsidRPr="00ED12BA" w:rsidRDefault="00796BD3" w:rsidP="00796BD3">
      <w:pPr>
        <w:rPr>
          <w:lang w:val="ru-RU"/>
        </w:rPr>
      </w:pPr>
    </w:p>
    <w:p w14:paraId="4930794F" w14:textId="77777777" w:rsidR="00D17718" w:rsidRPr="00ED12B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ED12B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ED12BA">
        <w:rPr>
          <w:lang w:val="ru-RU"/>
        </w:rPr>
        <w:br w:type="page"/>
      </w:r>
    </w:p>
    <w:p w14:paraId="48EE080C" w14:textId="77777777" w:rsidR="00153DD7" w:rsidRPr="00ED12BA" w:rsidRDefault="00153DD7" w:rsidP="00153DD7">
      <w:pPr>
        <w:pStyle w:val="Headingb"/>
        <w:rPr>
          <w:lang w:val="ru-RU"/>
        </w:rPr>
      </w:pPr>
      <w:r w:rsidRPr="00ED12BA">
        <w:rPr>
          <w:lang w:val="ru-RU"/>
        </w:rPr>
        <w:lastRenderedPageBreak/>
        <w:t>Предложение 1: более широкое использование местных/национальных ресурсов устного перевода и внедрение дистанционного синхронного перевода для мероприятий МСЭ</w:t>
      </w:r>
    </w:p>
    <w:p w14:paraId="6EB79A2F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Привлечение квалифицированных местных устных переводчиков позволило бы сократить расходы на проезд, проживание и суточные, которые в противном случае несли бы принимающая страна или МСЭ.</w:t>
      </w:r>
    </w:p>
    <w:p w14:paraId="14A2F783" w14:textId="77777777" w:rsidR="00153DD7" w:rsidRPr="00ED12BA" w:rsidRDefault="00153DD7" w:rsidP="002A5016">
      <w:pPr>
        <w:pStyle w:val="Headingi"/>
        <w:jc w:val="both"/>
        <w:rPr>
          <w:lang w:val="ru-RU"/>
        </w:rPr>
      </w:pPr>
      <w:r w:rsidRPr="00ED12BA">
        <w:rPr>
          <w:lang w:val="ru-RU"/>
        </w:rPr>
        <w:t>Обновленная информация о мерах по приданию официального характера использованию местных и национальных устных переводчиков и его расширению</w:t>
      </w:r>
    </w:p>
    <w:p w14:paraId="4AFE0893" w14:textId="5487269B" w:rsidR="00153DD7" w:rsidRPr="00ED12BA" w:rsidRDefault="00153DD7" w:rsidP="002A5016">
      <w:pPr>
        <w:jc w:val="both"/>
        <w:rPr>
          <w:lang w:val="ru-RU"/>
        </w:rPr>
      </w:pPr>
      <w:bookmarkStart w:id="7" w:name="_Hlk213936764"/>
      <w:r w:rsidRPr="00ED12BA">
        <w:rPr>
          <w:lang w:val="ru-RU"/>
        </w:rPr>
        <w:t>Предложение об укреплении сотрудничества с Государствами − Членами МСЭ в области услуг профессионального устного перевода было представлено и утверждено на собрании РГС-Яз в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январе 2026 года. Государствам-Членам предлагается рекомендовать кандидатуры местных профессиональных устных переводчиков, отвечающих критериям в отношении сочетания языков, образования и достаточного опыта, для отбора Секретариатом МСЭ с целью составления реестра квалифицированных устных переводчиков для мероприятий МСЭ.</w:t>
      </w:r>
    </w:p>
    <w:p w14:paraId="0E9BBAC9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Государствам-Членам также предлагается содействовать контактам между Секретариатом МСЭ и местными академическими учреждениями, предлагающими курсы профессионального устного перевода для конференций, с тем чтобы обеспечить возможность целенаправленной подготовки кадров в соответствии с потребностями МСЭ и создания долгосрочного потенциала.</w:t>
      </w:r>
    </w:p>
    <w:p w14:paraId="07595A29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Основные преимущества этой инициативы включают сокращение затрат для МСЭ и принимающих стран; улучшенное географическое распределение в пуле устных переводчиков; повышение уровня бесперебойности обслуживания; развитие потенциала; и обеспечение устойчивого долгосрочного наличия устных переводчиков.</w:t>
      </w:r>
    </w:p>
    <w:p w14:paraId="09E47FA9" w14:textId="45E03DEE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Секретариат направил всем Государствам-Членам и региональным организациям электросвязи (РОЭ) Циркулярное письмо (</w:t>
      </w:r>
      <w:hyperlink r:id="rId14" w:history="1">
        <w:r w:rsidRPr="00ED12BA">
          <w:rPr>
            <w:rStyle w:val="Hyperlink"/>
            <w:lang w:val="ru-RU"/>
          </w:rPr>
          <w:t>CL-26/11</w:t>
        </w:r>
      </w:hyperlink>
      <w:r w:rsidRPr="00ED12BA">
        <w:rPr>
          <w:lang w:val="ru-RU"/>
        </w:rPr>
        <w:t>), в котором указан предельный срок для представления ответов заинтересованными сторонами: 31 мая 2026 года. Секретариат МСЭ обсудит с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заинтересованными Государствами-Членами и РОЭ сотрудничество на национальном или региональном уровне в июне-июле 2026 года.</w:t>
      </w:r>
    </w:p>
    <w:bookmarkEnd w:id="7"/>
    <w:p w14:paraId="1E0222AE" w14:textId="77777777" w:rsidR="00153DD7" w:rsidRPr="00ED12BA" w:rsidDel="001E794E" w:rsidRDefault="00153DD7" w:rsidP="002A5016">
      <w:pPr>
        <w:pStyle w:val="Headingi"/>
        <w:jc w:val="both"/>
        <w:rPr>
          <w:lang w:val="ru-RU"/>
        </w:rPr>
      </w:pPr>
      <w:r w:rsidRPr="00ED12BA">
        <w:rPr>
          <w:lang w:val="ru-RU"/>
        </w:rPr>
        <w:t>Обновленная информация о внедрении дистанционного синхронного перевода (RSI)</w:t>
      </w:r>
    </w:p>
    <w:p w14:paraId="52F92E19" w14:textId="418E3082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Секретариат продлевает испытательный период использования RSI и расширяет его использование путем включения в него определенных собраний МСЭ, на которых устные переводчики работают дистанционно, что существенно сокращает расходы на проезд. RSI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предполагает обеспечение стандартного конференционного устного перевода опытными профессиональными переводчиками, которые не присутствуют на месте. Экономия затрат за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счет использования RSI вместо устных переводчиков на месте оценивается в 20</w:t>
      </w:r>
      <w:r w:rsidR="00A67902" w:rsidRPr="00ED12BA">
        <w:rPr>
          <w:rFonts w:cs="Calibri"/>
          <w:lang w:val="ru-RU"/>
        </w:rPr>
        <w:t>−</w:t>
      </w:r>
      <w:r w:rsidRPr="00ED12BA">
        <w:rPr>
          <w:lang w:val="ru-RU"/>
        </w:rPr>
        <w:t>25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процентов.</w:t>
      </w:r>
    </w:p>
    <w:p w14:paraId="3C6A5A76" w14:textId="04774F3D" w:rsidR="00153DD7" w:rsidRPr="00ED12BA" w:rsidDel="001E794E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В 2026 году RSI будет внедрен для мероприятий за пределами Женевы с согласия принимающей страны и при тесном сотрудничестве между техническими группами МСЭ и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принимающей страной.</w:t>
      </w:r>
    </w:p>
    <w:p w14:paraId="571D317D" w14:textId="7027968C" w:rsidR="00153DD7" w:rsidRPr="00ED12BA" w:rsidRDefault="00153DD7" w:rsidP="002A5016">
      <w:pPr>
        <w:pStyle w:val="Headingi"/>
        <w:jc w:val="both"/>
        <w:rPr>
          <w:lang w:val="ru-RU"/>
        </w:rPr>
      </w:pPr>
      <w:r w:rsidRPr="00ED12BA">
        <w:rPr>
          <w:lang w:val="ru-RU"/>
        </w:rPr>
        <w:t>Устный перевод с использованием ИИ</w:t>
      </w:r>
    </w:p>
    <w:p w14:paraId="16007356" w14:textId="13704056" w:rsidR="00153DD7" w:rsidRPr="002A5016" w:rsidRDefault="00153DD7" w:rsidP="002A5016">
      <w:pPr>
        <w:keepNext/>
        <w:jc w:val="both"/>
        <w:rPr>
          <w:spacing w:val="-3"/>
          <w:lang w:val="ru-RU"/>
        </w:rPr>
      </w:pPr>
      <w:r w:rsidRPr="002A5016">
        <w:rPr>
          <w:spacing w:val="-3"/>
          <w:lang w:val="ru-RU"/>
        </w:rPr>
        <w:t>В рамках своей долгосрочной стратегии в сфере устного перевода и для того, чтобы пользоваться преимуществами появляющихся технологических достижений, МСЭ продолжает тестировать и оценивать услуги устного перевода и ввода субтитров с использованием ИИ. Сюда входят тестирование продуктов ряда коммерческих поставщиков, а также разработка и испытание инструментов ввода субтитров и устного перевода собственными силами. Качество устного перевода с использованием ИИ быстро повышается, но не является достаточно высоким для использования на официальных собраниях. В соответствии с Отчетом о</w:t>
      </w:r>
      <w:r w:rsidR="00A67902" w:rsidRPr="002A5016">
        <w:rPr>
          <w:spacing w:val="-3"/>
          <w:lang w:val="ru-RU"/>
        </w:rPr>
        <w:t> </w:t>
      </w:r>
      <w:r w:rsidRPr="002A5016">
        <w:rPr>
          <w:spacing w:val="-3"/>
          <w:lang w:val="ru-RU"/>
        </w:rPr>
        <w:t xml:space="preserve">проблемах и возможностях, </w:t>
      </w:r>
      <w:r w:rsidRPr="002A5016">
        <w:rPr>
          <w:spacing w:val="-3"/>
          <w:lang w:val="ru-RU"/>
        </w:rPr>
        <w:lastRenderedPageBreak/>
        <w:t>связанных с устным переводом с использованием ИИ (Документ</w:t>
      </w:r>
      <w:r w:rsidR="00A67902" w:rsidRPr="002A5016">
        <w:rPr>
          <w:spacing w:val="-3"/>
          <w:lang w:val="ru-RU"/>
        </w:rPr>
        <w:t> </w:t>
      </w:r>
      <w:hyperlink r:id="rId15" w:history="1">
        <w:r w:rsidRPr="002A5016">
          <w:rPr>
            <w:rStyle w:val="Hyperlink"/>
            <w:spacing w:val="-3"/>
            <w:lang w:val="ru-RU"/>
          </w:rPr>
          <w:t>CWG-LANG-16/INF/1</w:t>
        </w:r>
      </w:hyperlink>
      <w:r w:rsidRPr="002A5016">
        <w:rPr>
          <w:spacing w:val="-3"/>
          <w:lang w:val="ru-RU"/>
        </w:rPr>
        <w:t>), тестирование будет сосредоточено на следующих типах собраний:</w:t>
      </w:r>
    </w:p>
    <w:p w14:paraId="2A556570" w14:textId="14998376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собрания, основная часть которых приходится на выступления, например брифинги с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ограниченным обменом мнениями с аудиторией;</w:t>
      </w:r>
    </w:p>
    <w:p w14:paraId="29214032" w14:textId="36927AC8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неофициальные собрания, такие как внутренние собрания сотрудников Секретариата с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минимальным участием делегатов;</w:t>
      </w:r>
    </w:p>
    <w:p w14:paraId="7BA89514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тематические семинары-практикумы;</w:t>
      </w:r>
    </w:p>
    <w:p w14:paraId="0D6C1515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региональные собрания;</w:t>
      </w:r>
    </w:p>
    <w:p w14:paraId="06718100" w14:textId="2C7D0E78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мероприятия, предполагающие обсуждения за круглым столом с использованием более чем одного стола, где очный устный перевод был бы нецелесообразным или чрезмерно дорогостоящим;</w:t>
      </w:r>
    </w:p>
    <w:p w14:paraId="4B6EA395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собрания рабочих групп, не связанные с принятием решений, в ходе которых устный перевод в ином случае не обеспечивался бы.</w:t>
      </w:r>
    </w:p>
    <w:p w14:paraId="6E866903" w14:textId="77777777" w:rsidR="00153DD7" w:rsidRPr="00ED12BA" w:rsidRDefault="00153DD7" w:rsidP="00153DD7">
      <w:pPr>
        <w:pStyle w:val="Headingb"/>
        <w:rPr>
          <w:lang w:val="ru-RU"/>
        </w:rPr>
      </w:pPr>
      <w:r w:rsidRPr="00ED12BA">
        <w:rPr>
          <w:lang w:val="ru-RU"/>
        </w:rPr>
        <w:t>Предложение 2: предоставление ИТ-оборудования и устройств на местах</w:t>
      </w:r>
    </w:p>
    <w:p w14:paraId="357788C8" w14:textId="382B0E78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 xml:space="preserve">В соответствии с поручением 22-го собрания РГС-ФЛР (Документ </w:t>
      </w:r>
      <w:hyperlink r:id="rId16" w:history="1">
        <w:r w:rsidRPr="00ED12BA">
          <w:rPr>
            <w:rStyle w:val="Hyperlink"/>
            <w:lang w:val="ru-RU"/>
          </w:rPr>
          <w:t>CWG-FHR-22/36</w:t>
        </w:r>
      </w:hyperlink>
      <w:r w:rsidRPr="00ED12BA">
        <w:rPr>
          <w:lang w:val="ru-RU"/>
        </w:rPr>
        <w:t xml:space="preserve">) примерный список поставленного оборудования ИТ и закупочная стоимость каждой позиции на основе данных по ВКРЭ 2025 года представлены в Приложении 1 к Документу </w:t>
      </w:r>
      <w:hyperlink r:id="rId17" w:history="1">
        <w:r w:rsidRPr="00ED12BA">
          <w:rPr>
            <w:rStyle w:val="Hyperlink"/>
            <w:lang w:val="ru-RU"/>
          </w:rPr>
          <w:t>C26/INF/8</w:t>
        </w:r>
      </w:hyperlink>
      <w:r w:rsidRPr="00ED12BA">
        <w:rPr>
          <w:lang w:val="ru-RU"/>
        </w:rPr>
        <w:t>, а сводная информация о транспортных расходах для крупных мероприятий МСЭ, проводимых за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пределами Женевы с 2024 года, представлена в Приложении 2 к Документу C26/INF/8.</w:t>
      </w:r>
    </w:p>
    <w:p w14:paraId="45C741B0" w14:textId="66D6DCE5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Для сокращения времени развертывания оборудования на месте все оборудование поставляется предварительно сконфигурированным в соответствии с требованиями конференции. МСЭ также просит принимающую страну предоставить стандартное оборудование и инфраструктуру, включая компьютерные мониторы, инфраструктуру проводной сети, инфраструктуру Wi-Fi, аудиовизуальную (AV) инфраструктуру и системы информационных указателей.</w:t>
      </w:r>
    </w:p>
    <w:p w14:paraId="082FDF66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Предпринимаются постоянные усилия по модернизации систем и дальнейшему снижению зависимости от базирующейся в Женеве инфраструктуры.</w:t>
      </w:r>
    </w:p>
    <w:p w14:paraId="2F99F318" w14:textId="01D91B3E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Там, где это возможно, при наличии квалифицированного местного поставщика услуг, способного выполнить требования к технологиям и интеграции, некоторые виды аудиовизуального оборудования МСЭ, такие как аудио- и видеостойки или футляры для транспортировки RP-оборудования, более не могут включаться в комплект поставки МСЭ, если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предлагаемые альтернативные варианты были предварительно одобрены в ходе подготовки к мероприятию.</w:t>
      </w:r>
    </w:p>
    <w:p w14:paraId="400FAB8C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На основании финансовых показателей, изложенных в Документе C26/INF/8, принимающей стране следует провести финансовую оценку, с тем чтобы определить, является ли экономически более эффективным получение включенного в перечень оборудования от МСЭ или его обеспечение на местном уровне. Если оборудование предоставляется на местном уровне, то принимающая страна должна обеспечить его техническую совместимость, полное конфигурирование и готовность ко времени проведения конференции, а также наличие надлежащей технической поддержки на протяжении всего мероприятия.</w:t>
      </w:r>
    </w:p>
    <w:p w14:paraId="3434ECCE" w14:textId="00F6C570" w:rsidR="00153DD7" w:rsidRPr="00ED12BA" w:rsidRDefault="00153DD7" w:rsidP="002A5016">
      <w:pPr>
        <w:pStyle w:val="Headingb"/>
        <w:jc w:val="both"/>
        <w:rPr>
          <w:lang w:val="ru-RU"/>
        </w:rPr>
      </w:pPr>
      <w:r w:rsidRPr="00ED12BA">
        <w:rPr>
          <w:lang w:val="ru-RU"/>
        </w:rPr>
        <w:t>Предложение 3: переход к полностью цифровой модели аккредитации на конференциях путем оптимизации процессов и использования цифровых пропусков</w:t>
      </w:r>
    </w:p>
    <w:p w14:paraId="6D6D7798" w14:textId="142E6BAE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Переход от печатных средств идентификации к цифровым регистрационным данным для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участников конференций снижает административные и материальные затраты на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 xml:space="preserve">производство пропусков и повышает устойчивость. Вместе с тем этот переход также влечет за собой новые затраты, включая приобретение или аренду инструментов цифрового доступа, </w:t>
      </w:r>
      <w:r w:rsidRPr="00ED12BA">
        <w:rPr>
          <w:lang w:val="ru-RU"/>
        </w:rPr>
        <w:lastRenderedPageBreak/>
        <w:t>таких как сканирующее оборудование и устройства биометрической верификации. Эти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потребности различаются в зависимости от места проведения мероприятий и в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значительной степени зависят от того, проводится ли то или иное мероприятие в Женеве или в другой принимающей стране.</w:t>
      </w:r>
    </w:p>
    <w:p w14:paraId="1B91FD7A" w14:textId="2DDE0DEB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Первоначальные обзоры необходимой инфраструктуры и операций показывают, что, хотя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создание цифровых систем аккредитации может потребовать больших первоначальных инвестиций в аппаратное обеспечение и интеграцию ИТ, эти затраты могут быть компенсированы экономией эксплуатационных расходов, связанных с затратами на расходные материалы, материально-техническое обеспечение и персонал на местах. В частности, существенное сокращение использования физических материалов, таких как пропуска и ленты из ПВХ, могло бы сократить потребность в транспортировке оборудования для печати пропусков и связанных с ним материалов.</w:t>
      </w:r>
    </w:p>
    <w:p w14:paraId="4AB60384" w14:textId="35474F26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Выбор вариантов цифровой аккредитации и выдачи пропусков зависит от ИТ-стратегии и требований безопасности, а также от анализа ситуации с модернизацией ИТ-решений. В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Женеве существующая инфраструктура может быть использована для достижения эффективности при максимально возможном использовании оборудования на местах. Для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зарубежных мероприятий цифровые удостоверения сокращают расходы на доставку и таможенные сборы, хотя некоторое оборудование все еще требуется для гарантированной проверки участников.</w:t>
      </w:r>
    </w:p>
    <w:p w14:paraId="43B1C2C2" w14:textId="469EA45E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Подробный анализ затрат на инфраструктуру и эксплуатационных затрат показывает, что, хотя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на начальном этапе капитальные затраты на аппаратное обеспечение и интеграцию ИТ могут возрасти, они компенсируются сокращением на 30</w:t>
      </w:r>
      <w:r w:rsidR="008A2B14">
        <w:rPr>
          <w:rFonts w:cs="Calibri"/>
          <w:lang w:val="ru-RU"/>
        </w:rPr>
        <w:t>−</w:t>
      </w:r>
      <w:r w:rsidRPr="00ED12BA">
        <w:rPr>
          <w:lang w:val="ru-RU"/>
        </w:rPr>
        <w:t>40% оперативных затрат, связанных с</w:t>
      </w:r>
      <w:r w:rsidR="00A67902" w:rsidRPr="00ED12BA">
        <w:rPr>
          <w:lang w:val="ru-RU"/>
        </w:rPr>
        <w:t> </w:t>
      </w:r>
      <w:r w:rsidRPr="00ED12BA">
        <w:rPr>
          <w:lang w:val="ru-RU"/>
        </w:rPr>
        <w:t>расходными материалами и персоналом.</w:t>
      </w:r>
    </w:p>
    <w:p w14:paraId="15896438" w14:textId="0159E383" w:rsidR="00153DD7" w:rsidRPr="00ED12BA" w:rsidRDefault="00153DD7" w:rsidP="002A5016">
      <w:pPr>
        <w:spacing w:after="120"/>
        <w:jc w:val="both"/>
        <w:rPr>
          <w:lang w:val="ru-RU"/>
        </w:rPr>
      </w:pPr>
      <w:r w:rsidRPr="00ED12BA">
        <w:rPr>
          <w:lang w:val="ru-RU"/>
        </w:rPr>
        <w:t>В нижеследующей таблице приведены сравнительные факторы затрат традиционной физической модели с использованием RFID и предлагаемой цифровой/биометрической модели:</w:t>
      </w:r>
    </w:p>
    <w:tbl>
      <w:tblPr>
        <w:tblStyle w:val="TableGrid"/>
        <w:tblW w:w="9639" w:type="dxa"/>
        <w:tblLook w:val="06A0" w:firstRow="1" w:lastRow="0" w:firstColumn="1" w:lastColumn="0" w:noHBand="1" w:noVBand="1"/>
      </w:tblPr>
      <w:tblGrid>
        <w:gridCol w:w="1569"/>
        <w:gridCol w:w="2871"/>
        <w:gridCol w:w="3204"/>
        <w:gridCol w:w="1995"/>
      </w:tblGrid>
      <w:tr w:rsidR="00153DD7" w:rsidRPr="00ED12BA" w14:paraId="272FD1D5" w14:textId="77777777" w:rsidTr="009D1F82">
        <w:trPr>
          <w:trHeight w:val="300"/>
        </w:trPr>
        <w:tc>
          <w:tcPr>
            <w:tcW w:w="1569" w:type="dxa"/>
          </w:tcPr>
          <w:p w14:paraId="0AFB1A89" w14:textId="77777777" w:rsidR="00153DD7" w:rsidRPr="00ED12BA" w:rsidRDefault="00153DD7" w:rsidP="00153DD7">
            <w:pPr>
              <w:pStyle w:val="Tablehead"/>
              <w:rPr>
                <w:lang w:val="ru-RU"/>
              </w:rPr>
            </w:pPr>
            <w:r w:rsidRPr="00ED12BA">
              <w:rPr>
                <w:lang w:val="ru-RU"/>
              </w:rPr>
              <w:t>Факторы затрат</w:t>
            </w:r>
          </w:p>
        </w:tc>
        <w:tc>
          <w:tcPr>
            <w:tcW w:w="2871" w:type="dxa"/>
          </w:tcPr>
          <w:p w14:paraId="5E35BD81" w14:textId="6E79DC6C" w:rsidR="00153DD7" w:rsidRPr="00ED12BA" w:rsidRDefault="00153DD7" w:rsidP="00153DD7">
            <w:pPr>
              <w:pStyle w:val="Tablehead"/>
              <w:rPr>
                <w:lang w:val="ru-RU"/>
              </w:rPr>
            </w:pPr>
            <w:r w:rsidRPr="00ED12BA">
              <w:rPr>
                <w:lang w:val="ru-RU"/>
              </w:rPr>
              <w:t>Физическая модель с</w:t>
            </w:r>
            <w:r w:rsidR="004B28A3" w:rsidRPr="00ED12BA">
              <w:rPr>
                <w:lang w:val="ru-RU"/>
              </w:rPr>
              <w:t> </w:t>
            </w:r>
            <w:r w:rsidRPr="00ED12BA">
              <w:rPr>
                <w:lang w:val="ru-RU"/>
              </w:rPr>
              <w:t>использованием RFID</w:t>
            </w:r>
          </w:p>
        </w:tc>
        <w:tc>
          <w:tcPr>
            <w:tcW w:w="3204" w:type="dxa"/>
          </w:tcPr>
          <w:p w14:paraId="4EB3DF7F" w14:textId="77777777" w:rsidR="00153DD7" w:rsidRPr="00ED12BA" w:rsidRDefault="00153DD7" w:rsidP="00153DD7">
            <w:pPr>
              <w:pStyle w:val="Tablehead"/>
              <w:rPr>
                <w:lang w:val="ru-RU"/>
              </w:rPr>
            </w:pPr>
            <w:r w:rsidRPr="00ED12BA">
              <w:rPr>
                <w:lang w:val="ru-RU"/>
              </w:rPr>
              <w:t>Цифровая/биометрическая модель</w:t>
            </w:r>
          </w:p>
        </w:tc>
        <w:tc>
          <w:tcPr>
            <w:tcW w:w="1995" w:type="dxa"/>
          </w:tcPr>
          <w:p w14:paraId="6591D89C" w14:textId="77777777" w:rsidR="00153DD7" w:rsidRPr="00ED12BA" w:rsidRDefault="00153DD7" w:rsidP="00153DD7">
            <w:pPr>
              <w:pStyle w:val="Tablehead"/>
              <w:rPr>
                <w:lang w:val="ru-RU"/>
              </w:rPr>
            </w:pPr>
            <w:r w:rsidRPr="00ED12BA">
              <w:rPr>
                <w:lang w:val="ru-RU"/>
              </w:rPr>
              <w:t>Финансовые последствия</w:t>
            </w:r>
          </w:p>
        </w:tc>
      </w:tr>
      <w:tr w:rsidR="00153DD7" w:rsidRPr="00ED12BA" w14:paraId="68E61510" w14:textId="77777777" w:rsidTr="009D1F82">
        <w:trPr>
          <w:trHeight w:val="300"/>
        </w:trPr>
        <w:tc>
          <w:tcPr>
            <w:tcW w:w="1569" w:type="dxa"/>
          </w:tcPr>
          <w:p w14:paraId="7091A733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Расходные материалы</w:t>
            </w:r>
          </w:p>
        </w:tc>
        <w:tc>
          <w:tcPr>
            <w:tcW w:w="2871" w:type="dxa"/>
          </w:tcPr>
          <w:p w14:paraId="1EC85307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Высокие затраты (карточки из ПВХ, ленты, шнуры)</w:t>
            </w:r>
          </w:p>
        </w:tc>
        <w:tc>
          <w:tcPr>
            <w:tcW w:w="3204" w:type="dxa"/>
          </w:tcPr>
          <w:p w14:paraId="062604FE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Почти нулевые затраты (решения с использованием устройств подвижной связи)</w:t>
            </w:r>
          </w:p>
        </w:tc>
        <w:tc>
          <w:tcPr>
            <w:tcW w:w="1995" w:type="dxa"/>
          </w:tcPr>
          <w:p w14:paraId="7B9A48C1" w14:textId="540A00E9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Ориентировочная экономия – 90%</w:t>
            </w:r>
          </w:p>
        </w:tc>
      </w:tr>
      <w:tr w:rsidR="00153DD7" w:rsidRPr="00ED12BA" w14:paraId="2BF5B46E" w14:textId="77777777" w:rsidTr="009D1F82">
        <w:trPr>
          <w:trHeight w:val="300"/>
        </w:trPr>
        <w:tc>
          <w:tcPr>
            <w:tcW w:w="1569" w:type="dxa"/>
          </w:tcPr>
          <w:p w14:paraId="5DC2F7E1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Материально-техническое обеспечение</w:t>
            </w:r>
          </w:p>
        </w:tc>
        <w:tc>
          <w:tcPr>
            <w:tcW w:w="2871" w:type="dxa"/>
          </w:tcPr>
          <w:p w14:paraId="1BAC5040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Высокие затраты (тяжеловесные грузы, таможенные сборы)</w:t>
            </w:r>
          </w:p>
        </w:tc>
        <w:tc>
          <w:tcPr>
            <w:tcW w:w="3204" w:type="dxa"/>
          </w:tcPr>
          <w:p w14:paraId="3C8F751A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Низкие затраты (минимальная занимаемая площадь аппаратного обеспечения)</w:t>
            </w:r>
          </w:p>
        </w:tc>
        <w:tc>
          <w:tcPr>
            <w:tcW w:w="1995" w:type="dxa"/>
          </w:tcPr>
          <w:p w14:paraId="668C35B8" w14:textId="1ED1D738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Ориентировочная экономия – 60%</w:t>
            </w:r>
          </w:p>
        </w:tc>
      </w:tr>
      <w:tr w:rsidR="00153DD7" w:rsidRPr="00ED12BA" w14:paraId="6B3FD7FB" w14:textId="77777777" w:rsidTr="009D1F82">
        <w:trPr>
          <w:trHeight w:val="300"/>
        </w:trPr>
        <w:tc>
          <w:tcPr>
            <w:tcW w:w="1569" w:type="dxa"/>
          </w:tcPr>
          <w:p w14:paraId="0C17989C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Оборудование</w:t>
            </w:r>
          </w:p>
        </w:tc>
        <w:tc>
          <w:tcPr>
            <w:tcW w:w="2871" w:type="dxa"/>
          </w:tcPr>
          <w:p w14:paraId="00465871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Принтеры для пропусков, кодирующие устройства</w:t>
            </w:r>
          </w:p>
        </w:tc>
        <w:tc>
          <w:tcPr>
            <w:tcW w:w="3204" w:type="dxa"/>
          </w:tcPr>
          <w:p w14:paraId="25BB8A45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Сканеры, биометрические киоски</w:t>
            </w:r>
          </w:p>
        </w:tc>
        <w:tc>
          <w:tcPr>
            <w:tcW w:w="1995" w:type="dxa"/>
          </w:tcPr>
          <w:p w14:paraId="26B43AC8" w14:textId="1BDEC6E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Более высокие капитальные затраты</w:t>
            </w:r>
          </w:p>
        </w:tc>
      </w:tr>
      <w:tr w:rsidR="00153DD7" w:rsidRPr="00ED12BA" w14:paraId="69386D7B" w14:textId="77777777" w:rsidTr="009D1F82">
        <w:trPr>
          <w:trHeight w:val="300"/>
        </w:trPr>
        <w:tc>
          <w:tcPr>
            <w:tcW w:w="1569" w:type="dxa"/>
          </w:tcPr>
          <w:p w14:paraId="0B4DA369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Местный персонал</w:t>
            </w:r>
          </w:p>
        </w:tc>
        <w:tc>
          <w:tcPr>
            <w:tcW w:w="2871" w:type="dxa"/>
          </w:tcPr>
          <w:p w14:paraId="3C82A3EC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Высокие затраты (распечатка пропусков/пункты выдачи)</w:t>
            </w:r>
          </w:p>
        </w:tc>
        <w:tc>
          <w:tcPr>
            <w:tcW w:w="3204" w:type="dxa"/>
          </w:tcPr>
          <w:p w14:paraId="7AD77816" w14:textId="77777777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Средние затраты (техническая поддержка)</w:t>
            </w:r>
          </w:p>
        </w:tc>
        <w:tc>
          <w:tcPr>
            <w:tcW w:w="1995" w:type="dxa"/>
          </w:tcPr>
          <w:p w14:paraId="3726DEA7" w14:textId="4C8144CA" w:rsidR="00153DD7" w:rsidRPr="00ED12BA" w:rsidRDefault="00153DD7" w:rsidP="00153DD7">
            <w:pPr>
              <w:pStyle w:val="Tabletext"/>
              <w:rPr>
                <w:lang w:val="ru-RU"/>
              </w:rPr>
            </w:pPr>
            <w:r w:rsidRPr="00ED12BA">
              <w:rPr>
                <w:lang w:val="ru-RU"/>
              </w:rPr>
              <w:t>Ориентировочная экономия – 25%</w:t>
            </w:r>
          </w:p>
        </w:tc>
      </w:tr>
    </w:tbl>
    <w:p w14:paraId="4DF583BA" w14:textId="77777777" w:rsidR="002A5016" w:rsidRDefault="002A5016" w:rsidP="002A5016">
      <w:pPr>
        <w:pStyle w:val="Tablefin"/>
      </w:pPr>
    </w:p>
    <w:p w14:paraId="33A3FB77" w14:textId="0D6099B6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Бизнес-модель, будь то бизнес-модель с использованием собственных решений, SaaS или аренды, непосредственно влияет на финансовое бремя принимающих стран.</w:t>
      </w:r>
    </w:p>
    <w:p w14:paraId="34F2C86B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bCs/>
          <w:lang w:val="ru-RU"/>
        </w:rPr>
        <w:t>–</w:t>
      </w:r>
      <w:r w:rsidRPr="00ED12BA">
        <w:rPr>
          <w:bCs/>
          <w:lang w:val="ru-RU"/>
        </w:rPr>
        <w:tab/>
      </w:r>
      <w:r w:rsidRPr="00ED12BA">
        <w:rPr>
          <w:b/>
          <w:bCs/>
          <w:lang w:val="ru-RU"/>
        </w:rPr>
        <w:t>Мероприятия в районе Женевы</w:t>
      </w:r>
      <w:r w:rsidRPr="00ED12BA">
        <w:rPr>
          <w:lang w:val="ru-RU"/>
        </w:rPr>
        <w:t>: имеется возможность извлечь выгоду из существующей инфраструктуры, принадлежащей МСЭ, и пренебрежимо малых затрат на доставку, благодаря чему переход на цифровые пропуска значительно повысит эффективность.</w:t>
      </w:r>
    </w:p>
    <w:p w14:paraId="60FF6F96" w14:textId="02EE61C8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bCs/>
          <w:lang w:val="ru-RU"/>
        </w:rPr>
        <w:t>–</w:t>
      </w:r>
      <w:r w:rsidRPr="00ED12BA">
        <w:rPr>
          <w:bCs/>
          <w:lang w:val="ru-RU"/>
        </w:rPr>
        <w:tab/>
      </w:r>
      <w:r w:rsidRPr="00ED12BA">
        <w:rPr>
          <w:b/>
          <w:bCs/>
          <w:lang w:val="ru-RU"/>
        </w:rPr>
        <w:t>Международные мероприятия</w:t>
      </w:r>
      <w:r w:rsidRPr="00ED12BA">
        <w:rPr>
          <w:lang w:val="ru-RU"/>
        </w:rPr>
        <w:t xml:space="preserve">: цифровые пропуска ощутимо снижают затраты на материально-техническое обеспечение. За счет устранения необходимости в отправке тысяч физических карт и тяжеловесных мощных принтеров (для которых часто </w:t>
      </w:r>
      <w:r w:rsidRPr="00ED12BA">
        <w:rPr>
          <w:lang w:val="ru-RU"/>
        </w:rPr>
        <w:lastRenderedPageBreak/>
        <w:t>требуются сложные документы в виде книжек ATA Carnet и дорогостоящие авиаперевозки) принимающие страны могут добиться снижения затрат на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специализированную доставку примерно на 10</w:t>
      </w:r>
      <w:r w:rsidR="008A2B14">
        <w:rPr>
          <w:lang w:val="ru-RU"/>
        </w:rPr>
        <w:t> </w:t>
      </w:r>
      <w:r w:rsidRPr="00ED12BA">
        <w:rPr>
          <w:lang w:val="ru-RU"/>
        </w:rPr>
        <w:t>000</w:t>
      </w:r>
      <w:r w:rsidR="008A2B14">
        <w:rPr>
          <w:rFonts w:cs="Calibri"/>
          <w:lang w:val="ru-RU"/>
        </w:rPr>
        <w:t>−</w:t>
      </w:r>
      <w:r w:rsidRPr="00ED12BA">
        <w:rPr>
          <w:lang w:val="ru-RU"/>
        </w:rPr>
        <w:t>15</w:t>
      </w:r>
      <w:r w:rsidR="008A2B14">
        <w:rPr>
          <w:lang w:val="ru-RU"/>
        </w:rPr>
        <w:t> </w:t>
      </w:r>
      <w:r w:rsidRPr="00ED12BA">
        <w:rPr>
          <w:lang w:val="ru-RU"/>
        </w:rPr>
        <w:t>000</w:t>
      </w:r>
      <w:r w:rsidR="008A2B14">
        <w:rPr>
          <w:lang w:val="ru-RU"/>
        </w:rPr>
        <w:t> </w:t>
      </w:r>
      <w:r w:rsidRPr="00ED12BA">
        <w:rPr>
          <w:lang w:val="ru-RU"/>
        </w:rPr>
        <w:t>долл.</w:t>
      </w:r>
      <w:r w:rsidR="008A2B14">
        <w:rPr>
          <w:lang w:val="ru-RU"/>
        </w:rPr>
        <w:t> </w:t>
      </w:r>
      <w:r w:rsidRPr="00ED12BA">
        <w:rPr>
          <w:lang w:val="ru-RU"/>
        </w:rPr>
        <w:t>США в расчете на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каждое крупное мероприятие.</w:t>
      </w:r>
    </w:p>
    <w:p w14:paraId="4268A89B" w14:textId="7F032E2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Хотя цифровая аккредитация снижает общие потребности по статье материально-технического обеспечения, доставка биометрического оборудования и оборудования контроля доступа остается фактором затрат и должна быть оптимизирована путем изучения смешанной модели, сочетающей централизованное снабжение и аренду на местах, когда это возможно.</w:t>
      </w:r>
    </w:p>
    <w:p w14:paraId="4419175A" w14:textId="77777777" w:rsidR="00153DD7" w:rsidRPr="00ED12BA" w:rsidDel="0001061E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Выбор вариантов аккредитации и моделей развертывания, основанных на цифровых решениях, должен согласовываться с более широкой стратегией модернизации ИТ, в рамках которой также следует уделять первоочередное внимание снижению эксплуатационного и финансового бремени принимающих стран за счет упрощения логистики, минимизации объемов перевозки оборудования и гибких подходов к поиску поставщиков.</w:t>
      </w:r>
    </w:p>
    <w:p w14:paraId="11A1B7C2" w14:textId="7DB7A4C6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В настоящее время секретариат проводит оценку различных цифровых решений для процессов регистрации, аккредитации и выдачи пропусков в отношении разных видов мероприятий, включая предусмотренные Уставом конференции и технические собрания, проводимые в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Женеве и других местах. План развертывания направлен на обеспечение к 2027 году наличия цифровых эксплуатационных механизмов для отдельных мероприятий, возможно в привязке к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крупным конференциям, таким как Всемирная конференция радиосвязи 2027 года.</w:t>
      </w:r>
    </w:p>
    <w:p w14:paraId="04133BB6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Существующая на данный момент дорожная карта включает следующие этапы:</w:t>
      </w:r>
    </w:p>
    <w:p w14:paraId="70E66B5D" w14:textId="73F6AEC0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к концу 2025 года была создана специальная целевая группа, и деятельность по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оценке будет продолжаться в течение 2026 года;</w:t>
      </w:r>
    </w:p>
    <w:p w14:paraId="52B1BC1B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необходимо провести классификацию различных типов мероприятий и установить их приоритетность для определения технических потребностей, потребностей в области безопасности и эксплуатационных потребностей;</w:t>
      </w:r>
    </w:p>
    <w:p w14:paraId="078A3240" w14:textId="29F72F02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в течение 2026 года следует реализовать прогрессивные пилотные программы, начав с</w:t>
      </w:r>
      <w:r w:rsidR="004B28A3" w:rsidRPr="00ED12BA">
        <w:rPr>
          <w:lang w:val="ru-RU"/>
        </w:rPr>
        <w:t> </w:t>
      </w:r>
      <w:r w:rsidRPr="00ED12BA">
        <w:rPr>
          <w:lang w:val="ru-RU"/>
        </w:rPr>
        <w:t>небольших пробных проектов в рамках собраний в Женеве, для проверки основных показателей деятельности по таким параметрам, как стоимость, эффективность, безопасность и отзывы участников;</w:t>
      </w:r>
    </w:p>
    <w:p w14:paraId="5BB67DF1" w14:textId="77777777" w:rsidR="00153DD7" w:rsidRPr="00ED12BA" w:rsidRDefault="00153DD7" w:rsidP="002A5016">
      <w:pPr>
        <w:pStyle w:val="enumlev1"/>
        <w:jc w:val="both"/>
        <w:rPr>
          <w:lang w:val="ru-RU"/>
        </w:rPr>
      </w:pPr>
      <w:r w:rsidRPr="00ED12BA">
        <w:rPr>
          <w:lang w:val="ru-RU"/>
        </w:rPr>
        <w:t>–</w:t>
      </w:r>
      <w:r w:rsidRPr="00ED12BA">
        <w:rPr>
          <w:lang w:val="ru-RU"/>
        </w:rPr>
        <w:tab/>
        <w:t>необходимо проводить оценку преимуществ с точки зрения устойчивости, а также финансовых последствий по мере поступления результатов пилотных проектов.</w:t>
      </w:r>
    </w:p>
    <w:p w14:paraId="030A6557" w14:textId="0611FA9E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В 2026 году МСЭ приступит к экспериментальной реализации коммерческого решения по</w:t>
      </w:r>
      <w:r w:rsidR="00103176" w:rsidRPr="00ED12BA">
        <w:rPr>
          <w:lang w:val="ru-RU"/>
        </w:rPr>
        <w:t> </w:t>
      </w:r>
      <w:r w:rsidRPr="00ED12BA">
        <w:rPr>
          <w:lang w:val="ru-RU"/>
        </w:rPr>
        <w:t>управлению мероприятиями (для "ИИ во благо" и ВВУИО), которое уже используется другими учреждениями ООН, на предмет оценки его пригодности для мероприятий МСЭ в</w:t>
      </w:r>
      <w:r w:rsidR="00103176" w:rsidRPr="00ED12BA">
        <w:rPr>
          <w:lang w:val="ru-RU"/>
        </w:rPr>
        <w:t> </w:t>
      </w:r>
      <w:r w:rsidRPr="00ED12BA">
        <w:rPr>
          <w:lang w:val="ru-RU"/>
        </w:rPr>
        <w:t>различных областях. Пилотный проект включает тестирование различных функций и финансовую оценку, основанную на сравнении мероприятий, проводимых в Женеве, с</w:t>
      </w:r>
      <w:r w:rsidR="00103176" w:rsidRPr="00ED12BA">
        <w:rPr>
          <w:lang w:val="ru-RU"/>
        </w:rPr>
        <w:t> </w:t>
      </w:r>
      <w:r w:rsidRPr="00ED12BA">
        <w:rPr>
          <w:lang w:val="ru-RU"/>
        </w:rPr>
        <w:t>зарубежными мероприятиями. Результаты будут учтены в процессе принятия решений по</w:t>
      </w:r>
      <w:r w:rsidR="00103176" w:rsidRPr="00ED12BA">
        <w:rPr>
          <w:lang w:val="ru-RU"/>
        </w:rPr>
        <w:t> </w:t>
      </w:r>
      <w:r w:rsidRPr="00ED12BA">
        <w:rPr>
          <w:lang w:val="ru-RU"/>
        </w:rPr>
        <w:t>модернизации управления мероприятиями.</w:t>
      </w:r>
    </w:p>
    <w:p w14:paraId="40DE6577" w14:textId="6D490D90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>Дорожная карта модернизации платформы управления мероприятиями будет создаваться и дорабатываться в течение 2026–2027 годов в увязке с более широкой модернизацией технологий и корпоративных систем, включая системы управления мероприятиями, а также с</w:t>
      </w:r>
      <w:r w:rsidR="00103176" w:rsidRPr="00ED12BA">
        <w:rPr>
          <w:lang w:val="ru-RU"/>
        </w:rPr>
        <w:t> </w:t>
      </w:r>
      <w:r w:rsidRPr="00ED12BA">
        <w:rPr>
          <w:lang w:val="ru-RU"/>
        </w:rPr>
        <w:t>учетом оценки результатов пилотной программы и ландшафта решений организационной архитектуры МСЭ.</w:t>
      </w:r>
    </w:p>
    <w:p w14:paraId="2EE75C2D" w14:textId="77777777" w:rsidR="00153DD7" w:rsidRPr="00ED12BA" w:rsidRDefault="00153DD7" w:rsidP="002A5016">
      <w:pPr>
        <w:jc w:val="both"/>
        <w:rPr>
          <w:lang w:val="ru-RU"/>
        </w:rPr>
      </w:pPr>
      <w:r w:rsidRPr="00ED12BA">
        <w:rPr>
          <w:lang w:val="ru-RU"/>
        </w:rPr>
        <w:t xml:space="preserve">Параллельно с этим начиная с 2026 года Секретариат планирует использовать достижения Инициативы ООН по цифровой идентификации. В рамках этой Инициативы во всей системе ООН будут созданы надежные цифровые удостоверения с использованием безопасных технологий подвижной связи и усовершенствованных методов проверки идентичности. МСЭ ставит целью </w:t>
      </w:r>
      <w:r w:rsidRPr="00ED12BA">
        <w:rPr>
          <w:lang w:val="ru-RU"/>
        </w:rPr>
        <w:lastRenderedPageBreak/>
        <w:t>интегрировать эти возможности в процесс аккредитации для поддержки защищенных цифровых регистрационных данных, обеспечения возможности аутентификации участников в режиме реального времени и уменьшения зависимости от физических пропусков и процедур проверки вручную.</w:t>
      </w:r>
    </w:p>
    <w:p w14:paraId="16FE606C" w14:textId="77777777" w:rsidR="00796BD3" w:rsidRPr="00ED12BA" w:rsidRDefault="00C462C5" w:rsidP="008A2B14">
      <w:pPr>
        <w:spacing w:before="720"/>
        <w:jc w:val="center"/>
        <w:rPr>
          <w:lang w:val="ru-RU"/>
        </w:rPr>
      </w:pPr>
      <w:r w:rsidRPr="00ED12BA">
        <w:rPr>
          <w:lang w:val="ru-RU"/>
        </w:rPr>
        <w:t>______________</w:t>
      </w:r>
    </w:p>
    <w:sectPr w:rsidR="00796BD3" w:rsidRPr="00ED12BA" w:rsidSect="00796BD3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0A323552" w:rsidR="00672F8A" w:rsidRPr="008A2B14" w:rsidRDefault="008A2B14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2600702</w:t>
          </w:r>
        </w:p>
      </w:tc>
      <w:tc>
        <w:tcPr>
          <w:tcW w:w="8261" w:type="dxa"/>
        </w:tcPr>
        <w:p w14:paraId="29D1FE92" w14:textId="5D69DC9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53DD7">
            <w:rPr>
              <w:bCs/>
              <w:lang w:val="ru-RU"/>
            </w:rPr>
            <w:t>71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5405A5A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53DD7">
            <w:rPr>
              <w:bCs/>
              <w:lang w:val="ru-RU"/>
            </w:rPr>
            <w:t>71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7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03176"/>
    <w:rsid w:val="0014229E"/>
    <w:rsid w:val="0014734F"/>
    <w:rsid w:val="00153DD7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A5016"/>
    <w:rsid w:val="002C3F32"/>
    <w:rsid w:val="002D2F57"/>
    <w:rsid w:val="002D48C5"/>
    <w:rsid w:val="0033025A"/>
    <w:rsid w:val="00345D2A"/>
    <w:rsid w:val="00370C01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5D9D"/>
    <w:rsid w:val="0045686C"/>
    <w:rsid w:val="00465C35"/>
    <w:rsid w:val="004918C4"/>
    <w:rsid w:val="00497703"/>
    <w:rsid w:val="004A0374"/>
    <w:rsid w:val="004A45B5"/>
    <w:rsid w:val="004B28A3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49FA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A2B14"/>
    <w:rsid w:val="008B62B4"/>
    <w:rsid w:val="008D2D7B"/>
    <w:rsid w:val="008E0737"/>
    <w:rsid w:val="008F7958"/>
    <w:rsid w:val="008F7C2C"/>
    <w:rsid w:val="00934A2D"/>
    <w:rsid w:val="00937ABE"/>
    <w:rsid w:val="00940E96"/>
    <w:rsid w:val="00950A82"/>
    <w:rsid w:val="009A76A8"/>
    <w:rsid w:val="009B0BAE"/>
    <w:rsid w:val="009C1C89"/>
    <w:rsid w:val="009D1F82"/>
    <w:rsid w:val="009F3448"/>
    <w:rsid w:val="00A01CF9"/>
    <w:rsid w:val="00A01F4F"/>
    <w:rsid w:val="00A109AF"/>
    <w:rsid w:val="00A20B63"/>
    <w:rsid w:val="00A3481C"/>
    <w:rsid w:val="00A405F9"/>
    <w:rsid w:val="00A67902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269E"/>
    <w:rsid w:val="00BE55F7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ED12BA"/>
    <w:rsid w:val="00F22FBC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2A5016"/>
    <w:pPr>
      <w:spacing w:before="0" w:after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WGFHR21-C-0008/en" TargetMode="External"/><Relationship Id="rId13" Type="http://schemas.openxmlformats.org/officeDocument/2006/relationships/hyperlink" Target="https://www.itu.int/md/S26-CWGFHR22-C-0036/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tu.int/md/S25-CL-C-0095/en" TargetMode="External"/><Relationship Id="rId12" Type="http://schemas.openxmlformats.org/officeDocument/2006/relationships/hyperlink" Target="https://www.itu.int/md/S26-CWGFHR22-C-0019/en" TargetMode="External"/><Relationship Id="rId17" Type="http://schemas.openxmlformats.org/officeDocument/2006/relationships/hyperlink" Target="https://www.itu.int/md/S26-CL-INF-0008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6-CWGFHR22-C-0036/e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WGFHR21-C-0008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RCLCWGLANG16-INF-0001/en" TargetMode="External"/><Relationship Id="rId10" Type="http://schemas.openxmlformats.org/officeDocument/2006/relationships/hyperlink" Target="https://www.itu.int/md/S25-CL-C-0095/e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WGFHR22-C-0019/en" TargetMode="External"/><Relationship Id="rId14" Type="http://schemas.openxmlformats.org/officeDocument/2006/relationships/hyperlink" Target="https://www.itu.int/md/S26-SG-CIR-0011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6</Pages>
  <Words>1764</Words>
  <Characters>13660</Characters>
  <Application>Microsoft Office Word</Application>
  <DocSecurity>0</DocSecurity>
  <Lines>267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measures to reduce financial burdens on host countries of ITU conferences, meetings and activities</vt:lpstr>
    </vt:vector>
  </TitlesOfParts>
  <Manager>General Secretariat - Pool</Manager>
  <Company>International Telecommunication Union (ITU)</Company>
  <LinksUpToDate>false</LinksUpToDate>
  <CharactersWithSpaces>15327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measures to reduce financial burdens on host countries of ITU conferences, meetings and activities</dc:title>
  <dc:subject>ITU Council 2026</dc:subject>
  <cp:keywords>C26; C2026; Council 2026; PP26</cp:keywords>
  <dc:description/>
  <cp:lastPrinted>2006-03-28T16:12:00Z</cp:lastPrinted>
  <dcterms:created xsi:type="dcterms:W3CDTF">2026-04-28T17:13:00Z</dcterms:created>
  <dcterms:modified xsi:type="dcterms:W3CDTF">2026-04-28T17:15:00Z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