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A32648" w14:paraId="52D4AE16" w14:textId="77777777" w:rsidTr="00796BDB">
        <w:trPr>
          <w:cantSplit/>
          <w:trHeight w:val="23"/>
        </w:trPr>
        <w:tc>
          <w:tcPr>
            <w:tcW w:w="3969" w:type="dxa"/>
            <w:vMerge w:val="restart"/>
            <w:tcMar>
              <w:left w:w="0" w:type="dxa"/>
            </w:tcMar>
          </w:tcPr>
          <w:p w14:paraId="10A82B35" w14:textId="559F8CED" w:rsidR="00D72F49" w:rsidRPr="00A32648" w:rsidRDefault="00D72F49" w:rsidP="00796BDB">
            <w:pPr>
              <w:tabs>
                <w:tab w:val="left" w:pos="851"/>
              </w:tabs>
              <w:spacing w:before="0" w:line="240" w:lineRule="atLeast"/>
              <w:rPr>
                <w:b/>
              </w:rPr>
            </w:pPr>
            <w:r w:rsidRPr="00A32648">
              <w:rPr>
                <w:b/>
              </w:rPr>
              <w:t>Point de l'ordre du jour:</w:t>
            </w:r>
            <w:r w:rsidR="00D4663D" w:rsidRPr="00A32648">
              <w:rPr>
                <w:b/>
              </w:rPr>
              <w:t xml:space="preserve"> </w:t>
            </w:r>
            <w:r w:rsidR="00D4522B" w:rsidRPr="00A32648">
              <w:rPr>
                <w:b/>
              </w:rPr>
              <w:t>ADM 3</w:t>
            </w:r>
          </w:p>
        </w:tc>
        <w:tc>
          <w:tcPr>
            <w:tcW w:w="5245" w:type="dxa"/>
          </w:tcPr>
          <w:p w14:paraId="1E8E4408" w14:textId="6A70A655" w:rsidR="00D72F49" w:rsidRPr="00A32648" w:rsidRDefault="00D72F49" w:rsidP="00796BDB">
            <w:pPr>
              <w:tabs>
                <w:tab w:val="left" w:pos="851"/>
              </w:tabs>
              <w:spacing w:before="0" w:line="240" w:lineRule="atLeast"/>
              <w:jc w:val="right"/>
              <w:rPr>
                <w:b/>
              </w:rPr>
            </w:pPr>
            <w:r w:rsidRPr="00A32648">
              <w:rPr>
                <w:b/>
              </w:rPr>
              <w:t>Document C2</w:t>
            </w:r>
            <w:r w:rsidR="00E4448E" w:rsidRPr="00A32648">
              <w:rPr>
                <w:b/>
              </w:rPr>
              <w:t>6</w:t>
            </w:r>
            <w:r w:rsidRPr="00A32648">
              <w:rPr>
                <w:b/>
              </w:rPr>
              <w:t>/</w:t>
            </w:r>
            <w:r w:rsidR="00D4522B" w:rsidRPr="00A32648">
              <w:rPr>
                <w:b/>
              </w:rPr>
              <w:t>71</w:t>
            </w:r>
            <w:r w:rsidRPr="00A32648">
              <w:rPr>
                <w:b/>
              </w:rPr>
              <w:t>-F</w:t>
            </w:r>
          </w:p>
        </w:tc>
      </w:tr>
      <w:tr w:rsidR="00D72F49" w:rsidRPr="00A32648" w14:paraId="471D34D7" w14:textId="77777777" w:rsidTr="00796BDB">
        <w:trPr>
          <w:cantSplit/>
        </w:trPr>
        <w:tc>
          <w:tcPr>
            <w:tcW w:w="3969" w:type="dxa"/>
            <w:vMerge/>
          </w:tcPr>
          <w:p w14:paraId="44277143" w14:textId="77777777" w:rsidR="00D72F49" w:rsidRPr="00A32648" w:rsidRDefault="00D72F49" w:rsidP="00796BDB">
            <w:pPr>
              <w:tabs>
                <w:tab w:val="left" w:pos="851"/>
              </w:tabs>
              <w:spacing w:line="240" w:lineRule="atLeast"/>
              <w:rPr>
                <w:b/>
              </w:rPr>
            </w:pPr>
          </w:p>
        </w:tc>
        <w:tc>
          <w:tcPr>
            <w:tcW w:w="5245" w:type="dxa"/>
          </w:tcPr>
          <w:p w14:paraId="3830E710" w14:textId="6EA1A9D3" w:rsidR="00D72F49" w:rsidRPr="00A32648" w:rsidRDefault="003F25E0" w:rsidP="00796BDB">
            <w:pPr>
              <w:tabs>
                <w:tab w:val="left" w:pos="851"/>
              </w:tabs>
              <w:spacing w:before="0"/>
              <w:jc w:val="right"/>
              <w:rPr>
                <w:b/>
              </w:rPr>
            </w:pPr>
            <w:r w:rsidRPr="00A32648">
              <w:rPr>
                <w:b/>
              </w:rPr>
              <w:t>2</w:t>
            </w:r>
            <w:r w:rsidR="00401FBC" w:rsidRPr="00A32648">
              <w:rPr>
                <w:b/>
              </w:rPr>
              <w:t>7 mars</w:t>
            </w:r>
            <w:r w:rsidRPr="00A32648">
              <w:rPr>
                <w:b/>
              </w:rPr>
              <w:t xml:space="preserve"> 2026</w:t>
            </w:r>
          </w:p>
        </w:tc>
      </w:tr>
      <w:tr w:rsidR="00D72F49" w:rsidRPr="00A32648" w14:paraId="3F412470" w14:textId="77777777" w:rsidTr="00796BDB">
        <w:trPr>
          <w:cantSplit/>
          <w:trHeight w:val="23"/>
        </w:trPr>
        <w:tc>
          <w:tcPr>
            <w:tcW w:w="3969" w:type="dxa"/>
            <w:vMerge/>
          </w:tcPr>
          <w:p w14:paraId="468108C0" w14:textId="77777777" w:rsidR="00D72F49" w:rsidRPr="00A32648" w:rsidRDefault="00D72F49" w:rsidP="00796BDB">
            <w:pPr>
              <w:tabs>
                <w:tab w:val="left" w:pos="851"/>
              </w:tabs>
              <w:spacing w:line="240" w:lineRule="atLeast"/>
              <w:rPr>
                <w:b/>
              </w:rPr>
            </w:pPr>
          </w:p>
        </w:tc>
        <w:tc>
          <w:tcPr>
            <w:tcW w:w="5245" w:type="dxa"/>
          </w:tcPr>
          <w:p w14:paraId="5F399620" w14:textId="77777777" w:rsidR="00D72F49" w:rsidRPr="00A32648" w:rsidRDefault="00D72F49" w:rsidP="00796BDB">
            <w:pPr>
              <w:tabs>
                <w:tab w:val="left" w:pos="851"/>
              </w:tabs>
              <w:spacing w:before="0" w:line="240" w:lineRule="atLeast"/>
              <w:jc w:val="right"/>
              <w:rPr>
                <w:b/>
              </w:rPr>
            </w:pPr>
            <w:r w:rsidRPr="00A32648">
              <w:rPr>
                <w:b/>
              </w:rPr>
              <w:t>Original: anglais</w:t>
            </w:r>
          </w:p>
        </w:tc>
      </w:tr>
      <w:tr w:rsidR="00D72F49" w:rsidRPr="00A32648" w14:paraId="701CF78F" w14:textId="77777777" w:rsidTr="00796BDB">
        <w:trPr>
          <w:cantSplit/>
          <w:trHeight w:val="23"/>
        </w:trPr>
        <w:tc>
          <w:tcPr>
            <w:tcW w:w="3969" w:type="dxa"/>
          </w:tcPr>
          <w:p w14:paraId="411FBC39" w14:textId="77777777" w:rsidR="00D72F49" w:rsidRPr="00A32648" w:rsidRDefault="00D72F49" w:rsidP="00796BDB">
            <w:pPr>
              <w:tabs>
                <w:tab w:val="left" w:pos="851"/>
              </w:tabs>
              <w:spacing w:line="240" w:lineRule="atLeast"/>
              <w:rPr>
                <w:b/>
              </w:rPr>
            </w:pPr>
          </w:p>
        </w:tc>
        <w:tc>
          <w:tcPr>
            <w:tcW w:w="5245" w:type="dxa"/>
          </w:tcPr>
          <w:p w14:paraId="7984A0E2" w14:textId="77777777" w:rsidR="00D72F49" w:rsidRPr="00A32648" w:rsidRDefault="00D72F49" w:rsidP="00796BDB">
            <w:pPr>
              <w:tabs>
                <w:tab w:val="left" w:pos="851"/>
              </w:tabs>
              <w:spacing w:before="0" w:line="240" w:lineRule="atLeast"/>
              <w:jc w:val="right"/>
              <w:rPr>
                <w:b/>
              </w:rPr>
            </w:pPr>
          </w:p>
        </w:tc>
      </w:tr>
      <w:tr w:rsidR="00D72F49" w:rsidRPr="00A32648" w14:paraId="41CB73E7" w14:textId="77777777" w:rsidTr="00796BDB">
        <w:trPr>
          <w:cantSplit/>
        </w:trPr>
        <w:tc>
          <w:tcPr>
            <w:tcW w:w="9214" w:type="dxa"/>
            <w:gridSpan w:val="2"/>
            <w:tcMar>
              <w:left w:w="0" w:type="dxa"/>
            </w:tcMar>
          </w:tcPr>
          <w:p w14:paraId="225213B9" w14:textId="77777777" w:rsidR="00D72F49" w:rsidRPr="00A32648" w:rsidRDefault="00D72F49" w:rsidP="00796BDB">
            <w:pPr>
              <w:pStyle w:val="Source"/>
              <w:jc w:val="left"/>
              <w:rPr>
                <w:sz w:val="34"/>
                <w:szCs w:val="34"/>
              </w:rPr>
            </w:pPr>
            <w:r w:rsidRPr="00A32648">
              <w:rPr>
                <w:rFonts w:cstheme="minorHAnsi"/>
                <w:color w:val="000000"/>
                <w:sz w:val="34"/>
                <w:szCs w:val="34"/>
              </w:rPr>
              <w:t xml:space="preserve">Rapport </w:t>
            </w:r>
            <w:r w:rsidR="00E95647" w:rsidRPr="00A32648">
              <w:rPr>
                <w:rFonts w:cstheme="minorHAnsi"/>
                <w:color w:val="000000"/>
                <w:sz w:val="34"/>
                <w:szCs w:val="34"/>
              </w:rPr>
              <w:t xml:space="preserve">de la </w:t>
            </w:r>
            <w:r w:rsidRPr="00A32648">
              <w:rPr>
                <w:rFonts w:cstheme="minorHAnsi"/>
                <w:color w:val="000000"/>
                <w:sz w:val="34"/>
                <w:szCs w:val="34"/>
              </w:rPr>
              <w:t>Secrétaire général</w:t>
            </w:r>
            <w:r w:rsidR="00E95647" w:rsidRPr="00A32648">
              <w:rPr>
                <w:rFonts w:cstheme="minorHAnsi"/>
                <w:color w:val="000000"/>
                <w:sz w:val="34"/>
                <w:szCs w:val="34"/>
              </w:rPr>
              <w:t>e</w:t>
            </w:r>
          </w:p>
        </w:tc>
      </w:tr>
      <w:tr w:rsidR="00D72F49" w:rsidRPr="00A32648" w14:paraId="30185143" w14:textId="77777777" w:rsidTr="00796BDB">
        <w:trPr>
          <w:cantSplit/>
        </w:trPr>
        <w:tc>
          <w:tcPr>
            <w:tcW w:w="9214" w:type="dxa"/>
            <w:gridSpan w:val="2"/>
            <w:tcMar>
              <w:left w:w="0" w:type="dxa"/>
            </w:tcMar>
          </w:tcPr>
          <w:p w14:paraId="352A3AA3" w14:textId="7575AFA0" w:rsidR="00D72F49" w:rsidRPr="00A32648" w:rsidRDefault="00FA7075" w:rsidP="00796BDB">
            <w:pPr>
              <w:pStyle w:val="Subtitle"/>
              <w:framePr w:hSpace="0" w:wrap="auto" w:hAnchor="text" w:xAlign="left" w:yAlign="inline"/>
              <w:rPr>
                <w:sz w:val="32"/>
                <w:szCs w:val="32"/>
                <w:lang w:val="fr-FR"/>
              </w:rPr>
            </w:pPr>
            <w:r w:rsidRPr="00A32648">
              <w:rPr>
                <w:rFonts w:cstheme="minorHAnsi"/>
                <w:sz w:val="32"/>
                <w:szCs w:val="32"/>
                <w:lang w:val="fr-FR"/>
              </w:rPr>
              <w:t>POINT DE LA SITUATION SUR LES MESURES VISANT À ALLÉGER LA CHARGE FINANCIÈRE REPOSANT SUR LES PAYS HÔTES DES CONFÉRENCES, RÉUNIONS ET ACTIVITÉS DE L'UIT</w:t>
            </w:r>
          </w:p>
        </w:tc>
      </w:tr>
      <w:tr w:rsidR="00D72F49" w:rsidRPr="00A32648" w14:paraId="0F20C667" w14:textId="77777777" w:rsidTr="00796BDB">
        <w:trPr>
          <w:cantSplit/>
        </w:trPr>
        <w:tc>
          <w:tcPr>
            <w:tcW w:w="9214" w:type="dxa"/>
            <w:gridSpan w:val="2"/>
            <w:tcBorders>
              <w:top w:val="single" w:sz="4" w:space="0" w:color="auto"/>
              <w:bottom w:val="single" w:sz="4" w:space="0" w:color="auto"/>
            </w:tcBorders>
            <w:tcMar>
              <w:left w:w="0" w:type="dxa"/>
            </w:tcMar>
          </w:tcPr>
          <w:p w14:paraId="2FF24D35" w14:textId="77777777" w:rsidR="00D72F49" w:rsidRPr="00A32648" w:rsidRDefault="00F37FE5" w:rsidP="00796BDB">
            <w:pPr>
              <w:spacing w:before="160"/>
              <w:rPr>
                <w:b/>
                <w:bCs/>
                <w:sz w:val="26"/>
                <w:szCs w:val="26"/>
              </w:rPr>
            </w:pPr>
            <w:r w:rsidRPr="00A32648">
              <w:rPr>
                <w:b/>
                <w:bCs/>
                <w:sz w:val="26"/>
                <w:szCs w:val="26"/>
              </w:rPr>
              <w:t>Objet</w:t>
            </w:r>
          </w:p>
          <w:p w14:paraId="7D88CA3C" w14:textId="0F797CF0" w:rsidR="00D72F49" w:rsidRPr="00A32648" w:rsidRDefault="00D4522B" w:rsidP="00FA7075">
            <w:pPr>
              <w:jc w:val="both"/>
            </w:pPr>
            <w:r w:rsidRPr="00A32648">
              <w:t xml:space="preserve">Le présent document permet de faire le point de la situation sur les mesures qui pourraient être prises pour alléger la charge financière qui pèse sur les pays hôtes des conférences, réunions et activités de l'UIT. Il va dans le sens des propositions visant à alléger la charge financière présentées au Conseil à sa session de 2025 dans la contribution multipays (Document </w:t>
            </w:r>
            <w:hyperlink r:id="rId8" w:history="1">
              <w:r w:rsidRPr="00A32648">
                <w:rPr>
                  <w:rStyle w:val="Hyperlink"/>
                  <w:rFonts w:eastAsia="Times New Roman" w:cs="Times New Roman"/>
                  <w:szCs w:val="20"/>
                </w:rPr>
                <w:t>C25/95</w:t>
              </w:r>
            </w:hyperlink>
            <w:r w:rsidRPr="00A32648">
              <w:t xml:space="preserve">) et fait suite aux rapports présentés au GTC-FHR à sa 21ème réunion en septembre 2025 (Document </w:t>
            </w:r>
            <w:hyperlink r:id="rId9" w:history="1">
              <w:r w:rsidRPr="00A32648">
                <w:rPr>
                  <w:rStyle w:val="Hyperlink"/>
                  <w:rFonts w:eastAsia="Times New Roman" w:cs="Times New Roman"/>
                  <w:szCs w:val="20"/>
                </w:rPr>
                <w:t>CWG-FHR-21/8</w:t>
              </w:r>
            </w:hyperlink>
            <w:r w:rsidRPr="00A32648">
              <w:t xml:space="preserve">) et à sa 22ème réunion en janvier 2026 (Document </w:t>
            </w:r>
            <w:hyperlink r:id="rId10" w:history="1">
              <w:r w:rsidRPr="00A32648">
                <w:rPr>
                  <w:rStyle w:val="Hyperlink"/>
                  <w:rFonts w:eastAsia="Times New Roman" w:cs="Times New Roman"/>
                  <w:szCs w:val="20"/>
                </w:rPr>
                <w:t>CWG-FHR-22/19</w:t>
              </w:r>
            </w:hyperlink>
            <w:r w:rsidRPr="00A32648">
              <w:t>).</w:t>
            </w:r>
          </w:p>
          <w:p w14:paraId="03C353CA" w14:textId="77777777" w:rsidR="00D72F49" w:rsidRPr="00A32648" w:rsidRDefault="00D72F49" w:rsidP="00796BDB">
            <w:pPr>
              <w:spacing w:before="160"/>
              <w:rPr>
                <w:b/>
                <w:bCs/>
                <w:sz w:val="26"/>
                <w:szCs w:val="26"/>
              </w:rPr>
            </w:pPr>
            <w:r w:rsidRPr="00A32648">
              <w:rPr>
                <w:b/>
                <w:bCs/>
                <w:sz w:val="26"/>
                <w:szCs w:val="26"/>
              </w:rPr>
              <w:t>Suite à donner par le Conseil</w:t>
            </w:r>
          </w:p>
          <w:p w14:paraId="777226C0" w14:textId="1F1FC91F" w:rsidR="00D72F49" w:rsidRPr="00A32648" w:rsidRDefault="003F25E0" w:rsidP="00796BDB">
            <w:r w:rsidRPr="00A32648">
              <w:t xml:space="preserve">Le Conseil est invité </w:t>
            </w:r>
            <w:r w:rsidRPr="00A32648">
              <w:rPr>
                <w:b/>
                <w:bCs/>
              </w:rPr>
              <w:t xml:space="preserve">à </w:t>
            </w:r>
            <w:r w:rsidR="00401FBC" w:rsidRPr="00A32648">
              <w:rPr>
                <w:b/>
                <w:bCs/>
              </w:rPr>
              <w:t>prendre note</w:t>
            </w:r>
            <w:r w:rsidR="00401FBC" w:rsidRPr="00A32648">
              <w:t xml:space="preserve"> du</w:t>
            </w:r>
            <w:r w:rsidRPr="00A32648">
              <w:t xml:space="preserve"> présent document.</w:t>
            </w:r>
          </w:p>
          <w:p w14:paraId="714580B1" w14:textId="77777777" w:rsidR="00D72F49" w:rsidRPr="00A32648" w:rsidRDefault="00D72F49" w:rsidP="00796BDB">
            <w:pPr>
              <w:spacing w:before="160"/>
              <w:rPr>
                <w:b/>
                <w:bCs/>
                <w:sz w:val="26"/>
                <w:szCs w:val="26"/>
              </w:rPr>
            </w:pPr>
            <w:r w:rsidRPr="00A32648">
              <w:rPr>
                <w:b/>
                <w:bCs/>
                <w:sz w:val="26"/>
                <w:szCs w:val="26"/>
              </w:rPr>
              <w:t xml:space="preserve">Lien(s) pertinent(s) avec le </w:t>
            </w:r>
            <w:r w:rsidR="00F37FE5" w:rsidRPr="00A32648">
              <w:rPr>
                <w:b/>
                <w:bCs/>
                <w:sz w:val="26"/>
                <w:szCs w:val="26"/>
              </w:rPr>
              <w:t>p</w:t>
            </w:r>
            <w:r w:rsidRPr="00A32648">
              <w:rPr>
                <w:b/>
                <w:bCs/>
                <w:sz w:val="26"/>
                <w:szCs w:val="26"/>
              </w:rPr>
              <w:t>lan stratégique</w:t>
            </w:r>
          </w:p>
          <w:p w14:paraId="12670AB4" w14:textId="611686D9" w:rsidR="00D72F49" w:rsidRPr="00A32648" w:rsidRDefault="003F25E0" w:rsidP="00796BDB">
            <w:r w:rsidRPr="00A32648">
              <w:t>Plates-formes fédératrices</w:t>
            </w:r>
            <w:r w:rsidR="00D4522B" w:rsidRPr="00A32648">
              <w:t>.</w:t>
            </w:r>
          </w:p>
          <w:p w14:paraId="16124D5F" w14:textId="77777777" w:rsidR="00E95647" w:rsidRPr="00A32648" w:rsidRDefault="00D72F49" w:rsidP="00796BDB">
            <w:pPr>
              <w:spacing w:before="160"/>
              <w:rPr>
                <w:b/>
                <w:bCs/>
                <w:sz w:val="26"/>
                <w:szCs w:val="26"/>
              </w:rPr>
            </w:pPr>
            <w:r w:rsidRPr="00A32648">
              <w:rPr>
                <w:b/>
                <w:bCs/>
                <w:sz w:val="26"/>
                <w:szCs w:val="26"/>
              </w:rPr>
              <w:t>Incidences financières</w:t>
            </w:r>
          </w:p>
          <w:p w14:paraId="572EEEE8" w14:textId="1910735E" w:rsidR="00D72F49" w:rsidRPr="00A32648" w:rsidRDefault="003F25E0" w:rsidP="00796BDB">
            <w:pPr>
              <w:rPr>
                <w:szCs w:val="24"/>
              </w:rPr>
            </w:pPr>
            <w:r w:rsidRPr="00A32648">
              <w:rPr>
                <w:szCs w:val="24"/>
              </w:rPr>
              <w:t>Dans les limites du budget alloué pour 202</w:t>
            </w:r>
            <w:r w:rsidR="00D4522B" w:rsidRPr="00A32648">
              <w:rPr>
                <w:szCs w:val="24"/>
              </w:rPr>
              <w:t>6</w:t>
            </w:r>
            <w:r w:rsidRPr="00A32648">
              <w:rPr>
                <w:szCs w:val="24"/>
              </w:rPr>
              <w:t>-202</w:t>
            </w:r>
            <w:r w:rsidR="00D4522B" w:rsidRPr="00A32648">
              <w:rPr>
                <w:szCs w:val="24"/>
              </w:rPr>
              <w:t>7</w:t>
            </w:r>
            <w:r w:rsidRPr="00A32648">
              <w:rPr>
                <w:szCs w:val="24"/>
              </w:rPr>
              <w:t>.</w:t>
            </w:r>
          </w:p>
          <w:p w14:paraId="3E90195E" w14:textId="77777777" w:rsidR="00D72F49" w:rsidRPr="00A32648" w:rsidRDefault="00D72F49" w:rsidP="00796BDB">
            <w:pPr>
              <w:spacing w:before="160"/>
              <w:rPr>
                <w:caps/>
                <w:sz w:val="22"/>
              </w:rPr>
            </w:pPr>
            <w:r w:rsidRPr="00A32648">
              <w:rPr>
                <w:sz w:val="22"/>
              </w:rPr>
              <w:t>__________________</w:t>
            </w:r>
          </w:p>
          <w:p w14:paraId="3929F1E2" w14:textId="77777777" w:rsidR="00D72F49" w:rsidRPr="00A32648" w:rsidRDefault="00D72F49" w:rsidP="00796BDB">
            <w:pPr>
              <w:spacing w:before="160"/>
              <w:rPr>
                <w:b/>
                <w:bCs/>
                <w:sz w:val="26"/>
                <w:szCs w:val="26"/>
              </w:rPr>
            </w:pPr>
            <w:r w:rsidRPr="00A32648">
              <w:rPr>
                <w:b/>
                <w:bCs/>
                <w:sz w:val="26"/>
                <w:szCs w:val="26"/>
              </w:rPr>
              <w:t>Références</w:t>
            </w:r>
          </w:p>
          <w:p w14:paraId="19313090" w14:textId="19448CB3" w:rsidR="00D72F49" w:rsidRPr="00FA7075" w:rsidRDefault="00D4522B" w:rsidP="00E663EE">
            <w:pPr>
              <w:pStyle w:val="Referencetext"/>
              <w:framePr w:hSpace="0" w:wrap="auto" w:vAnchor="margin" w:hAnchor="text" w:xAlign="left" w:yAlign="inline"/>
            </w:pPr>
            <w:r w:rsidRPr="00FA7075">
              <w:t xml:space="preserve">Documents </w:t>
            </w:r>
            <w:hyperlink r:id="rId11" w:history="1">
              <w:r w:rsidRPr="00FA7075">
                <w:rPr>
                  <w:rStyle w:val="Hyperlink"/>
                  <w:rFonts w:eastAsia="Times New Roman" w:cs="Times New Roman"/>
                </w:rPr>
                <w:t>C25/95</w:t>
              </w:r>
            </w:hyperlink>
            <w:r w:rsidRPr="00FA7075">
              <w:t xml:space="preserve">, </w:t>
            </w:r>
            <w:hyperlink r:id="rId12" w:history="1">
              <w:r w:rsidRPr="00FA7075">
                <w:rPr>
                  <w:rStyle w:val="Hyperlink"/>
                  <w:rFonts w:eastAsia="Times New Roman" w:cs="Times New Roman"/>
                </w:rPr>
                <w:t>CWG-FHR-21/8</w:t>
              </w:r>
            </w:hyperlink>
            <w:r w:rsidRPr="00FA7075">
              <w:t xml:space="preserve">, </w:t>
            </w:r>
            <w:hyperlink r:id="rId13" w:history="1">
              <w:r w:rsidRPr="00FA7075">
                <w:rPr>
                  <w:rStyle w:val="Hyperlink"/>
                  <w:rFonts w:eastAsia="Times New Roman" w:cs="Times New Roman"/>
                </w:rPr>
                <w:t>CWG-FHR-22/19</w:t>
              </w:r>
            </w:hyperlink>
            <w:r w:rsidRPr="00FA7075">
              <w:t xml:space="preserve"> et </w:t>
            </w:r>
            <w:hyperlink r:id="rId14" w:history="1">
              <w:r w:rsidRPr="00FA7075">
                <w:rPr>
                  <w:rStyle w:val="Hyperlink"/>
                  <w:rFonts w:eastAsia="Times New Roman" w:cs="Times New Roman"/>
                </w:rPr>
                <w:t>CWG-FHR-22/36</w:t>
              </w:r>
            </w:hyperlink>
          </w:p>
        </w:tc>
      </w:tr>
    </w:tbl>
    <w:p w14:paraId="6F8DA527" w14:textId="77777777" w:rsidR="00A51849" w:rsidRPr="00A32648" w:rsidRDefault="00A51849">
      <w:pPr>
        <w:tabs>
          <w:tab w:val="clear" w:pos="567"/>
          <w:tab w:val="clear" w:pos="1134"/>
          <w:tab w:val="clear" w:pos="1701"/>
          <w:tab w:val="clear" w:pos="2268"/>
          <w:tab w:val="clear" w:pos="2835"/>
        </w:tabs>
        <w:overflowPunct/>
        <w:autoSpaceDE/>
        <w:autoSpaceDN/>
        <w:adjustRightInd/>
        <w:spacing w:before="0"/>
        <w:textAlignment w:val="auto"/>
      </w:pPr>
      <w:r w:rsidRPr="00A32648">
        <w:br w:type="page"/>
      </w:r>
    </w:p>
    <w:p w14:paraId="7D70E9C6" w14:textId="4CBF4363" w:rsidR="00D4522B" w:rsidRPr="00A32648" w:rsidRDefault="00D4522B" w:rsidP="00D4522B">
      <w:pPr>
        <w:pStyle w:val="Headingb"/>
      </w:pPr>
      <w:r w:rsidRPr="00A32648">
        <w:lastRenderedPageBreak/>
        <w:t>Proposition 1: Utiliser davantage de ressources d'interprétation locales et/ou nationales et mettre en place l'interprétation simultanée à distance dans le cadre des manifestations de l'UIT</w:t>
      </w:r>
    </w:p>
    <w:p w14:paraId="6FC541FE" w14:textId="602A7223" w:rsidR="00D4522B" w:rsidRPr="00A32648" w:rsidRDefault="00D4522B" w:rsidP="00FA7075">
      <w:pPr>
        <w:jc w:val="both"/>
      </w:pPr>
      <w:r w:rsidRPr="00A32648">
        <w:t>Le recrutement d'interprètes locaux qualifiés permettrait de réduire les frais de voyage, les frais de logement et les indemnités journalières de subsistance des interprètes supportés par le pays hôte ou par l'UIT.</w:t>
      </w:r>
    </w:p>
    <w:p w14:paraId="7D81B138" w14:textId="77777777" w:rsidR="00D4522B" w:rsidRPr="00A32648" w:rsidRDefault="00D4522B" w:rsidP="00D4522B">
      <w:pPr>
        <w:pStyle w:val="Headingi"/>
      </w:pPr>
      <w:r w:rsidRPr="00A32648">
        <w:t>Point de la situation sur les mesures visant à officialiser et à étendre le recours à des interprètes locaux et nationaux</w:t>
      </w:r>
    </w:p>
    <w:p w14:paraId="7378AC99" w14:textId="4AB0BC5D" w:rsidR="00D4522B" w:rsidRPr="00A32648" w:rsidRDefault="00D4522B" w:rsidP="00FA7075">
      <w:pPr>
        <w:jc w:val="both"/>
      </w:pPr>
      <w:r w:rsidRPr="00A32648">
        <w:t>Une proposition visant à renforcer la coopération avec les États Membres de l'UIT en ce qui concerne les services d'interprétation professionnels a été présentée et approuvée par le Groupe de travail sur l'utilisation des six langues officielles (GTC-LANG) en janvier 2026. Les États Membres sont invités à recommander des interprètes professionnels locaux satisfaisant aux critères de combinaison linguistique et de formation et disposant d'une expérience suffisante susceptibles d'être sélectionnés par le secrétariat de l'UIT en vue de figurer sur une liste d'interprètes qualifiés pour les manifestations de l'Union.</w:t>
      </w:r>
    </w:p>
    <w:p w14:paraId="77826223" w14:textId="5CE4BAA8" w:rsidR="00D4522B" w:rsidRPr="00A32648" w:rsidRDefault="00D4522B" w:rsidP="00FA7075">
      <w:pPr>
        <w:jc w:val="both"/>
      </w:pPr>
      <w:r w:rsidRPr="00A32648">
        <w:t>Les États Membres sont également invités à faciliter les échanges entre le secrétariat de l'UIT et les établissements universitaires locaux proposant des formations professionnelles d'interprétation de conférence, afin qu'une formation répondant aux besoins de l'UIT puisse être dispensée et que les capacités des interprètes soient renforcées sur le long terme.</w:t>
      </w:r>
    </w:p>
    <w:p w14:paraId="5FFBE2F5" w14:textId="113EEBEC" w:rsidR="00D4522B" w:rsidRPr="00A32648" w:rsidRDefault="00D4522B" w:rsidP="00FA7075">
      <w:pPr>
        <w:jc w:val="both"/>
      </w:pPr>
      <w:r w:rsidRPr="00A32648">
        <w:t>Cette initiative présente quelques grands avantages, notamment une réduction des coûts pour l'UIT et les pays hôtes, une meilleure représentation géographique au sein du groupe d'interprètes, une continuité de service améliorée, un renforcement des capacités et une disponibilité durable et à long terme des interprètes.</w:t>
      </w:r>
    </w:p>
    <w:p w14:paraId="5D3EAFC9" w14:textId="42C5170C" w:rsidR="00D4522B" w:rsidRPr="00A32648" w:rsidRDefault="00D4522B" w:rsidP="00FA7075">
      <w:pPr>
        <w:jc w:val="both"/>
      </w:pPr>
      <w:r w:rsidRPr="00A32648">
        <w:t>Le secrétariat a envoyé une Lettre circulaire (</w:t>
      </w:r>
      <w:hyperlink r:id="rId15" w:history="1">
        <w:r w:rsidRPr="00A32648">
          <w:rPr>
            <w:rStyle w:val="Hyperlink"/>
            <w:rFonts w:eastAsia="Times New Roman" w:cs="Times New Roman"/>
            <w:szCs w:val="20"/>
          </w:rPr>
          <w:t>CL-26/11</w:t>
        </w:r>
      </w:hyperlink>
      <w:r w:rsidRPr="00A32648">
        <w:t>) à tous les États Membres et aux organisations régionales de télécommunication, les parties intéressées ayant jusqu'au</w:t>
      </w:r>
      <w:r w:rsidR="00BE3652" w:rsidRPr="00A32648">
        <w:t> </w:t>
      </w:r>
      <w:r w:rsidRPr="00A32648">
        <w:t>31</w:t>
      </w:r>
      <w:r w:rsidR="00BE3652" w:rsidRPr="00A32648">
        <w:t> </w:t>
      </w:r>
      <w:r w:rsidRPr="00A32648">
        <w:t>mai 2026 pour y répondre. Il s'entretiendra avec les parties intéressées pour discuter de la collaboration au niveau national ou régional en juin/juillet 2026.</w:t>
      </w:r>
    </w:p>
    <w:p w14:paraId="48EAA99B" w14:textId="77777777" w:rsidR="00D4522B" w:rsidRPr="00A32648" w:rsidRDefault="00D4522B" w:rsidP="00D4522B">
      <w:pPr>
        <w:pStyle w:val="Headingi"/>
      </w:pPr>
      <w:r w:rsidRPr="00A32648">
        <w:t>Point de la situation sur la mise en place de l'interprétation simultanée à distance</w:t>
      </w:r>
    </w:p>
    <w:p w14:paraId="6D797540" w14:textId="77777777" w:rsidR="00D4522B" w:rsidRPr="00A32648" w:rsidRDefault="00D4522B" w:rsidP="00FA7075">
      <w:pPr>
        <w:jc w:val="both"/>
      </w:pPr>
      <w:r w:rsidRPr="00A32648">
        <w:t>Le secrétariat prolonge ses tests concernant l'interprétation simultanée à distance et élargit son utilisation de façon à ce que les interprètes travaillent à distance lors de certaines réunions de l'UIT, ce qui réduit considérablement les frais de voyage. L'interprétation simultanée à distance se présente sous la forme d'un service d'interprétation de conférence classique assuré par des interprètes professionnels expérimentés qui ne sont pas présents sur place. On estime que des économies de l'ordre de 20 à 25% sont réalisées en recourant à ce type de service plutôt qu'à des interprètes sur place.</w:t>
      </w:r>
    </w:p>
    <w:p w14:paraId="6793FF33" w14:textId="1E120F70" w:rsidR="00D4522B" w:rsidRPr="00A32648" w:rsidRDefault="00D4522B" w:rsidP="00FA7075">
      <w:pPr>
        <w:jc w:val="both"/>
      </w:pPr>
      <w:r w:rsidRPr="00A32648">
        <w:t>En 2026, l'interprétation simultanée à distance sera mise en place pour les manifestations en dehors de Genève, avec l'accord du pays hôte et en étroite collaboration entre les équipes techniques de l'UIT et du pays hôte.</w:t>
      </w:r>
    </w:p>
    <w:p w14:paraId="33B2378C" w14:textId="722A6717" w:rsidR="00D4522B" w:rsidRPr="00A32648" w:rsidRDefault="00D4522B" w:rsidP="00D4522B">
      <w:pPr>
        <w:pStyle w:val="Headingi"/>
      </w:pPr>
      <w:r w:rsidRPr="00A32648">
        <w:t>Interprétation fondée sur l'intelligence artificielle</w:t>
      </w:r>
    </w:p>
    <w:p w14:paraId="5709BE8A" w14:textId="134761AA" w:rsidR="00D4522B" w:rsidRPr="00A32648" w:rsidRDefault="00D4522B" w:rsidP="00FA7075">
      <w:pPr>
        <w:jc w:val="both"/>
      </w:pPr>
      <w:r w:rsidRPr="00A32648">
        <w:t xml:space="preserve">Dans le cadre de sa stratégie de long terme en matière d'interprétation, et afin de rester en phase avec les nouvelles avancées technologiques, l'UIT continue de tester et d'évaluer les services d'interprétation et de sous-titrage fondés sur l'intelligence artificielle (IA). Il s'agit </w:t>
      </w:r>
      <w:r w:rsidRPr="00A32648">
        <w:lastRenderedPageBreak/>
        <w:t xml:space="preserve">notamment de tester les produits de différents fournisseurs commerciaux et de développer et de tester des outils internes de sous-titrage et d'interprétation. L'interprétation fondée sur l'IA gagne rapidement en qualité, mais pas suffisamment pour pouvoir être utilisée dans les réunions officielles. Les tests porteront sur les types de réunions ci-après, conformément au Rapport sur les enjeux et perspectives de l'utilisation de l'interprétation fondée sur l'IA (Document </w:t>
      </w:r>
      <w:hyperlink r:id="rId16" w:history="1">
        <w:r w:rsidRPr="00A32648">
          <w:rPr>
            <w:rStyle w:val="Hyperlink"/>
            <w:rFonts w:eastAsia="Times New Roman" w:cs="Times New Roman"/>
            <w:szCs w:val="20"/>
          </w:rPr>
          <w:t>CWG-LANG-16/INF/1</w:t>
        </w:r>
      </w:hyperlink>
      <w:r w:rsidRPr="00A32648">
        <w:t>):</w:t>
      </w:r>
    </w:p>
    <w:p w14:paraId="2BDF9551" w14:textId="31D50637" w:rsidR="00D4522B" w:rsidRPr="00A32648" w:rsidRDefault="00D4522B" w:rsidP="00FA7075">
      <w:pPr>
        <w:pStyle w:val="enumlev1"/>
        <w:jc w:val="both"/>
      </w:pPr>
      <w:r w:rsidRPr="00A32648">
        <w:t>–</w:t>
      </w:r>
      <w:r w:rsidRPr="00A32648">
        <w:tab/>
        <w:t>les réunions avec un intervenant principal uniquement, telles que les réunions d'information où les échanges avec le public sont limités;</w:t>
      </w:r>
    </w:p>
    <w:p w14:paraId="3B700E75" w14:textId="77777777" w:rsidR="00D4522B" w:rsidRPr="00A32648" w:rsidRDefault="00D4522B" w:rsidP="00FA7075">
      <w:pPr>
        <w:pStyle w:val="enumlev1"/>
        <w:jc w:val="both"/>
      </w:pPr>
      <w:r w:rsidRPr="00A32648">
        <w:t>–</w:t>
      </w:r>
      <w:r w:rsidRPr="00A32648">
        <w:tab/>
        <w:t>les réunions informelles, telles que les réunions internes du secrétariat, auxquelles les délégués participent peu;</w:t>
      </w:r>
    </w:p>
    <w:p w14:paraId="54E763A9" w14:textId="77777777" w:rsidR="00D4522B" w:rsidRPr="00A32648" w:rsidRDefault="00D4522B" w:rsidP="00FA7075">
      <w:pPr>
        <w:pStyle w:val="enumlev1"/>
        <w:jc w:val="both"/>
      </w:pPr>
      <w:r w:rsidRPr="00A32648">
        <w:t>–</w:t>
      </w:r>
      <w:r w:rsidRPr="00A32648">
        <w:tab/>
        <w:t>les ateliers thématiques;</w:t>
      </w:r>
    </w:p>
    <w:p w14:paraId="4BE73D56" w14:textId="347A6FEE" w:rsidR="00D4522B" w:rsidRPr="00A32648" w:rsidRDefault="00D4522B" w:rsidP="00FA7075">
      <w:pPr>
        <w:pStyle w:val="enumlev1"/>
        <w:jc w:val="both"/>
      </w:pPr>
      <w:r w:rsidRPr="00A32648">
        <w:t>–</w:t>
      </w:r>
      <w:r w:rsidRPr="00A32648">
        <w:tab/>
        <w:t>les réunions régionales;</w:t>
      </w:r>
    </w:p>
    <w:p w14:paraId="0128D826" w14:textId="724002D9" w:rsidR="00D4522B" w:rsidRPr="00A32648" w:rsidRDefault="00D4522B" w:rsidP="00FA7075">
      <w:pPr>
        <w:pStyle w:val="enumlev1"/>
        <w:jc w:val="both"/>
      </w:pPr>
      <w:r w:rsidRPr="00A32648">
        <w:t>–</w:t>
      </w:r>
      <w:r w:rsidRPr="00A32648">
        <w:tab/>
        <w:t>les manifestations prévoyant plusieurs tables rondes pour lesquelles l'interprétation en personne serait peu commode ou excessivement coûteuse;</w:t>
      </w:r>
    </w:p>
    <w:p w14:paraId="16F8DD5C" w14:textId="2D6D8C56" w:rsidR="00D4522B" w:rsidRPr="00A32648" w:rsidRDefault="00D4522B" w:rsidP="00FA7075">
      <w:pPr>
        <w:pStyle w:val="enumlev1"/>
        <w:jc w:val="both"/>
      </w:pPr>
      <w:r w:rsidRPr="00A32648">
        <w:t>–</w:t>
      </w:r>
      <w:r w:rsidRPr="00A32648">
        <w:tab/>
        <w:t>les réunions de groupes de travail non décisionnelles pour lesquelles l'interprétation ne serait pas assurée autrement.</w:t>
      </w:r>
    </w:p>
    <w:p w14:paraId="6450C4B3" w14:textId="77777777" w:rsidR="00D4522B" w:rsidRPr="00A32648" w:rsidRDefault="00D4522B" w:rsidP="00D4522B">
      <w:pPr>
        <w:pStyle w:val="Headingb"/>
      </w:pPr>
      <w:r w:rsidRPr="00A32648">
        <w:t>Proposition 2: Mise à disposition localement d'équipements et de dispositifs informatiques</w:t>
      </w:r>
    </w:p>
    <w:p w14:paraId="0996E7CD" w14:textId="37B15EA5" w:rsidR="00D4522B" w:rsidRPr="00A32648" w:rsidRDefault="00D4522B" w:rsidP="00FA7075">
      <w:pPr>
        <w:jc w:val="both"/>
      </w:pPr>
      <w:r w:rsidRPr="00A32648">
        <w:t xml:space="preserve">Comme l'a demandé le GTC-FHR à sa 22ème réunion (Document </w:t>
      </w:r>
      <w:hyperlink r:id="rId17" w:history="1">
        <w:r w:rsidRPr="00A32648">
          <w:rPr>
            <w:rStyle w:val="Hyperlink"/>
            <w:rFonts w:eastAsia="Times New Roman" w:cs="Times New Roman"/>
            <w:szCs w:val="20"/>
          </w:rPr>
          <w:t>CWG-FHR-22/36</w:t>
        </w:r>
      </w:hyperlink>
      <w:r w:rsidRPr="00A32648">
        <w:t xml:space="preserve">), une liste type du matériel informatique expédié incluant le coût d'achat de chaque article, basée sur la CMDT-25, figure à l'Annexe 1 du Document </w:t>
      </w:r>
      <w:hyperlink r:id="rId18" w:history="1">
        <w:r w:rsidRPr="00A32648">
          <w:rPr>
            <w:rStyle w:val="Hyperlink"/>
            <w:rFonts w:eastAsia="Times New Roman" w:cs="Times New Roman"/>
            <w:szCs w:val="20"/>
          </w:rPr>
          <w:t>C26/INF/8</w:t>
        </w:r>
      </w:hyperlink>
      <w:r w:rsidRPr="00A32648">
        <w:t>, et un résumé des coûts d'expédition pour les grandes manifestations de l'UIT tenues en dehors de Genève depuis</w:t>
      </w:r>
      <w:r w:rsidR="00A32648" w:rsidRPr="00A32648">
        <w:t> </w:t>
      </w:r>
      <w:r w:rsidRPr="00A32648">
        <w:t>2024 est présenté dans l'Annexe 2 du Document C26/INF/8.</w:t>
      </w:r>
    </w:p>
    <w:p w14:paraId="7D475A51" w14:textId="5BA954E1" w:rsidR="00D4522B" w:rsidRPr="00A32648" w:rsidRDefault="00D4522B" w:rsidP="00FA7075">
      <w:pPr>
        <w:jc w:val="both"/>
      </w:pPr>
      <w:r w:rsidRPr="00A32648">
        <w:t>Pour réduire le temps de mise en place sur site, tous les équipements sont livrés préconfigurés selon les besoins de la conférence. L'UIT demande en outre au pays hôte de fournir des équipements et des infrastructures standard, notamment des écrans d'ordinateur, des infrastructures de réseau filaire, des infrastructures WiFi, des infrastructures audiovisuelles et des systèmes d'affichage.</w:t>
      </w:r>
    </w:p>
    <w:p w14:paraId="3560D421" w14:textId="0BA49648" w:rsidR="00D4522B" w:rsidRPr="00A32648" w:rsidRDefault="00D4522B" w:rsidP="00FA7075">
      <w:pPr>
        <w:jc w:val="both"/>
      </w:pPr>
      <w:r w:rsidRPr="00A32648">
        <w:t>Des efforts constants sont déployés pour moderniser les systèmes et réduire encore la dépendance à l'égard des infrastructures basées à Genève.</w:t>
      </w:r>
    </w:p>
    <w:p w14:paraId="5EB6D5D2" w14:textId="6B3D3F88" w:rsidR="00D4522B" w:rsidRPr="00A32648" w:rsidRDefault="00D4522B" w:rsidP="00FA7075">
      <w:pPr>
        <w:jc w:val="both"/>
      </w:pPr>
      <w:r w:rsidRPr="00A32648">
        <w:t>Dans la mesure du possible, si un fournisseur de services local compétent capable de prendre en charge les technologies nécessaires et d'assurer leur intégration est disponible, certains équipements audiovisuels de l'UIT – tels que les baies audiovisuelles ou les malles de transport RP – pourraient ne plus être expédiés par l'Union, à condition qu'un accord préalable soit donné pendant les préparatifs en vue de la manifestation.</w:t>
      </w:r>
    </w:p>
    <w:p w14:paraId="2735BF58" w14:textId="47489881" w:rsidR="00D4522B" w:rsidRPr="00A32648" w:rsidRDefault="00D4522B" w:rsidP="00FA7075">
      <w:pPr>
        <w:jc w:val="both"/>
      </w:pPr>
      <w:r w:rsidRPr="00A32648">
        <w:t>Sur la base des chiffres présentés dans le Document C26/INF/8, le pays hôte devrait procéder à une évaluation financière afin de déterminer s'il est plus rentable d'obtenir les équipements listés auprès de l'UIT ou de les acheter localement. Si l'équipement est fourni localement, le pays hôte doit s'assurer que celui-ci sera compatible sur le plan technique, entièrement configuré et prêt à temps pour la conférence, et qu'un appui technique adéquat pourra être fourni pendant toute la durée de la conférence.</w:t>
      </w:r>
    </w:p>
    <w:p w14:paraId="53FA5594" w14:textId="3431A115" w:rsidR="00D4522B" w:rsidRPr="00A32648" w:rsidRDefault="00D4522B" w:rsidP="00D4522B">
      <w:pPr>
        <w:pStyle w:val="Headingb"/>
      </w:pPr>
      <w:r w:rsidRPr="00A32648">
        <w:lastRenderedPageBreak/>
        <w:t>Proposition 3: Vers un modèle d'accréditation entièrement numérique pour les conférences grâce à des processus rationalisés et à des badges numériques adaptés</w:t>
      </w:r>
    </w:p>
    <w:p w14:paraId="45B1FAF6" w14:textId="2A88BC1B" w:rsidR="00D4522B" w:rsidRPr="00A32648" w:rsidRDefault="00D4522B" w:rsidP="00FA7075">
      <w:pPr>
        <w:jc w:val="both"/>
      </w:pPr>
      <w:r w:rsidRPr="00A32648">
        <w:t>Le passage des documents d'identification imprimés aux justificatifs numériques pour les conférences contribue à réduire les coûts administratifs et matériels liés à la production des badges et à renforcer la durabilité. Cependant, cette transition entraîne également de nouveaux coûts, notamment d'acquisition ou de location d'outils d'accès numériques, tels que des équipements de numérisation ou des dispositifs de vérification biométrique. Ces besoins varient d'un lieu à l'autre, et surtout, selon que la manifestation a lieu à Genève ou dans un autre pays hôte.</w:t>
      </w:r>
    </w:p>
    <w:p w14:paraId="57F5944B" w14:textId="3BCFAD8D" w:rsidR="00D4522B" w:rsidRPr="00A32648" w:rsidRDefault="00D4522B" w:rsidP="00FA7075">
      <w:pPr>
        <w:jc w:val="both"/>
      </w:pPr>
      <w:r w:rsidRPr="00A32648">
        <w:t>Les premiers examens de l'infrastructure et des opérations nécessaires indiquent que si la mise en place de systèmes d'accréditation numériques peut nécessiter un investissement initial plus important pour l'intégration des technologies de l'information et des équipements, ces coûts peuvent être compensés par des économies sur les coûts opérationnels liés aux fournitures, à la logistique et au personnel sur place. En particulier, en réduisant sensiblement l'utilisation d'objets physiques tels que les badges en PVC et les cordons, on aurait moins besoin de transporter du matériel d'impression de badges et des fournitures connexes.</w:t>
      </w:r>
    </w:p>
    <w:p w14:paraId="0346F4CA" w14:textId="317E9A62" w:rsidR="00D4522B" w:rsidRPr="00A32648" w:rsidRDefault="00D4522B" w:rsidP="00FA7075">
      <w:pPr>
        <w:jc w:val="both"/>
      </w:pPr>
      <w:r w:rsidRPr="00A32648">
        <w:t>La décision de recourir à des solutions d'accréditation et de badge numériques est conditionnée par la stratégie informatique et les exigences de sécurité, et par l'analyse de la situation de la modernisation des solutions informatiques. À Genève, l'infrastructure existante peut être mise à profit pour réaliser des gains d'efficacité tout en utilisant les équipements sur place dans la mesure du possible. Pour les manifestations à l'étranger, les justificatifs numériques contribuent à réduire les frais d'expédition et de douane, bien que certains équipements demeurent nécessaires pour assurer une vérification sécurisée de l'identité des participants.</w:t>
      </w:r>
    </w:p>
    <w:p w14:paraId="5429A04E" w14:textId="072D876C" w:rsidR="00D4522B" w:rsidRPr="00A32648" w:rsidRDefault="00D4522B" w:rsidP="00FA7075">
      <w:pPr>
        <w:jc w:val="both"/>
      </w:pPr>
      <w:r w:rsidRPr="00A32648">
        <w:t>Une analyse détaillée des coûts infrastructurels et opérationnels montre que si les dépenses d'investissement pour l'intégration des technologies de l'information et des équipements peuvent augmenter dans un premier temps, elles sont compensées par une réduction de</w:t>
      </w:r>
      <w:r w:rsidR="00A32648" w:rsidRPr="00A32648">
        <w:t> </w:t>
      </w:r>
      <w:r w:rsidRPr="00A32648">
        <w:t>30</w:t>
      </w:r>
      <w:r w:rsidR="00A32648" w:rsidRPr="00A32648">
        <w:t> </w:t>
      </w:r>
      <w:r w:rsidRPr="00A32648">
        <w:t>à 40% des dépenses opérationnelles liées aux biens consommables et au personnel.</w:t>
      </w:r>
    </w:p>
    <w:p w14:paraId="7059C2D0" w14:textId="49FD6119" w:rsidR="003F25E0" w:rsidRPr="00A32648" w:rsidRDefault="00D4522B" w:rsidP="00FA7075">
      <w:pPr>
        <w:spacing w:after="120"/>
        <w:jc w:val="both"/>
      </w:pPr>
      <w:r w:rsidRPr="00A32648">
        <w:t>Le tableau ci-après présente les facteurs de coûts comparatifs entre le modèle RFID physique traditionnel et le modèle numérique/biométrique proposé:</w:t>
      </w:r>
    </w:p>
    <w:tbl>
      <w:tblPr>
        <w:tblStyle w:val="TableGrid"/>
        <w:tblW w:w="0" w:type="auto"/>
        <w:tblLayout w:type="fixed"/>
        <w:tblLook w:val="04A0" w:firstRow="1" w:lastRow="0" w:firstColumn="1" w:lastColumn="0" w:noHBand="0" w:noVBand="1"/>
      </w:tblPr>
      <w:tblGrid>
        <w:gridCol w:w="1591"/>
        <w:gridCol w:w="2716"/>
        <w:gridCol w:w="2351"/>
        <w:gridCol w:w="2403"/>
      </w:tblGrid>
      <w:tr w:rsidR="00D4522B" w:rsidRPr="00A32648" w14:paraId="69B16C16" w14:textId="77777777" w:rsidTr="00A32648">
        <w:tc>
          <w:tcPr>
            <w:tcW w:w="1591" w:type="dxa"/>
            <w:vAlign w:val="center"/>
          </w:tcPr>
          <w:p w14:paraId="1B74E340" w14:textId="1F29ACCC" w:rsidR="00D4522B" w:rsidRPr="00A32648" w:rsidRDefault="00D4522B" w:rsidP="00D4522B">
            <w:pPr>
              <w:pStyle w:val="Tablehead"/>
            </w:pPr>
            <w:r w:rsidRPr="00A32648">
              <w:t>Facteur de coûts</w:t>
            </w:r>
          </w:p>
        </w:tc>
        <w:tc>
          <w:tcPr>
            <w:tcW w:w="2716" w:type="dxa"/>
            <w:vAlign w:val="center"/>
          </w:tcPr>
          <w:p w14:paraId="6E3EC4A5" w14:textId="1CD6BF44" w:rsidR="00D4522B" w:rsidRPr="00A32648" w:rsidRDefault="00D4522B" w:rsidP="00D4522B">
            <w:pPr>
              <w:pStyle w:val="Tablehead"/>
            </w:pPr>
            <w:r w:rsidRPr="00A32648">
              <w:t>Modèle RFID physique</w:t>
            </w:r>
          </w:p>
        </w:tc>
        <w:tc>
          <w:tcPr>
            <w:tcW w:w="2351" w:type="dxa"/>
            <w:vAlign w:val="center"/>
          </w:tcPr>
          <w:p w14:paraId="790AE932" w14:textId="48ABD7B0" w:rsidR="00D4522B" w:rsidRPr="00A32648" w:rsidRDefault="00D4522B" w:rsidP="00D4522B">
            <w:pPr>
              <w:pStyle w:val="Tablehead"/>
            </w:pPr>
            <w:r w:rsidRPr="00A32648">
              <w:t>Modèle numérique/</w:t>
            </w:r>
            <w:r w:rsidRPr="00A32648">
              <w:br/>
              <w:t>biométrique</w:t>
            </w:r>
          </w:p>
        </w:tc>
        <w:tc>
          <w:tcPr>
            <w:tcW w:w="2403" w:type="dxa"/>
            <w:vAlign w:val="center"/>
          </w:tcPr>
          <w:p w14:paraId="32A11BBA" w14:textId="09C1770A" w:rsidR="00D4522B" w:rsidRPr="00A32648" w:rsidRDefault="00D4522B" w:rsidP="00D4522B">
            <w:pPr>
              <w:pStyle w:val="Tablehead"/>
            </w:pPr>
            <w:r w:rsidRPr="00A32648">
              <w:t>Incidences financières</w:t>
            </w:r>
          </w:p>
        </w:tc>
      </w:tr>
      <w:tr w:rsidR="00D4522B" w:rsidRPr="00A32648" w14:paraId="10438F95" w14:textId="77777777" w:rsidTr="00A32648">
        <w:tc>
          <w:tcPr>
            <w:tcW w:w="1591" w:type="dxa"/>
          </w:tcPr>
          <w:p w14:paraId="568C66B3" w14:textId="5E007D64" w:rsidR="00D4522B" w:rsidRPr="00A32648" w:rsidRDefault="00D4522B" w:rsidP="00D4522B">
            <w:pPr>
              <w:pStyle w:val="Tabletext"/>
            </w:pPr>
            <w:r w:rsidRPr="00A32648">
              <w:t>Consommables</w:t>
            </w:r>
          </w:p>
        </w:tc>
        <w:tc>
          <w:tcPr>
            <w:tcW w:w="2716" w:type="dxa"/>
          </w:tcPr>
          <w:p w14:paraId="634CD1A5" w14:textId="53D75F76" w:rsidR="00D4522B" w:rsidRPr="00A32648" w:rsidRDefault="00D4522B" w:rsidP="00D4522B">
            <w:pPr>
              <w:pStyle w:val="Tabletext"/>
            </w:pPr>
            <w:r w:rsidRPr="00A32648">
              <w:t>Coûts élevés (cartes en PVC, cordons, rubans)</w:t>
            </w:r>
          </w:p>
        </w:tc>
        <w:tc>
          <w:tcPr>
            <w:tcW w:w="2351" w:type="dxa"/>
          </w:tcPr>
          <w:p w14:paraId="15138102" w14:textId="08760E8F" w:rsidR="00D4522B" w:rsidRPr="00A32648" w:rsidRDefault="00D4522B" w:rsidP="00D4522B">
            <w:pPr>
              <w:pStyle w:val="Tabletext"/>
            </w:pPr>
            <w:r w:rsidRPr="00A32648">
              <w:t>Coût quasi-nul (système mobile)</w:t>
            </w:r>
          </w:p>
        </w:tc>
        <w:tc>
          <w:tcPr>
            <w:tcW w:w="2403" w:type="dxa"/>
          </w:tcPr>
          <w:p w14:paraId="2848E9F1" w14:textId="34192B83" w:rsidR="00D4522B" w:rsidRPr="00A32648" w:rsidRDefault="00D4522B" w:rsidP="00D4522B">
            <w:pPr>
              <w:pStyle w:val="Tabletext"/>
            </w:pPr>
            <w:r w:rsidRPr="00A32648">
              <w:t>Environ 90% d'économies</w:t>
            </w:r>
          </w:p>
        </w:tc>
      </w:tr>
      <w:tr w:rsidR="00D4522B" w:rsidRPr="00A32648" w14:paraId="66795C73" w14:textId="77777777" w:rsidTr="00A32648">
        <w:tc>
          <w:tcPr>
            <w:tcW w:w="1591" w:type="dxa"/>
          </w:tcPr>
          <w:p w14:paraId="0AE7F01E" w14:textId="44A716D5" w:rsidR="00D4522B" w:rsidRPr="00A32648" w:rsidRDefault="00D4522B" w:rsidP="00D4522B">
            <w:pPr>
              <w:pStyle w:val="Tabletext"/>
            </w:pPr>
            <w:r w:rsidRPr="00A32648">
              <w:t>Logistique</w:t>
            </w:r>
          </w:p>
        </w:tc>
        <w:tc>
          <w:tcPr>
            <w:tcW w:w="2716" w:type="dxa"/>
          </w:tcPr>
          <w:p w14:paraId="7EF37015" w14:textId="5923C5D7" w:rsidR="00D4522B" w:rsidRPr="00A32648" w:rsidRDefault="00D4522B" w:rsidP="00D4522B">
            <w:pPr>
              <w:pStyle w:val="Tabletext"/>
            </w:pPr>
            <w:r w:rsidRPr="00A32648">
              <w:t>Coûts élevés (fret lourd, droits de douane)</w:t>
            </w:r>
          </w:p>
        </w:tc>
        <w:tc>
          <w:tcPr>
            <w:tcW w:w="2351" w:type="dxa"/>
          </w:tcPr>
          <w:p w14:paraId="5C1FD6E1" w14:textId="4C69A87D" w:rsidR="00D4522B" w:rsidRPr="00A32648" w:rsidRDefault="00D4522B" w:rsidP="00A32648">
            <w:pPr>
              <w:pStyle w:val="Tabletext"/>
              <w:ind w:right="-66"/>
            </w:pPr>
            <w:r w:rsidRPr="00A32648">
              <w:t>Coûts faibles (empreinte matérielle minimale)</w:t>
            </w:r>
          </w:p>
        </w:tc>
        <w:tc>
          <w:tcPr>
            <w:tcW w:w="2403" w:type="dxa"/>
          </w:tcPr>
          <w:p w14:paraId="4C835C51" w14:textId="0C71A605" w:rsidR="00D4522B" w:rsidRPr="00A32648" w:rsidRDefault="00D4522B" w:rsidP="00D4522B">
            <w:pPr>
              <w:pStyle w:val="Tabletext"/>
            </w:pPr>
            <w:r w:rsidRPr="00A32648">
              <w:t>Environ 60% d'économies</w:t>
            </w:r>
          </w:p>
        </w:tc>
      </w:tr>
      <w:tr w:rsidR="00D4522B" w:rsidRPr="00A32648" w14:paraId="58F9A7F5" w14:textId="77777777" w:rsidTr="00A32648">
        <w:tc>
          <w:tcPr>
            <w:tcW w:w="1591" w:type="dxa"/>
          </w:tcPr>
          <w:p w14:paraId="58DC9D7D" w14:textId="7EFAC2CA" w:rsidR="00D4522B" w:rsidRPr="00A32648" w:rsidRDefault="00D4522B" w:rsidP="00D4522B">
            <w:pPr>
              <w:pStyle w:val="Tabletext"/>
            </w:pPr>
            <w:r w:rsidRPr="00A32648">
              <w:t>Équipement</w:t>
            </w:r>
          </w:p>
        </w:tc>
        <w:tc>
          <w:tcPr>
            <w:tcW w:w="2716" w:type="dxa"/>
          </w:tcPr>
          <w:p w14:paraId="2292ABF7" w14:textId="750FA954" w:rsidR="00D4522B" w:rsidRPr="00A32648" w:rsidRDefault="00D4522B" w:rsidP="00D4522B">
            <w:pPr>
              <w:pStyle w:val="Tabletext"/>
            </w:pPr>
            <w:r w:rsidRPr="00A32648">
              <w:t>Imprimantes à badges, codeurs</w:t>
            </w:r>
          </w:p>
        </w:tc>
        <w:tc>
          <w:tcPr>
            <w:tcW w:w="2351" w:type="dxa"/>
          </w:tcPr>
          <w:p w14:paraId="6FDBD741" w14:textId="74DFF5B9" w:rsidR="00D4522B" w:rsidRPr="00A32648" w:rsidRDefault="00D4522B" w:rsidP="00D4522B">
            <w:pPr>
              <w:pStyle w:val="Tabletext"/>
            </w:pPr>
            <w:r w:rsidRPr="00A32648">
              <w:t>Scanners, bornes biométriques</w:t>
            </w:r>
          </w:p>
        </w:tc>
        <w:tc>
          <w:tcPr>
            <w:tcW w:w="2403" w:type="dxa"/>
          </w:tcPr>
          <w:p w14:paraId="5FDDBF1D" w14:textId="4EE29DF0" w:rsidR="00D4522B" w:rsidRPr="00A32648" w:rsidRDefault="00D4522B" w:rsidP="00A32648">
            <w:pPr>
              <w:pStyle w:val="Tabletext"/>
              <w:ind w:right="-84"/>
            </w:pPr>
            <w:r w:rsidRPr="00A32648">
              <w:t>Dépenses d'investissement accrues</w:t>
            </w:r>
          </w:p>
        </w:tc>
      </w:tr>
      <w:tr w:rsidR="00D4522B" w:rsidRPr="00A32648" w14:paraId="7EB4F990" w14:textId="77777777" w:rsidTr="00A32648">
        <w:tc>
          <w:tcPr>
            <w:tcW w:w="1591" w:type="dxa"/>
          </w:tcPr>
          <w:p w14:paraId="7CAD3578" w14:textId="66D1D108" w:rsidR="00D4522B" w:rsidRPr="00A32648" w:rsidRDefault="00D4522B" w:rsidP="00D4522B">
            <w:pPr>
              <w:pStyle w:val="Tabletext"/>
            </w:pPr>
            <w:r w:rsidRPr="00A32648">
              <w:t>Personnel sur place</w:t>
            </w:r>
          </w:p>
        </w:tc>
        <w:tc>
          <w:tcPr>
            <w:tcW w:w="2716" w:type="dxa"/>
          </w:tcPr>
          <w:p w14:paraId="1BE94A23" w14:textId="65F79EDE" w:rsidR="00D4522B" w:rsidRPr="00A32648" w:rsidRDefault="00D4522B" w:rsidP="00A32648">
            <w:pPr>
              <w:pStyle w:val="Tabletext"/>
              <w:ind w:right="-121"/>
              <w:rPr>
                <w:spacing w:val="-2"/>
              </w:rPr>
            </w:pPr>
            <w:r w:rsidRPr="00A32648">
              <w:rPr>
                <w:spacing w:val="-2"/>
              </w:rPr>
              <w:t>Coûts élevés (bureaux d'impression/de distribution)</w:t>
            </w:r>
          </w:p>
        </w:tc>
        <w:tc>
          <w:tcPr>
            <w:tcW w:w="2351" w:type="dxa"/>
          </w:tcPr>
          <w:p w14:paraId="5FCDD8D6" w14:textId="1BC7447E" w:rsidR="00D4522B" w:rsidRPr="00A32648" w:rsidRDefault="00D4522B" w:rsidP="00D4522B">
            <w:pPr>
              <w:pStyle w:val="Tabletext"/>
            </w:pPr>
            <w:r w:rsidRPr="00A32648">
              <w:t>Coûts modérés (appui technique)</w:t>
            </w:r>
          </w:p>
        </w:tc>
        <w:tc>
          <w:tcPr>
            <w:tcW w:w="2403" w:type="dxa"/>
          </w:tcPr>
          <w:p w14:paraId="77046574" w14:textId="469B5D68" w:rsidR="00D4522B" w:rsidRPr="00A32648" w:rsidRDefault="00D4522B" w:rsidP="00D4522B">
            <w:pPr>
              <w:pStyle w:val="Tabletext"/>
            </w:pPr>
            <w:r w:rsidRPr="00A32648">
              <w:t>Environ 25% d'économies</w:t>
            </w:r>
          </w:p>
        </w:tc>
      </w:tr>
    </w:tbl>
    <w:p w14:paraId="3B090C3A" w14:textId="77777777" w:rsidR="00FA7075" w:rsidRDefault="00FA7075" w:rsidP="00FA7075">
      <w:pPr>
        <w:pStyle w:val="Tablefin"/>
      </w:pPr>
    </w:p>
    <w:p w14:paraId="593AB354" w14:textId="28F0DADD" w:rsidR="00D4522B" w:rsidRPr="00A32648" w:rsidRDefault="00D4522B" w:rsidP="00FA7075">
      <w:pPr>
        <w:keepNext/>
        <w:jc w:val="both"/>
      </w:pPr>
      <w:r w:rsidRPr="00A32648">
        <w:lastRenderedPageBreak/>
        <w:t>Le modèle économique, que ce soit pour une solution interne, fondée sur le modèle SaaS (logiciel en tant que service) ou locative, détermine directement la charge financière qui pèse sur les pays hôtes.</w:t>
      </w:r>
    </w:p>
    <w:p w14:paraId="3BFE8212" w14:textId="1CE6771F" w:rsidR="00D4522B" w:rsidRPr="00A32648" w:rsidRDefault="00D4522B" w:rsidP="00FA7075">
      <w:pPr>
        <w:pStyle w:val="enumlev1"/>
        <w:jc w:val="both"/>
      </w:pPr>
      <w:r w:rsidRPr="00A32648">
        <w:t>–</w:t>
      </w:r>
      <w:r w:rsidRPr="00A32648">
        <w:tab/>
      </w:r>
      <w:r w:rsidRPr="00A32648">
        <w:rPr>
          <w:b/>
          <w:bCs/>
        </w:rPr>
        <w:t>Manifestations proches de Genève</w:t>
      </w:r>
      <w:r w:rsidRPr="00A32648">
        <w:t>: tirer parti de l'infrastructure existante appartenant à l'UIT et des frais d'expédition négligeables, et réaliser ainsi d'importants gains d'efficacité grâce au passage au numérique.</w:t>
      </w:r>
    </w:p>
    <w:p w14:paraId="2DD0BD3D" w14:textId="56653836" w:rsidR="00D4522B" w:rsidRPr="00A32648" w:rsidRDefault="00D4522B" w:rsidP="00FA7075">
      <w:pPr>
        <w:pStyle w:val="enumlev1"/>
        <w:jc w:val="both"/>
      </w:pPr>
      <w:r w:rsidRPr="00A32648">
        <w:t>–</w:t>
      </w:r>
      <w:r w:rsidRPr="00A32648">
        <w:tab/>
      </w:r>
      <w:r w:rsidRPr="00A32648">
        <w:rPr>
          <w:b/>
          <w:bCs/>
        </w:rPr>
        <w:t>Manifestations internationales</w:t>
      </w:r>
      <w:r w:rsidRPr="00A32648">
        <w:t>: les badges numériques réduisent considérablement les coûts logistiques. En n'ayant plus besoin d'expédier des milliers de cartes physiques et d'imposantes imprimantes industrielles (qui impliquent souvent une documentation complexe liée au carnet ATA et un fret aérien coûteux), les pays hôtes peuvent constater une réduction des frais d'expédition spécialisés d'environ 10 000 à 15 000 USD par grande manifestation.</w:t>
      </w:r>
    </w:p>
    <w:p w14:paraId="3BF898B0" w14:textId="01A45808" w:rsidR="00D4522B" w:rsidRPr="00A32648" w:rsidRDefault="00D4522B" w:rsidP="00FA7075">
      <w:pPr>
        <w:jc w:val="both"/>
      </w:pPr>
      <w:r w:rsidRPr="00A32648">
        <w:t>Bien que l'accréditation numérique réduise les besoins logistiques globaux, l'expédition d'équipements biométriques et de contrôle d'accès reste un facteur de coût et devrait être optimisée en recherchant un modèle hybride combinant des actifs centralisés et des actifs loués au niveau local lorsque cela est possible.</w:t>
      </w:r>
    </w:p>
    <w:p w14:paraId="4B06755F" w14:textId="1F59826F" w:rsidR="00D4522B" w:rsidRPr="00A32648" w:rsidRDefault="00D4522B" w:rsidP="00FA7075">
      <w:pPr>
        <w:jc w:val="both"/>
      </w:pPr>
      <w:r w:rsidRPr="00A32648">
        <w:t>Le choix des solutions d'accréditation numérique et des modèles de déploiement devrait être conforme à la stratégie plus large de modernisation des technologies de l'information, qui doit également privilégier la réduction de la charge opérationnelle et financière pesant sur les pays hôtes grâce à une logistique simplifiée, à des expéditions d'équipements réduites et à des méthodes d'approvisionnement souples.</w:t>
      </w:r>
    </w:p>
    <w:p w14:paraId="51D1AAC2" w14:textId="5A3FACF0" w:rsidR="00D4522B" w:rsidRPr="00A32648" w:rsidRDefault="00D4522B" w:rsidP="00FA7075">
      <w:pPr>
        <w:jc w:val="both"/>
      </w:pPr>
      <w:r w:rsidRPr="00A32648">
        <w:t>Le secrétariat évalue actuellement diverses solutions numériques pour les processus d'inscription, d'accréditation et de délivrance de badges pour différents types de manifestations, y compris les conférences statutaires et les réunions techniques tenues à</w:t>
      </w:r>
      <w:r w:rsidR="00A32648" w:rsidRPr="00A32648">
        <w:t> </w:t>
      </w:r>
      <w:r w:rsidRPr="00A32648">
        <w:t>Genève et ailleurs. Le plan de déploiement vise à ce qu'un modèle numérique soit prêt d'ici à</w:t>
      </w:r>
      <w:r w:rsidR="00A32648" w:rsidRPr="00A32648">
        <w:t> </w:t>
      </w:r>
      <w:r w:rsidRPr="00A32648">
        <w:t>2027 pour certaines manifestations, et éventuellement à ce qu'il soit adapté aux grandes conférences telles que la Conférence mondiale des radiocommunications de 2027.</w:t>
      </w:r>
    </w:p>
    <w:p w14:paraId="7390A7DE" w14:textId="57DA605B" w:rsidR="00D4522B" w:rsidRPr="00A32648" w:rsidRDefault="00D4522B" w:rsidP="00FA7075">
      <w:pPr>
        <w:jc w:val="both"/>
      </w:pPr>
      <w:r w:rsidRPr="00A32648">
        <w:t>La feuille de route actuelle comprend les étapes suivantes:</w:t>
      </w:r>
    </w:p>
    <w:p w14:paraId="0F84F639" w14:textId="2641E838" w:rsidR="00D4522B" w:rsidRPr="00A32648" w:rsidRDefault="00D4522B" w:rsidP="00FA7075">
      <w:pPr>
        <w:pStyle w:val="enumlev1"/>
        <w:jc w:val="both"/>
      </w:pPr>
      <w:r w:rsidRPr="00A32648">
        <w:t>–</w:t>
      </w:r>
      <w:r w:rsidRPr="00A32648">
        <w:tab/>
      </w:r>
      <w:r w:rsidR="00A32648" w:rsidRPr="00A32648">
        <w:t xml:space="preserve">Un </w:t>
      </w:r>
      <w:r w:rsidRPr="00A32648">
        <w:t>groupe d'action spécialisé a été créé fin 2025, et les activités d'évaluation se poursuivront tout au long de 2026</w:t>
      </w:r>
      <w:r w:rsidR="00A32648" w:rsidRPr="00A32648">
        <w:t>.</w:t>
      </w:r>
    </w:p>
    <w:p w14:paraId="7AE6A4DF" w14:textId="5DE7C5B8" w:rsidR="00D4522B" w:rsidRPr="00A32648" w:rsidRDefault="00D4522B" w:rsidP="00FA7075">
      <w:pPr>
        <w:pStyle w:val="enumlev1"/>
        <w:jc w:val="both"/>
      </w:pPr>
      <w:r w:rsidRPr="00A32648">
        <w:t>–</w:t>
      </w:r>
      <w:r w:rsidRPr="00A32648">
        <w:tab/>
      </w:r>
      <w:r w:rsidR="00A32648" w:rsidRPr="00A32648">
        <w:t xml:space="preserve">Recenser </w:t>
      </w:r>
      <w:r w:rsidRPr="00A32648">
        <w:t>et hiérarchiser les types de manifestation afin de définir les besoins techniques, opérationnels et de sécurité</w:t>
      </w:r>
      <w:r w:rsidR="00A32648" w:rsidRPr="00A32648">
        <w:t>.</w:t>
      </w:r>
    </w:p>
    <w:p w14:paraId="7D4FF9BE" w14:textId="4B20B60E" w:rsidR="00D4522B" w:rsidRPr="00A32648" w:rsidRDefault="00D4522B" w:rsidP="00FA7075">
      <w:pPr>
        <w:pStyle w:val="enumlev1"/>
        <w:jc w:val="both"/>
      </w:pPr>
      <w:r w:rsidRPr="00A32648">
        <w:t>–</w:t>
      </w:r>
      <w:r w:rsidRPr="00A32648">
        <w:tab/>
      </w:r>
      <w:r w:rsidR="00A32648" w:rsidRPr="00A32648">
        <w:t xml:space="preserve">Mettre </w:t>
      </w:r>
      <w:r w:rsidRPr="00A32648">
        <w:t>en œuvre des programmes pilotes progressifs en 2026, en commençant par de petits essais lors de réunions à Genève pour vérifier les indicateurs fondamentaux de performance sur les coûts, l'efficacité, la sécurité et l'expérience des participants</w:t>
      </w:r>
      <w:r w:rsidR="00A32648" w:rsidRPr="00A32648">
        <w:t>.</w:t>
      </w:r>
    </w:p>
    <w:p w14:paraId="002CDC3F" w14:textId="55C7F892" w:rsidR="00D4522B" w:rsidRPr="00A32648" w:rsidRDefault="00D4522B" w:rsidP="00FA7075">
      <w:pPr>
        <w:pStyle w:val="enumlev1"/>
        <w:jc w:val="both"/>
      </w:pPr>
      <w:r w:rsidRPr="00A32648">
        <w:t>–</w:t>
      </w:r>
      <w:r w:rsidRPr="00A32648">
        <w:tab/>
      </w:r>
      <w:r w:rsidR="00A32648" w:rsidRPr="00A32648">
        <w:t xml:space="preserve">Évaluer </w:t>
      </w:r>
      <w:r w:rsidRPr="00A32648">
        <w:t>les avantages en matière de durabilité et les incidences financières à mesure que les résultats des programmes pilotes arrivent.</w:t>
      </w:r>
    </w:p>
    <w:p w14:paraId="540A17DB" w14:textId="40F523CF" w:rsidR="00D4522B" w:rsidRPr="00A32648" w:rsidRDefault="00D4522B" w:rsidP="00FA7075">
      <w:pPr>
        <w:jc w:val="both"/>
      </w:pPr>
      <w:r w:rsidRPr="00A32648">
        <w:t>En 2026, l'UIT met à l'essai une solution commerciale de gestion des manifestations (pour les manifestations du SMSI et sur le thème de l'IA au service du bien social) déjà utilisée par d'autres institutions des Nations Unies, afin d'évaluer son adaptabilité aux manifestations de l'Union dans différents domaines. Le programme pilote prévoit de tester diverses fonctionnalités et de procéder à une évaluation financière comparant les manifestations organisées à Genève et celles organisées à l'étranger. Les résultats serviront de base à la prise de décisions concernant la modernisation de la gestion des manifestations.</w:t>
      </w:r>
    </w:p>
    <w:p w14:paraId="22420487" w14:textId="06A66754" w:rsidR="00D4522B" w:rsidRPr="00A32648" w:rsidRDefault="00D4522B" w:rsidP="00FA7075">
      <w:pPr>
        <w:jc w:val="both"/>
      </w:pPr>
      <w:r w:rsidRPr="00A32648">
        <w:lastRenderedPageBreak/>
        <w:t>La feuille de route pour la modernisation de la plate-forme de gestion des manifestations sera élaborée et définie tout au long de la période 2026-2027, en phase avec la stratégie plus large de modernisation des technologies et des systèmes institutionnels, y compris des systèmes de gestion des manifestations, et sur la base des résultats du programme pilote et des évaluations de l'environnement des solutions pour l'architecture institutionnelle de l'UIT.</w:t>
      </w:r>
    </w:p>
    <w:p w14:paraId="59B47A58" w14:textId="1F4C767A" w:rsidR="00D4522B" w:rsidRDefault="00D4522B" w:rsidP="00FA7075">
      <w:pPr>
        <w:jc w:val="both"/>
      </w:pPr>
      <w:r w:rsidRPr="00A32648">
        <w:t>En parallèle, le secrétariat prévoit de tirer parti des progrès qui seront réalisés dans le cadre de l'Initiative des Nations Unies sur l'identité numérique, dont les travaux débuteront en</w:t>
      </w:r>
      <w:r w:rsidR="00A32648" w:rsidRPr="00A32648">
        <w:t> </w:t>
      </w:r>
      <w:r w:rsidRPr="00A32648">
        <w:t>2026. Cette initiative permettra d'établir des identités numériques fiables dans l'ensemble du système des Nations Unies au moyen de technologies mobiles sécurisées et de méthodes de vérification d'identité renforcées. L'UIT entend intégrer ces capacités dans le processus d'accréditation pour prendre en charge les justificatifs numériques sécurisés, permettre l'authentification des participants en temps réel et réduire la dépendance à l'égard des badges physiques et des procédures de vérification manuelle.</w:t>
      </w:r>
    </w:p>
    <w:p w14:paraId="7A0AFA71" w14:textId="77777777" w:rsidR="00FA7075" w:rsidRPr="00A32648" w:rsidRDefault="00FA7075" w:rsidP="00FA7075">
      <w:pPr>
        <w:jc w:val="both"/>
      </w:pPr>
    </w:p>
    <w:p w14:paraId="40D249A4" w14:textId="77777777" w:rsidR="00897553" w:rsidRPr="00A32648" w:rsidRDefault="006A11AE" w:rsidP="002D2336">
      <w:pPr>
        <w:jc w:val="center"/>
      </w:pPr>
      <w:r w:rsidRPr="00A32648">
        <w:t>______________</w:t>
      </w:r>
    </w:p>
    <w:sectPr w:rsidR="00897553" w:rsidRPr="00A32648" w:rsidSect="00D72F49">
      <w:headerReference w:type="even" r:id="rId19"/>
      <w:footerReference w:type="even" r:id="rId20"/>
      <w:footerReference w:type="default" r:id="rId21"/>
      <w:headerReference w:type="first" r:id="rId22"/>
      <w:footerReference w:type="first" r:id="rId23"/>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2A526" w14:textId="77777777" w:rsidR="00FA0D9A" w:rsidRDefault="00FA0D9A">
      <w:r>
        <w:separator/>
      </w:r>
    </w:p>
  </w:endnote>
  <w:endnote w:type="continuationSeparator" w:id="0">
    <w:p w14:paraId="3BA048F2" w14:textId="77777777" w:rsidR="00FA0D9A" w:rsidRDefault="00FA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D0219" w14:textId="1FB725DB" w:rsidR="00732045" w:rsidRDefault="00FA0D9A">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6C5769">
      <w:t>02.04.26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A6826BF" w14:textId="77777777" w:rsidTr="00E31DCE">
      <w:trPr>
        <w:jc w:val="center"/>
      </w:trPr>
      <w:tc>
        <w:tcPr>
          <w:tcW w:w="1803" w:type="dxa"/>
          <w:vAlign w:val="center"/>
        </w:tcPr>
        <w:p w14:paraId="75A7AEAF" w14:textId="71106650" w:rsidR="00A51849" w:rsidRDefault="00B95A3F" w:rsidP="00A51849">
          <w:pPr>
            <w:pStyle w:val="Header"/>
            <w:jc w:val="left"/>
            <w:rPr>
              <w:noProof/>
            </w:rPr>
          </w:pPr>
          <w:r>
            <w:rPr>
              <w:noProof/>
            </w:rPr>
            <w:t>2600</w:t>
          </w:r>
          <w:r w:rsidR="00A32648">
            <w:rPr>
              <w:noProof/>
            </w:rPr>
            <w:t>702</w:t>
          </w:r>
        </w:p>
      </w:tc>
      <w:tc>
        <w:tcPr>
          <w:tcW w:w="8261" w:type="dxa"/>
        </w:tcPr>
        <w:p w14:paraId="3CE57938" w14:textId="2E91C314"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A32648">
            <w:rPr>
              <w:bCs/>
            </w:rPr>
            <w:t>71</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18A33938"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7CE429EA" w14:textId="77777777" w:rsidTr="00E31DCE">
      <w:trPr>
        <w:jc w:val="center"/>
      </w:trPr>
      <w:tc>
        <w:tcPr>
          <w:tcW w:w="1803" w:type="dxa"/>
          <w:vAlign w:val="center"/>
        </w:tcPr>
        <w:p w14:paraId="0C0C7920"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558F7E11" w14:textId="5BA20837"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D4522B">
            <w:rPr>
              <w:bCs/>
            </w:rPr>
            <w:t>71</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5828EABF"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95EED" w14:textId="77777777" w:rsidR="00FA0D9A" w:rsidRDefault="00FA0D9A">
      <w:r>
        <w:t>____________________</w:t>
      </w:r>
    </w:p>
  </w:footnote>
  <w:footnote w:type="continuationSeparator" w:id="0">
    <w:p w14:paraId="54D1A653" w14:textId="77777777" w:rsidR="00FA0D9A" w:rsidRDefault="00FA0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93B4"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46491690"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3F1DB" w14:textId="77777777" w:rsidR="00A51849" w:rsidRPr="001342E0" w:rsidRDefault="001342E0" w:rsidP="001342E0">
    <w:pPr>
      <w:pStyle w:val="Header"/>
    </w:pPr>
    <w:r>
      <w:rPr>
        <w:noProof/>
      </w:rPr>
      <w:drawing>
        <wp:inline distT="0" distB="0" distL="0" distR="0" wp14:anchorId="69C71F69" wp14:editId="170CF3BC">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961033345">
    <w:abstractNumId w:val="9"/>
  </w:num>
  <w:num w:numId="2" w16cid:durableId="341396377">
    <w:abstractNumId w:val="7"/>
  </w:num>
  <w:num w:numId="3" w16cid:durableId="276564150">
    <w:abstractNumId w:val="6"/>
  </w:num>
  <w:num w:numId="4" w16cid:durableId="465900276">
    <w:abstractNumId w:val="5"/>
  </w:num>
  <w:num w:numId="5" w16cid:durableId="1292399902">
    <w:abstractNumId w:val="4"/>
  </w:num>
  <w:num w:numId="6" w16cid:durableId="1937324305">
    <w:abstractNumId w:val="8"/>
  </w:num>
  <w:num w:numId="7" w16cid:durableId="1140806792">
    <w:abstractNumId w:val="3"/>
  </w:num>
  <w:num w:numId="8" w16cid:durableId="1952320842">
    <w:abstractNumId w:val="2"/>
  </w:num>
  <w:num w:numId="9" w16cid:durableId="955940088">
    <w:abstractNumId w:val="1"/>
  </w:num>
  <w:num w:numId="10" w16cid:durableId="95561603">
    <w:abstractNumId w:val="0"/>
  </w:num>
  <w:num w:numId="11" w16cid:durableId="824855387">
    <w:abstractNumId w:val="8"/>
  </w:num>
  <w:num w:numId="12" w16cid:durableId="97601656">
    <w:abstractNumId w:val="3"/>
  </w:num>
  <w:num w:numId="13" w16cid:durableId="1583100628">
    <w:abstractNumId w:val="2"/>
  </w:num>
  <w:num w:numId="14" w16cid:durableId="658073176">
    <w:abstractNumId w:val="1"/>
  </w:num>
  <w:num w:numId="15" w16cid:durableId="1412585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D9A"/>
    <w:rsid w:val="00047CEB"/>
    <w:rsid w:val="00076A2C"/>
    <w:rsid w:val="000979E8"/>
    <w:rsid w:val="000A4706"/>
    <w:rsid w:val="000D0D0A"/>
    <w:rsid w:val="000D4F96"/>
    <w:rsid w:val="000E3B2A"/>
    <w:rsid w:val="001015D0"/>
    <w:rsid w:val="00103163"/>
    <w:rsid w:val="00106B19"/>
    <w:rsid w:val="001133EF"/>
    <w:rsid w:val="00115D93"/>
    <w:rsid w:val="001247A8"/>
    <w:rsid w:val="001342E0"/>
    <w:rsid w:val="001370B2"/>
    <w:rsid w:val="001378C0"/>
    <w:rsid w:val="001658F9"/>
    <w:rsid w:val="0018694A"/>
    <w:rsid w:val="0019129B"/>
    <w:rsid w:val="00195631"/>
    <w:rsid w:val="001A3287"/>
    <w:rsid w:val="001A6508"/>
    <w:rsid w:val="001D4C31"/>
    <w:rsid w:val="001E4D21"/>
    <w:rsid w:val="00207CD1"/>
    <w:rsid w:val="00226657"/>
    <w:rsid w:val="002477A2"/>
    <w:rsid w:val="00263A51"/>
    <w:rsid w:val="00267E02"/>
    <w:rsid w:val="00271321"/>
    <w:rsid w:val="00277DEA"/>
    <w:rsid w:val="002A5D44"/>
    <w:rsid w:val="002C3F32"/>
    <w:rsid w:val="002C4E3D"/>
    <w:rsid w:val="002C6277"/>
    <w:rsid w:val="002D2336"/>
    <w:rsid w:val="002E0BC4"/>
    <w:rsid w:val="002E3105"/>
    <w:rsid w:val="002F1B76"/>
    <w:rsid w:val="0033568E"/>
    <w:rsid w:val="00355FF5"/>
    <w:rsid w:val="00361350"/>
    <w:rsid w:val="00396D85"/>
    <w:rsid w:val="003C3FAE"/>
    <w:rsid w:val="003C491A"/>
    <w:rsid w:val="003F25E0"/>
    <w:rsid w:val="00401FBC"/>
    <w:rsid w:val="004038CB"/>
    <w:rsid w:val="0040546F"/>
    <w:rsid w:val="004177BD"/>
    <w:rsid w:val="0042404A"/>
    <w:rsid w:val="0044187C"/>
    <w:rsid w:val="0044618F"/>
    <w:rsid w:val="00465C35"/>
    <w:rsid w:val="0046769A"/>
    <w:rsid w:val="00475FB3"/>
    <w:rsid w:val="004C37A9"/>
    <w:rsid w:val="004D1D50"/>
    <w:rsid w:val="004F259E"/>
    <w:rsid w:val="004F633A"/>
    <w:rsid w:val="00504C7F"/>
    <w:rsid w:val="00511F1D"/>
    <w:rsid w:val="00520F36"/>
    <w:rsid w:val="00524E8D"/>
    <w:rsid w:val="00534E13"/>
    <w:rsid w:val="00540615"/>
    <w:rsid w:val="00540A6D"/>
    <w:rsid w:val="0054172A"/>
    <w:rsid w:val="00553536"/>
    <w:rsid w:val="00566679"/>
    <w:rsid w:val="00571EEA"/>
    <w:rsid w:val="00575417"/>
    <w:rsid w:val="005768E1"/>
    <w:rsid w:val="005B1938"/>
    <w:rsid w:val="005C3890"/>
    <w:rsid w:val="005E627B"/>
    <w:rsid w:val="005E78AF"/>
    <w:rsid w:val="005F7BFE"/>
    <w:rsid w:val="00600017"/>
    <w:rsid w:val="00602682"/>
    <w:rsid w:val="006235CA"/>
    <w:rsid w:val="0062366E"/>
    <w:rsid w:val="0066296E"/>
    <w:rsid w:val="00663579"/>
    <w:rsid w:val="006643AB"/>
    <w:rsid w:val="006A11AE"/>
    <w:rsid w:val="006A3C5C"/>
    <w:rsid w:val="006A7C10"/>
    <w:rsid w:val="006B224B"/>
    <w:rsid w:val="006B2FB2"/>
    <w:rsid w:val="006C5769"/>
    <w:rsid w:val="006F0A53"/>
    <w:rsid w:val="0071402E"/>
    <w:rsid w:val="007210CD"/>
    <w:rsid w:val="00732045"/>
    <w:rsid w:val="0073275D"/>
    <w:rsid w:val="007369DB"/>
    <w:rsid w:val="0077110E"/>
    <w:rsid w:val="007956C2"/>
    <w:rsid w:val="00796BDB"/>
    <w:rsid w:val="007A187E"/>
    <w:rsid w:val="007C72C2"/>
    <w:rsid w:val="007D4436"/>
    <w:rsid w:val="007E2AEA"/>
    <w:rsid w:val="007F257A"/>
    <w:rsid w:val="007F3665"/>
    <w:rsid w:val="00800037"/>
    <w:rsid w:val="008054F7"/>
    <w:rsid w:val="0082299A"/>
    <w:rsid w:val="0083391C"/>
    <w:rsid w:val="0084022B"/>
    <w:rsid w:val="008435DD"/>
    <w:rsid w:val="0084546D"/>
    <w:rsid w:val="00861D73"/>
    <w:rsid w:val="00882919"/>
    <w:rsid w:val="00893F5A"/>
    <w:rsid w:val="00897553"/>
    <w:rsid w:val="008A4E87"/>
    <w:rsid w:val="008D76E6"/>
    <w:rsid w:val="008E022A"/>
    <w:rsid w:val="0092392D"/>
    <w:rsid w:val="0093234A"/>
    <w:rsid w:val="00956A78"/>
    <w:rsid w:val="0096009E"/>
    <w:rsid w:val="0097363B"/>
    <w:rsid w:val="00973F53"/>
    <w:rsid w:val="0098348E"/>
    <w:rsid w:val="009A6BAA"/>
    <w:rsid w:val="009A76A8"/>
    <w:rsid w:val="009B5612"/>
    <w:rsid w:val="009C307F"/>
    <w:rsid w:val="009C353C"/>
    <w:rsid w:val="009D5955"/>
    <w:rsid w:val="009F0FB8"/>
    <w:rsid w:val="00A01F4F"/>
    <w:rsid w:val="00A109AF"/>
    <w:rsid w:val="00A125FB"/>
    <w:rsid w:val="00A2113E"/>
    <w:rsid w:val="00A23A51"/>
    <w:rsid w:val="00A24607"/>
    <w:rsid w:val="00A25CD3"/>
    <w:rsid w:val="00A323BA"/>
    <w:rsid w:val="00A32648"/>
    <w:rsid w:val="00A34895"/>
    <w:rsid w:val="00A51849"/>
    <w:rsid w:val="00A709FE"/>
    <w:rsid w:val="00A73C60"/>
    <w:rsid w:val="00A82767"/>
    <w:rsid w:val="00A82C21"/>
    <w:rsid w:val="00A9219B"/>
    <w:rsid w:val="00AA332F"/>
    <w:rsid w:val="00AA7BBB"/>
    <w:rsid w:val="00AB64A8"/>
    <w:rsid w:val="00AC0266"/>
    <w:rsid w:val="00AC0F1D"/>
    <w:rsid w:val="00AD24EC"/>
    <w:rsid w:val="00B27B00"/>
    <w:rsid w:val="00B309F9"/>
    <w:rsid w:val="00B32B60"/>
    <w:rsid w:val="00B51005"/>
    <w:rsid w:val="00B61619"/>
    <w:rsid w:val="00B95A3F"/>
    <w:rsid w:val="00BA480A"/>
    <w:rsid w:val="00BB38C1"/>
    <w:rsid w:val="00BB4545"/>
    <w:rsid w:val="00BC1ECA"/>
    <w:rsid w:val="00BD5873"/>
    <w:rsid w:val="00BE3652"/>
    <w:rsid w:val="00BF4B60"/>
    <w:rsid w:val="00C049D7"/>
    <w:rsid w:val="00C04BE3"/>
    <w:rsid w:val="00C25D29"/>
    <w:rsid w:val="00C2625E"/>
    <w:rsid w:val="00C27A7C"/>
    <w:rsid w:val="00C42437"/>
    <w:rsid w:val="00C52DDD"/>
    <w:rsid w:val="00CA08ED"/>
    <w:rsid w:val="00CC63BA"/>
    <w:rsid w:val="00CC6EAA"/>
    <w:rsid w:val="00CE2BA1"/>
    <w:rsid w:val="00CE5172"/>
    <w:rsid w:val="00CF0534"/>
    <w:rsid w:val="00CF183B"/>
    <w:rsid w:val="00D03B5F"/>
    <w:rsid w:val="00D375CD"/>
    <w:rsid w:val="00D37B53"/>
    <w:rsid w:val="00D4522B"/>
    <w:rsid w:val="00D4663D"/>
    <w:rsid w:val="00D553A2"/>
    <w:rsid w:val="00D72F49"/>
    <w:rsid w:val="00D774D3"/>
    <w:rsid w:val="00D904E8"/>
    <w:rsid w:val="00D91363"/>
    <w:rsid w:val="00DA08C3"/>
    <w:rsid w:val="00DB5A3E"/>
    <w:rsid w:val="00DC22AA"/>
    <w:rsid w:val="00DD1A99"/>
    <w:rsid w:val="00DE62C6"/>
    <w:rsid w:val="00DF74DD"/>
    <w:rsid w:val="00E25AD0"/>
    <w:rsid w:val="00E4428F"/>
    <w:rsid w:val="00E4448E"/>
    <w:rsid w:val="00E47427"/>
    <w:rsid w:val="00E663EE"/>
    <w:rsid w:val="00E7406E"/>
    <w:rsid w:val="00E93668"/>
    <w:rsid w:val="00E95647"/>
    <w:rsid w:val="00EB6350"/>
    <w:rsid w:val="00ED799B"/>
    <w:rsid w:val="00F15B57"/>
    <w:rsid w:val="00F35EF4"/>
    <w:rsid w:val="00F37FE5"/>
    <w:rsid w:val="00F427DB"/>
    <w:rsid w:val="00F7433F"/>
    <w:rsid w:val="00FA0D9A"/>
    <w:rsid w:val="00FA5EB1"/>
    <w:rsid w:val="00FA7075"/>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352A1B4"/>
  <w15:docId w15:val="{9E599DC2-17EC-47AE-8E20-1BC210D6D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aliases w:val="超级链接,Style 58,超?级链,超????,하이퍼링크2,하이퍼링크21,超链接1,CEO_Hyperlink,超??级链Ú,fL????,fL?级,超??级链"/>
    <w:basedOn w:val="DefaultParagraphFont"/>
    <w:uiPriority w:val="99"/>
    <w:qForma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character" w:styleId="CommentReference">
    <w:name w:val="annotation reference"/>
    <w:basedOn w:val="DefaultParagraphFont"/>
    <w:semiHidden/>
    <w:unhideWhenUsed/>
    <w:rsid w:val="000A4706"/>
    <w:rPr>
      <w:sz w:val="16"/>
      <w:szCs w:val="16"/>
    </w:rPr>
  </w:style>
  <w:style w:type="paragraph" w:styleId="CommentText">
    <w:name w:val="annotation text"/>
    <w:basedOn w:val="Normal"/>
    <w:link w:val="CommentTextChar"/>
    <w:semiHidden/>
    <w:unhideWhenUsed/>
    <w:rsid w:val="000A4706"/>
    <w:rPr>
      <w:sz w:val="20"/>
    </w:rPr>
  </w:style>
  <w:style w:type="character" w:customStyle="1" w:styleId="CommentTextChar">
    <w:name w:val="Comment Text Char"/>
    <w:basedOn w:val="DefaultParagraphFont"/>
    <w:link w:val="CommentText"/>
    <w:semiHidden/>
    <w:rsid w:val="000A4706"/>
    <w:rPr>
      <w:rFonts w:ascii="Calibri" w:hAnsi="Calibri"/>
      <w:lang w:val="fr-FR" w:eastAsia="en-US"/>
    </w:rPr>
  </w:style>
  <w:style w:type="paragraph" w:styleId="CommentSubject">
    <w:name w:val="annotation subject"/>
    <w:basedOn w:val="CommentText"/>
    <w:next w:val="CommentText"/>
    <w:link w:val="CommentSubjectChar"/>
    <w:semiHidden/>
    <w:unhideWhenUsed/>
    <w:rsid w:val="000A4706"/>
    <w:rPr>
      <w:b/>
      <w:bCs/>
    </w:rPr>
  </w:style>
  <w:style w:type="character" w:customStyle="1" w:styleId="CommentSubjectChar">
    <w:name w:val="Comment Subject Char"/>
    <w:basedOn w:val="CommentTextChar"/>
    <w:link w:val="CommentSubject"/>
    <w:semiHidden/>
    <w:rsid w:val="000A4706"/>
    <w:rPr>
      <w:rFonts w:ascii="Calibri" w:hAnsi="Calibri"/>
      <w:b/>
      <w:bCs/>
      <w:lang w:val="fr-FR" w:eastAsia="en-US"/>
    </w:rPr>
  </w:style>
  <w:style w:type="paragraph" w:customStyle="1" w:styleId="Tablefin">
    <w:name w:val="Table_fin"/>
    <w:basedOn w:val="Tabletext"/>
    <w:rsid w:val="00FA7075"/>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95/fr" TargetMode="External"/><Relationship Id="rId13" Type="http://schemas.openxmlformats.org/officeDocument/2006/relationships/hyperlink" Target="https://www.itu.int/md/S26-CWGFHR22-C-0019/fr" TargetMode="External"/><Relationship Id="rId18" Type="http://schemas.openxmlformats.org/officeDocument/2006/relationships/hyperlink" Target="https://www.itu.int/md/S26-CL-INF-0008/f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tu.int/md/S25-CWGFHR21-C-0008/fr" TargetMode="External"/><Relationship Id="rId17" Type="http://schemas.openxmlformats.org/officeDocument/2006/relationships/hyperlink" Target="https://www.itu.int/md/S26-CWGFHR22-C-0036/f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md/S25-RCLCWGLANG16-INF-0001/f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CL-C-0095/f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md/S26-SG-CIR-0011/fr" TargetMode="External"/><Relationship Id="rId23" Type="http://schemas.openxmlformats.org/officeDocument/2006/relationships/footer" Target="footer3.xml"/><Relationship Id="rId10" Type="http://schemas.openxmlformats.org/officeDocument/2006/relationships/hyperlink" Target="https://www.itu.int/md/S26-CWGFHR22-C-0019/f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S25-CWGFHR21-C-0008/fr" TargetMode="External"/><Relationship Id="rId14" Type="http://schemas.openxmlformats.org/officeDocument/2006/relationships/hyperlink" Target="https://www.itu.int/md/S26-CWGFHR22-C-0036/fr" TargetMode="External"/><Relationship Id="rId22"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85E5C-C48E-4441-A8B7-CF9EEEFD4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PF_Council26.dotx</Template>
  <TotalTime>5</TotalTime>
  <Pages>6</Pages>
  <Words>2196</Words>
  <Characters>13817</Characters>
  <Application>Microsoft Office Word</Application>
  <DocSecurity>0</DocSecurity>
  <Lines>255</Lines>
  <Paragraphs>108</Paragraphs>
  <ScaleCrop>false</ScaleCrop>
  <HeadingPairs>
    <vt:vector size="2" baseType="variant">
      <vt:variant>
        <vt:lpstr>Title</vt:lpstr>
      </vt:variant>
      <vt:variant>
        <vt:i4>1</vt:i4>
      </vt:variant>
    </vt:vector>
  </HeadingPairs>
  <TitlesOfParts>
    <vt:vector size="1" baseType="lpstr">
      <vt:lpstr>Point de la situation sur les mesures visant à alléger la charge financière reposant sur les pays hôtes des conférences, réunions et activités de l'UIT</vt:lpstr>
    </vt:vector>
  </TitlesOfParts>
  <Manager>Secrétariat général - Pool</Manager>
  <Company>Union internationale des télécommunications (UIT)</Company>
  <LinksUpToDate>false</LinksUpToDate>
  <CharactersWithSpaces>15905</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Point de la situation sur les mesures visant à alléger la charge financière reposant sur les pays hôtes des conférences, réunions et activités de l'UIT</dc:title>
  <dc:subject>Conseil 2026 de l'UIT</dc:subject>
  <cp:keywords>C26; C2026; Council 2026; PP26</cp:keywords>
  <dc:description/>
  <cp:lastPrinted>2000-07-18T08:55:00Z</cp:lastPrinted>
  <dcterms:created xsi:type="dcterms:W3CDTF">2026-04-02T12:51:00Z</dcterms:created>
  <dcterms:modified xsi:type="dcterms:W3CDTF">2026-04-02T12:56:00Z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