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556FE3" w14:paraId="27019F64" w14:textId="77777777" w:rsidTr="3BF6774C">
        <w:trPr>
          <w:cantSplit/>
          <w:trHeight w:val="23"/>
        </w:trPr>
        <w:tc>
          <w:tcPr>
            <w:tcW w:w="3969" w:type="dxa"/>
            <w:vMerge w:val="restart"/>
            <w:tcMar>
              <w:left w:w="0" w:type="dxa"/>
            </w:tcMar>
          </w:tcPr>
          <w:p w14:paraId="61645E1B" w14:textId="2AFE5EDC" w:rsidR="00AD3606" w:rsidRPr="00556FE3" w:rsidRDefault="00EF2D89"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556FE3">
              <w:rPr>
                <w:b/>
              </w:rPr>
              <w:t>A</w:t>
            </w:r>
            <w:r w:rsidR="00AD3606" w:rsidRPr="00556FE3">
              <w:rPr>
                <w:b/>
              </w:rPr>
              <w:t xml:space="preserve">genda item: </w:t>
            </w:r>
            <w:r w:rsidRPr="00556FE3">
              <w:rPr>
                <w:b/>
              </w:rPr>
              <w:t>ADM 3</w:t>
            </w:r>
          </w:p>
        </w:tc>
        <w:tc>
          <w:tcPr>
            <w:tcW w:w="5245" w:type="dxa"/>
          </w:tcPr>
          <w:p w14:paraId="627B15D6" w14:textId="518C0669" w:rsidR="00AD3606" w:rsidRPr="00556FE3" w:rsidRDefault="00AD3606" w:rsidP="00954C49">
            <w:pPr>
              <w:tabs>
                <w:tab w:val="left" w:pos="851"/>
              </w:tabs>
              <w:spacing w:before="0" w:line="240" w:lineRule="atLeast"/>
              <w:jc w:val="right"/>
              <w:rPr>
                <w:b/>
              </w:rPr>
            </w:pPr>
            <w:r w:rsidRPr="00556FE3">
              <w:rPr>
                <w:b/>
              </w:rPr>
              <w:t xml:space="preserve">Document </w:t>
            </w:r>
            <w:proofErr w:type="spellStart"/>
            <w:r w:rsidRPr="00556FE3">
              <w:rPr>
                <w:b/>
              </w:rPr>
              <w:t>C2</w:t>
            </w:r>
            <w:r w:rsidR="00DE532B" w:rsidRPr="00556FE3">
              <w:rPr>
                <w:b/>
              </w:rPr>
              <w:t>6</w:t>
            </w:r>
            <w:proofErr w:type="spellEnd"/>
            <w:r w:rsidRPr="00556FE3">
              <w:rPr>
                <w:b/>
              </w:rPr>
              <w:t>/</w:t>
            </w:r>
            <w:r w:rsidR="001906EB" w:rsidRPr="00556FE3">
              <w:rPr>
                <w:b/>
              </w:rPr>
              <w:t>71</w:t>
            </w:r>
            <w:r w:rsidRPr="00556FE3">
              <w:rPr>
                <w:b/>
              </w:rPr>
              <w:t>-E</w:t>
            </w:r>
          </w:p>
        </w:tc>
      </w:tr>
      <w:tr w:rsidR="00AD3606" w:rsidRPr="00556FE3" w14:paraId="65AB0567" w14:textId="77777777" w:rsidTr="3BF6774C">
        <w:trPr>
          <w:cantSplit/>
        </w:trPr>
        <w:tc>
          <w:tcPr>
            <w:tcW w:w="3969" w:type="dxa"/>
            <w:vMerge/>
          </w:tcPr>
          <w:p w14:paraId="044C8158" w14:textId="77777777" w:rsidR="00AD3606" w:rsidRPr="00556FE3"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656BC81" w:rsidR="00AD3606" w:rsidRPr="00556FE3" w:rsidRDefault="00CF53A1" w:rsidP="00954C49">
            <w:pPr>
              <w:tabs>
                <w:tab w:val="left" w:pos="851"/>
              </w:tabs>
              <w:spacing w:before="0"/>
              <w:jc w:val="right"/>
              <w:rPr>
                <w:b/>
              </w:rPr>
            </w:pPr>
            <w:r w:rsidRPr="00556FE3">
              <w:rPr>
                <w:b/>
              </w:rPr>
              <w:t>27</w:t>
            </w:r>
            <w:r w:rsidR="00B40C48" w:rsidRPr="00556FE3">
              <w:rPr>
                <w:b/>
              </w:rPr>
              <w:t xml:space="preserve"> March 2026</w:t>
            </w:r>
          </w:p>
        </w:tc>
      </w:tr>
      <w:tr w:rsidR="00AD3606" w:rsidRPr="00556FE3" w14:paraId="2FF439A4" w14:textId="77777777" w:rsidTr="3BF6774C">
        <w:trPr>
          <w:cantSplit/>
          <w:trHeight w:val="23"/>
        </w:trPr>
        <w:tc>
          <w:tcPr>
            <w:tcW w:w="3969" w:type="dxa"/>
            <w:vMerge/>
          </w:tcPr>
          <w:p w14:paraId="6CFB30F5" w14:textId="77777777" w:rsidR="00AD3606" w:rsidRPr="00556FE3"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556FE3" w:rsidRDefault="00AD3606" w:rsidP="00954C49">
            <w:pPr>
              <w:tabs>
                <w:tab w:val="left" w:pos="851"/>
              </w:tabs>
              <w:spacing w:before="0" w:line="240" w:lineRule="atLeast"/>
              <w:jc w:val="right"/>
              <w:rPr>
                <w:b/>
              </w:rPr>
            </w:pPr>
            <w:r w:rsidRPr="00556FE3">
              <w:rPr>
                <w:b/>
              </w:rPr>
              <w:t>Original: English</w:t>
            </w:r>
          </w:p>
        </w:tc>
      </w:tr>
      <w:tr w:rsidR="00472BAD" w:rsidRPr="00556FE3" w14:paraId="6693A6D9" w14:textId="77777777" w:rsidTr="3BF6774C">
        <w:trPr>
          <w:cantSplit/>
          <w:trHeight w:val="23"/>
        </w:trPr>
        <w:tc>
          <w:tcPr>
            <w:tcW w:w="3969" w:type="dxa"/>
          </w:tcPr>
          <w:p w14:paraId="47541C46" w14:textId="77777777" w:rsidR="00472BAD" w:rsidRPr="00556FE3" w:rsidRDefault="00472BAD" w:rsidP="00954C49">
            <w:pPr>
              <w:tabs>
                <w:tab w:val="left" w:pos="851"/>
              </w:tabs>
              <w:spacing w:line="240" w:lineRule="atLeast"/>
              <w:rPr>
                <w:b/>
              </w:rPr>
            </w:pPr>
          </w:p>
        </w:tc>
        <w:tc>
          <w:tcPr>
            <w:tcW w:w="5245" w:type="dxa"/>
          </w:tcPr>
          <w:p w14:paraId="00CD7F27" w14:textId="77777777" w:rsidR="00472BAD" w:rsidRPr="00556FE3" w:rsidRDefault="00472BAD" w:rsidP="00954C49">
            <w:pPr>
              <w:tabs>
                <w:tab w:val="left" w:pos="851"/>
              </w:tabs>
              <w:spacing w:before="0" w:line="240" w:lineRule="atLeast"/>
              <w:jc w:val="right"/>
              <w:rPr>
                <w:b/>
              </w:rPr>
            </w:pPr>
          </w:p>
        </w:tc>
      </w:tr>
      <w:tr w:rsidR="00AD3606" w:rsidRPr="00556FE3" w14:paraId="21388443" w14:textId="77777777" w:rsidTr="3BF6774C">
        <w:trPr>
          <w:cantSplit/>
        </w:trPr>
        <w:tc>
          <w:tcPr>
            <w:tcW w:w="9214" w:type="dxa"/>
            <w:gridSpan w:val="2"/>
            <w:tcMar>
              <w:left w:w="0" w:type="dxa"/>
            </w:tcMar>
          </w:tcPr>
          <w:p w14:paraId="4974CF10" w14:textId="77777777" w:rsidR="00AD3606" w:rsidRPr="00556FE3" w:rsidRDefault="00AD3606" w:rsidP="00954C49">
            <w:pPr>
              <w:pStyle w:val="Source"/>
              <w:framePr w:hSpace="0" w:wrap="auto" w:vAnchor="margin" w:hAnchor="text" w:yAlign="inline"/>
            </w:pPr>
            <w:bookmarkStart w:id="8" w:name="dsource" w:colFirst="0" w:colLast="0"/>
            <w:bookmarkEnd w:id="7"/>
            <w:r w:rsidRPr="00556FE3">
              <w:t>Report by the Secretary-General</w:t>
            </w:r>
          </w:p>
        </w:tc>
      </w:tr>
      <w:tr w:rsidR="00AD3606" w:rsidRPr="00556FE3" w14:paraId="2008114E" w14:textId="77777777" w:rsidTr="3BF6774C">
        <w:trPr>
          <w:cantSplit/>
        </w:trPr>
        <w:tc>
          <w:tcPr>
            <w:tcW w:w="9214" w:type="dxa"/>
            <w:gridSpan w:val="2"/>
            <w:tcMar>
              <w:left w:w="0" w:type="dxa"/>
            </w:tcMar>
          </w:tcPr>
          <w:p w14:paraId="1036C3F4" w14:textId="67CE4BA8" w:rsidR="00AD3606" w:rsidRPr="00556FE3" w:rsidRDefault="005936D5" w:rsidP="00954C49">
            <w:pPr>
              <w:pStyle w:val="Subtitle"/>
              <w:framePr w:hSpace="0" w:wrap="auto" w:hAnchor="text" w:xAlign="left" w:yAlign="inline"/>
            </w:pPr>
            <w:bookmarkStart w:id="9" w:name="dtitle1" w:colFirst="0" w:colLast="0"/>
            <w:bookmarkEnd w:id="8"/>
            <w:r w:rsidRPr="00556FE3">
              <w:t>UPDATE ON MEASURES TO REDUCE FINANCIAL BURDENS ON HOST COUNTRIES OF ITU CONFERENCES, MEETINGS AND ACTIVITIES</w:t>
            </w:r>
          </w:p>
        </w:tc>
      </w:tr>
      <w:tr w:rsidR="00AD3606" w:rsidRPr="00556FE3" w14:paraId="58526C68" w14:textId="77777777" w:rsidTr="3BF6774C">
        <w:trPr>
          <w:cantSplit/>
        </w:trPr>
        <w:tc>
          <w:tcPr>
            <w:tcW w:w="9214" w:type="dxa"/>
            <w:gridSpan w:val="2"/>
            <w:tcBorders>
              <w:top w:val="single" w:sz="4" w:space="0" w:color="auto"/>
              <w:bottom w:val="single" w:sz="4" w:space="0" w:color="auto"/>
            </w:tcBorders>
            <w:tcMar>
              <w:left w:w="0" w:type="dxa"/>
            </w:tcMar>
          </w:tcPr>
          <w:p w14:paraId="708C9082" w14:textId="77777777" w:rsidR="00AD3606" w:rsidRPr="00556FE3" w:rsidRDefault="00F16BAB" w:rsidP="00954C49">
            <w:pPr>
              <w:spacing w:before="160"/>
              <w:rPr>
                <w:b/>
                <w:bCs/>
                <w:sz w:val="26"/>
                <w:szCs w:val="26"/>
              </w:rPr>
            </w:pPr>
            <w:r w:rsidRPr="00556FE3">
              <w:rPr>
                <w:b/>
                <w:bCs/>
                <w:sz w:val="26"/>
                <w:szCs w:val="26"/>
              </w:rPr>
              <w:t>Purpose</w:t>
            </w:r>
          </w:p>
          <w:p w14:paraId="5B90CDC0" w14:textId="2D799E12" w:rsidR="00AD3606" w:rsidRPr="00370D82" w:rsidRDefault="00B1365D" w:rsidP="00B40C48">
            <w:pPr>
              <w:jc w:val="both"/>
              <w:rPr>
                <w:szCs w:val="24"/>
              </w:rPr>
            </w:pPr>
            <w:r w:rsidRPr="00370D82">
              <w:rPr>
                <w:szCs w:val="24"/>
              </w:rPr>
              <w:t xml:space="preserve">This document provides an update on potential measures to reduce financial burdens on host countries of ITU conferences, meetings and activities. </w:t>
            </w:r>
            <w:r w:rsidR="00F84800" w:rsidRPr="00370D82">
              <w:rPr>
                <w:szCs w:val="24"/>
              </w:rPr>
              <w:t>It is in line with</w:t>
            </w:r>
            <w:r w:rsidR="00F1533C" w:rsidRPr="00370D82">
              <w:rPr>
                <w:szCs w:val="24"/>
              </w:rPr>
              <w:t xml:space="preserve"> the proposals to reduce financial burdens made to Council 2025 in multi-country contribution Document </w:t>
            </w:r>
            <w:hyperlink r:id="rId11">
              <w:proofErr w:type="spellStart"/>
              <w:r w:rsidR="00F1533C" w:rsidRPr="00370D82">
                <w:rPr>
                  <w:rStyle w:val="Hyperlink"/>
                  <w:szCs w:val="24"/>
                </w:rPr>
                <w:t>C25</w:t>
              </w:r>
              <w:proofErr w:type="spellEnd"/>
              <w:r w:rsidR="00F1533C" w:rsidRPr="00370D82">
                <w:rPr>
                  <w:rStyle w:val="Hyperlink"/>
                  <w:szCs w:val="24"/>
                </w:rPr>
                <w:t>/95</w:t>
              </w:r>
            </w:hyperlink>
            <w:r w:rsidR="00F84800" w:rsidRPr="00370D82">
              <w:rPr>
                <w:szCs w:val="24"/>
              </w:rPr>
              <w:t xml:space="preserve"> </w:t>
            </w:r>
            <w:r w:rsidR="008B5316" w:rsidRPr="00370D82">
              <w:rPr>
                <w:szCs w:val="24"/>
              </w:rPr>
              <w:t xml:space="preserve">and follows reports to CWG-FHR </w:t>
            </w:r>
            <w:r w:rsidR="00787ED5" w:rsidRPr="00370D82">
              <w:rPr>
                <w:szCs w:val="24"/>
              </w:rPr>
              <w:t>at</w:t>
            </w:r>
            <w:r w:rsidR="008B5316" w:rsidRPr="00370D82">
              <w:rPr>
                <w:szCs w:val="24"/>
              </w:rPr>
              <w:t xml:space="preserve"> its 21</w:t>
            </w:r>
            <w:r w:rsidR="008B5316" w:rsidRPr="00370D82">
              <w:rPr>
                <w:szCs w:val="24"/>
                <w:vertAlign w:val="superscript"/>
              </w:rPr>
              <w:t>st</w:t>
            </w:r>
            <w:r w:rsidR="008B5316" w:rsidRPr="00370D82">
              <w:rPr>
                <w:szCs w:val="24"/>
              </w:rPr>
              <w:t xml:space="preserve"> meeting in September 2025 </w:t>
            </w:r>
            <w:r w:rsidR="00787ED5" w:rsidRPr="00370D82">
              <w:rPr>
                <w:szCs w:val="24"/>
              </w:rPr>
              <w:t xml:space="preserve">(Document </w:t>
            </w:r>
            <w:hyperlink r:id="rId12" w:history="1">
              <w:r w:rsidR="00787ED5" w:rsidRPr="00370D82">
                <w:rPr>
                  <w:rStyle w:val="Hyperlink"/>
                  <w:szCs w:val="24"/>
                </w:rPr>
                <w:t>CWG-FHR-21/8</w:t>
              </w:r>
            </w:hyperlink>
            <w:r w:rsidR="00787ED5" w:rsidRPr="00370D82">
              <w:rPr>
                <w:szCs w:val="24"/>
              </w:rPr>
              <w:t>) and its 22</w:t>
            </w:r>
            <w:r w:rsidR="00787ED5" w:rsidRPr="00370D82">
              <w:rPr>
                <w:szCs w:val="24"/>
                <w:vertAlign w:val="superscript"/>
              </w:rPr>
              <w:t>nd</w:t>
            </w:r>
            <w:r w:rsidR="00787ED5" w:rsidRPr="00370D82">
              <w:rPr>
                <w:szCs w:val="24"/>
              </w:rPr>
              <w:t xml:space="preserve"> meeting in January 2026 (Document </w:t>
            </w:r>
            <w:hyperlink r:id="rId13" w:history="1">
              <w:r w:rsidR="00787ED5" w:rsidRPr="00370D82">
                <w:rPr>
                  <w:rStyle w:val="Hyperlink"/>
                  <w:szCs w:val="24"/>
                </w:rPr>
                <w:t>CWG-FHR-22/</w:t>
              </w:r>
              <w:r w:rsidR="00D3635D" w:rsidRPr="00370D82">
                <w:rPr>
                  <w:rStyle w:val="Hyperlink"/>
                  <w:szCs w:val="24"/>
                </w:rPr>
                <w:t>1</w:t>
              </w:r>
              <w:r w:rsidR="00787ED5" w:rsidRPr="00370D82">
                <w:rPr>
                  <w:rStyle w:val="Hyperlink"/>
                  <w:szCs w:val="24"/>
                </w:rPr>
                <w:t>9</w:t>
              </w:r>
            </w:hyperlink>
            <w:r w:rsidR="00F044E3" w:rsidRPr="00370D82">
              <w:rPr>
                <w:szCs w:val="24"/>
              </w:rPr>
              <w:t>).</w:t>
            </w:r>
          </w:p>
          <w:p w14:paraId="5D3228C6" w14:textId="77777777" w:rsidR="00AD3606" w:rsidRPr="00556FE3" w:rsidRDefault="00AD3606" w:rsidP="00954C49">
            <w:pPr>
              <w:spacing w:before="160"/>
              <w:rPr>
                <w:b/>
                <w:bCs/>
                <w:sz w:val="26"/>
                <w:szCs w:val="26"/>
              </w:rPr>
            </w:pPr>
            <w:r w:rsidRPr="00556FE3">
              <w:rPr>
                <w:b/>
                <w:bCs/>
                <w:sz w:val="26"/>
                <w:szCs w:val="26"/>
              </w:rPr>
              <w:t>Action required</w:t>
            </w:r>
            <w:r w:rsidR="00F16BAB" w:rsidRPr="00556FE3">
              <w:rPr>
                <w:b/>
                <w:bCs/>
                <w:sz w:val="26"/>
                <w:szCs w:val="26"/>
              </w:rPr>
              <w:t xml:space="preserve"> by the Council</w:t>
            </w:r>
          </w:p>
          <w:p w14:paraId="08F693A9" w14:textId="5EB50F9C" w:rsidR="00D3635D" w:rsidRPr="00556FE3" w:rsidRDefault="0A600947" w:rsidP="00B40C48">
            <w:pPr>
              <w:spacing w:before="160"/>
              <w:jc w:val="both"/>
            </w:pPr>
            <w:r w:rsidRPr="00556FE3">
              <w:t xml:space="preserve">The Council is invited to </w:t>
            </w:r>
            <w:r w:rsidR="671400AD" w:rsidRPr="00556FE3">
              <w:rPr>
                <w:b/>
                <w:bCs/>
              </w:rPr>
              <w:t>note</w:t>
            </w:r>
            <w:r w:rsidRPr="00556FE3">
              <w:rPr>
                <w:b/>
                <w:bCs/>
              </w:rPr>
              <w:t xml:space="preserve"> </w:t>
            </w:r>
            <w:r w:rsidRPr="00556FE3">
              <w:t>this document.</w:t>
            </w:r>
          </w:p>
          <w:p w14:paraId="5563AED1" w14:textId="77777777" w:rsidR="00722551" w:rsidRPr="00556FE3" w:rsidRDefault="00722551" w:rsidP="00954C49">
            <w:pPr>
              <w:spacing w:before="160"/>
              <w:rPr>
                <w:b/>
                <w:bCs/>
                <w:sz w:val="26"/>
                <w:szCs w:val="26"/>
              </w:rPr>
            </w:pPr>
            <w:r w:rsidRPr="00556FE3">
              <w:rPr>
                <w:b/>
                <w:bCs/>
                <w:sz w:val="26"/>
                <w:szCs w:val="26"/>
              </w:rPr>
              <w:t>Relevant link</w:t>
            </w:r>
            <w:r w:rsidR="00176F47" w:rsidRPr="00556FE3">
              <w:rPr>
                <w:b/>
                <w:bCs/>
                <w:sz w:val="26"/>
                <w:szCs w:val="26"/>
              </w:rPr>
              <w:t>(s)</w:t>
            </w:r>
            <w:r w:rsidRPr="00556FE3">
              <w:rPr>
                <w:b/>
                <w:bCs/>
                <w:sz w:val="26"/>
                <w:szCs w:val="26"/>
              </w:rPr>
              <w:t xml:space="preserve"> with the Strategic Plan</w:t>
            </w:r>
          </w:p>
          <w:p w14:paraId="6C365A58" w14:textId="45F32614" w:rsidR="00722551" w:rsidRPr="00556FE3" w:rsidRDefault="02987511" w:rsidP="22105F61">
            <w:r w:rsidRPr="00556FE3">
              <w:t>Convening platforms.</w:t>
            </w:r>
          </w:p>
          <w:p w14:paraId="7C34DAAD" w14:textId="77777777" w:rsidR="00722551" w:rsidRPr="00556FE3" w:rsidRDefault="00722551" w:rsidP="00954C49">
            <w:pPr>
              <w:spacing w:before="160"/>
              <w:rPr>
                <w:b/>
                <w:bCs/>
                <w:sz w:val="26"/>
                <w:szCs w:val="26"/>
              </w:rPr>
            </w:pPr>
            <w:r w:rsidRPr="00556FE3">
              <w:rPr>
                <w:b/>
                <w:bCs/>
                <w:sz w:val="26"/>
                <w:szCs w:val="26"/>
              </w:rPr>
              <w:t>Financial implications</w:t>
            </w:r>
          </w:p>
          <w:p w14:paraId="12B610AB" w14:textId="52FF2F37" w:rsidR="00453079" w:rsidRPr="00556FE3" w:rsidRDefault="00393B29" w:rsidP="22105F61">
            <w:pPr>
              <w:spacing w:before="160"/>
              <w:rPr>
                <w:highlight w:val="yellow"/>
              </w:rPr>
            </w:pPr>
            <w:r w:rsidRPr="00556FE3">
              <w:t>Within the allocated</w:t>
            </w:r>
            <w:r w:rsidR="440FCC2A" w:rsidRPr="00556FE3">
              <w:t xml:space="preserve"> budget</w:t>
            </w:r>
            <w:r w:rsidRPr="00556FE3">
              <w:t xml:space="preserve"> 2026-2027.</w:t>
            </w:r>
          </w:p>
          <w:p w14:paraId="6DAA204C" w14:textId="77777777" w:rsidR="00C0458D" w:rsidRPr="00556FE3" w:rsidRDefault="00C0458D" w:rsidP="00954C49">
            <w:r w:rsidRPr="00556FE3">
              <w:t>_______________</w:t>
            </w:r>
          </w:p>
          <w:p w14:paraId="32A5FBF2" w14:textId="77777777" w:rsidR="00AD3606" w:rsidRPr="00556FE3" w:rsidRDefault="00AD3606" w:rsidP="00954C49">
            <w:pPr>
              <w:spacing w:before="160"/>
              <w:rPr>
                <w:b/>
                <w:bCs/>
                <w:sz w:val="26"/>
                <w:szCs w:val="26"/>
              </w:rPr>
            </w:pPr>
            <w:r w:rsidRPr="00556FE3">
              <w:rPr>
                <w:b/>
                <w:bCs/>
                <w:sz w:val="26"/>
                <w:szCs w:val="26"/>
              </w:rPr>
              <w:t>References</w:t>
            </w:r>
          </w:p>
          <w:p w14:paraId="24BF41F7" w14:textId="29F93206" w:rsidR="00AD3606" w:rsidRPr="00370D82" w:rsidRDefault="00B8039F" w:rsidP="00954C49">
            <w:pPr>
              <w:spacing w:after="160"/>
              <w:rPr>
                <w:i/>
                <w:iCs/>
                <w:sz w:val="22"/>
                <w:szCs w:val="22"/>
              </w:rPr>
            </w:pPr>
            <w:r w:rsidRPr="00370D82">
              <w:rPr>
                <w:i/>
                <w:iCs/>
                <w:sz w:val="22"/>
                <w:szCs w:val="22"/>
              </w:rPr>
              <w:t xml:space="preserve">Documents </w:t>
            </w:r>
            <w:hyperlink r:id="rId14" w:history="1">
              <w:proofErr w:type="spellStart"/>
              <w:r w:rsidRPr="00370D82">
                <w:rPr>
                  <w:rStyle w:val="Hyperlink"/>
                  <w:i/>
                  <w:iCs/>
                  <w:sz w:val="22"/>
                  <w:szCs w:val="22"/>
                </w:rPr>
                <w:t>C25</w:t>
              </w:r>
              <w:proofErr w:type="spellEnd"/>
              <w:r w:rsidRPr="00370D82">
                <w:rPr>
                  <w:rStyle w:val="Hyperlink"/>
                  <w:i/>
                  <w:iCs/>
                  <w:sz w:val="22"/>
                  <w:szCs w:val="22"/>
                </w:rPr>
                <w:t>/95</w:t>
              </w:r>
            </w:hyperlink>
            <w:r w:rsidR="00D3635D" w:rsidRPr="00370D82">
              <w:rPr>
                <w:i/>
                <w:iCs/>
                <w:sz w:val="22"/>
                <w:szCs w:val="22"/>
              </w:rPr>
              <w:t xml:space="preserve">, </w:t>
            </w:r>
            <w:hyperlink r:id="rId15" w:history="1">
              <w:r w:rsidRPr="00370D82">
                <w:rPr>
                  <w:rStyle w:val="Hyperlink"/>
                  <w:i/>
                  <w:iCs/>
                  <w:sz w:val="22"/>
                  <w:szCs w:val="22"/>
                </w:rPr>
                <w:t>CWG-FHR-21/8</w:t>
              </w:r>
            </w:hyperlink>
            <w:r w:rsidR="007C481E" w:rsidRPr="00370D82">
              <w:rPr>
                <w:i/>
                <w:iCs/>
                <w:sz w:val="22"/>
                <w:szCs w:val="22"/>
              </w:rPr>
              <w:t>,</w:t>
            </w:r>
            <w:r w:rsidR="00D3635D" w:rsidRPr="00370D82">
              <w:rPr>
                <w:i/>
                <w:iCs/>
                <w:sz w:val="22"/>
                <w:szCs w:val="22"/>
              </w:rPr>
              <w:t xml:space="preserve"> </w:t>
            </w:r>
            <w:hyperlink r:id="rId16" w:history="1">
              <w:r w:rsidR="00D3635D" w:rsidRPr="00370D82">
                <w:rPr>
                  <w:rStyle w:val="Hyperlink"/>
                  <w:i/>
                  <w:iCs/>
                  <w:sz w:val="22"/>
                  <w:szCs w:val="22"/>
                </w:rPr>
                <w:t>CWG-FHR-22/19</w:t>
              </w:r>
            </w:hyperlink>
            <w:r w:rsidR="007C481E" w:rsidRPr="00370D82">
              <w:rPr>
                <w:i/>
                <w:iCs/>
                <w:sz w:val="22"/>
                <w:szCs w:val="22"/>
              </w:rPr>
              <w:t xml:space="preserve"> and </w:t>
            </w:r>
            <w:hyperlink r:id="rId17" w:history="1">
              <w:r w:rsidR="007C481E" w:rsidRPr="00370D82">
                <w:rPr>
                  <w:rStyle w:val="Hyperlink"/>
                  <w:i/>
                  <w:iCs/>
                  <w:sz w:val="22"/>
                  <w:szCs w:val="22"/>
                </w:rPr>
                <w:t>CWG-FHR-22/36</w:t>
              </w:r>
            </w:hyperlink>
            <w:r w:rsidR="007C481E" w:rsidRPr="00370D82">
              <w:rPr>
                <w:i/>
                <w:iCs/>
                <w:sz w:val="22"/>
                <w:szCs w:val="22"/>
              </w:rPr>
              <w:t>.</w:t>
            </w:r>
          </w:p>
        </w:tc>
      </w:tr>
    </w:tbl>
    <w:p w14:paraId="6D15BD27" w14:textId="77777777" w:rsidR="00E227F3" w:rsidRPr="00556FE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556FE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56FE3">
        <w:br w:type="page"/>
      </w:r>
    </w:p>
    <w:bookmarkEnd w:id="5"/>
    <w:bookmarkEnd w:id="10"/>
    <w:p w14:paraId="24E9212C" w14:textId="68E017B4" w:rsidR="0029362D" w:rsidRPr="00556FE3" w:rsidRDefault="0029362D" w:rsidP="00823D61">
      <w:pPr>
        <w:pStyle w:val="Headingb"/>
      </w:pPr>
      <w:r w:rsidRPr="00556FE3">
        <w:lastRenderedPageBreak/>
        <w:t>Proposal 1: Utilize more local and/or national interpretation resources and implement RSI for ITU events</w:t>
      </w:r>
    </w:p>
    <w:p w14:paraId="1EAA4C95" w14:textId="77777777" w:rsidR="0029362D" w:rsidRPr="00556FE3" w:rsidRDefault="0029362D" w:rsidP="0029362D">
      <w:pPr>
        <w:jc w:val="both"/>
      </w:pPr>
      <w:r w:rsidRPr="00556FE3">
        <w:t>Recruiting qualified local interpreters would reduce the cost of travel, accommodation and per diem expenses for interpreters otherwise borne by the host country or ITU.</w:t>
      </w:r>
    </w:p>
    <w:p w14:paraId="0648C16E" w14:textId="77777777" w:rsidR="0029362D" w:rsidRPr="00556FE3" w:rsidRDefault="0029362D" w:rsidP="0029362D">
      <w:pPr>
        <w:pStyle w:val="Headingi"/>
      </w:pPr>
      <w:r w:rsidRPr="00556FE3">
        <w:t>Update on measures to formalize and expand the use of local and national interpreters</w:t>
      </w:r>
    </w:p>
    <w:p w14:paraId="19318B8C" w14:textId="6265BBC9" w:rsidR="003C2C1D" w:rsidRPr="00556FE3" w:rsidRDefault="003C2C1D" w:rsidP="003C2C1D">
      <w:pPr>
        <w:tabs>
          <w:tab w:val="num" w:pos="720"/>
        </w:tabs>
        <w:jc w:val="both"/>
      </w:pPr>
      <w:bookmarkStart w:id="11" w:name="_Hlk213936764"/>
      <w:r w:rsidRPr="00556FE3">
        <w:t xml:space="preserve">A proposal on strengthening cooperation with ITU Member States on professional interpretation services </w:t>
      </w:r>
      <w:r w:rsidR="00FE1D71" w:rsidRPr="00556FE3">
        <w:t>was</w:t>
      </w:r>
      <w:r w:rsidRPr="00556FE3">
        <w:t xml:space="preserve"> submitted and approved at the CWG-LANG in January 2026.</w:t>
      </w:r>
      <w:r w:rsidR="00FE1D71" w:rsidRPr="00556FE3">
        <w:t xml:space="preserve"> </w:t>
      </w:r>
      <w:r w:rsidRPr="00556FE3">
        <w:t xml:space="preserve">Member States are invited to recommend local professional interpreters meeting </w:t>
      </w:r>
      <w:r w:rsidR="00595CFA" w:rsidRPr="00556FE3">
        <w:t xml:space="preserve">the </w:t>
      </w:r>
      <w:r w:rsidRPr="00556FE3">
        <w:t xml:space="preserve">criteria of language combination requirements, educational qualifications and sufficient experience as candidates for selection by </w:t>
      </w:r>
      <w:r w:rsidR="00595CFA" w:rsidRPr="00556FE3">
        <w:t xml:space="preserve">the </w:t>
      </w:r>
      <w:r w:rsidRPr="00556FE3">
        <w:t>ITU secretariat to establish a roster of qualified interpreters for ITU events.</w:t>
      </w:r>
    </w:p>
    <w:p w14:paraId="1CC32BC4" w14:textId="095CAB2F" w:rsidR="003C2C1D" w:rsidRPr="00556FE3" w:rsidRDefault="003C2C1D" w:rsidP="003C2C1D">
      <w:pPr>
        <w:tabs>
          <w:tab w:val="num" w:pos="720"/>
        </w:tabs>
        <w:jc w:val="both"/>
      </w:pPr>
      <w:r w:rsidRPr="00556FE3">
        <w:t xml:space="preserve">Member States are also invited to facilitate contact between </w:t>
      </w:r>
      <w:r w:rsidR="008C017B" w:rsidRPr="00556FE3">
        <w:t xml:space="preserve">the </w:t>
      </w:r>
      <w:r w:rsidRPr="00556FE3">
        <w:t xml:space="preserve">ITU secretariat and local academic institutions offering professional conference interpretation </w:t>
      </w:r>
      <w:r w:rsidR="005A3228" w:rsidRPr="00556FE3">
        <w:t>courses</w:t>
      </w:r>
      <w:r w:rsidR="008C017B" w:rsidRPr="00556FE3">
        <w:t xml:space="preserve"> </w:t>
      </w:r>
      <w:proofErr w:type="gramStart"/>
      <w:r w:rsidR="005A3228" w:rsidRPr="00556FE3">
        <w:t>in order to</w:t>
      </w:r>
      <w:proofErr w:type="gramEnd"/>
      <w:r w:rsidR="005A3228" w:rsidRPr="00556FE3">
        <w:t xml:space="preserve"> enable</w:t>
      </w:r>
      <w:r w:rsidR="008C017B" w:rsidRPr="00556FE3">
        <w:t xml:space="preserve"> targeting training aligned </w:t>
      </w:r>
      <w:r w:rsidRPr="00556FE3">
        <w:t>with ITU’s needs and build long-term capacity.</w:t>
      </w:r>
    </w:p>
    <w:p w14:paraId="0672B0A2" w14:textId="4AAD41A1" w:rsidR="003C2C1D" w:rsidRPr="00556FE3" w:rsidRDefault="005A3228" w:rsidP="003C2C1D">
      <w:pPr>
        <w:tabs>
          <w:tab w:val="num" w:pos="720"/>
        </w:tabs>
        <w:jc w:val="both"/>
      </w:pPr>
      <w:r w:rsidRPr="00556FE3">
        <w:t>The k</w:t>
      </w:r>
      <w:r w:rsidR="003C2C1D" w:rsidRPr="00556FE3">
        <w:t>ey benefits of this initiative include cost reduction for ITU and host countries; improved geographical presentation in the interpreter pool; enhanced service continuity; capacity development; and sustainable long-term interpreter availability.</w:t>
      </w:r>
    </w:p>
    <w:p w14:paraId="78EEF3B1" w14:textId="0F8E292C" w:rsidR="003C2C1D" w:rsidRPr="00556FE3" w:rsidRDefault="003C2C1D" w:rsidP="003C2C1D">
      <w:pPr>
        <w:tabs>
          <w:tab w:val="num" w:pos="720"/>
        </w:tabs>
        <w:jc w:val="both"/>
      </w:pPr>
      <w:r w:rsidRPr="00556FE3">
        <w:t xml:space="preserve">The secretariat </w:t>
      </w:r>
      <w:r w:rsidR="5DC9F486" w:rsidRPr="00556FE3">
        <w:t xml:space="preserve">has </w:t>
      </w:r>
      <w:r w:rsidR="0893D449" w:rsidRPr="00556FE3">
        <w:t xml:space="preserve">issued </w:t>
      </w:r>
      <w:r w:rsidRPr="00556FE3">
        <w:t xml:space="preserve">a Circular Letter </w:t>
      </w:r>
      <w:r w:rsidR="5865BECC" w:rsidRPr="00556FE3">
        <w:t>(</w:t>
      </w:r>
      <w:hyperlink r:id="rId18">
        <w:r w:rsidR="5865BECC" w:rsidRPr="00556FE3">
          <w:rPr>
            <w:rStyle w:val="Hyperlink"/>
          </w:rPr>
          <w:t>CL</w:t>
        </w:r>
        <w:r w:rsidR="2FDD4D93" w:rsidRPr="00556FE3">
          <w:rPr>
            <w:rStyle w:val="Hyperlink"/>
          </w:rPr>
          <w:t>-26</w:t>
        </w:r>
        <w:r w:rsidR="00823D61" w:rsidRPr="00556FE3">
          <w:rPr>
            <w:rStyle w:val="Hyperlink"/>
          </w:rPr>
          <w:t>/</w:t>
        </w:r>
        <w:r w:rsidR="2FDD4D93" w:rsidRPr="00556FE3">
          <w:rPr>
            <w:rStyle w:val="Hyperlink"/>
          </w:rPr>
          <w:t>11</w:t>
        </w:r>
      </w:hyperlink>
      <w:r w:rsidR="5865BECC" w:rsidRPr="00556FE3">
        <w:t>)</w:t>
      </w:r>
      <w:r w:rsidR="495B63DB" w:rsidRPr="00556FE3">
        <w:t xml:space="preserve"> </w:t>
      </w:r>
      <w:r w:rsidRPr="00556FE3">
        <w:t xml:space="preserve">to all Member States and the Regional Telecommunication Organizations </w:t>
      </w:r>
      <w:r w:rsidR="37E11FC4" w:rsidRPr="00556FE3">
        <w:t>(RTOs)</w:t>
      </w:r>
      <w:r w:rsidR="1A0AAB31" w:rsidRPr="00556FE3">
        <w:t xml:space="preserve"> </w:t>
      </w:r>
      <w:r w:rsidR="27BD8A70" w:rsidRPr="00556FE3">
        <w:t>with a deadline</w:t>
      </w:r>
      <w:r w:rsidRPr="00556FE3">
        <w:t xml:space="preserve"> for responses from interested </w:t>
      </w:r>
      <w:r w:rsidR="03182272" w:rsidRPr="00556FE3">
        <w:t xml:space="preserve">parties </w:t>
      </w:r>
      <w:r w:rsidRPr="00556FE3">
        <w:t xml:space="preserve">by </w:t>
      </w:r>
      <w:r w:rsidR="0D459092" w:rsidRPr="00556FE3">
        <w:t xml:space="preserve">31 </w:t>
      </w:r>
      <w:r w:rsidRPr="00556FE3">
        <w:t>May 2026</w:t>
      </w:r>
      <w:r w:rsidR="57DFCD35" w:rsidRPr="00556FE3">
        <w:t xml:space="preserve">. </w:t>
      </w:r>
      <w:r w:rsidR="15351DE3" w:rsidRPr="00556FE3">
        <w:t>The</w:t>
      </w:r>
      <w:r w:rsidRPr="00556FE3">
        <w:t xml:space="preserve"> ITU secretariat will engage </w:t>
      </w:r>
      <w:r w:rsidR="2BAB88A5" w:rsidRPr="00556FE3">
        <w:t>with interested Member State</w:t>
      </w:r>
      <w:r w:rsidR="4115FF4D" w:rsidRPr="00556FE3">
        <w:t>s</w:t>
      </w:r>
      <w:r w:rsidRPr="00556FE3">
        <w:t xml:space="preserve"> and </w:t>
      </w:r>
      <w:r w:rsidR="6555334F" w:rsidRPr="00556FE3">
        <w:t xml:space="preserve">RTOs to </w:t>
      </w:r>
      <w:r w:rsidRPr="00556FE3">
        <w:t>discuss collaboration at national or regional level in June/July 2026.</w:t>
      </w:r>
    </w:p>
    <w:bookmarkEnd w:id="11"/>
    <w:p w14:paraId="10204FD1" w14:textId="77777777" w:rsidR="0029362D" w:rsidRPr="00556FE3" w:rsidDel="001E794E" w:rsidRDefault="0029362D" w:rsidP="0029362D">
      <w:pPr>
        <w:pStyle w:val="Headingi"/>
      </w:pPr>
      <w:r w:rsidRPr="00556FE3">
        <w:t>Update on implementation of Remote Simultaneous Interpretation (RSI)</w:t>
      </w:r>
    </w:p>
    <w:p w14:paraId="343B547B" w14:textId="15DAE617" w:rsidR="006C0150" w:rsidRPr="00556FE3" w:rsidRDefault="008F0E8B" w:rsidP="0029362D">
      <w:pPr>
        <w:tabs>
          <w:tab w:val="num" w:pos="720"/>
        </w:tabs>
        <w:jc w:val="both"/>
      </w:pPr>
      <w:r w:rsidRPr="00556FE3">
        <w:t xml:space="preserve">The secretariat is </w:t>
      </w:r>
      <w:r w:rsidR="3C35D084" w:rsidRPr="00556FE3">
        <w:t xml:space="preserve">extending its trial </w:t>
      </w:r>
      <w:r w:rsidR="2CAD80F0" w:rsidRPr="00556FE3">
        <w:t>on</w:t>
      </w:r>
      <w:r w:rsidRPr="00556FE3">
        <w:t xml:space="preserve"> the use of remote simultaneous interpretation </w:t>
      </w:r>
      <w:r w:rsidR="0029362D" w:rsidRPr="00556FE3">
        <w:t xml:space="preserve">RSI </w:t>
      </w:r>
      <w:r w:rsidR="248BB314" w:rsidRPr="00556FE3">
        <w:t xml:space="preserve">and is expanding its use </w:t>
      </w:r>
      <w:r w:rsidRPr="00556FE3">
        <w:t xml:space="preserve">to include </w:t>
      </w:r>
      <w:r w:rsidR="041C275C" w:rsidRPr="00556FE3">
        <w:t xml:space="preserve">certain </w:t>
      </w:r>
      <w:r w:rsidRPr="00556FE3">
        <w:t xml:space="preserve">ITU meetings with interpreters working remotely, thereby substantially reducing travel-related costs. </w:t>
      </w:r>
      <w:r w:rsidR="006C0150" w:rsidRPr="00556FE3">
        <w:t xml:space="preserve">RSI involves the provision of standard conference interpretation by experienced, professional interpreters </w:t>
      </w:r>
      <w:r w:rsidR="003149F6" w:rsidRPr="00556FE3">
        <w:t xml:space="preserve">who are not present onsite. The cost saving of using RSI instead of onsite interpreters is estimated at </w:t>
      </w:r>
      <w:r w:rsidR="00182114" w:rsidRPr="00556FE3">
        <w:t>20-25</w:t>
      </w:r>
      <w:r w:rsidR="00674A82" w:rsidRPr="00556FE3">
        <w:t xml:space="preserve"> per cent</w:t>
      </w:r>
      <w:r w:rsidR="003149F6" w:rsidRPr="00556FE3">
        <w:t xml:space="preserve"> reduction.</w:t>
      </w:r>
    </w:p>
    <w:p w14:paraId="42A2B362" w14:textId="112A9DF8" w:rsidR="0029362D" w:rsidRPr="00556FE3" w:rsidDel="001E794E" w:rsidRDefault="003149F6" w:rsidP="0029362D">
      <w:pPr>
        <w:tabs>
          <w:tab w:val="num" w:pos="720"/>
        </w:tabs>
        <w:jc w:val="both"/>
      </w:pPr>
      <w:r w:rsidRPr="00556FE3">
        <w:t xml:space="preserve">In 2026, </w:t>
      </w:r>
      <w:r w:rsidR="008F0E8B" w:rsidRPr="00556FE3">
        <w:t xml:space="preserve">RSI will be implemented for events outside of Geneva with the agreement of the host country and with close collaboration between the technical teams of ITU and the host country. </w:t>
      </w:r>
    </w:p>
    <w:p w14:paraId="7F6FD0EB" w14:textId="3BC15C8A" w:rsidR="008F0E8B" w:rsidRPr="00556FE3" w:rsidRDefault="00F800F3" w:rsidP="0029362D">
      <w:pPr>
        <w:tabs>
          <w:tab w:val="num" w:pos="720"/>
        </w:tabs>
        <w:jc w:val="both"/>
        <w:rPr>
          <w:i/>
          <w:iCs/>
        </w:rPr>
      </w:pPr>
      <w:r w:rsidRPr="00556FE3">
        <w:rPr>
          <w:i/>
          <w:iCs/>
        </w:rPr>
        <w:t>A</w:t>
      </w:r>
      <w:r w:rsidR="001B565A" w:rsidRPr="00556FE3">
        <w:rPr>
          <w:i/>
          <w:iCs/>
        </w:rPr>
        <w:t>I-powered interpretation</w:t>
      </w:r>
    </w:p>
    <w:p w14:paraId="0526AA13" w14:textId="4AF4E503" w:rsidR="00C81D91" w:rsidRPr="00556FE3" w:rsidRDefault="001B565A" w:rsidP="22105F61">
      <w:pPr>
        <w:jc w:val="both"/>
        <w:rPr>
          <w:rFonts w:asciiTheme="minorHAnsi" w:hAnsiTheme="minorHAnsi" w:cstheme="minorBidi"/>
          <w:lang w:eastAsia="en-GB"/>
        </w:rPr>
      </w:pPr>
      <w:r w:rsidRPr="00556FE3">
        <w:t>As part of its long</w:t>
      </w:r>
      <w:r w:rsidR="00F800F3" w:rsidRPr="00556FE3">
        <w:t>-term interpretation strategy</w:t>
      </w:r>
      <w:r w:rsidRPr="00556FE3">
        <w:t xml:space="preserve">, and </w:t>
      </w:r>
      <w:proofErr w:type="gramStart"/>
      <w:r w:rsidRPr="00556FE3">
        <w:t>in order to</w:t>
      </w:r>
      <w:proofErr w:type="gramEnd"/>
      <w:r w:rsidRPr="00556FE3">
        <w:t xml:space="preserve"> stay aligned with emerging technological advances, ITU is continuing</w:t>
      </w:r>
      <w:r w:rsidR="0029362D" w:rsidRPr="00556FE3">
        <w:t xml:space="preserve"> to test</w:t>
      </w:r>
      <w:r w:rsidRPr="00556FE3">
        <w:t xml:space="preserve"> and </w:t>
      </w:r>
      <w:r w:rsidR="0029362D" w:rsidRPr="00556FE3">
        <w:t>evaluate</w:t>
      </w:r>
      <w:r w:rsidRPr="00556FE3">
        <w:t xml:space="preserve"> </w:t>
      </w:r>
      <w:r w:rsidR="0029362D" w:rsidRPr="00556FE3">
        <w:t xml:space="preserve">AI-based interpretation and captioning </w:t>
      </w:r>
      <w:r w:rsidRPr="00556FE3">
        <w:t>services</w:t>
      </w:r>
      <w:r w:rsidR="002135E8" w:rsidRPr="00556FE3">
        <w:t>. This includes testing products from a range of commercial suppliers as well as developing and testing in-house captioning and interpretation tools. The quality of AI-based interpretation is improving rapidly but is not of sufficient standard to be used in</w:t>
      </w:r>
      <w:r w:rsidR="00C81D91" w:rsidRPr="00556FE3">
        <w:t xml:space="preserve"> formal meetings. Testing will focus on the following types of meetings in line with </w:t>
      </w:r>
      <w:r w:rsidR="00DF537D" w:rsidRPr="00556FE3">
        <w:t>the Report on challenges and opportunities of AI interpretation (D</w:t>
      </w:r>
      <w:r w:rsidR="00C81D91" w:rsidRPr="00556FE3">
        <w:t xml:space="preserve">ocument </w:t>
      </w:r>
      <w:hyperlink r:id="rId19">
        <w:r w:rsidR="00C81D91" w:rsidRPr="00556FE3">
          <w:rPr>
            <w:rStyle w:val="Hyperlink"/>
          </w:rPr>
          <w:t>CWG-LANG</w:t>
        </w:r>
        <w:r w:rsidR="00674A82" w:rsidRPr="00556FE3">
          <w:rPr>
            <w:rStyle w:val="Hyperlink"/>
          </w:rPr>
          <w:t>-</w:t>
        </w:r>
        <w:r w:rsidR="00DF537D" w:rsidRPr="00556FE3">
          <w:rPr>
            <w:rStyle w:val="Hyperlink"/>
          </w:rPr>
          <w:t>16/INF/1</w:t>
        </w:r>
      </w:hyperlink>
      <w:r w:rsidR="00674A82" w:rsidRPr="00556FE3">
        <w:t>):</w:t>
      </w:r>
    </w:p>
    <w:p w14:paraId="743F5517" w14:textId="09B9B2F0" w:rsidR="00C81D91" w:rsidRPr="00556FE3" w:rsidRDefault="00674A82" w:rsidP="00C81D91">
      <w:pPr>
        <w:pStyle w:val="enumlev1"/>
        <w:jc w:val="both"/>
        <w:rPr>
          <w:lang w:eastAsia="en-GB"/>
        </w:rPr>
      </w:pPr>
      <w:r w:rsidRPr="00556FE3">
        <w:rPr>
          <w:lang w:eastAsia="en-GB"/>
        </w:rPr>
        <w:t>–</w:t>
      </w:r>
      <w:r w:rsidRPr="00556FE3">
        <w:tab/>
      </w:r>
      <w:r w:rsidR="00C81D91" w:rsidRPr="00556FE3">
        <w:rPr>
          <w:lang w:eastAsia="en-GB"/>
        </w:rPr>
        <w:t xml:space="preserve">Floor-only meetings </w:t>
      </w:r>
      <w:r w:rsidR="464F55F6" w:rsidRPr="00556FE3">
        <w:rPr>
          <w:lang w:eastAsia="en-GB"/>
        </w:rPr>
        <w:t xml:space="preserve">such as briefings </w:t>
      </w:r>
      <w:r w:rsidR="00C81D91" w:rsidRPr="00556FE3">
        <w:rPr>
          <w:lang w:eastAsia="en-GB"/>
        </w:rPr>
        <w:t xml:space="preserve">with </w:t>
      </w:r>
      <w:r w:rsidR="6AE85DE4" w:rsidRPr="00556FE3">
        <w:rPr>
          <w:lang w:eastAsia="en-GB"/>
        </w:rPr>
        <w:t>limited exchange</w:t>
      </w:r>
      <w:r w:rsidR="00C81D91" w:rsidRPr="00556FE3">
        <w:rPr>
          <w:lang w:eastAsia="en-GB"/>
        </w:rPr>
        <w:t xml:space="preserve"> with the audience</w:t>
      </w:r>
    </w:p>
    <w:p w14:paraId="55D0B621" w14:textId="34C6D0B9" w:rsidR="00C81D91" w:rsidRPr="00556FE3" w:rsidRDefault="00674A82" w:rsidP="0B8DB2F5">
      <w:pPr>
        <w:pStyle w:val="enumlev1"/>
        <w:jc w:val="both"/>
        <w:rPr>
          <w:lang w:eastAsia="en-GB"/>
        </w:rPr>
      </w:pPr>
      <w:r w:rsidRPr="00556FE3">
        <w:rPr>
          <w:lang w:eastAsia="en-GB"/>
        </w:rPr>
        <w:t>–</w:t>
      </w:r>
      <w:r w:rsidRPr="00556FE3">
        <w:tab/>
      </w:r>
      <w:r w:rsidR="00C81D91" w:rsidRPr="00556FE3">
        <w:rPr>
          <w:lang w:eastAsia="en-GB"/>
        </w:rPr>
        <w:t>Informal meetings such as internal secretariat meetings with little delegate involvement</w:t>
      </w:r>
    </w:p>
    <w:p w14:paraId="3CB0568E" w14:textId="7A501524" w:rsidR="00C81D91" w:rsidRPr="00556FE3" w:rsidRDefault="00F044E3" w:rsidP="00F044E3">
      <w:pPr>
        <w:pStyle w:val="enumlev1"/>
        <w:jc w:val="both"/>
        <w:rPr>
          <w:lang w:eastAsia="en-GB"/>
        </w:rPr>
      </w:pPr>
      <w:r w:rsidRPr="00556FE3">
        <w:rPr>
          <w:lang w:eastAsia="en-GB"/>
        </w:rPr>
        <w:t>–</w:t>
      </w:r>
      <w:r w:rsidRPr="00556FE3">
        <w:rPr>
          <w:lang w:eastAsia="en-GB"/>
        </w:rPr>
        <w:tab/>
      </w:r>
      <w:r w:rsidR="3B8D4582" w:rsidRPr="00556FE3">
        <w:rPr>
          <w:lang w:eastAsia="en-GB"/>
        </w:rPr>
        <w:t>T</w:t>
      </w:r>
      <w:r w:rsidR="00C81D91" w:rsidRPr="00556FE3">
        <w:rPr>
          <w:lang w:eastAsia="en-GB"/>
        </w:rPr>
        <w:t>hematic workshops</w:t>
      </w:r>
    </w:p>
    <w:p w14:paraId="5F98E314" w14:textId="77777777" w:rsidR="00F044E3" w:rsidRPr="00556FE3" w:rsidRDefault="00674A82" w:rsidP="00C81D91">
      <w:pPr>
        <w:pStyle w:val="enumlev1"/>
        <w:jc w:val="both"/>
        <w:rPr>
          <w:lang w:eastAsia="en-GB"/>
        </w:rPr>
      </w:pPr>
      <w:r w:rsidRPr="00556FE3">
        <w:rPr>
          <w:lang w:eastAsia="en-GB"/>
        </w:rPr>
        <w:lastRenderedPageBreak/>
        <w:t>–</w:t>
      </w:r>
      <w:r w:rsidRPr="00556FE3">
        <w:tab/>
      </w:r>
      <w:r w:rsidR="00C81D91" w:rsidRPr="00556FE3">
        <w:rPr>
          <w:lang w:eastAsia="en-GB"/>
        </w:rPr>
        <w:t xml:space="preserve">Regional meetings </w:t>
      </w:r>
    </w:p>
    <w:p w14:paraId="07AB26A7" w14:textId="68F023C3" w:rsidR="00C81D91" w:rsidRPr="00556FE3" w:rsidRDefault="00674A82" w:rsidP="00C81D91">
      <w:pPr>
        <w:pStyle w:val="enumlev1"/>
        <w:jc w:val="both"/>
        <w:rPr>
          <w:lang w:eastAsia="en-GB"/>
        </w:rPr>
      </w:pPr>
      <w:r w:rsidRPr="00556FE3">
        <w:rPr>
          <w:lang w:eastAsia="en-GB"/>
        </w:rPr>
        <w:t>–</w:t>
      </w:r>
      <w:r w:rsidRPr="00556FE3">
        <w:rPr>
          <w:lang w:eastAsia="en-GB"/>
        </w:rPr>
        <w:tab/>
      </w:r>
      <w:r w:rsidR="00C81D91" w:rsidRPr="00556FE3">
        <w:rPr>
          <w:lang w:eastAsia="en-GB"/>
        </w:rPr>
        <w:t>Events involving roundtable discussions with more than o</w:t>
      </w:r>
      <w:r w:rsidR="00AD04AB" w:rsidRPr="00556FE3">
        <w:rPr>
          <w:lang w:eastAsia="en-GB"/>
        </w:rPr>
        <w:t>n</w:t>
      </w:r>
      <w:r w:rsidR="00C81D91" w:rsidRPr="00556FE3">
        <w:rPr>
          <w:lang w:eastAsia="en-GB"/>
        </w:rPr>
        <w:t>e table where in-person interpretation would be impractical or prohibitively expensive</w:t>
      </w:r>
    </w:p>
    <w:p w14:paraId="4BF68765" w14:textId="03C98C7E" w:rsidR="00C81D91" w:rsidRPr="00556FE3" w:rsidRDefault="00674A82" w:rsidP="00C81D91">
      <w:pPr>
        <w:pStyle w:val="enumlev1"/>
        <w:jc w:val="both"/>
        <w:rPr>
          <w:lang w:eastAsia="en-GB"/>
        </w:rPr>
      </w:pPr>
      <w:r w:rsidRPr="00556FE3">
        <w:rPr>
          <w:lang w:eastAsia="en-GB"/>
        </w:rPr>
        <w:t>–</w:t>
      </w:r>
      <w:r w:rsidRPr="00556FE3">
        <w:rPr>
          <w:lang w:eastAsia="en-GB"/>
        </w:rPr>
        <w:tab/>
      </w:r>
      <w:r w:rsidR="00C81D91" w:rsidRPr="00556FE3">
        <w:rPr>
          <w:lang w:eastAsia="en-GB"/>
        </w:rPr>
        <w:t>Non-decision-making working group meetings where interpretation would otherwise not be available.</w:t>
      </w:r>
    </w:p>
    <w:p w14:paraId="3757502D" w14:textId="77777777" w:rsidR="0029362D" w:rsidRPr="00556FE3" w:rsidRDefault="0029362D" w:rsidP="0029362D">
      <w:pPr>
        <w:pStyle w:val="Headingb"/>
      </w:pPr>
      <w:r w:rsidRPr="00556FE3">
        <w:t>Proposal 2: Local provision of IT equipment and devices</w:t>
      </w:r>
    </w:p>
    <w:p w14:paraId="1F827CD9" w14:textId="07A86907" w:rsidR="08244E50" w:rsidRPr="00556FE3" w:rsidRDefault="009506DB" w:rsidP="00674A82">
      <w:pPr>
        <w:jc w:val="both"/>
        <w:rPr>
          <w:rFonts w:eastAsia="Calibri" w:cs="Calibri"/>
        </w:rPr>
      </w:pPr>
      <w:r w:rsidRPr="00556FE3">
        <w:t>As requested by CWG-FHR in its 22</w:t>
      </w:r>
      <w:r w:rsidRPr="00556FE3">
        <w:rPr>
          <w:vertAlign w:val="superscript"/>
        </w:rPr>
        <w:t>nd</w:t>
      </w:r>
      <w:r w:rsidRPr="00556FE3">
        <w:t xml:space="preserve"> meeting (Document </w:t>
      </w:r>
      <w:hyperlink r:id="rId20">
        <w:r w:rsidRPr="00556FE3">
          <w:rPr>
            <w:rStyle w:val="Hyperlink"/>
          </w:rPr>
          <w:t>CWG-FHR-22/36</w:t>
        </w:r>
      </w:hyperlink>
      <w:r w:rsidRPr="00556FE3">
        <w:t>), a sample list of IT equipment shipped and the purchase cost of each item, based on WTDC 2025, is provided in Annex 1</w:t>
      </w:r>
      <w:r w:rsidR="00AF59E5" w:rsidRPr="00556FE3">
        <w:t xml:space="preserve"> </w:t>
      </w:r>
      <w:r w:rsidR="00556FE3" w:rsidRPr="00556FE3">
        <w:t>to</w:t>
      </w:r>
      <w:r w:rsidR="00214F1A" w:rsidRPr="00556FE3">
        <w:t xml:space="preserve"> </w:t>
      </w:r>
      <w:r w:rsidR="00AF59E5" w:rsidRPr="00556FE3">
        <w:t xml:space="preserve">Document </w:t>
      </w:r>
      <w:hyperlink r:id="rId21" w:history="1">
        <w:proofErr w:type="spellStart"/>
        <w:r w:rsidR="00AF59E5" w:rsidRPr="00556FE3">
          <w:rPr>
            <w:rStyle w:val="Hyperlink"/>
          </w:rPr>
          <w:t>C26</w:t>
        </w:r>
        <w:proofErr w:type="spellEnd"/>
        <w:r w:rsidR="00AF59E5" w:rsidRPr="00556FE3">
          <w:rPr>
            <w:rStyle w:val="Hyperlink"/>
          </w:rPr>
          <w:t>/INF/</w:t>
        </w:r>
        <w:r w:rsidR="00674A82" w:rsidRPr="00556FE3">
          <w:rPr>
            <w:rStyle w:val="Hyperlink"/>
          </w:rPr>
          <w:t>8</w:t>
        </w:r>
      </w:hyperlink>
      <w:r w:rsidR="00214F1A" w:rsidRPr="00556FE3">
        <w:t>, and a</w:t>
      </w:r>
      <w:r w:rsidRPr="00556FE3">
        <w:t xml:space="preserve"> summary of shipment costs for major ITU events held outside Geneva since 2024</w:t>
      </w:r>
      <w:r w:rsidR="00DE7E8C" w:rsidRPr="00556FE3">
        <w:t xml:space="preserve"> is provided in Annex 2</w:t>
      </w:r>
      <w:r w:rsidR="00AF59E5" w:rsidRPr="00556FE3">
        <w:t xml:space="preserve"> </w:t>
      </w:r>
      <w:r w:rsidR="00556FE3" w:rsidRPr="00556FE3">
        <w:t>to Document</w:t>
      </w:r>
      <w:r w:rsidR="00214F1A" w:rsidRPr="00556FE3">
        <w:t xml:space="preserve"> </w:t>
      </w:r>
      <w:proofErr w:type="spellStart"/>
      <w:r w:rsidR="00063B9D" w:rsidRPr="00556FE3">
        <w:t>C26</w:t>
      </w:r>
      <w:proofErr w:type="spellEnd"/>
      <w:r w:rsidR="00063B9D" w:rsidRPr="00556FE3">
        <w:t>/INF/</w:t>
      </w:r>
      <w:r w:rsidR="00173A61" w:rsidRPr="00556FE3">
        <w:t>8.</w:t>
      </w:r>
    </w:p>
    <w:p w14:paraId="7B2B75C6" w14:textId="7955096F" w:rsidR="08244E50" w:rsidRPr="00556FE3" w:rsidRDefault="08244E50" w:rsidP="00674A82">
      <w:pPr>
        <w:jc w:val="both"/>
        <w:rPr>
          <w:rFonts w:eastAsia="Calibri" w:cs="Calibri"/>
        </w:rPr>
      </w:pPr>
      <w:r w:rsidRPr="00556FE3">
        <w:rPr>
          <w:rFonts w:eastAsia="Calibri" w:cs="Calibri"/>
        </w:rPr>
        <w:t xml:space="preserve">To reduce on-site implementation time, all equipment is shipped preconfigured according to the conference requirements. ITU </w:t>
      </w:r>
      <w:r w:rsidR="00EC71E5" w:rsidRPr="00556FE3">
        <w:rPr>
          <w:rFonts w:eastAsia="Calibri" w:cs="Calibri"/>
        </w:rPr>
        <w:t>additionally r</w:t>
      </w:r>
      <w:r w:rsidRPr="00556FE3">
        <w:rPr>
          <w:rFonts w:eastAsia="Calibri" w:cs="Calibri"/>
        </w:rPr>
        <w:t>equests the host country to provide standard equipment and infrastructure, including computer monitors, wired network infrastructure, Wi-Fi infrastructure, audiovisual (AV) infrastructure, and signage systems.</w:t>
      </w:r>
    </w:p>
    <w:p w14:paraId="3DDDECEB" w14:textId="29F704E2" w:rsidR="08244E50" w:rsidRPr="00556FE3" w:rsidRDefault="08244E50" w:rsidP="00674A82">
      <w:pPr>
        <w:jc w:val="both"/>
        <w:rPr>
          <w:rFonts w:eastAsia="Calibri" w:cs="Calibri"/>
        </w:rPr>
      </w:pPr>
      <w:r w:rsidRPr="00556FE3">
        <w:rPr>
          <w:rFonts w:eastAsia="Calibri" w:cs="Calibri"/>
        </w:rPr>
        <w:t>Continuous efforts are underway to modernize systems and further reduce dependence on Geneva-based infrastructure.</w:t>
      </w:r>
    </w:p>
    <w:p w14:paraId="1EB940C3" w14:textId="75228053" w:rsidR="08244E50" w:rsidRPr="00556FE3" w:rsidRDefault="08244E50" w:rsidP="00674A82">
      <w:pPr>
        <w:jc w:val="both"/>
        <w:rPr>
          <w:rFonts w:eastAsia="Calibri" w:cs="Calibri"/>
        </w:rPr>
      </w:pPr>
      <w:r w:rsidRPr="00556FE3">
        <w:rPr>
          <w:rFonts w:eastAsia="Calibri" w:cs="Calibri"/>
        </w:rPr>
        <w:t>Where possible, if a qualified local service provider capable of supporting the required technology and integration is available, certain ITU audiovisual equipment</w:t>
      </w:r>
      <w:r w:rsidR="009B6580" w:rsidRPr="00556FE3">
        <w:rPr>
          <w:rFonts w:eastAsia="Calibri" w:cs="Calibri"/>
        </w:rPr>
        <w:t xml:space="preserve"> </w:t>
      </w:r>
      <w:r w:rsidR="00556FE3" w:rsidRPr="00556FE3">
        <w:rPr>
          <w:rFonts w:eastAsia="Calibri" w:cs="Calibri"/>
        </w:rPr>
        <w:t>—</w:t>
      </w:r>
      <w:r w:rsidRPr="00556FE3">
        <w:rPr>
          <w:rFonts w:eastAsia="Calibri" w:cs="Calibri"/>
        </w:rPr>
        <w:t>such as AV racks or RP fly case</w:t>
      </w:r>
      <w:r w:rsidR="00734A32" w:rsidRPr="00556FE3">
        <w:rPr>
          <w:rFonts w:eastAsia="Calibri" w:cs="Calibri"/>
        </w:rPr>
        <w:t>s</w:t>
      </w:r>
      <w:r w:rsidR="00556FE3" w:rsidRPr="00556FE3">
        <w:rPr>
          <w:rFonts w:eastAsia="Calibri" w:cs="Calibri"/>
        </w:rPr>
        <w:t>—</w:t>
      </w:r>
      <w:r w:rsidR="00734A32" w:rsidRPr="00556FE3">
        <w:rPr>
          <w:rFonts w:eastAsia="Calibri" w:cs="Calibri"/>
        </w:rPr>
        <w:t xml:space="preserve"> may </w:t>
      </w:r>
      <w:r w:rsidRPr="00556FE3">
        <w:rPr>
          <w:rFonts w:eastAsia="Calibri" w:cs="Calibri"/>
        </w:rPr>
        <w:t>no longer be included in the ITU shipment</w:t>
      </w:r>
      <w:r w:rsidR="00C952F5" w:rsidRPr="00556FE3">
        <w:rPr>
          <w:rFonts w:eastAsia="Calibri" w:cs="Calibri"/>
        </w:rPr>
        <w:t>,</w:t>
      </w:r>
      <w:r w:rsidRPr="00556FE3">
        <w:rPr>
          <w:rFonts w:eastAsia="Calibri" w:cs="Calibri"/>
        </w:rPr>
        <w:t xml:space="preserve"> subject to prior approval during </w:t>
      </w:r>
      <w:r w:rsidR="00180316" w:rsidRPr="00556FE3">
        <w:rPr>
          <w:rFonts w:eastAsia="Calibri" w:cs="Calibri"/>
        </w:rPr>
        <w:t>pre-</w:t>
      </w:r>
      <w:r w:rsidRPr="00556FE3">
        <w:rPr>
          <w:rFonts w:eastAsia="Calibri" w:cs="Calibri"/>
        </w:rPr>
        <w:t>event preparation.</w:t>
      </w:r>
    </w:p>
    <w:p w14:paraId="1CF1B8E6" w14:textId="47A1F945" w:rsidR="08244E50" w:rsidRPr="00556FE3" w:rsidRDefault="08244E50" w:rsidP="00674A82">
      <w:pPr>
        <w:jc w:val="both"/>
        <w:rPr>
          <w:rFonts w:eastAsia="Calibri" w:cs="Calibri"/>
        </w:rPr>
      </w:pPr>
      <w:r w:rsidRPr="00556FE3">
        <w:rPr>
          <w:rFonts w:eastAsia="Calibri" w:cs="Calibri"/>
        </w:rPr>
        <w:t xml:space="preserve">Based on the financial figures outlined in </w:t>
      </w:r>
      <w:r w:rsidR="4D27E546" w:rsidRPr="00556FE3">
        <w:rPr>
          <w:rFonts w:eastAsia="Calibri" w:cs="Calibri"/>
        </w:rPr>
        <w:t xml:space="preserve">Document </w:t>
      </w:r>
      <w:proofErr w:type="spellStart"/>
      <w:r w:rsidR="4D27E546" w:rsidRPr="00556FE3">
        <w:rPr>
          <w:rFonts w:eastAsia="Calibri" w:cs="Calibri"/>
        </w:rPr>
        <w:t>C26</w:t>
      </w:r>
      <w:proofErr w:type="spellEnd"/>
      <w:r w:rsidR="4D27E546" w:rsidRPr="00556FE3">
        <w:rPr>
          <w:rFonts w:eastAsia="Calibri" w:cs="Calibri"/>
        </w:rPr>
        <w:t>/INF/8</w:t>
      </w:r>
      <w:r w:rsidRPr="00556FE3">
        <w:rPr>
          <w:rFonts w:eastAsia="Calibri" w:cs="Calibri"/>
        </w:rPr>
        <w:t xml:space="preserve">, the </w:t>
      </w:r>
      <w:r w:rsidR="004A3DDC" w:rsidRPr="00556FE3">
        <w:rPr>
          <w:rFonts w:eastAsia="Calibri" w:cs="Calibri"/>
        </w:rPr>
        <w:t>hos</w:t>
      </w:r>
      <w:r w:rsidRPr="00556FE3">
        <w:rPr>
          <w:rFonts w:eastAsia="Calibri" w:cs="Calibri"/>
        </w:rPr>
        <w:t xml:space="preserve">t </w:t>
      </w:r>
      <w:r w:rsidR="004A3DDC" w:rsidRPr="00556FE3">
        <w:rPr>
          <w:rFonts w:eastAsia="Calibri" w:cs="Calibri"/>
        </w:rPr>
        <w:t>c</w:t>
      </w:r>
      <w:r w:rsidRPr="00556FE3">
        <w:rPr>
          <w:rFonts w:eastAsia="Calibri" w:cs="Calibri"/>
        </w:rPr>
        <w:t xml:space="preserve">ountry should conduct a financial assessment to determine whether it is more cost-effective to obtain the listed equipment from ITU or to source it locally. If the equipment is provided locally, the </w:t>
      </w:r>
      <w:r w:rsidR="004A3DDC" w:rsidRPr="00556FE3">
        <w:rPr>
          <w:rFonts w:eastAsia="Calibri" w:cs="Calibri"/>
        </w:rPr>
        <w:t>h</w:t>
      </w:r>
      <w:r w:rsidRPr="00556FE3">
        <w:rPr>
          <w:rFonts w:eastAsia="Calibri" w:cs="Calibri"/>
        </w:rPr>
        <w:t xml:space="preserve">ost </w:t>
      </w:r>
      <w:r w:rsidR="004A3DDC" w:rsidRPr="00556FE3">
        <w:rPr>
          <w:rFonts w:eastAsia="Calibri" w:cs="Calibri"/>
        </w:rPr>
        <w:t>c</w:t>
      </w:r>
      <w:r w:rsidRPr="00556FE3">
        <w:rPr>
          <w:rFonts w:eastAsia="Calibri" w:cs="Calibri"/>
        </w:rPr>
        <w:t>ountry must ensure that it is technically compatible, fully configured</w:t>
      </w:r>
      <w:r w:rsidR="00670248" w:rsidRPr="00556FE3">
        <w:rPr>
          <w:rFonts w:eastAsia="Calibri" w:cs="Calibri"/>
        </w:rPr>
        <w:t xml:space="preserve"> a</w:t>
      </w:r>
      <w:r w:rsidRPr="00556FE3">
        <w:rPr>
          <w:rFonts w:eastAsia="Calibri" w:cs="Calibri"/>
        </w:rPr>
        <w:t>nd operational in time for the conference, and that adequate technical support is available throughout the event.</w:t>
      </w:r>
    </w:p>
    <w:p w14:paraId="2D837294" w14:textId="77777777" w:rsidR="0029362D" w:rsidRPr="00556FE3" w:rsidRDefault="0029362D" w:rsidP="0029362D">
      <w:pPr>
        <w:pStyle w:val="Headingb"/>
      </w:pPr>
      <w:r w:rsidRPr="00556FE3">
        <w:t>Proposal 3: Advancing toward a fully digital accreditation model for conferences through streamlined processes and enabled digital badges</w:t>
      </w:r>
    </w:p>
    <w:p w14:paraId="16ABE963" w14:textId="41C03CB9" w:rsidR="00D51FB6" w:rsidRPr="00556FE3" w:rsidRDefault="00E93399" w:rsidP="002C1BDF">
      <w:pPr>
        <w:jc w:val="both"/>
        <w:rPr>
          <w:rFonts w:asciiTheme="minorHAnsi" w:eastAsia="Segoe UI" w:hAnsiTheme="minorHAnsi" w:cstheme="minorHAnsi"/>
          <w:color w:val="1F243C"/>
        </w:rPr>
      </w:pPr>
      <w:r w:rsidRPr="00556FE3">
        <w:rPr>
          <w:rFonts w:asciiTheme="minorHAnsi" w:eastAsia="Calibri" w:hAnsiTheme="minorHAnsi" w:cstheme="minorHAnsi"/>
        </w:rPr>
        <w:t xml:space="preserve">Moving from printed identification materials to digital conference credentials reduces the administrative and material costs of badge production and enhances sustainability. However, this transition </w:t>
      </w:r>
      <w:r w:rsidR="7A9D17F3" w:rsidRPr="00556FE3">
        <w:rPr>
          <w:rFonts w:asciiTheme="minorHAnsi" w:eastAsia="Segoe UI" w:hAnsiTheme="minorHAnsi" w:cstheme="minorHAnsi"/>
          <w:color w:val="1F243C"/>
        </w:rPr>
        <w:t xml:space="preserve">also brings new costs, </w:t>
      </w:r>
      <w:r w:rsidR="00C4416D" w:rsidRPr="00556FE3">
        <w:rPr>
          <w:rFonts w:asciiTheme="minorHAnsi" w:eastAsia="Segoe UI" w:hAnsiTheme="minorHAnsi" w:cstheme="minorHAnsi"/>
          <w:color w:val="1F243C"/>
        </w:rPr>
        <w:t>including</w:t>
      </w:r>
      <w:r w:rsidR="7A9D17F3" w:rsidRPr="00556FE3">
        <w:rPr>
          <w:rFonts w:asciiTheme="minorHAnsi" w:eastAsia="Segoe UI" w:hAnsiTheme="minorHAnsi" w:cstheme="minorHAnsi"/>
          <w:color w:val="1F243C"/>
        </w:rPr>
        <w:t xml:space="preserve"> acquiring or renting digital access tools </w:t>
      </w:r>
      <w:r w:rsidR="00C4416D" w:rsidRPr="00556FE3">
        <w:rPr>
          <w:rFonts w:asciiTheme="minorHAnsi" w:eastAsia="Segoe UI" w:hAnsiTheme="minorHAnsi" w:cstheme="minorHAnsi"/>
          <w:color w:val="1F243C"/>
        </w:rPr>
        <w:t>such as</w:t>
      </w:r>
      <w:r w:rsidR="007C46AF" w:rsidRPr="00556FE3">
        <w:rPr>
          <w:rFonts w:asciiTheme="minorHAnsi" w:eastAsia="Segoe UI" w:hAnsiTheme="minorHAnsi" w:cstheme="minorHAnsi"/>
          <w:color w:val="1F243C"/>
        </w:rPr>
        <w:t xml:space="preserve"> </w:t>
      </w:r>
      <w:r w:rsidR="7A9D17F3" w:rsidRPr="00556FE3">
        <w:rPr>
          <w:rFonts w:asciiTheme="minorHAnsi" w:eastAsia="Segoe UI" w:hAnsiTheme="minorHAnsi" w:cstheme="minorHAnsi"/>
          <w:color w:val="1F243C"/>
        </w:rPr>
        <w:t xml:space="preserve">scanning equipment and biometric verification devices. These needs differ </w:t>
      </w:r>
      <w:r w:rsidR="003058D8" w:rsidRPr="00556FE3">
        <w:rPr>
          <w:rFonts w:asciiTheme="minorHAnsi" w:eastAsia="Segoe UI" w:hAnsiTheme="minorHAnsi" w:cstheme="minorHAnsi"/>
          <w:color w:val="1F243C"/>
        </w:rPr>
        <w:t>across</w:t>
      </w:r>
      <w:r w:rsidR="00C4416D" w:rsidRPr="00556FE3">
        <w:rPr>
          <w:rFonts w:asciiTheme="minorHAnsi" w:eastAsia="Segoe UI" w:hAnsiTheme="minorHAnsi" w:cstheme="minorHAnsi"/>
          <w:color w:val="1F243C"/>
        </w:rPr>
        <w:t xml:space="preserve"> event location</w:t>
      </w:r>
      <w:r w:rsidR="003058D8" w:rsidRPr="00556FE3">
        <w:rPr>
          <w:rFonts w:asciiTheme="minorHAnsi" w:eastAsia="Segoe UI" w:hAnsiTheme="minorHAnsi" w:cstheme="minorHAnsi"/>
          <w:color w:val="1F243C"/>
        </w:rPr>
        <w:t>s</w:t>
      </w:r>
      <w:r w:rsidR="00C4416D" w:rsidRPr="00556FE3">
        <w:rPr>
          <w:rFonts w:asciiTheme="minorHAnsi" w:eastAsia="Segoe UI" w:hAnsiTheme="minorHAnsi" w:cstheme="minorHAnsi"/>
          <w:color w:val="1F243C"/>
        </w:rPr>
        <w:t xml:space="preserve"> and depend notably on whether an event is held in Geneva or </w:t>
      </w:r>
      <w:r w:rsidR="00727718" w:rsidRPr="00556FE3">
        <w:rPr>
          <w:rFonts w:asciiTheme="minorHAnsi" w:eastAsia="Segoe UI" w:hAnsiTheme="minorHAnsi" w:cstheme="minorHAnsi"/>
          <w:color w:val="1F243C"/>
        </w:rPr>
        <w:t xml:space="preserve">in another host country. </w:t>
      </w:r>
    </w:p>
    <w:p w14:paraId="503169D3" w14:textId="448469CE" w:rsidR="7123AA63" w:rsidRPr="00556FE3" w:rsidRDefault="7A9D17F3" w:rsidP="002C1BDF">
      <w:pPr>
        <w:jc w:val="both"/>
        <w:rPr>
          <w:rFonts w:asciiTheme="minorHAnsi" w:eastAsia="Calibri" w:hAnsiTheme="minorHAnsi" w:cstheme="minorHAnsi"/>
        </w:rPr>
      </w:pPr>
      <w:r w:rsidRPr="00556FE3">
        <w:rPr>
          <w:rFonts w:asciiTheme="minorHAnsi" w:eastAsia="Segoe UI" w:hAnsiTheme="minorHAnsi" w:cstheme="minorHAnsi"/>
          <w:color w:val="1F243C"/>
        </w:rPr>
        <w:t xml:space="preserve">Initial reviews of the necessary infrastructure and operations </w:t>
      </w:r>
      <w:r w:rsidR="00727718" w:rsidRPr="00556FE3">
        <w:rPr>
          <w:rFonts w:asciiTheme="minorHAnsi" w:eastAsia="Segoe UI" w:hAnsiTheme="minorHAnsi" w:cstheme="minorHAnsi"/>
          <w:color w:val="1F243C"/>
        </w:rPr>
        <w:t xml:space="preserve">indicate </w:t>
      </w:r>
      <w:r w:rsidRPr="00556FE3">
        <w:rPr>
          <w:rFonts w:asciiTheme="minorHAnsi" w:eastAsia="Segoe UI" w:hAnsiTheme="minorHAnsi" w:cstheme="minorHAnsi"/>
          <w:color w:val="1F243C"/>
        </w:rPr>
        <w:t xml:space="preserve">that while setting up digital accreditation systems may require a larger upfront investment for hardware and IT integration, these costs </w:t>
      </w:r>
      <w:r w:rsidR="00EB1483" w:rsidRPr="00556FE3">
        <w:rPr>
          <w:rFonts w:asciiTheme="minorHAnsi" w:eastAsia="Segoe UI" w:hAnsiTheme="minorHAnsi" w:cstheme="minorHAnsi"/>
          <w:color w:val="1F243C"/>
        </w:rPr>
        <w:t xml:space="preserve">may </w:t>
      </w:r>
      <w:r w:rsidRPr="00556FE3">
        <w:rPr>
          <w:rFonts w:asciiTheme="minorHAnsi" w:eastAsia="Segoe UI" w:hAnsiTheme="minorHAnsi" w:cstheme="minorHAnsi"/>
          <w:color w:val="1F243C"/>
        </w:rPr>
        <w:t xml:space="preserve">be balanced out by savings in operational costs related to supplies, logistics, and on-site staff. </w:t>
      </w:r>
      <w:proofErr w:type="gramStart"/>
      <w:r w:rsidR="00F3627A" w:rsidRPr="00556FE3">
        <w:rPr>
          <w:rFonts w:asciiTheme="minorHAnsi" w:eastAsia="Segoe UI" w:hAnsiTheme="minorHAnsi" w:cstheme="minorHAnsi"/>
          <w:color w:val="1F243C"/>
        </w:rPr>
        <w:t>In particular, significant</w:t>
      </w:r>
      <w:proofErr w:type="gramEnd"/>
      <w:r w:rsidR="00F3627A" w:rsidRPr="00556FE3">
        <w:rPr>
          <w:rFonts w:asciiTheme="minorHAnsi" w:eastAsia="Segoe UI" w:hAnsiTheme="minorHAnsi" w:cstheme="minorHAnsi"/>
          <w:color w:val="1F243C"/>
        </w:rPr>
        <w:t xml:space="preserve"> reductions in the use of physical items such as PVC badges and lanyards could reduce </w:t>
      </w:r>
      <w:r w:rsidR="002B12FD" w:rsidRPr="00556FE3">
        <w:rPr>
          <w:rFonts w:asciiTheme="minorHAnsi" w:eastAsia="Segoe UI" w:hAnsiTheme="minorHAnsi" w:cstheme="minorHAnsi"/>
          <w:color w:val="1F243C"/>
        </w:rPr>
        <w:t>the need to transport badge-printing equipment and related materials.</w:t>
      </w:r>
    </w:p>
    <w:p w14:paraId="1DA0D773" w14:textId="66009C2F" w:rsidR="7123AA63" w:rsidRPr="00556FE3" w:rsidRDefault="45F59359" w:rsidP="22105F61">
      <w:pPr>
        <w:jc w:val="both"/>
        <w:rPr>
          <w:rFonts w:asciiTheme="minorHAnsi" w:eastAsia="Segoe UI" w:hAnsiTheme="minorHAnsi" w:cstheme="minorHAnsi"/>
        </w:rPr>
      </w:pPr>
      <w:r w:rsidRPr="00556FE3">
        <w:rPr>
          <w:rFonts w:asciiTheme="minorHAnsi" w:eastAsia="Segoe UI" w:hAnsiTheme="minorHAnsi" w:cstheme="minorHAnsi"/>
        </w:rPr>
        <w:t xml:space="preserve">The choice of digital accreditation and badging solutions depends on the IT strategy and security requirements, as well as the review of the IT solution modernization landscape. In Geneva, existing infrastructure can be leveraged to achieve efficiencies while using on-site </w:t>
      </w:r>
      <w:r w:rsidRPr="00556FE3">
        <w:rPr>
          <w:rFonts w:asciiTheme="minorHAnsi" w:eastAsia="Segoe UI" w:hAnsiTheme="minorHAnsi" w:cstheme="minorHAnsi"/>
        </w:rPr>
        <w:lastRenderedPageBreak/>
        <w:t>equipment to the extent possible. For events abroad, digital credentials reduce shipping and customs costs, though some equipment remains necessary for secure participant verification.</w:t>
      </w:r>
    </w:p>
    <w:p w14:paraId="73C67F6C" w14:textId="787D2398" w:rsidR="7123AA63" w:rsidRPr="00556FE3" w:rsidRDefault="2A6736F8" w:rsidP="22105F61">
      <w:pPr>
        <w:jc w:val="both"/>
        <w:rPr>
          <w:rFonts w:asciiTheme="minorHAnsi" w:eastAsia="Calibri" w:hAnsiTheme="minorHAnsi" w:cstheme="minorHAnsi"/>
        </w:rPr>
      </w:pPr>
      <w:r w:rsidRPr="00556FE3">
        <w:rPr>
          <w:rFonts w:asciiTheme="minorHAnsi" w:eastAsia="Calibri" w:hAnsiTheme="minorHAnsi" w:cstheme="minorHAnsi"/>
        </w:rPr>
        <w:t xml:space="preserve">Detailed analysis of infrastructure and operational costs indicates that while </w:t>
      </w:r>
      <w:r w:rsidR="006F7022" w:rsidRPr="00556FE3">
        <w:rPr>
          <w:rFonts w:asciiTheme="minorHAnsi" w:eastAsia="Calibri" w:hAnsiTheme="minorHAnsi" w:cstheme="minorHAnsi"/>
        </w:rPr>
        <w:t>c</w:t>
      </w:r>
      <w:r w:rsidRPr="00556FE3">
        <w:rPr>
          <w:rFonts w:asciiTheme="minorHAnsi" w:eastAsia="Calibri" w:hAnsiTheme="minorHAnsi" w:cstheme="minorHAnsi"/>
        </w:rPr>
        <w:t xml:space="preserve">apital </w:t>
      </w:r>
      <w:r w:rsidR="006F7022" w:rsidRPr="00556FE3">
        <w:rPr>
          <w:rFonts w:asciiTheme="minorHAnsi" w:eastAsia="Calibri" w:hAnsiTheme="minorHAnsi" w:cstheme="minorHAnsi"/>
        </w:rPr>
        <w:t>e</w:t>
      </w:r>
      <w:r w:rsidRPr="00556FE3">
        <w:rPr>
          <w:rFonts w:asciiTheme="minorHAnsi" w:eastAsia="Calibri" w:hAnsiTheme="minorHAnsi" w:cstheme="minorHAnsi"/>
        </w:rPr>
        <w:t>xpenditure for hardware and IT integration may increase initially, it is offset by a 30</w:t>
      </w:r>
      <w:r w:rsidR="00054E18" w:rsidRPr="00556FE3">
        <w:rPr>
          <w:rFonts w:asciiTheme="minorHAnsi" w:eastAsia="Calibri" w:hAnsiTheme="minorHAnsi" w:cstheme="minorHAnsi"/>
        </w:rPr>
        <w:t xml:space="preserve"> per cent</w:t>
      </w:r>
      <w:r w:rsidRPr="00556FE3">
        <w:rPr>
          <w:rFonts w:asciiTheme="minorHAnsi" w:eastAsia="Calibri" w:hAnsiTheme="minorHAnsi" w:cstheme="minorHAnsi"/>
        </w:rPr>
        <w:t xml:space="preserve"> to 40</w:t>
      </w:r>
      <w:r w:rsidR="00054E18" w:rsidRPr="00556FE3">
        <w:rPr>
          <w:rFonts w:asciiTheme="minorHAnsi" w:eastAsia="Calibri" w:hAnsiTheme="minorHAnsi" w:cstheme="minorHAnsi"/>
        </w:rPr>
        <w:t xml:space="preserve"> per cent </w:t>
      </w:r>
      <w:r w:rsidRPr="00556FE3">
        <w:rPr>
          <w:rFonts w:asciiTheme="minorHAnsi" w:eastAsia="Calibri" w:hAnsiTheme="minorHAnsi" w:cstheme="minorHAnsi"/>
        </w:rPr>
        <w:t xml:space="preserve">reduction in </w:t>
      </w:r>
      <w:r w:rsidR="006F7022" w:rsidRPr="00556FE3">
        <w:rPr>
          <w:rFonts w:asciiTheme="minorHAnsi" w:eastAsia="Calibri" w:hAnsiTheme="minorHAnsi" w:cstheme="minorHAnsi"/>
        </w:rPr>
        <w:t>o</w:t>
      </w:r>
      <w:r w:rsidRPr="00556FE3">
        <w:rPr>
          <w:rFonts w:asciiTheme="minorHAnsi" w:eastAsia="Calibri" w:hAnsiTheme="minorHAnsi" w:cstheme="minorHAnsi"/>
        </w:rPr>
        <w:t xml:space="preserve">perational </w:t>
      </w:r>
      <w:r w:rsidR="006F7022" w:rsidRPr="00556FE3">
        <w:rPr>
          <w:rFonts w:asciiTheme="minorHAnsi" w:eastAsia="Calibri" w:hAnsiTheme="minorHAnsi" w:cstheme="minorHAnsi"/>
        </w:rPr>
        <w:t>e</w:t>
      </w:r>
      <w:r w:rsidRPr="00556FE3">
        <w:rPr>
          <w:rFonts w:asciiTheme="minorHAnsi" w:eastAsia="Calibri" w:hAnsiTheme="minorHAnsi" w:cstheme="minorHAnsi"/>
        </w:rPr>
        <w:t>xpenditure related to physical consumables and staffing.</w:t>
      </w:r>
    </w:p>
    <w:p w14:paraId="02E4451C" w14:textId="31E8B091" w:rsidR="7123AA63" w:rsidRPr="00556FE3" w:rsidRDefault="2A6736F8" w:rsidP="00054E18">
      <w:pPr>
        <w:jc w:val="both"/>
        <w:rPr>
          <w:rFonts w:eastAsia="Calibri"/>
        </w:rPr>
      </w:pPr>
      <w:r w:rsidRPr="00556FE3">
        <w:rPr>
          <w:rFonts w:eastAsia="Calibri"/>
        </w:rPr>
        <w:t>The following table outlines the comparative cost drivers between the traditional physical RFID model and the proposed Digital/</w:t>
      </w:r>
      <w:r w:rsidR="004E5CA8" w:rsidRPr="00556FE3">
        <w:rPr>
          <w:rFonts w:eastAsia="Calibri"/>
        </w:rPr>
        <w:t>bi</w:t>
      </w:r>
      <w:r w:rsidRPr="00556FE3">
        <w:rPr>
          <w:rFonts w:eastAsia="Calibri"/>
        </w:rPr>
        <w:t>ometric model:</w:t>
      </w:r>
    </w:p>
    <w:p w14:paraId="6E6DC2D8" w14:textId="77777777" w:rsidR="00054E18" w:rsidRPr="00556FE3" w:rsidRDefault="00054E18" w:rsidP="00556FE3">
      <w:pPr>
        <w:spacing w:before="0"/>
        <w:rPr>
          <w:rFonts w:eastAsia="Calibri"/>
        </w:rPr>
      </w:pPr>
    </w:p>
    <w:tbl>
      <w:tblPr>
        <w:tblStyle w:val="TableGrid"/>
        <w:tblW w:w="9639" w:type="dxa"/>
        <w:jc w:val="center"/>
        <w:tblLook w:val="06A0" w:firstRow="1" w:lastRow="0" w:firstColumn="1" w:lastColumn="0" w:noHBand="1" w:noVBand="1"/>
      </w:tblPr>
      <w:tblGrid>
        <w:gridCol w:w="1569"/>
        <w:gridCol w:w="2909"/>
        <w:gridCol w:w="3186"/>
        <w:gridCol w:w="1975"/>
      </w:tblGrid>
      <w:tr w:rsidR="0874C103" w:rsidRPr="00556FE3" w14:paraId="663335A4" w14:textId="77777777" w:rsidTr="00054E18">
        <w:trPr>
          <w:trHeight w:val="300"/>
          <w:jc w:val="center"/>
        </w:trPr>
        <w:tc>
          <w:tcPr>
            <w:tcW w:w="1575" w:type="dxa"/>
          </w:tcPr>
          <w:p w14:paraId="3143E2D7" w14:textId="190EB8B6" w:rsidR="0874C103" w:rsidRPr="00556FE3" w:rsidRDefault="266022B2" w:rsidP="00054E18">
            <w:pPr>
              <w:pStyle w:val="Tablehead"/>
            </w:pPr>
            <w:r w:rsidRPr="00556FE3">
              <w:t xml:space="preserve">Cost </w:t>
            </w:r>
            <w:r w:rsidR="00054E18" w:rsidRPr="00556FE3">
              <w:t>driver</w:t>
            </w:r>
          </w:p>
        </w:tc>
        <w:tc>
          <w:tcPr>
            <w:tcW w:w="2940" w:type="dxa"/>
          </w:tcPr>
          <w:p w14:paraId="798A3FF8" w14:textId="63DADBBC" w:rsidR="0874C103" w:rsidRPr="00556FE3" w:rsidRDefault="266022B2" w:rsidP="00054E18">
            <w:pPr>
              <w:pStyle w:val="Tablehead"/>
            </w:pPr>
            <w:r w:rsidRPr="00556FE3">
              <w:t xml:space="preserve">Physical RFID </w:t>
            </w:r>
            <w:r w:rsidR="00054E18" w:rsidRPr="00556FE3">
              <w:t>model</w:t>
            </w:r>
          </w:p>
        </w:tc>
        <w:tc>
          <w:tcPr>
            <w:tcW w:w="3240" w:type="dxa"/>
          </w:tcPr>
          <w:p w14:paraId="26C67FDF" w14:textId="606D6317" w:rsidR="0874C103" w:rsidRPr="00556FE3" w:rsidRDefault="266022B2" w:rsidP="00054E18">
            <w:pPr>
              <w:pStyle w:val="Tablehead"/>
            </w:pPr>
            <w:r w:rsidRPr="00556FE3">
              <w:t>Digital/</w:t>
            </w:r>
            <w:r w:rsidR="004E5CA8" w:rsidRPr="00556FE3">
              <w:t>b</w:t>
            </w:r>
            <w:r w:rsidRPr="00556FE3">
              <w:t xml:space="preserve">iometric </w:t>
            </w:r>
            <w:r w:rsidR="004E5CA8" w:rsidRPr="00556FE3">
              <w:t>m</w:t>
            </w:r>
            <w:r w:rsidRPr="00556FE3">
              <w:t>odel</w:t>
            </w:r>
          </w:p>
        </w:tc>
        <w:tc>
          <w:tcPr>
            <w:tcW w:w="2010" w:type="dxa"/>
          </w:tcPr>
          <w:p w14:paraId="13088109" w14:textId="5F7F62AA" w:rsidR="0874C103" w:rsidRPr="00556FE3" w:rsidRDefault="266022B2" w:rsidP="00054E18">
            <w:pPr>
              <w:pStyle w:val="Tablehead"/>
            </w:pPr>
            <w:r w:rsidRPr="00556FE3">
              <w:t xml:space="preserve">Financial </w:t>
            </w:r>
            <w:r w:rsidR="004E5CA8" w:rsidRPr="00556FE3">
              <w:t>i</w:t>
            </w:r>
            <w:r w:rsidRPr="00556FE3">
              <w:t>mpact</w:t>
            </w:r>
          </w:p>
        </w:tc>
      </w:tr>
      <w:tr w:rsidR="0874C103" w:rsidRPr="00556FE3" w14:paraId="320F2185" w14:textId="77777777" w:rsidTr="00054E18">
        <w:trPr>
          <w:trHeight w:val="300"/>
          <w:jc w:val="center"/>
        </w:trPr>
        <w:tc>
          <w:tcPr>
            <w:tcW w:w="1575" w:type="dxa"/>
          </w:tcPr>
          <w:p w14:paraId="1FE70CBB" w14:textId="4FEA145F" w:rsidR="0874C103" w:rsidRPr="00556FE3" w:rsidRDefault="266022B2" w:rsidP="00054E18">
            <w:pPr>
              <w:pStyle w:val="Tabletext"/>
            </w:pPr>
            <w:r w:rsidRPr="00556FE3">
              <w:t>Consumables</w:t>
            </w:r>
          </w:p>
        </w:tc>
        <w:tc>
          <w:tcPr>
            <w:tcW w:w="2940" w:type="dxa"/>
          </w:tcPr>
          <w:p w14:paraId="4F4BB071" w14:textId="1B86A829" w:rsidR="0874C103" w:rsidRPr="00556FE3" w:rsidRDefault="266022B2" w:rsidP="00054E18">
            <w:pPr>
              <w:pStyle w:val="Tabletext"/>
            </w:pPr>
            <w:r w:rsidRPr="00556FE3">
              <w:t>High (PVC cards, lanyards, ribbons)</w:t>
            </w:r>
          </w:p>
        </w:tc>
        <w:tc>
          <w:tcPr>
            <w:tcW w:w="3240" w:type="dxa"/>
          </w:tcPr>
          <w:p w14:paraId="1633582B" w14:textId="4D2FF336" w:rsidR="0874C103" w:rsidRPr="00556FE3" w:rsidRDefault="266022B2" w:rsidP="00054E18">
            <w:pPr>
              <w:pStyle w:val="Tabletext"/>
            </w:pPr>
            <w:r w:rsidRPr="00556FE3">
              <w:t xml:space="preserve">Near </w:t>
            </w:r>
            <w:r w:rsidR="004E5CA8" w:rsidRPr="00556FE3">
              <w:t>z</w:t>
            </w:r>
            <w:r w:rsidRPr="00556FE3">
              <w:t>ero (</w:t>
            </w:r>
            <w:r w:rsidR="004E5CA8" w:rsidRPr="00556FE3">
              <w:t>m</w:t>
            </w:r>
            <w:r w:rsidRPr="00556FE3">
              <w:t>obile delivery)</w:t>
            </w:r>
          </w:p>
        </w:tc>
        <w:tc>
          <w:tcPr>
            <w:tcW w:w="2010" w:type="dxa"/>
          </w:tcPr>
          <w:p w14:paraId="0E0591A4" w14:textId="439230BD" w:rsidR="0874C103" w:rsidRPr="00556FE3" w:rsidRDefault="266022B2" w:rsidP="00054E18">
            <w:pPr>
              <w:pStyle w:val="Tabletext"/>
            </w:pPr>
            <w:r w:rsidRPr="00556FE3">
              <w:t xml:space="preserve">~90% </w:t>
            </w:r>
            <w:r w:rsidR="004E5CA8" w:rsidRPr="00556FE3">
              <w:t>s</w:t>
            </w:r>
            <w:r w:rsidRPr="00556FE3">
              <w:t>avings</w:t>
            </w:r>
          </w:p>
        </w:tc>
      </w:tr>
      <w:tr w:rsidR="0874C103" w:rsidRPr="00556FE3" w14:paraId="595E401D" w14:textId="77777777" w:rsidTr="00054E18">
        <w:trPr>
          <w:trHeight w:val="300"/>
          <w:jc w:val="center"/>
        </w:trPr>
        <w:tc>
          <w:tcPr>
            <w:tcW w:w="1575" w:type="dxa"/>
          </w:tcPr>
          <w:p w14:paraId="1A8BC8AF" w14:textId="41EAA629" w:rsidR="0874C103" w:rsidRPr="00556FE3" w:rsidRDefault="266022B2" w:rsidP="00054E18">
            <w:pPr>
              <w:pStyle w:val="Tabletext"/>
            </w:pPr>
            <w:r w:rsidRPr="00556FE3">
              <w:t>Logistics</w:t>
            </w:r>
          </w:p>
        </w:tc>
        <w:tc>
          <w:tcPr>
            <w:tcW w:w="2940" w:type="dxa"/>
          </w:tcPr>
          <w:p w14:paraId="0D88B4AD" w14:textId="5A649F7F" w:rsidR="0874C103" w:rsidRPr="00556FE3" w:rsidRDefault="266022B2" w:rsidP="00054E18">
            <w:pPr>
              <w:pStyle w:val="Tabletext"/>
            </w:pPr>
            <w:r w:rsidRPr="00556FE3">
              <w:t>High (</w:t>
            </w:r>
            <w:r w:rsidR="004E5CA8" w:rsidRPr="00556FE3">
              <w:t>h</w:t>
            </w:r>
            <w:r w:rsidRPr="00556FE3">
              <w:t>eavy freight, customs duties)</w:t>
            </w:r>
          </w:p>
        </w:tc>
        <w:tc>
          <w:tcPr>
            <w:tcW w:w="3240" w:type="dxa"/>
          </w:tcPr>
          <w:p w14:paraId="6D3969E1" w14:textId="6147A6FF" w:rsidR="0874C103" w:rsidRPr="00556FE3" w:rsidRDefault="266022B2" w:rsidP="00054E18">
            <w:pPr>
              <w:pStyle w:val="Tabletext"/>
            </w:pPr>
            <w:r w:rsidRPr="00556FE3">
              <w:t>Low (</w:t>
            </w:r>
            <w:r w:rsidR="004E5CA8" w:rsidRPr="00556FE3">
              <w:t>mi</w:t>
            </w:r>
            <w:r w:rsidRPr="00556FE3">
              <w:t>nimal hardware footprint)</w:t>
            </w:r>
          </w:p>
        </w:tc>
        <w:tc>
          <w:tcPr>
            <w:tcW w:w="2010" w:type="dxa"/>
          </w:tcPr>
          <w:p w14:paraId="6F4A51C5" w14:textId="14DE7901" w:rsidR="0874C103" w:rsidRPr="00556FE3" w:rsidRDefault="266022B2" w:rsidP="00054E18">
            <w:pPr>
              <w:pStyle w:val="Tabletext"/>
            </w:pPr>
            <w:r w:rsidRPr="00556FE3">
              <w:t xml:space="preserve">~60% </w:t>
            </w:r>
            <w:r w:rsidR="004E5CA8" w:rsidRPr="00556FE3">
              <w:t>s</w:t>
            </w:r>
            <w:r w:rsidRPr="00556FE3">
              <w:t>avings</w:t>
            </w:r>
          </w:p>
        </w:tc>
      </w:tr>
      <w:tr w:rsidR="0874C103" w:rsidRPr="00556FE3" w14:paraId="4C2A4449" w14:textId="77777777" w:rsidTr="00054E18">
        <w:trPr>
          <w:trHeight w:val="300"/>
          <w:jc w:val="center"/>
        </w:trPr>
        <w:tc>
          <w:tcPr>
            <w:tcW w:w="1575" w:type="dxa"/>
          </w:tcPr>
          <w:p w14:paraId="5EB33312" w14:textId="35CCD966" w:rsidR="0874C103" w:rsidRPr="00556FE3" w:rsidRDefault="266022B2" w:rsidP="00054E18">
            <w:pPr>
              <w:pStyle w:val="Tabletext"/>
            </w:pPr>
            <w:r w:rsidRPr="00556FE3">
              <w:t>Equipment</w:t>
            </w:r>
          </w:p>
        </w:tc>
        <w:tc>
          <w:tcPr>
            <w:tcW w:w="2940" w:type="dxa"/>
          </w:tcPr>
          <w:p w14:paraId="25CF5810" w14:textId="4635F6B2" w:rsidR="0874C103" w:rsidRPr="00556FE3" w:rsidRDefault="266022B2" w:rsidP="00054E18">
            <w:pPr>
              <w:pStyle w:val="Tabletext"/>
            </w:pPr>
            <w:r w:rsidRPr="00556FE3">
              <w:t>Badge printers, encoders</w:t>
            </w:r>
          </w:p>
        </w:tc>
        <w:tc>
          <w:tcPr>
            <w:tcW w:w="3240" w:type="dxa"/>
          </w:tcPr>
          <w:p w14:paraId="29443950" w14:textId="35D4D236" w:rsidR="0874C103" w:rsidRPr="00556FE3" w:rsidRDefault="266022B2" w:rsidP="00054E18">
            <w:pPr>
              <w:pStyle w:val="Tabletext"/>
            </w:pPr>
            <w:r w:rsidRPr="00556FE3">
              <w:t xml:space="preserve">Scanners, </w:t>
            </w:r>
            <w:r w:rsidR="004E5CA8" w:rsidRPr="00556FE3">
              <w:t>b</w:t>
            </w:r>
            <w:r w:rsidRPr="00556FE3">
              <w:t>iometric kiosks</w:t>
            </w:r>
          </w:p>
        </w:tc>
        <w:tc>
          <w:tcPr>
            <w:tcW w:w="2010" w:type="dxa"/>
          </w:tcPr>
          <w:p w14:paraId="7F4891C7" w14:textId="7E1E81FE" w:rsidR="0874C103" w:rsidRPr="00556FE3" w:rsidRDefault="266022B2" w:rsidP="00054E18">
            <w:pPr>
              <w:pStyle w:val="Tabletext"/>
            </w:pPr>
            <w:r w:rsidRPr="00556FE3">
              <w:t xml:space="preserve">Increased </w:t>
            </w:r>
            <w:proofErr w:type="spellStart"/>
            <w:r w:rsidRPr="00556FE3">
              <w:t>CapEx</w:t>
            </w:r>
            <w:proofErr w:type="spellEnd"/>
          </w:p>
        </w:tc>
      </w:tr>
      <w:tr w:rsidR="0874C103" w:rsidRPr="00556FE3" w14:paraId="2F0E7878" w14:textId="77777777" w:rsidTr="00054E18">
        <w:trPr>
          <w:trHeight w:val="300"/>
          <w:jc w:val="center"/>
        </w:trPr>
        <w:tc>
          <w:tcPr>
            <w:tcW w:w="1575" w:type="dxa"/>
          </w:tcPr>
          <w:p w14:paraId="18FED859" w14:textId="409139F5" w:rsidR="0874C103" w:rsidRPr="00556FE3" w:rsidRDefault="266022B2" w:rsidP="00054E18">
            <w:pPr>
              <w:pStyle w:val="Tabletext"/>
            </w:pPr>
            <w:r w:rsidRPr="00556FE3">
              <w:t xml:space="preserve">On-site </w:t>
            </w:r>
            <w:r w:rsidR="004E5CA8" w:rsidRPr="00556FE3">
              <w:t>s</w:t>
            </w:r>
            <w:r w:rsidRPr="00556FE3">
              <w:t>taff</w:t>
            </w:r>
          </w:p>
        </w:tc>
        <w:tc>
          <w:tcPr>
            <w:tcW w:w="2940" w:type="dxa"/>
          </w:tcPr>
          <w:p w14:paraId="25977937" w14:textId="488C56EC" w:rsidR="0874C103" w:rsidRPr="00556FE3" w:rsidRDefault="266022B2" w:rsidP="00054E18">
            <w:pPr>
              <w:pStyle w:val="Tabletext"/>
            </w:pPr>
            <w:r w:rsidRPr="00556FE3">
              <w:t>High (</w:t>
            </w:r>
            <w:r w:rsidR="004E5CA8" w:rsidRPr="00556FE3">
              <w:t>p</w:t>
            </w:r>
            <w:r w:rsidRPr="00556FE3">
              <w:t>rinting/</w:t>
            </w:r>
            <w:r w:rsidR="004E5CA8" w:rsidRPr="00556FE3">
              <w:t>d</w:t>
            </w:r>
            <w:r w:rsidRPr="00556FE3">
              <w:t>istribution desks)</w:t>
            </w:r>
          </w:p>
        </w:tc>
        <w:tc>
          <w:tcPr>
            <w:tcW w:w="3240" w:type="dxa"/>
          </w:tcPr>
          <w:p w14:paraId="28CFB41C" w14:textId="4AEF88D4" w:rsidR="0874C103" w:rsidRPr="00556FE3" w:rsidRDefault="266022B2" w:rsidP="00054E18">
            <w:pPr>
              <w:pStyle w:val="Tabletext"/>
            </w:pPr>
            <w:r w:rsidRPr="00556FE3">
              <w:t>Moderate (</w:t>
            </w:r>
            <w:r w:rsidR="004E5CA8" w:rsidRPr="00556FE3">
              <w:t>t</w:t>
            </w:r>
            <w:r w:rsidRPr="00556FE3">
              <w:t>echnical support)</w:t>
            </w:r>
          </w:p>
        </w:tc>
        <w:tc>
          <w:tcPr>
            <w:tcW w:w="2010" w:type="dxa"/>
          </w:tcPr>
          <w:p w14:paraId="1BED02BC" w14:textId="626118D6" w:rsidR="0874C103" w:rsidRPr="00556FE3" w:rsidRDefault="266022B2" w:rsidP="00054E18">
            <w:pPr>
              <w:pStyle w:val="Tabletext"/>
            </w:pPr>
            <w:r w:rsidRPr="00556FE3">
              <w:t xml:space="preserve">~25% </w:t>
            </w:r>
            <w:r w:rsidR="004E5CA8" w:rsidRPr="00556FE3">
              <w:t>s</w:t>
            </w:r>
            <w:r w:rsidRPr="00556FE3">
              <w:t>avings</w:t>
            </w:r>
          </w:p>
        </w:tc>
      </w:tr>
    </w:tbl>
    <w:p w14:paraId="3C2DBC39" w14:textId="77777777" w:rsidR="00CC0401" w:rsidRPr="00556FE3" w:rsidRDefault="00CC0401" w:rsidP="00CC0401">
      <w:pPr>
        <w:pStyle w:val="Tablefin"/>
      </w:pPr>
    </w:p>
    <w:p w14:paraId="6E08F409" w14:textId="66445449" w:rsidR="7123AA63" w:rsidRPr="00556FE3" w:rsidRDefault="2A6736F8" w:rsidP="00CC0401">
      <w:pPr>
        <w:jc w:val="both"/>
        <w:rPr>
          <w:rFonts w:eastAsia="Calibri"/>
        </w:rPr>
      </w:pPr>
      <w:r w:rsidRPr="00556FE3">
        <w:rPr>
          <w:rFonts w:eastAsia="Calibri"/>
        </w:rPr>
        <w:t>The business model</w:t>
      </w:r>
      <w:r w:rsidR="00D22E32" w:rsidRPr="00556FE3">
        <w:rPr>
          <w:rFonts w:eastAsia="Calibri"/>
        </w:rPr>
        <w:t xml:space="preserve"> </w:t>
      </w:r>
      <w:r w:rsidR="00CC0401" w:rsidRPr="00556FE3">
        <w:rPr>
          <w:rFonts w:eastAsia="Calibri"/>
        </w:rPr>
        <w:t>—</w:t>
      </w:r>
      <w:r w:rsidRPr="00556FE3">
        <w:rPr>
          <w:rFonts w:eastAsia="Calibri"/>
        </w:rPr>
        <w:t>whether in-house, SaaS, or rental</w:t>
      </w:r>
      <w:r w:rsidR="00CC0401" w:rsidRPr="00556FE3">
        <w:rPr>
          <w:rFonts w:eastAsia="Calibri"/>
        </w:rPr>
        <w:t>—</w:t>
      </w:r>
      <w:r w:rsidR="00D22E32" w:rsidRPr="00556FE3">
        <w:rPr>
          <w:rFonts w:eastAsia="Calibri"/>
        </w:rPr>
        <w:t xml:space="preserve"> </w:t>
      </w:r>
      <w:r w:rsidRPr="00556FE3">
        <w:rPr>
          <w:rFonts w:eastAsia="Calibri"/>
        </w:rPr>
        <w:t xml:space="preserve">directly shapes the financial burden on </w:t>
      </w:r>
      <w:r w:rsidR="004A3DDC" w:rsidRPr="00556FE3">
        <w:rPr>
          <w:rFonts w:eastAsia="Calibri"/>
        </w:rPr>
        <w:t>h</w:t>
      </w:r>
      <w:r w:rsidRPr="00556FE3">
        <w:rPr>
          <w:rFonts w:eastAsia="Calibri"/>
        </w:rPr>
        <w:t xml:space="preserve">ost </w:t>
      </w:r>
      <w:r w:rsidR="004A3DDC" w:rsidRPr="00556FE3">
        <w:rPr>
          <w:rFonts w:eastAsia="Calibri"/>
        </w:rPr>
        <w:t>c</w:t>
      </w:r>
      <w:r w:rsidRPr="00556FE3">
        <w:rPr>
          <w:rFonts w:eastAsia="Calibri"/>
        </w:rPr>
        <w:t>ountries.</w:t>
      </w:r>
    </w:p>
    <w:p w14:paraId="7A6F9044" w14:textId="49BAD64C" w:rsidR="00703458" w:rsidRPr="00556FE3" w:rsidRDefault="00CC0401" w:rsidP="00CC0401">
      <w:pPr>
        <w:pStyle w:val="enumlev1"/>
        <w:jc w:val="both"/>
        <w:rPr>
          <w:rFonts w:eastAsia="Calibri"/>
        </w:rPr>
      </w:pPr>
      <w:r w:rsidRPr="00556FE3">
        <w:rPr>
          <w:rFonts w:asciiTheme="minorHAnsi" w:eastAsia="Calibri" w:hAnsiTheme="minorHAnsi" w:cstheme="minorBidi"/>
          <w:bCs/>
        </w:rPr>
        <w:t>–</w:t>
      </w:r>
      <w:r w:rsidRPr="00556FE3">
        <w:rPr>
          <w:rFonts w:asciiTheme="minorHAnsi" w:eastAsia="Calibri" w:hAnsiTheme="minorHAnsi" w:cstheme="minorBidi"/>
          <w:bCs/>
        </w:rPr>
        <w:tab/>
      </w:r>
      <w:r w:rsidR="00703458" w:rsidRPr="00556FE3">
        <w:rPr>
          <w:rFonts w:eastAsia="Calibri"/>
          <w:b/>
          <w:bCs/>
        </w:rPr>
        <w:t>Geneva-adjacent events</w:t>
      </w:r>
      <w:r w:rsidR="00703458" w:rsidRPr="00556FE3">
        <w:rPr>
          <w:rFonts w:eastAsia="Calibri"/>
        </w:rPr>
        <w:t>: benefit from existing ITU-owned infrastructure and negligible shipping costs, making the digital transition a high-margin efficiency gain.</w:t>
      </w:r>
    </w:p>
    <w:p w14:paraId="3A6D4666" w14:textId="600B3828" w:rsidR="00703458" w:rsidRPr="00556FE3" w:rsidRDefault="00CC0401" w:rsidP="00CC0401">
      <w:pPr>
        <w:pStyle w:val="enumlev1"/>
        <w:jc w:val="both"/>
        <w:rPr>
          <w:rFonts w:asciiTheme="minorHAnsi" w:eastAsia="Calibri" w:hAnsiTheme="minorHAnsi" w:cstheme="minorBidi"/>
        </w:rPr>
      </w:pPr>
      <w:r w:rsidRPr="00556FE3">
        <w:rPr>
          <w:rFonts w:asciiTheme="minorHAnsi" w:eastAsia="Calibri" w:hAnsiTheme="minorHAnsi" w:cstheme="minorBidi"/>
          <w:bCs/>
        </w:rPr>
        <w:t>–</w:t>
      </w:r>
      <w:r w:rsidRPr="00556FE3">
        <w:rPr>
          <w:rFonts w:asciiTheme="minorHAnsi" w:eastAsia="Calibri" w:hAnsiTheme="minorHAnsi" w:cstheme="minorBidi"/>
          <w:bCs/>
        </w:rPr>
        <w:tab/>
      </w:r>
      <w:r w:rsidR="00703458" w:rsidRPr="00556FE3">
        <w:rPr>
          <w:rFonts w:asciiTheme="minorHAnsi" w:eastAsia="Calibri" w:hAnsiTheme="minorHAnsi" w:cstheme="minorBidi"/>
          <w:b/>
        </w:rPr>
        <w:t>International events</w:t>
      </w:r>
      <w:r w:rsidR="00703458" w:rsidRPr="00556FE3">
        <w:rPr>
          <w:rFonts w:asciiTheme="minorHAnsi" w:eastAsia="Calibri" w:hAnsiTheme="minorHAnsi" w:cstheme="minorBidi"/>
        </w:rPr>
        <w:t>: digital badges significantly reduce the logistics premium. By</w:t>
      </w:r>
      <w:r w:rsidR="00375245" w:rsidRPr="00556FE3">
        <w:rPr>
          <w:rFonts w:asciiTheme="minorHAnsi" w:eastAsia="Calibri" w:hAnsiTheme="minorHAnsi" w:cstheme="minorBidi"/>
        </w:rPr>
        <w:t> </w:t>
      </w:r>
      <w:r w:rsidR="00703458" w:rsidRPr="00556FE3">
        <w:rPr>
          <w:rFonts w:asciiTheme="minorHAnsi" w:eastAsia="Calibri" w:hAnsiTheme="minorHAnsi" w:cstheme="minorBidi"/>
        </w:rPr>
        <w:t xml:space="preserve">eliminating the need to ship </w:t>
      </w:r>
      <w:r w:rsidR="00703458" w:rsidRPr="00556FE3">
        <w:rPr>
          <w:rFonts w:eastAsia="Calibri"/>
        </w:rPr>
        <w:t>thousands</w:t>
      </w:r>
      <w:r w:rsidR="00703458" w:rsidRPr="00556FE3">
        <w:rPr>
          <w:rFonts w:asciiTheme="minorHAnsi" w:eastAsia="Calibri" w:hAnsiTheme="minorHAnsi" w:cstheme="minorBidi"/>
        </w:rPr>
        <w:t xml:space="preserve"> of physical cards and heavy industrial printers (which often require complex ATA Carnet documentation and expensive air freight), </w:t>
      </w:r>
      <w:r w:rsidR="004A3DDC" w:rsidRPr="00556FE3">
        <w:rPr>
          <w:rFonts w:asciiTheme="minorHAnsi" w:eastAsia="Calibri" w:hAnsiTheme="minorHAnsi" w:cstheme="minorBidi"/>
        </w:rPr>
        <w:t>h</w:t>
      </w:r>
      <w:r w:rsidR="00703458" w:rsidRPr="00556FE3">
        <w:rPr>
          <w:rFonts w:asciiTheme="minorHAnsi" w:eastAsia="Calibri" w:hAnsiTheme="minorHAnsi" w:cstheme="minorBidi"/>
        </w:rPr>
        <w:t xml:space="preserve">ost </w:t>
      </w:r>
      <w:r w:rsidR="004A3DDC" w:rsidRPr="00556FE3">
        <w:rPr>
          <w:rFonts w:asciiTheme="minorHAnsi" w:eastAsia="Calibri" w:hAnsiTheme="minorHAnsi" w:cstheme="minorBidi"/>
        </w:rPr>
        <w:t>c</w:t>
      </w:r>
      <w:r w:rsidR="00703458" w:rsidRPr="00556FE3">
        <w:rPr>
          <w:rFonts w:asciiTheme="minorHAnsi" w:eastAsia="Calibri" w:hAnsiTheme="minorHAnsi" w:cstheme="minorBidi"/>
        </w:rPr>
        <w:t>ountries can see a reduction in specialized shipping costs of approximately USD</w:t>
      </w:r>
      <w:r w:rsidR="00375245" w:rsidRPr="00556FE3">
        <w:rPr>
          <w:rFonts w:asciiTheme="minorHAnsi" w:eastAsia="Calibri" w:hAnsiTheme="minorHAnsi" w:cstheme="minorBidi"/>
        </w:rPr>
        <w:t> </w:t>
      </w:r>
      <w:r w:rsidR="00703458" w:rsidRPr="00556FE3">
        <w:rPr>
          <w:rFonts w:asciiTheme="minorHAnsi" w:eastAsia="Calibri" w:hAnsiTheme="minorHAnsi" w:cstheme="minorBidi"/>
        </w:rPr>
        <w:t>10</w:t>
      </w:r>
      <w:r w:rsidRPr="00556FE3">
        <w:rPr>
          <w:rFonts w:asciiTheme="minorHAnsi" w:eastAsia="Calibri" w:hAnsiTheme="minorHAnsi" w:cstheme="minorBidi"/>
        </w:rPr>
        <w:t> </w:t>
      </w:r>
      <w:r w:rsidR="00703458" w:rsidRPr="00556FE3">
        <w:rPr>
          <w:rFonts w:asciiTheme="minorHAnsi" w:eastAsia="Calibri" w:hAnsiTheme="minorHAnsi" w:cstheme="minorBidi"/>
        </w:rPr>
        <w:t>000</w:t>
      </w:r>
      <w:r w:rsidRPr="00556FE3">
        <w:rPr>
          <w:rFonts w:asciiTheme="minorHAnsi" w:eastAsia="Calibri" w:hAnsiTheme="minorHAnsi" w:cstheme="minorBidi"/>
        </w:rPr>
        <w:t>-</w:t>
      </w:r>
      <w:r w:rsidR="00703458" w:rsidRPr="00556FE3">
        <w:rPr>
          <w:rFonts w:asciiTheme="minorHAnsi" w:eastAsia="Calibri" w:hAnsiTheme="minorHAnsi" w:cstheme="minorBidi"/>
        </w:rPr>
        <w:t>15</w:t>
      </w:r>
      <w:r w:rsidRPr="00556FE3">
        <w:rPr>
          <w:rFonts w:asciiTheme="minorHAnsi" w:eastAsia="Calibri" w:hAnsiTheme="minorHAnsi" w:cstheme="minorBidi"/>
        </w:rPr>
        <w:t> </w:t>
      </w:r>
      <w:r w:rsidR="00703458" w:rsidRPr="00556FE3">
        <w:rPr>
          <w:rFonts w:asciiTheme="minorHAnsi" w:eastAsia="Calibri" w:hAnsiTheme="minorHAnsi" w:cstheme="minorBidi"/>
        </w:rPr>
        <w:t>000 per major event</w:t>
      </w:r>
      <w:r w:rsidR="004E5CA8" w:rsidRPr="00556FE3">
        <w:rPr>
          <w:rFonts w:asciiTheme="minorHAnsi" w:eastAsia="Calibri" w:hAnsiTheme="minorHAnsi" w:cstheme="minorBidi"/>
        </w:rPr>
        <w:t>.</w:t>
      </w:r>
    </w:p>
    <w:p w14:paraId="064E1F19" w14:textId="2CF4806A" w:rsidR="461DD754" w:rsidRPr="00556FE3" w:rsidRDefault="461DD754" w:rsidP="00556FE3">
      <w:pPr>
        <w:jc w:val="both"/>
      </w:pPr>
      <w:r w:rsidRPr="00556FE3">
        <w:t>Although digital accreditation reduces overall logistics requirements, the shipment of biometric and access-control equipment remains a cost driver and should be optimized through exploring a hybrid model combining centralized assets and local rental when fe</w:t>
      </w:r>
      <w:r w:rsidR="12B638D7" w:rsidRPr="00556FE3">
        <w:t>asible</w:t>
      </w:r>
      <w:r w:rsidRPr="00556FE3">
        <w:t>.</w:t>
      </w:r>
    </w:p>
    <w:p w14:paraId="46A3AE38" w14:textId="31AE3C88" w:rsidR="00703458" w:rsidRPr="00556FE3" w:rsidDel="0001061E" w:rsidRDefault="461DD754" w:rsidP="00556FE3">
      <w:pPr>
        <w:jc w:val="both"/>
      </w:pPr>
      <w:r w:rsidRPr="00556FE3">
        <w:t>The selection of digital accreditation solutions and deployment models should be aligned with the broader IT modernization strategy, which must also prioritize reducing the operational and financial burden on host countries through simplified logistics, minimized equipment shipment, and flexible sourcing approaches.</w:t>
      </w:r>
    </w:p>
    <w:p w14:paraId="15640E89" w14:textId="3C4034F8" w:rsidR="7123AA63" w:rsidRPr="00556FE3" w:rsidRDefault="64CF3819" w:rsidP="00556FE3">
      <w:pPr>
        <w:jc w:val="both"/>
        <w:rPr>
          <w:rFonts w:asciiTheme="minorHAnsi" w:eastAsia="Calibri" w:hAnsiTheme="minorHAnsi" w:cstheme="minorHAnsi"/>
        </w:rPr>
      </w:pPr>
      <w:r w:rsidRPr="00556FE3">
        <w:rPr>
          <w:rFonts w:asciiTheme="minorHAnsi" w:eastAsia="Segoe UI" w:hAnsiTheme="minorHAnsi" w:cstheme="minorHAnsi"/>
        </w:rPr>
        <w:t xml:space="preserve">The </w:t>
      </w:r>
      <w:r w:rsidR="007C46AF" w:rsidRPr="00556FE3">
        <w:rPr>
          <w:rFonts w:asciiTheme="minorHAnsi" w:eastAsia="Segoe UI" w:hAnsiTheme="minorHAnsi" w:cstheme="minorHAnsi"/>
        </w:rPr>
        <w:t>s</w:t>
      </w:r>
      <w:r w:rsidRPr="00556FE3">
        <w:rPr>
          <w:rFonts w:asciiTheme="minorHAnsi" w:eastAsia="Segoe UI" w:hAnsiTheme="minorHAnsi" w:cstheme="minorHAnsi"/>
        </w:rPr>
        <w:t>ecretariat is currently assessing various digital solutions for registration, accreditation, and badging processes across different types of events, including statutory conferences and technical meetings held in Geneva and other locations. The rollout plan aims to achieve digital operational capability by 2027 for selected events, potentially aligning with major conferences such as the World Radiocommunication Conference 2027</w:t>
      </w:r>
      <w:r w:rsidR="37B5FB05" w:rsidRPr="00556FE3">
        <w:rPr>
          <w:rFonts w:asciiTheme="minorHAnsi" w:eastAsia="Segoe UI" w:hAnsiTheme="minorHAnsi" w:cstheme="minorHAnsi"/>
          <w:color w:val="1F243C"/>
        </w:rPr>
        <w:t xml:space="preserve">. </w:t>
      </w:r>
    </w:p>
    <w:p w14:paraId="559201DE" w14:textId="33DA6CEB" w:rsidR="7123AA63" w:rsidRPr="00556FE3" w:rsidRDefault="37B5FB05" w:rsidP="00CF53A1">
      <w:pPr>
        <w:keepNext/>
        <w:keepLines/>
        <w:jc w:val="both"/>
        <w:rPr>
          <w:rFonts w:asciiTheme="minorHAnsi" w:eastAsia="Calibri" w:hAnsiTheme="minorHAnsi" w:cstheme="minorBidi"/>
        </w:rPr>
      </w:pPr>
      <w:r w:rsidRPr="00556FE3">
        <w:rPr>
          <w:rFonts w:asciiTheme="minorHAnsi" w:eastAsia="Segoe UI" w:hAnsiTheme="minorHAnsi" w:cstheme="minorBidi"/>
        </w:rPr>
        <w:t xml:space="preserve">The current roadmap includes these milestones: </w:t>
      </w:r>
    </w:p>
    <w:p w14:paraId="438D201A" w14:textId="388E1E4B" w:rsidR="7123AA63" w:rsidRPr="00556FE3" w:rsidRDefault="00CC0401" w:rsidP="00556FE3">
      <w:pPr>
        <w:pStyle w:val="enumlev1"/>
        <w:rPr>
          <w:rFonts w:eastAsia="Calibri"/>
        </w:rPr>
      </w:pPr>
      <w:r w:rsidRPr="00556FE3">
        <w:rPr>
          <w:rFonts w:eastAsia="Calibri"/>
        </w:rPr>
        <w:t>–</w:t>
      </w:r>
      <w:r w:rsidRPr="00556FE3">
        <w:rPr>
          <w:rFonts w:eastAsia="Calibri"/>
        </w:rPr>
        <w:tab/>
      </w:r>
      <w:r w:rsidR="212DB5AA" w:rsidRPr="00556FE3">
        <w:t>A dedicated task force was established by the end of 2025, and evaluation activities will continue throughout 2026.</w:t>
      </w:r>
      <w:r w:rsidR="37B5FB05" w:rsidRPr="00556FE3">
        <w:rPr>
          <w:rFonts w:eastAsia="Segoe UI"/>
        </w:rPr>
        <w:t xml:space="preserve"> </w:t>
      </w:r>
    </w:p>
    <w:p w14:paraId="4EEC27A4" w14:textId="37D06861" w:rsidR="7123AA63" w:rsidRPr="00556FE3" w:rsidRDefault="00CC0401" w:rsidP="00556FE3">
      <w:pPr>
        <w:pStyle w:val="enumlev1"/>
        <w:rPr>
          <w:rFonts w:eastAsia="Calibri"/>
        </w:rPr>
      </w:pPr>
      <w:r w:rsidRPr="00556FE3">
        <w:rPr>
          <w:rFonts w:eastAsia="Calibri"/>
        </w:rPr>
        <w:lastRenderedPageBreak/>
        <w:t>–</w:t>
      </w:r>
      <w:r w:rsidRPr="00556FE3">
        <w:rPr>
          <w:rFonts w:eastAsia="Calibri"/>
        </w:rPr>
        <w:tab/>
      </w:r>
      <w:r w:rsidR="37B5FB05" w:rsidRPr="00556FE3">
        <w:rPr>
          <w:rFonts w:eastAsia="Segoe UI"/>
        </w:rPr>
        <w:t xml:space="preserve">Identify and prioritize event types to define technical, security, and operational needs. </w:t>
      </w:r>
    </w:p>
    <w:p w14:paraId="2CC4E1D4" w14:textId="5EA3DA4E" w:rsidR="7123AA63" w:rsidRPr="00556FE3" w:rsidRDefault="00CC0401" w:rsidP="00556FE3">
      <w:pPr>
        <w:pStyle w:val="enumlev1"/>
        <w:rPr>
          <w:rFonts w:eastAsia="Calibri"/>
        </w:rPr>
      </w:pPr>
      <w:r w:rsidRPr="00556FE3">
        <w:rPr>
          <w:rFonts w:eastAsia="Calibri"/>
        </w:rPr>
        <w:t>–</w:t>
      </w:r>
      <w:r w:rsidRPr="00556FE3">
        <w:rPr>
          <w:rFonts w:eastAsia="Calibri"/>
        </w:rPr>
        <w:tab/>
      </w:r>
      <w:r w:rsidR="37B5FB05" w:rsidRPr="00556FE3">
        <w:rPr>
          <w:rFonts w:eastAsia="Segoe UI"/>
        </w:rPr>
        <w:t xml:space="preserve">Implement progressive pilot programs during 2026, starting with small trials at Geneva meetings to check key performance indicators on cost, efficiency, security, and participant experience. </w:t>
      </w:r>
    </w:p>
    <w:p w14:paraId="57A654E3" w14:textId="5D5D2A3B" w:rsidR="7123AA63" w:rsidRPr="00556FE3" w:rsidRDefault="00CC0401" w:rsidP="00556FE3">
      <w:pPr>
        <w:pStyle w:val="enumlev1"/>
        <w:rPr>
          <w:rFonts w:eastAsia="Calibri"/>
        </w:rPr>
      </w:pPr>
      <w:r w:rsidRPr="00556FE3">
        <w:rPr>
          <w:rFonts w:eastAsia="Calibri"/>
        </w:rPr>
        <w:t>–</w:t>
      </w:r>
      <w:r w:rsidRPr="00556FE3">
        <w:rPr>
          <w:rFonts w:eastAsia="Calibri"/>
        </w:rPr>
        <w:tab/>
      </w:r>
      <w:r w:rsidR="37B5FB05" w:rsidRPr="00556FE3">
        <w:rPr>
          <w:rFonts w:eastAsia="Segoe UI"/>
        </w:rPr>
        <w:t xml:space="preserve">Evaluate sustainability benefits and cost implications as pilot results come in. </w:t>
      </w:r>
    </w:p>
    <w:p w14:paraId="4E595031" w14:textId="169E9D47" w:rsidR="7023495D" w:rsidRPr="00556FE3" w:rsidRDefault="7023495D" w:rsidP="75614DC7">
      <w:pPr>
        <w:jc w:val="both"/>
        <w:rPr>
          <w:rFonts w:eastAsia="Calibri" w:cs="Calibri"/>
        </w:rPr>
      </w:pPr>
      <w:r w:rsidRPr="00556FE3">
        <w:rPr>
          <w:rFonts w:eastAsia="Segoe UI"/>
        </w:rPr>
        <w:t xml:space="preserve">During 2026, ITU is piloting a commercial Event Management solution (for </w:t>
      </w:r>
      <w:proofErr w:type="spellStart"/>
      <w:r w:rsidRPr="00556FE3">
        <w:rPr>
          <w:rFonts w:eastAsia="Segoe UI"/>
        </w:rPr>
        <w:t>AI4Good</w:t>
      </w:r>
      <w:proofErr w:type="spellEnd"/>
      <w:r w:rsidRPr="00556FE3">
        <w:rPr>
          <w:rFonts w:eastAsia="Segoe UI"/>
        </w:rPr>
        <w:t xml:space="preserve"> and WSIS events) already used by other UN agencies to assess its suitability for ITU events across different areas. The pilot includes testing various features and a financial assessment comparing Geneva-based events with events abroad. The results will inform the decision-making process for Event Management modernization.</w:t>
      </w:r>
      <w:r w:rsidR="724F975E" w:rsidRPr="00556FE3">
        <w:rPr>
          <w:rFonts w:eastAsia="Calibri" w:cs="Calibri"/>
          <w:szCs w:val="24"/>
        </w:rPr>
        <w:t xml:space="preserve"> </w:t>
      </w:r>
    </w:p>
    <w:p w14:paraId="59701A40" w14:textId="063C1419" w:rsidR="7023495D" w:rsidRPr="00556FE3" w:rsidRDefault="3F851D41" w:rsidP="5CEEB716">
      <w:pPr>
        <w:jc w:val="both"/>
        <w:rPr>
          <w:rFonts w:eastAsia="Calibri" w:cs="Calibri"/>
        </w:rPr>
      </w:pPr>
      <w:r w:rsidRPr="00556FE3">
        <w:rPr>
          <w:rFonts w:eastAsia="Calibri" w:cs="Calibri"/>
        </w:rPr>
        <w:t>The modernization roadmap for the Event Management platform will be developed and defined throughout 2026</w:t>
      </w:r>
      <w:r w:rsidR="5CC8D39E" w:rsidRPr="00556FE3">
        <w:rPr>
          <w:rFonts w:eastAsia="Calibri" w:cs="Calibri"/>
        </w:rPr>
        <w:t>-2027</w:t>
      </w:r>
      <w:r w:rsidRPr="00556FE3">
        <w:rPr>
          <w:rFonts w:eastAsia="Calibri" w:cs="Calibri"/>
        </w:rPr>
        <w:t xml:space="preserve">, aligned with </w:t>
      </w:r>
      <w:r w:rsidRPr="00556FE3">
        <w:rPr>
          <w:rFonts w:eastAsia="Calibri" w:cs="Calibri"/>
          <w:szCs w:val="24"/>
        </w:rPr>
        <w:t xml:space="preserve">broader technology </w:t>
      </w:r>
      <w:r w:rsidR="6FA6E086" w:rsidRPr="00556FE3">
        <w:rPr>
          <w:rFonts w:eastAsia="Calibri" w:cs="Calibri"/>
          <w:szCs w:val="24"/>
        </w:rPr>
        <w:t xml:space="preserve">and enterprise </w:t>
      </w:r>
      <w:r w:rsidR="46A63258" w:rsidRPr="00556FE3">
        <w:rPr>
          <w:rFonts w:eastAsia="Calibri" w:cs="Calibri"/>
          <w:szCs w:val="24"/>
        </w:rPr>
        <w:t xml:space="preserve">systems modernization including events management systems and informed </w:t>
      </w:r>
      <w:r w:rsidRPr="00556FE3">
        <w:rPr>
          <w:rFonts w:eastAsia="Calibri" w:cs="Calibri"/>
        </w:rPr>
        <w:t>and informed by the outcomes of the pilot and ITU Enterprise Architecture solution landscape assessments.</w:t>
      </w:r>
    </w:p>
    <w:p w14:paraId="72D563CB" w14:textId="79626ED3" w:rsidR="52EB587F" w:rsidRPr="00556FE3" w:rsidRDefault="52ECB3F6" w:rsidP="00CC0401">
      <w:pPr>
        <w:jc w:val="both"/>
        <w:rPr>
          <w:rFonts w:eastAsia="Calibri" w:cs="Calibri"/>
          <w:szCs w:val="24"/>
        </w:rPr>
      </w:pPr>
      <w:r w:rsidRPr="00556FE3">
        <w:rPr>
          <w:rFonts w:eastAsia="Calibri" w:cs="Calibri"/>
          <w:szCs w:val="24"/>
        </w:rPr>
        <w:t xml:space="preserve">In parallel, the </w:t>
      </w:r>
      <w:r w:rsidR="005D1418" w:rsidRPr="00556FE3">
        <w:rPr>
          <w:rFonts w:eastAsia="Calibri" w:cs="Calibri"/>
          <w:szCs w:val="24"/>
        </w:rPr>
        <w:t>s</w:t>
      </w:r>
      <w:r w:rsidRPr="00556FE3">
        <w:rPr>
          <w:rFonts w:eastAsia="Calibri" w:cs="Calibri"/>
          <w:szCs w:val="24"/>
        </w:rPr>
        <w:t>ecretariat plans to leverage advancements from the UN Digital ID Initiative starting in 2026. This initiative will establish trusted digital identities across the UN system using secure mobile technologies and enhanced identity verification methods. ITU aim</w:t>
      </w:r>
      <w:r w:rsidR="005D1418" w:rsidRPr="00556FE3">
        <w:rPr>
          <w:rFonts w:eastAsia="Calibri" w:cs="Calibri"/>
          <w:szCs w:val="24"/>
        </w:rPr>
        <w:t>s</w:t>
      </w:r>
      <w:r w:rsidRPr="00556FE3">
        <w:rPr>
          <w:rFonts w:eastAsia="Calibri" w:cs="Calibri"/>
          <w:szCs w:val="24"/>
        </w:rPr>
        <w:t xml:space="preserve"> to integrate these capabilities into the accreditation process to support secure digital credentials, enable real-time participant authentication, and reduce reliance on physical badges and manual verification procedures.</w:t>
      </w:r>
    </w:p>
    <w:p w14:paraId="1F9F9C85" w14:textId="77777777" w:rsidR="00375245" w:rsidRPr="00556FE3" w:rsidRDefault="00375245" w:rsidP="00CC0401">
      <w:pPr>
        <w:jc w:val="both"/>
        <w:rPr>
          <w:rFonts w:eastAsia="Calibri" w:cs="Calibri"/>
          <w:szCs w:val="24"/>
        </w:rPr>
      </w:pPr>
    </w:p>
    <w:p w14:paraId="217A20CD" w14:textId="77777777" w:rsidR="007A3FCD" w:rsidRPr="00556FE3" w:rsidRDefault="007A3FCD" w:rsidP="007A3FCD">
      <w:pPr>
        <w:jc w:val="center"/>
      </w:pPr>
      <w:r w:rsidRPr="00556FE3">
        <w:t>______________</w:t>
      </w:r>
    </w:p>
    <w:sectPr w:rsidR="007A3FCD" w:rsidRPr="00556FE3" w:rsidSect="00841E4A">
      <w:headerReference w:type="even" r:id="rId22"/>
      <w:headerReference w:type="default" r:id="rId23"/>
      <w:footerReference w:type="even" r:id="rId24"/>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B7A4" w14:textId="77777777" w:rsidR="008806CB" w:rsidRDefault="008806CB">
      <w:r>
        <w:separator/>
      </w:r>
    </w:p>
  </w:endnote>
  <w:endnote w:type="continuationSeparator" w:id="0">
    <w:p w14:paraId="14ADFA15" w14:textId="77777777" w:rsidR="008806CB" w:rsidRDefault="0088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0358" w14:textId="77777777" w:rsidR="001906EB" w:rsidRDefault="0019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704ADDFE" w:rsidR="00EE49E8" w:rsidRPr="00E06FD5" w:rsidRDefault="00EE49E8" w:rsidP="001F5569">
          <w:pPr>
            <w:pStyle w:val="Header"/>
            <w:tabs>
              <w:tab w:val="left" w:pos="6731"/>
              <w:tab w:val="right" w:pos="8505"/>
            </w:tabs>
            <w:jc w:val="left"/>
            <w:rPr>
              <w:rFonts w:ascii="Arial" w:hAnsi="Arial" w:cs="Arial"/>
              <w:b/>
              <w:szCs w:val="18"/>
            </w:rPr>
          </w:pPr>
          <w:r>
            <w:rPr>
              <w:bCs/>
            </w:rPr>
            <w:tab/>
          </w:r>
          <w:proofErr w:type="spellStart"/>
          <w:r w:rsidRPr="00623AE3">
            <w:rPr>
              <w:bCs/>
            </w:rPr>
            <w:t>C</w:t>
          </w:r>
          <w:r>
            <w:rPr>
              <w:bCs/>
            </w:rPr>
            <w:t>2</w:t>
          </w:r>
          <w:r w:rsidR="00DE532B">
            <w:rPr>
              <w:bCs/>
            </w:rPr>
            <w:t>6</w:t>
          </w:r>
          <w:proofErr w:type="spellEnd"/>
          <w:r w:rsidRPr="00623AE3">
            <w:rPr>
              <w:bCs/>
            </w:rPr>
            <w:t>/</w:t>
          </w:r>
          <w:r w:rsidR="00840274">
            <w:rPr>
              <w:bCs/>
            </w:rPr>
            <w:t>71</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6F9D686A" w:rsidR="00EE49E8" w:rsidRPr="00E06FD5" w:rsidRDefault="00EE49E8" w:rsidP="001F5569">
          <w:pPr>
            <w:pStyle w:val="Header"/>
            <w:tabs>
              <w:tab w:val="left" w:pos="6731"/>
              <w:tab w:val="right" w:pos="8505"/>
            </w:tabs>
            <w:jc w:val="left"/>
            <w:rPr>
              <w:rFonts w:ascii="Arial" w:hAnsi="Arial" w:cs="Arial"/>
              <w:b/>
              <w:szCs w:val="18"/>
            </w:rPr>
          </w:pPr>
          <w:r>
            <w:rPr>
              <w:bCs/>
            </w:rPr>
            <w:tab/>
          </w:r>
          <w:proofErr w:type="spellStart"/>
          <w:r w:rsidRPr="00623AE3">
            <w:rPr>
              <w:bCs/>
            </w:rPr>
            <w:t>C</w:t>
          </w:r>
          <w:r>
            <w:rPr>
              <w:bCs/>
            </w:rPr>
            <w:t>2</w:t>
          </w:r>
          <w:r w:rsidR="00DE532B">
            <w:rPr>
              <w:bCs/>
            </w:rPr>
            <w:t>6</w:t>
          </w:r>
          <w:proofErr w:type="spellEnd"/>
          <w:r w:rsidRPr="00623AE3">
            <w:rPr>
              <w:bCs/>
            </w:rPr>
            <w:t>/</w:t>
          </w:r>
          <w:r w:rsidR="001906EB">
            <w:rPr>
              <w:bCs/>
            </w:rPr>
            <w:t>71</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5A71" w14:textId="77777777" w:rsidR="008806CB" w:rsidRDefault="008806CB">
      <w:r>
        <w:t>____________________</w:t>
      </w:r>
    </w:p>
  </w:footnote>
  <w:footnote w:type="continuationSeparator" w:id="0">
    <w:p w14:paraId="528C6DB5" w14:textId="77777777" w:rsidR="008806CB" w:rsidRDefault="0088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6C47" w14:textId="77777777" w:rsidR="001906EB" w:rsidRDefault="0019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519A" w14:textId="77777777" w:rsidR="001906EB" w:rsidRDefault="00190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1560"/>
        </w:tabs>
        <w:ind w:left="1560" w:hanging="360"/>
      </w:pPr>
      <w:rPr>
        <w:rFonts w:ascii="Symbol" w:hAnsi="Symbol" w:hint="default"/>
      </w:rPr>
    </w:lvl>
  </w:abstractNum>
  <w:abstractNum w:abstractNumId="1" w15:restartNumberingAfterBreak="0">
    <w:nsid w:val="29572469"/>
    <w:multiLevelType w:val="hybridMultilevel"/>
    <w:tmpl w:val="053A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255E1"/>
    <w:multiLevelType w:val="hybridMultilevel"/>
    <w:tmpl w:val="FFFFFFFF"/>
    <w:lvl w:ilvl="0" w:tplc="DF66D9E4">
      <w:start w:val="1"/>
      <w:numFmt w:val="bullet"/>
      <w:lvlText w:val="·"/>
      <w:lvlJc w:val="left"/>
      <w:pPr>
        <w:ind w:left="720" w:hanging="360"/>
      </w:pPr>
      <w:rPr>
        <w:rFonts w:ascii="Symbol" w:hAnsi="Symbol" w:hint="default"/>
      </w:rPr>
    </w:lvl>
    <w:lvl w:ilvl="1" w:tplc="920EC1C4">
      <w:start w:val="1"/>
      <w:numFmt w:val="bullet"/>
      <w:lvlText w:val="o"/>
      <w:lvlJc w:val="left"/>
      <w:pPr>
        <w:ind w:left="1440" w:hanging="360"/>
      </w:pPr>
      <w:rPr>
        <w:rFonts w:ascii="Courier New" w:hAnsi="Courier New" w:hint="default"/>
      </w:rPr>
    </w:lvl>
    <w:lvl w:ilvl="2" w:tplc="2B0A7910">
      <w:start w:val="1"/>
      <w:numFmt w:val="bullet"/>
      <w:lvlText w:val=""/>
      <w:lvlJc w:val="left"/>
      <w:pPr>
        <w:ind w:left="2160" w:hanging="360"/>
      </w:pPr>
      <w:rPr>
        <w:rFonts w:ascii="Wingdings" w:hAnsi="Wingdings" w:hint="default"/>
      </w:rPr>
    </w:lvl>
    <w:lvl w:ilvl="3" w:tplc="C1EE5466">
      <w:start w:val="1"/>
      <w:numFmt w:val="bullet"/>
      <w:lvlText w:val=""/>
      <w:lvlJc w:val="left"/>
      <w:pPr>
        <w:ind w:left="2880" w:hanging="360"/>
      </w:pPr>
      <w:rPr>
        <w:rFonts w:ascii="Symbol" w:hAnsi="Symbol" w:hint="default"/>
      </w:rPr>
    </w:lvl>
    <w:lvl w:ilvl="4" w:tplc="476A27D6">
      <w:start w:val="1"/>
      <w:numFmt w:val="bullet"/>
      <w:lvlText w:val="o"/>
      <w:lvlJc w:val="left"/>
      <w:pPr>
        <w:ind w:left="3600" w:hanging="360"/>
      </w:pPr>
      <w:rPr>
        <w:rFonts w:ascii="Courier New" w:hAnsi="Courier New" w:hint="default"/>
      </w:rPr>
    </w:lvl>
    <w:lvl w:ilvl="5" w:tplc="BA56EF6C">
      <w:start w:val="1"/>
      <w:numFmt w:val="bullet"/>
      <w:lvlText w:val=""/>
      <w:lvlJc w:val="left"/>
      <w:pPr>
        <w:ind w:left="4320" w:hanging="360"/>
      </w:pPr>
      <w:rPr>
        <w:rFonts w:ascii="Wingdings" w:hAnsi="Wingdings" w:hint="default"/>
      </w:rPr>
    </w:lvl>
    <w:lvl w:ilvl="6" w:tplc="8E804F16">
      <w:start w:val="1"/>
      <w:numFmt w:val="bullet"/>
      <w:lvlText w:val=""/>
      <w:lvlJc w:val="left"/>
      <w:pPr>
        <w:ind w:left="5040" w:hanging="360"/>
      </w:pPr>
      <w:rPr>
        <w:rFonts w:ascii="Symbol" w:hAnsi="Symbol" w:hint="default"/>
      </w:rPr>
    </w:lvl>
    <w:lvl w:ilvl="7" w:tplc="88524DB6">
      <w:start w:val="1"/>
      <w:numFmt w:val="bullet"/>
      <w:lvlText w:val="o"/>
      <w:lvlJc w:val="left"/>
      <w:pPr>
        <w:ind w:left="5760" w:hanging="360"/>
      </w:pPr>
      <w:rPr>
        <w:rFonts w:ascii="Courier New" w:hAnsi="Courier New" w:hint="default"/>
      </w:rPr>
    </w:lvl>
    <w:lvl w:ilvl="8" w:tplc="9560194C">
      <w:start w:val="1"/>
      <w:numFmt w:val="bullet"/>
      <w:lvlText w:val=""/>
      <w:lvlJc w:val="left"/>
      <w:pPr>
        <w:ind w:left="6480" w:hanging="360"/>
      </w:pPr>
      <w:rPr>
        <w:rFonts w:ascii="Wingdings" w:hAnsi="Wingdings" w:hint="default"/>
      </w:rPr>
    </w:lvl>
  </w:abstractNum>
  <w:abstractNum w:abstractNumId="3" w15:restartNumberingAfterBreak="0">
    <w:nsid w:val="3E803E3E"/>
    <w:multiLevelType w:val="hybridMultilevel"/>
    <w:tmpl w:val="734CB3CC"/>
    <w:lvl w:ilvl="0" w:tplc="0AFCD9A0">
      <w:start w:val="1"/>
      <w:numFmt w:val="bullet"/>
      <w:lvlText w:val="-"/>
      <w:lvlJc w:val="left"/>
      <w:pPr>
        <w:ind w:left="720" w:hanging="360"/>
      </w:pPr>
      <w:rPr>
        <w:rFonts w:ascii="Aptos" w:hAnsi="Aptos" w:hint="default"/>
      </w:rPr>
    </w:lvl>
    <w:lvl w:ilvl="1" w:tplc="8BBC55B6">
      <w:start w:val="1"/>
      <w:numFmt w:val="bullet"/>
      <w:lvlText w:val="o"/>
      <w:lvlJc w:val="left"/>
      <w:pPr>
        <w:ind w:left="1440" w:hanging="360"/>
      </w:pPr>
      <w:rPr>
        <w:rFonts w:ascii="Courier New" w:hAnsi="Courier New" w:hint="default"/>
      </w:rPr>
    </w:lvl>
    <w:lvl w:ilvl="2" w:tplc="7CAA1E9A">
      <w:start w:val="1"/>
      <w:numFmt w:val="bullet"/>
      <w:lvlText w:val=""/>
      <w:lvlJc w:val="left"/>
      <w:pPr>
        <w:ind w:left="2160" w:hanging="360"/>
      </w:pPr>
      <w:rPr>
        <w:rFonts w:ascii="Wingdings" w:hAnsi="Wingdings" w:hint="default"/>
      </w:rPr>
    </w:lvl>
    <w:lvl w:ilvl="3" w:tplc="73F87262">
      <w:start w:val="1"/>
      <w:numFmt w:val="bullet"/>
      <w:lvlText w:val=""/>
      <w:lvlJc w:val="left"/>
      <w:pPr>
        <w:ind w:left="2880" w:hanging="360"/>
      </w:pPr>
      <w:rPr>
        <w:rFonts w:ascii="Symbol" w:hAnsi="Symbol" w:hint="default"/>
      </w:rPr>
    </w:lvl>
    <w:lvl w:ilvl="4" w:tplc="75887AEC">
      <w:start w:val="1"/>
      <w:numFmt w:val="bullet"/>
      <w:lvlText w:val="o"/>
      <w:lvlJc w:val="left"/>
      <w:pPr>
        <w:ind w:left="3600" w:hanging="360"/>
      </w:pPr>
      <w:rPr>
        <w:rFonts w:ascii="Courier New" w:hAnsi="Courier New" w:hint="default"/>
      </w:rPr>
    </w:lvl>
    <w:lvl w:ilvl="5" w:tplc="461609C4">
      <w:start w:val="1"/>
      <w:numFmt w:val="bullet"/>
      <w:lvlText w:val=""/>
      <w:lvlJc w:val="left"/>
      <w:pPr>
        <w:ind w:left="4320" w:hanging="360"/>
      </w:pPr>
      <w:rPr>
        <w:rFonts w:ascii="Wingdings" w:hAnsi="Wingdings" w:hint="default"/>
      </w:rPr>
    </w:lvl>
    <w:lvl w:ilvl="6" w:tplc="0C046E98">
      <w:start w:val="1"/>
      <w:numFmt w:val="bullet"/>
      <w:lvlText w:val=""/>
      <w:lvlJc w:val="left"/>
      <w:pPr>
        <w:ind w:left="5040" w:hanging="360"/>
      </w:pPr>
      <w:rPr>
        <w:rFonts w:ascii="Symbol" w:hAnsi="Symbol" w:hint="default"/>
      </w:rPr>
    </w:lvl>
    <w:lvl w:ilvl="7" w:tplc="5108FB82">
      <w:start w:val="1"/>
      <w:numFmt w:val="bullet"/>
      <w:lvlText w:val="o"/>
      <w:lvlJc w:val="left"/>
      <w:pPr>
        <w:ind w:left="5760" w:hanging="360"/>
      </w:pPr>
      <w:rPr>
        <w:rFonts w:ascii="Courier New" w:hAnsi="Courier New" w:hint="default"/>
      </w:rPr>
    </w:lvl>
    <w:lvl w:ilvl="8" w:tplc="6CBE4564">
      <w:start w:val="1"/>
      <w:numFmt w:val="bullet"/>
      <w:lvlText w:val=""/>
      <w:lvlJc w:val="left"/>
      <w:pPr>
        <w:ind w:left="6480" w:hanging="360"/>
      </w:pPr>
      <w:rPr>
        <w:rFonts w:ascii="Wingdings" w:hAnsi="Wingdings" w:hint="default"/>
      </w:rPr>
    </w:lvl>
  </w:abstractNum>
  <w:abstractNum w:abstractNumId="4" w15:restartNumberingAfterBreak="0">
    <w:nsid w:val="410A5021"/>
    <w:multiLevelType w:val="hybridMultilevel"/>
    <w:tmpl w:val="3034C9F4"/>
    <w:lvl w:ilvl="0" w:tplc="2F30B18C">
      <w:start w:val="1"/>
      <w:numFmt w:val="bullet"/>
      <w:lvlText w:val=""/>
      <w:lvlJc w:val="left"/>
      <w:pPr>
        <w:ind w:left="720" w:hanging="360"/>
      </w:pPr>
      <w:rPr>
        <w:rFonts w:ascii="Symbol" w:hAnsi="Symbol" w:hint="default"/>
      </w:rPr>
    </w:lvl>
    <w:lvl w:ilvl="1" w:tplc="CEF88752">
      <w:start w:val="1"/>
      <w:numFmt w:val="bullet"/>
      <w:lvlText w:val="o"/>
      <w:lvlJc w:val="left"/>
      <w:pPr>
        <w:ind w:left="1440" w:hanging="360"/>
      </w:pPr>
      <w:rPr>
        <w:rFonts w:ascii="Courier New" w:hAnsi="Courier New" w:hint="default"/>
      </w:rPr>
    </w:lvl>
    <w:lvl w:ilvl="2" w:tplc="B66AB50E">
      <w:start w:val="1"/>
      <w:numFmt w:val="bullet"/>
      <w:lvlText w:val=""/>
      <w:lvlJc w:val="left"/>
      <w:pPr>
        <w:ind w:left="2160" w:hanging="360"/>
      </w:pPr>
      <w:rPr>
        <w:rFonts w:ascii="Wingdings" w:hAnsi="Wingdings" w:hint="default"/>
      </w:rPr>
    </w:lvl>
    <w:lvl w:ilvl="3" w:tplc="8CBA444C">
      <w:start w:val="1"/>
      <w:numFmt w:val="bullet"/>
      <w:lvlText w:val=""/>
      <w:lvlJc w:val="left"/>
      <w:pPr>
        <w:ind w:left="2880" w:hanging="360"/>
      </w:pPr>
      <w:rPr>
        <w:rFonts w:ascii="Symbol" w:hAnsi="Symbol" w:hint="default"/>
      </w:rPr>
    </w:lvl>
    <w:lvl w:ilvl="4" w:tplc="8A2426D0">
      <w:start w:val="1"/>
      <w:numFmt w:val="bullet"/>
      <w:lvlText w:val="o"/>
      <w:lvlJc w:val="left"/>
      <w:pPr>
        <w:ind w:left="3600" w:hanging="360"/>
      </w:pPr>
      <w:rPr>
        <w:rFonts w:ascii="Courier New" w:hAnsi="Courier New" w:hint="default"/>
      </w:rPr>
    </w:lvl>
    <w:lvl w:ilvl="5" w:tplc="58ECB258">
      <w:start w:val="1"/>
      <w:numFmt w:val="bullet"/>
      <w:lvlText w:val=""/>
      <w:lvlJc w:val="left"/>
      <w:pPr>
        <w:ind w:left="4320" w:hanging="360"/>
      </w:pPr>
      <w:rPr>
        <w:rFonts w:ascii="Wingdings" w:hAnsi="Wingdings" w:hint="default"/>
      </w:rPr>
    </w:lvl>
    <w:lvl w:ilvl="6" w:tplc="7ABA9088">
      <w:start w:val="1"/>
      <w:numFmt w:val="bullet"/>
      <w:lvlText w:val=""/>
      <w:lvlJc w:val="left"/>
      <w:pPr>
        <w:ind w:left="5040" w:hanging="360"/>
      </w:pPr>
      <w:rPr>
        <w:rFonts w:ascii="Symbol" w:hAnsi="Symbol" w:hint="default"/>
      </w:rPr>
    </w:lvl>
    <w:lvl w:ilvl="7" w:tplc="23642796">
      <w:start w:val="1"/>
      <w:numFmt w:val="bullet"/>
      <w:lvlText w:val="o"/>
      <w:lvlJc w:val="left"/>
      <w:pPr>
        <w:ind w:left="5760" w:hanging="360"/>
      </w:pPr>
      <w:rPr>
        <w:rFonts w:ascii="Courier New" w:hAnsi="Courier New" w:hint="default"/>
      </w:rPr>
    </w:lvl>
    <w:lvl w:ilvl="8" w:tplc="0882D948">
      <w:start w:val="1"/>
      <w:numFmt w:val="bullet"/>
      <w:lvlText w:val=""/>
      <w:lvlJc w:val="left"/>
      <w:pPr>
        <w:ind w:left="6480" w:hanging="360"/>
      </w:pPr>
      <w:rPr>
        <w:rFonts w:ascii="Wingdings" w:hAnsi="Wingdings" w:hint="default"/>
      </w:rPr>
    </w:lvl>
  </w:abstractNum>
  <w:abstractNum w:abstractNumId="5" w15:restartNumberingAfterBreak="0">
    <w:nsid w:val="4A915E20"/>
    <w:multiLevelType w:val="hybridMultilevel"/>
    <w:tmpl w:val="8062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467D2"/>
    <w:multiLevelType w:val="hybridMultilevel"/>
    <w:tmpl w:val="042ED5AE"/>
    <w:lvl w:ilvl="0" w:tplc="7CE4AE9C">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9770564"/>
    <w:multiLevelType w:val="hybridMultilevel"/>
    <w:tmpl w:val="23DABF38"/>
    <w:lvl w:ilvl="0" w:tplc="6BA076D6">
      <w:start w:val="1"/>
      <w:numFmt w:val="bullet"/>
      <w:lvlText w:val=""/>
      <w:lvlJc w:val="left"/>
      <w:pPr>
        <w:ind w:left="720" w:hanging="360"/>
      </w:pPr>
      <w:rPr>
        <w:rFonts w:ascii="Symbol" w:hAnsi="Symbol" w:hint="default"/>
      </w:rPr>
    </w:lvl>
    <w:lvl w:ilvl="1" w:tplc="64C2E35A">
      <w:start w:val="1"/>
      <w:numFmt w:val="bullet"/>
      <w:lvlText w:val="o"/>
      <w:lvlJc w:val="left"/>
      <w:pPr>
        <w:ind w:left="1440" w:hanging="360"/>
      </w:pPr>
      <w:rPr>
        <w:rFonts w:ascii="Courier New" w:hAnsi="Courier New" w:hint="default"/>
      </w:rPr>
    </w:lvl>
    <w:lvl w:ilvl="2" w:tplc="A30A23E2">
      <w:start w:val="1"/>
      <w:numFmt w:val="bullet"/>
      <w:lvlText w:val=""/>
      <w:lvlJc w:val="left"/>
      <w:pPr>
        <w:ind w:left="2160" w:hanging="360"/>
      </w:pPr>
      <w:rPr>
        <w:rFonts w:ascii="Wingdings" w:hAnsi="Wingdings" w:hint="default"/>
      </w:rPr>
    </w:lvl>
    <w:lvl w:ilvl="3" w:tplc="E9FABAFC">
      <w:start w:val="1"/>
      <w:numFmt w:val="bullet"/>
      <w:lvlText w:val=""/>
      <w:lvlJc w:val="left"/>
      <w:pPr>
        <w:ind w:left="2880" w:hanging="360"/>
      </w:pPr>
      <w:rPr>
        <w:rFonts w:ascii="Symbol" w:hAnsi="Symbol" w:hint="default"/>
      </w:rPr>
    </w:lvl>
    <w:lvl w:ilvl="4" w:tplc="F940D8E6">
      <w:start w:val="1"/>
      <w:numFmt w:val="bullet"/>
      <w:lvlText w:val="o"/>
      <w:lvlJc w:val="left"/>
      <w:pPr>
        <w:ind w:left="3600" w:hanging="360"/>
      </w:pPr>
      <w:rPr>
        <w:rFonts w:ascii="Courier New" w:hAnsi="Courier New" w:hint="default"/>
      </w:rPr>
    </w:lvl>
    <w:lvl w:ilvl="5" w:tplc="AAFAAD06">
      <w:start w:val="1"/>
      <w:numFmt w:val="bullet"/>
      <w:lvlText w:val=""/>
      <w:lvlJc w:val="left"/>
      <w:pPr>
        <w:ind w:left="4320" w:hanging="360"/>
      </w:pPr>
      <w:rPr>
        <w:rFonts w:ascii="Wingdings" w:hAnsi="Wingdings" w:hint="default"/>
      </w:rPr>
    </w:lvl>
    <w:lvl w:ilvl="6" w:tplc="4A2044F4">
      <w:start w:val="1"/>
      <w:numFmt w:val="bullet"/>
      <w:lvlText w:val=""/>
      <w:lvlJc w:val="left"/>
      <w:pPr>
        <w:ind w:left="5040" w:hanging="360"/>
      </w:pPr>
      <w:rPr>
        <w:rFonts w:ascii="Symbol" w:hAnsi="Symbol" w:hint="default"/>
      </w:rPr>
    </w:lvl>
    <w:lvl w:ilvl="7" w:tplc="D9FA0502">
      <w:start w:val="1"/>
      <w:numFmt w:val="bullet"/>
      <w:lvlText w:val="o"/>
      <w:lvlJc w:val="left"/>
      <w:pPr>
        <w:ind w:left="5760" w:hanging="360"/>
      </w:pPr>
      <w:rPr>
        <w:rFonts w:ascii="Courier New" w:hAnsi="Courier New" w:hint="default"/>
      </w:rPr>
    </w:lvl>
    <w:lvl w:ilvl="8" w:tplc="86282FC6">
      <w:start w:val="1"/>
      <w:numFmt w:val="bullet"/>
      <w:lvlText w:val=""/>
      <w:lvlJc w:val="left"/>
      <w:pPr>
        <w:ind w:left="6480" w:hanging="360"/>
      </w:pPr>
      <w:rPr>
        <w:rFonts w:ascii="Wingdings" w:hAnsi="Wingdings" w:hint="default"/>
      </w:rPr>
    </w:lvl>
  </w:abstractNum>
  <w:abstractNum w:abstractNumId="8" w15:restartNumberingAfterBreak="0">
    <w:nsid w:val="60E635BE"/>
    <w:multiLevelType w:val="hybridMultilevel"/>
    <w:tmpl w:val="F9BE790A"/>
    <w:lvl w:ilvl="0" w:tplc="DA849D2A">
      <w:numFmt w:val="bullet"/>
      <w:lvlText w:val="-"/>
      <w:lvlJc w:val="left"/>
      <w:pPr>
        <w:ind w:left="720" w:hanging="360"/>
      </w:pPr>
      <w:rPr>
        <w:rFonts w:ascii="Calibri" w:eastAsia="Segoe UI" w:hAnsi="Calibri" w:cs="Calibri" w:hint="default"/>
        <w:color w:val="1F24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F1BB0"/>
    <w:multiLevelType w:val="hybridMultilevel"/>
    <w:tmpl w:val="463CE36C"/>
    <w:lvl w:ilvl="0" w:tplc="40CA160A">
      <w:start w:val="1"/>
      <w:numFmt w:val="bullet"/>
      <w:lvlText w:val=""/>
      <w:lvlJc w:val="left"/>
      <w:pPr>
        <w:ind w:left="720" w:hanging="360"/>
      </w:pPr>
      <w:rPr>
        <w:rFonts w:ascii="Symbol" w:hAnsi="Symbol" w:hint="default"/>
      </w:rPr>
    </w:lvl>
    <w:lvl w:ilvl="1" w:tplc="BBA2B2CA">
      <w:start w:val="1"/>
      <w:numFmt w:val="bullet"/>
      <w:lvlText w:val="o"/>
      <w:lvlJc w:val="left"/>
      <w:pPr>
        <w:ind w:left="1440" w:hanging="360"/>
      </w:pPr>
      <w:rPr>
        <w:rFonts w:ascii="Courier New" w:hAnsi="Courier New" w:hint="default"/>
      </w:rPr>
    </w:lvl>
    <w:lvl w:ilvl="2" w:tplc="7EB455DE">
      <w:start w:val="1"/>
      <w:numFmt w:val="bullet"/>
      <w:lvlText w:val=""/>
      <w:lvlJc w:val="left"/>
      <w:pPr>
        <w:ind w:left="2160" w:hanging="360"/>
      </w:pPr>
      <w:rPr>
        <w:rFonts w:ascii="Wingdings" w:hAnsi="Wingdings" w:hint="default"/>
      </w:rPr>
    </w:lvl>
    <w:lvl w:ilvl="3" w:tplc="7E8659D6">
      <w:start w:val="1"/>
      <w:numFmt w:val="bullet"/>
      <w:lvlText w:val=""/>
      <w:lvlJc w:val="left"/>
      <w:pPr>
        <w:ind w:left="2880" w:hanging="360"/>
      </w:pPr>
      <w:rPr>
        <w:rFonts w:ascii="Symbol" w:hAnsi="Symbol" w:hint="default"/>
      </w:rPr>
    </w:lvl>
    <w:lvl w:ilvl="4" w:tplc="F81275E4">
      <w:start w:val="1"/>
      <w:numFmt w:val="bullet"/>
      <w:lvlText w:val="o"/>
      <w:lvlJc w:val="left"/>
      <w:pPr>
        <w:ind w:left="3600" w:hanging="360"/>
      </w:pPr>
      <w:rPr>
        <w:rFonts w:ascii="Courier New" w:hAnsi="Courier New" w:hint="default"/>
      </w:rPr>
    </w:lvl>
    <w:lvl w:ilvl="5" w:tplc="27321DF6">
      <w:start w:val="1"/>
      <w:numFmt w:val="bullet"/>
      <w:lvlText w:val=""/>
      <w:lvlJc w:val="left"/>
      <w:pPr>
        <w:ind w:left="4320" w:hanging="360"/>
      </w:pPr>
      <w:rPr>
        <w:rFonts w:ascii="Wingdings" w:hAnsi="Wingdings" w:hint="default"/>
      </w:rPr>
    </w:lvl>
    <w:lvl w:ilvl="6" w:tplc="C4F8F158">
      <w:start w:val="1"/>
      <w:numFmt w:val="bullet"/>
      <w:lvlText w:val=""/>
      <w:lvlJc w:val="left"/>
      <w:pPr>
        <w:ind w:left="5040" w:hanging="360"/>
      </w:pPr>
      <w:rPr>
        <w:rFonts w:ascii="Symbol" w:hAnsi="Symbol" w:hint="default"/>
      </w:rPr>
    </w:lvl>
    <w:lvl w:ilvl="7" w:tplc="76121342">
      <w:start w:val="1"/>
      <w:numFmt w:val="bullet"/>
      <w:lvlText w:val="o"/>
      <w:lvlJc w:val="left"/>
      <w:pPr>
        <w:ind w:left="5760" w:hanging="360"/>
      </w:pPr>
      <w:rPr>
        <w:rFonts w:ascii="Courier New" w:hAnsi="Courier New" w:hint="default"/>
      </w:rPr>
    </w:lvl>
    <w:lvl w:ilvl="8" w:tplc="4620CD94">
      <w:start w:val="1"/>
      <w:numFmt w:val="bullet"/>
      <w:lvlText w:val=""/>
      <w:lvlJc w:val="left"/>
      <w:pPr>
        <w:ind w:left="6480" w:hanging="360"/>
      </w:pPr>
      <w:rPr>
        <w:rFonts w:ascii="Wingdings" w:hAnsi="Wingdings" w:hint="default"/>
      </w:rPr>
    </w:lvl>
  </w:abstractNum>
  <w:num w:numId="1" w16cid:durableId="1942176032">
    <w:abstractNumId w:val="2"/>
  </w:num>
  <w:num w:numId="2" w16cid:durableId="1374816267">
    <w:abstractNumId w:val="0"/>
  </w:num>
  <w:num w:numId="3" w16cid:durableId="1560701949">
    <w:abstractNumId w:val="7"/>
  </w:num>
  <w:num w:numId="4" w16cid:durableId="1916040789">
    <w:abstractNumId w:val="9"/>
  </w:num>
  <w:num w:numId="5" w16cid:durableId="755246208">
    <w:abstractNumId w:val="4"/>
  </w:num>
  <w:num w:numId="6" w16cid:durableId="149323705">
    <w:abstractNumId w:val="6"/>
  </w:num>
  <w:num w:numId="7" w16cid:durableId="1162354731">
    <w:abstractNumId w:val="5"/>
  </w:num>
  <w:num w:numId="8" w16cid:durableId="1292905308">
    <w:abstractNumId w:val="1"/>
  </w:num>
  <w:num w:numId="9" w16cid:durableId="1601989298">
    <w:abstractNumId w:val="8"/>
  </w:num>
  <w:num w:numId="10" w16cid:durableId="1599872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9A8"/>
    <w:rsid w:val="000048A6"/>
    <w:rsid w:val="00005D85"/>
    <w:rsid w:val="0000767C"/>
    <w:rsid w:val="0001061E"/>
    <w:rsid w:val="00014EE8"/>
    <w:rsid w:val="000210D4"/>
    <w:rsid w:val="0003319D"/>
    <w:rsid w:val="00040AF7"/>
    <w:rsid w:val="00045EC0"/>
    <w:rsid w:val="000469F9"/>
    <w:rsid w:val="00046AB6"/>
    <w:rsid w:val="00054CBA"/>
    <w:rsid w:val="00054E18"/>
    <w:rsid w:val="00057EE7"/>
    <w:rsid w:val="0006007D"/>
    <w:rsid w:val="00061545"/>
    <w:rsid w:val="00063016"/>
    <w:rsid w:val="00063B9D"/>
    <w:rsid w:val="00066795"/>
    <w:rsid w:val="00076AF6"/>
    <w:rsid w:val="00083A34"/>
    <w:rsid w:val="00085CF2"/>
    <w:rsid w:val="00087FB3"/>
    <w:rsid w:val="00094540"/>
    <w:rsid w:val="000A1E98"/>
    <w:rsid w:val="000A2FC0"/>
    <w:rsid w:val="000B1705"/>
    <w:rsid w:val="000B7858"/>
    <w:rsid w:val="000C0900"/>
    <w:rsid w:val="000C3126"/>
    <w:rsid w:val="000C6D0B"/>
    <w:rsid w:val="000D34AB"/>
    <w:rsid w:val="000D5B69"/>
    <w:rsid w:val="000D75B2"/>
    <w:rsid w:val="000D76EF"/>
    <w:rsid w:val="000E14B8"/>
    <w:rsid w:val="000E2868"/>
    <w:rsid w:val="000E372C"/>
    <w:rsid w:val="000E40A9"/>
    <w:rsid w:val="000F3F84"/>
    <w:rsid w:val="000F5DDB"/>
    <w:rsid w:val="00101A06"/>
    <w:rsid w:val="00104DF4"/>
    <w:rsid w:val="00110A8E"/>
    <w:rsid w:val="0011147C"/>
    <w:rsid w:val="001121F5"/>
    <w:rsid w:val="00113C58"/>
    <w:rsid w:val="0013067C"/>
    <w:rsid w:val="001315FD"/>
    <w:rsid w:val="001400DC"/>
    <w:rsid w:val="00140CE1"/>
    <w:rsid w:val="00141494"/>
    <w:rsid w:val="001433FB"/>
    <w:rsid w:val="00145D87"/>
    <w:rsid w:val="0015189A"/>
    <w:rsid w:val="00151D13"/>
    <w:rsid w:val="00153ED9"/>
    <w:rsid w:val="001713CD"/>
    <w:rsid w:val="00173A61"/>
    <w:rsid w:val="0017539C"/>
    <w:rsid w:val="00175AC2"/>
    <w:rsid w:val="0017609F"/>
    <w:rsid w:val="00176F47"/>
    <w:rsid w:val="00180316"/>
    <w:rsid w:val="001819F1"/>
    <w:rsid w:val="00182114"/>
    <w:rsid w:val="001906EB"/>
    <w:rsid w:val="001961D7"/>
    <w:rsid w:val="001A2309"/>
    <w:rsid w:val="001A3154"/>
    <w:rsid w:val="001A3398"/>
    <w:rsid w:val="001A7D1D"/>
    <w:rsid w:val="001B51DD"/>
    <w:rsid w:val="001B565A"/>
    <w:rsid w:val="001C4944"/>
    <w:rsid w:val="001C628E"/>
    <w:rsid w:val="001D27CD"/>
    <w:rsid w:val="001D2E3F"/>
    <w:rsid w:val="001E0F04"/>
    <w:rsid w:val="001E0F7B"/>
    <w:rsid w:val="001E504A"/>
    <w:rsid w:val="001F157D"/>
    <w:rsid w:val="001F5569"/>
    <w:rsid w:val="001F5929"/>
    <w:rsid w:val="001F5946"/>
    <w:rsid w:val="00201A0B"/>
    <w:rsid w:val="0020487B"/>
    <w:rsid w:val="00205E12"/>
    <w:rsid w:val="002119FD"/>
    <w:rsid w:val="002130E0"/>
    <w:rsid w:val="002135E8"/>
    <w:rsid w:val="00214F1A"/>
    <w:rsid w:val="00215A1F"/>
    <w:rsid w:val="00217838"/>
    <w:rsid w:val="0022149A"/>
    <w:rsid w:val="00221F46"/>
    <w:rsid w:val="00224B4D"/>
    <w:rsid w:val="00227E94"/>
    <w:rsid w:val="00231F78"/>
    <w:rsid w:val="002336BA"/>
    <w:rsid w:val="00241DDB"/>
    <w:rsid w:val="00262D45"/>
    <w:rsid w:val="0026408B"/>
    <w:rsid w:val="00264425"/>
    <w:rsid w:val="00265875"/>
    <w:rsid w:val="00266AEF"/>
    <w:rsid w:val="0027303B"/>
    <w:rsid w:val="00277DEA"/>
    <w:rsid w:val="00280D87"/>
    <w:rsid w:val="0028109B"/>
    <w:rsid w:val="00290E20"/>
    <w:rsid w:val="002916B4"/>
    <w:rsid w:val="0029362D"/>
    <w:rsid w:val="002A0615"/>
    <w:rsid w:val="002A133E"/>
    <w:rsid w:val="002A2137"/>
    <w:rsid w:val="002A2188"/>
    <w:rsid w:val="002A30C4"/>
    <w:rsid w:val="002A620A"/>
    <w:rsid w:val="002B12FD"/>
    <w:rsid w:val="002B1F58"/>
    <w:rsid w:val="002B44C5"/>
    <w:rsid w:val="002B7F08"/>
    <w:rsid w:val="002C1BDF"/>
    <w:rsid w:val="002C1C7A"/>
    <w:rsid w:val="002C3F32"/>
    <w:rsid w:val="002C54E2"/>
    <w:rsid w:val="002D63D6"/>
    <w:rsid w:val="002E7A6F"/>
    <w:rsid w:val="0030160F"/>
    <w:rsid w:val="003058D8"/>
    <w:rsid w:val="003060BF"/>
    <w:rsid w:val="00307E1B"/>
    <w:rsid w:val="003149F6"/>
    <w:rsid w:val="00320223"/>
    <w:rsid w:val="00322D0D"/>
    <w:rsid w:val="0032360A"/>
    <w:rsid w:val="00327339"/>
    <w:rsid w:val="003374D7"/>
    <w:rsid w:val="00361465"/>
    <w:rsid w:val="00370D82"/>
    <w:rsid w:val="00375245"/>
    <w:rsid w:val="00380FFB"/>
    <w:rsid w:val="00383278"/>
    <w:rsid w:val="0038737A"/>
    <w:rsid w:val="003877F5"/>
    <w:rsid w:val="00390231"/>
    <w:rsid w:val="003936D3"/>
    <w:rsid w:val="00393B29"/>
    <w:rsid w:val="003942D4"/>
    <w:rsid w:val="003958A8"/>
    <w:rsid w:val="003A069E"/>
    <w:rsid w:val="003B1AD8"/>
    <w:rsid w:val="003B29C2"/>
    <w:rsid w:val="003B41B5"/>
    <w:rsid w:val="003B4FAF"/>
    <w:rsid w:val="003B68B1"/>
    <w:rsid w:val="003C2533"/>
    <w:rsid w:val="003C2C1D"/>
    <w:rsid w:val="003C53DB"/>
    <w:rsid w:val="003D5A7F"/>
    <w:rsid w:val="003E7EE4"/>
    <w:rsid w:val="003F0228"/>
    <w:rsid w:val="0040435A"/>
    <w:rsid w:val="00416A24"/>
    <w:rsid w:val="00417E55"/>
    <w:rsid w:val="00420883"/>
    <w:rsid w:val="00423FD9"/>
    <w:rsid w:val="00427B0B"/>
    <w:rsid w:val="00430E9E"/>
    <w:rsid w:val="0043100D"/>
    <w:rsid w:val="00431780"/>
    <w:rsid w:val="00431B44"/>
    <w:rsid w:val="00431D9E"/>
    <w:rsid w:val="00433CE8"/>
    <w:rsid w:val="004345D2"/>
    <w:rsid w:val="00434A5C"/>
    <w:rsid w:val="00443A44"/>
    <w:rsid w:val="00444482"/>
    <w:rsid w:val="00447969"/>
    <w:rsid w:val="00453079"/>
    <w:rsid w:val="004544D9"/>
    <w:rsid w:val="00463ADE"/>
    <w:rsid w:val="0046678D"/>
    <w:rsid w:val="00471C32"/>
    <w:rsid w:val="004720B2"/>
    <w:rsid w:val="00472BAD"/>
    <w:rsid w:val="0047374A"/>
    <w:rsid w:val="00481433"/>
    <w:rsid w:val="00483DF9"/>
    <w:rsid w:val="00484009"/>
    <w:rsid w:val="00487BE3"/>
    <w:rsid w:val="00490E72"/>
    <w:rsid w:val="00491157"/>
    <w:rsid w:val="00491BA9"/>
    <w:rsid w:val="004921C8"/>
    <w:rsid w:val="0049369C"/>
    <w:rsid w:val="004942EA"/>
    <w:rsid w:val="004945D1"/>
    <w:rsid w:val="00495615"/>
    <w:rsid w:val="00495B0B"/>
    <w:rsid w:val="004A1B8B"/>
    <w:rsid w:val="004A3DDC"/>
    <w:rsid w:val="004B39CB"/>
    <w:rsid w:val="004C0FD2"/>
    <w:rsid w:val="004D177B"/>
    <w:rsid w:val="004D1851"/>
    <w:rsid w:val="004D599D"/>
    <w:rsid w:val="004D6BD3"/>
    <w:rsid w:val="004D7842"/>
    <w:rsid w:val="004E2EA5"/>
    <w:rsid w:val="004E3AEB"/>
    <w:rsid w:val="004E5CA8"/>
    <w:rsid w:val="00501FE0"/>
    <w:rsid w:val="0050223C"/>
    <w:rsid w:val="00503F21"/>
    <w:rsid w:val="00506D85"/>
    <w:rsid w:val="00512087"/>
    <w:rsid w:val="005243FF"/>
    <w:rsid w:val="0052599A"/>
    <w:rsid w:val="00527318"/>
    <w:rsid w:val="005358A4"/>
    <w:rsid w:val="00543DFB"/>
    <w:rsid w:val="00544B00"/>
    <w:rsid w:val="0055006C"/>
    <w:rsid w:val="005526A8"/>
    <w:rsid w:val="00554E73"/>
    <w:rsid w:val="0055510F"/>
    <w:rsid w:val="005567C3"/>
    <w:rsid w:val="00556FE3"/>
    <w:rsid w:val="00560FF2"/>
    <w:rsid w:val="00562DE3"/>
    <w:rsid w:val="00564FBC"/>
    <w:rsid w:val="00565B7F"/>
    <w:rsid w:val="0056FBDE"/>
    <w:rsid w:val="00570205"/>
    <w:rsid w:val="005800BC"/>
    <w:rsid w:val="005819E9"/>
    <w:rsid w:val="00582442"/>
    <w:rsid w:val="005936D5"/>
    <w:rsid w:val="00595CFA"/>
    <w:rsid w:val="00596293"/>
    <w:rsid w:val="005A3228"/>
    <w:rsid w:val="005A43E3"/>
    <w:rsid w:val="005B1DB5"/>
    <w:rsid w:val="005B3DE1"/>
    <w:rsid w:val="005D0F3C"/>
    <w:rsid w:val="005D1418"/>
    <w:rsid w:val="005D1FC2"/>
    <w:rsid w:val="005D2B5E"/>
    <w:rsid w:val="005D3C8A"/>
    <w:rsid w:val="005E1308"/>
    <w:rsid w:val="005E15CA"/>
    <w:rsid w:val="005E7347"/>
    <w:rsid w:val="005F001C"/>
    <w:rsid w:val="005F3269"/>
    <w:rsid w:val="006042BE"/>
    <w:rsid w:val="0061071E"/>
    <w:rsid w:val="00621CF0"/>
    <w:rsid w:val="00623AE3"/>
    <w:rsid w:val="006265CB"/>
    <w:rsid w:val="00641F5E"/>
    <w:rsid w:val="0064737F"/>
    <w:rsid w:val="006475B8"/>
    <w:rsid w:val="006535F1"/>
    <w:rsid w:val="00653A90"/>
    <w:rsid w:val="0065557D"/>
    <w:rsid w:val="00660D50"/>
    <w:rsid w:val="006621FE"/>
    <w:rsid w:val="00662984"/>
    <w:rsid w:val="00670248"/>
    <w:rsid w:val="006716BB"/>
    <w:rsid w:val="00674A82"/>
    <w:rsid w:val="006757D9"/>
    <w:rsid w:val="00677AAA"/>
    <w:rsid w:val="00680254"/>
    <w:rsid w:val="00691BF3"/>
    <w:rsid w:val="00692A3C"/>
    <w:rsid w:val="00694854"/>
    <w:rsid w:val="0069683F"/>
    <w:rsid w:val="006A26CF"/>
    <w:rsid w:val="006A2F4B"/>
    <w:rsid w:val="006B1859"/>
    <w:rsid w:val="006B6680"/>
    <w:rsid w:val="006B6DCC"/>
    <w:rsid w:val="006B77F1"/>
    <w:rsid w:val="006C0150"/>
    <w:rsid w:val="006C5052"/>
    <w:rsid w:val="006D0EEF"/>
    <w:rsid w:val="006D0FC3"/>
    <w:rsid w:val="006D1B44"/>
    <w:rsid w:val="006F6A2E"/>
    <w:rsid w:val="006F7022"/>
    <w:rsid w:val="007003CD"/>
    <w:rsid w:val="00702DEF"/>
    <w:rsid w:val="00703458"/>
    <w:rsid w:val="00704655"/>
    <w:rsid w:val="00706861"/>
    <w:rsid w:val="007120AC"/>
    <w:rsid w:val="0071749B"/>
    <w:rsid w:val="00722551"/>
    <w:rsid w:val="00722944"/>
    <w:rsid w:val="00727718"/>
    <w:rsid w:val="00730FE6"/>
    <w:rsid w:val="00731469"/>
    <w:rsid w:val="00731F96"/>
    <w:rsid w:val="0073248A"/>
    <w:rsid w:val="007348C9"/>
    <w:rsid w:val="00734A32"/>
    <w:rsid w:val="007403F1"/>
    <w:rsid w:val="007504DE"/>
    <w:rsid w:val="0075051B"/>
    <w:rsid w:val="00750D5F"/>
    <w:rsid w:val="00757FE2"/>
    <w:rsid w:val="00760766"/>
    <w:rsid w:val="00765C89"/>
    <w:rsid w:val="007702C8"/>
    <w:rsid w:val="0077110E"/>
    <w:rsid w:val="007766ED"/>
    <w:rsid w:val="00787ED5"/>
    <w:rsid w:val="00793188"/>
    <w:rsid w:val="00794D34"/>
    <w:rsid w:val="007A29DF"/>
    <w:rsid w:val="007A3FCD"/>
    <w:rsid w:val="007A5A8F"/>
    <w:rsid w:val="007B19CF"/>
    <w:rsid w:val="007B6EB0"/>
    <w:rsid w:val="007C148E"/>
    <w:rsid w:val="007C46AF"/>
    <w:rsid w:val="007C481E"/>
    <w:rsid w:val="007D01AF"/>
    <w:rsid w:val="007E138C"/>
    <w:rsid w:val="007E5CAD"/>
    <w:rsid w:val="007F3F81"/>
    <w:rsid w:val="0080367E"/>
    <w:rsid w:val="00813E5E"/>
    <w:rsid w:val="008148AB"/>
    <w:rsid w:val="00814FFE"/>
    <w:rsid w:val="00815905"/>
    <w:rsid w:val="00820ED8"/>
    <w:rsid w:val="00823D61"/>
    <w:rsid w:val="0083240D"/>
    <w:rsid w:val="0083581B"/>
    <w:rsid w:val="00840274"/>
    <w:rsid w:val="00841E4A"/>
    <w:rsid w:val="0084546D"/>
    <w:rsid w:val="00863874"/>
    <w:rsid w:val="00864AFF"/>
    <w:rsid w:val="00865925"/>
    <w:rsid w:val="00867B41"/>
    <w:rsid w:val="00873BDC"/>
    <w:rsid w:val="0087683B"/>
    <w:rsid w:val="008776FB"/>
    <w:rsid w:val="008806CB"/>
    <w:rsid w:val="008865D3"/>
    <w:rsid w:val="00887F8D"/>
    <w:rsid w:val="0089088E"/>
    <w:rsid w:val="008A3520"/>
    <w:rsid w:val="008B4A6A"/>
    <w:rsid w:val="008B4CAA"/>
    <w:rsid w:val="008B5316"/>
    <w:rsid w:val="008C017B"/>
    <w:rsid w:val="008C0A7D"/>
    <w:rsid w:val="008C7E27"/>
    <w:rsid w:val="008D2E75"/>
    <w:rsid w:val="008E2C4E"/>
    <w:rsid w:val="008E4F71"/>
    <w:rsid w:val="008F065A"/>
    <w:rsid w:val="008F0E8B"/>
    <w:rsid w:val="008F7448"/>
    <w:rsid w:val="00900396"/>
    <w:rsid w:val="0090147A"/>
    <w:rsid w:val="00915B9C"/>
    <w:rsid w:val="009173EF"/>
    <w:rsid w:val="00920B7D"/>
    <w:rsid w:val="009226B2"/>
    <w:rsid w:val="00926541"/>
    <w:rsid w:val="00930D73"/>
    <w:rsid w:val="00932906"/>
    <w:rsid w:val="0093318A"/>
    <w:rsid w:val="009337DC"/>
    <w:rsid w:val="009355A8"/>
    <w:rsid w:val="009419B2"/>
    <w:rsid w:val="00947BD2"/>
    <w:rsid w:val="009506DB"/>
    <w:rsid w:val="00953675"/>
    <w:rsid w:val="00954C49"/>
    <w:rsid w:val="009576B1"/>
    <w:rsid w:val="00961B0B"/>
    <w:rsid w:val="00962D33"/>
    <w:rsid w:val="009634A0"/>
    <w:rsid w:val="0096496E"/>
    <w:rsid w:val="00980AB3"/>
    <w:rsid w:val="009831F9"/>
    <w:rsid w:val="009842A1"/>
    <w:rsid w:val="00986C25"/>
    <w:rsid w:val="00997A03"/>
    <w:rsid w:val="009A76A8"/>
    <w:rsid w:val="009B11E2"/>
    <w:rsid w:val="009B2D3C"/>
    <w:rsid w:val="009B38C3"/>
    <w:rsid w:val="009B6580"/>
    <w:rsid w:val="009C410F"/>
    <w:rsid w:val="009D66E3"/>
    <w:rsid w:val="009E17BD"/>
    <w:rsid w:val="009E485A"/>
    <w:rsid w:val="009E4D85"/>
    <w:rsid w:val="009E5B2B"/>
    <w:rsid w:val="009F3B5E"/>
    <w:rsid w:val="00A04CEC"/>
    <w:rsid w:val="00A07C90"/>
    <w:rsid w:val="00A109AF"/>
    <w:rsid w:val="00A27F92"/>
    <w:rsid w:val="00A32257"/>
    <w:rsid w:val="00A32837"/>
    <w:rsid w:val="00A36D20"/>
    <w:rsid w:val="00A40234"/>
    <w:rsid w:val="00A427E1"/>
    <w:rsid w:val="00A45374"/>
    <w:rsid w:val="00A514A4"/>
    <w:rsid w:val="00A55622"/>
    <w:rsid w:val="00A712C8"/>
    <w:rsid w:val="00A7589D"/>
    <w:rsid w:val="00A77ACA"/>
    <w:rsid w:val="00A82C8B"/>
    <w:rsid w:val="00A83502"/>
    <w:rsid w:val="00A86EA6"/>
    <w:rsid w:val="00A934CE"/>
    <w:rsid w:val="00A93E09"/>
    <w:rsid w:val="00A94BAB"/>
    <w:rsid w:val="00AB6A67"/>
    <w:rsid w:val="00AC028D"/>
    <w:rsid w:val="00AC58F7"/>
    <w:rsid w:val="00AD04AB"/>
    <w:rsid w:val="00AD15B3"/>
    <w:rsid w:val="00AD165F"/>
    <w:rsid w:val="00AD3606"/>
    <w:rsid w:val="00AD4A3D"/>
    <w:rsid w:val="00AF20DA"/>
    <w:rsid w:val="00AF59E5"/>
    <w:rsid w:val="00AF6E49"/>
    <w:rsid w:val="00B025FA"/>
    <w:rsid w:val="00B03BBC"/>
    <w:rsid w:val="00B04A67"/>
    <w:rsid w:val="00B0500D"/>
    <w:rsid w:val="00B05635"/>
    <w:rsid w:val="00B0583C"/>
    <w:rsid w:val="00B1365D"/>
    <w:rsid w:val="00B40A81"/>
    <w:rsid w:val="00B40C48"/>
    <w:rsid w:val="00B44910"/>
    <w:rsid w:val="00B623D1"/>
    <w:rsid w:val="00B65D20"/>
    <w:rsid w:val="00B65DF0"/>
    <w:rsid w:val="00B72267"/>
    <w:rsid w:val="00B76EB6"/>
    <w:rsid w:val="00B7737B"/>
    <w:rsid w:val="00B8039F"/>
    <w:rsid w:val="00B824C8"/>
    <w:rsid w:val="00B84B9D"/>
    <w:rsid w:val="00B9131F"/>
    <w:rsid w:val="00B9677D"/>
    <w:rsid w:val="00BA31D2"/>
    <w:rsid w:val="00BA7A9E"/>
    <w:rsid w:val="00BA7AB9"/>
    <w:rsid w:val="00BB0646"/>
    <w:rsid w:val="00BB2A3C"/>
    <w:rsid w:val="00BB75EC"/>
    <w:rsid w:val="00BC0598"/>
    <w:rsid w:val="00BC251A"/>
    <w:rsid w:val="00BC3520"/>
    <w:rsid w:val="00BC4A20"/>
    <w:rsid w:val="00BD032B"/>
    <w:rsid w:val="00BD0C38"/>
    <w:rsid w:val="00BE00FD"/>
    <w:rsid w:val="00BE01C6"/>
    <w:rsid w:val="00BE2640"/>
    <w:rsid w:val="00BE705D"/>
    <w:rsid w:val="00BF1FDE"/>
    <w:rsid w:val="00C01189"/>
    <w:rsid w:val="00C02141"/>
    <w:rsid w:val="00C03E88"/>
    <w:rsid w:val="00C0458D"/>
    <w:rsid w:val="00C11B52"/>
    <w:rsid w:val="00C14665"/>
    <w:rsid w:val="00C20DEE"/>
    <w:rsid w:val="00C253F1"/>
    <w:rsid w:val="00C256C0"/>
    <w:rsid w:val="00C31498"/>
    <w:rsid w:val="00C374DE"/>
    <w:rsid w:val="00C4416D"/>
    <w:rsid w:val="00C44FBD"/>
    <w:rsid w:val="00C46134"/>
    <w:rsid w:val="00C47AD4"/>
    <w:rsid w:val="00C52D81"/>
    <w:rsid w:val="00C55198"/>
    <w:rsid w:val="00C57170"/>
    <w:rsid w:val="00C61C1F"/>
    <w:rsid w:val="00C64698"/>
    <w:rsid w:val="00C64809"/>
    <w:rsid w:val="00C6520B"/>
    <w:rsid w:val="00C73572"/>
    <w:rsid w:val="00C7797B"/>
    <w:rsid w:val="00C81D91"/>
    <w:rsid w:val="00C8224B"/>
    <w:rsid w:val="00C952F5"/>
    <w:rsid w:val="00CA4B6F"/>
    <w:rsid w:val="00CA6393"/>
    <w:rsid w:val="00CA7995"/>
    <w:rsid w:val="00CB18FF"/>
    <w:rsid w:val="00CC0401"/>
    <w:rsid w:val="00CC1ADD"/>
    <w:rsid w:val="00CC39C7"/>
    <w:rsid w:val="00CC48A4"/>
    <w:rsid w:val="00CC4AC1"/>
    <w:rsid w:val="00CC693B"/>
    <w:rsid w:val="00CD0C08"/>
    <w:rsid w:val="00CD5484"/>
    <w:rsid w:val="00CE00B1"/>
    <w:rsid w:val="00CE03FB"/>
    <w:rsid w:val="00CE28A1"/>
    <w:rsid w:val="00CE433C"/>
    <w:rsid w:val="00CF0161"/>
    <w:rsid w:val="00CF2CE3"/>
    <w:rsid w:val="00CF33F3"/>
    <w:rsid w:val="00CF3C6C"/>
    <w:rsid w:val="00CF4A2B"/>
    <w:rsid w:val="00CF53A1"/>
    <w:rsid w:val="00D01D60"/>
    <w:rsid w:val="00D024CA"/>
    <w:rsid w:val="00D06183"/>
    <w:rsid w:val="00D1043C"/>
    <w:rsid w:val="00D15098"/>
    <w:rsid w:val="00D22C42"/>
    <w:rsid w:val="00D22E32"/>
    <w:rsid w:val="00D3139E"/>
    <w:rsid w:val="00D3635D"/>
    <w:rsid w:val="00D456E5"/>
    <w:rsid w:val="00D46B38"/>
    <w:rsid w:val="00D51FB6"/>
    <w:rsid w:val="00D5633B"/>
    <w:rsid w:val="00D65041"/>
    <w:rsid w:val="00D70687"/>
    <w:rsid w:val="00D75A97"/>
    <w:rsid w:val="00D845FB"/>
    <w:rsid w:val="00D87818"/>
    <w:rsid w:val="00D909BD"/>
    <w:rsid w:val="00DA571C"/>
    <w:rsid w:val="00DB1936"/>
    <w:rsid w:val="00DB2ADA"/>
    <w:rsid w:val="00DB375F"/>
    <w:rsid w:val="00DB384B"/>
    <w:rsid w:val="00DB4920"/>
    <w:rsid w:val="00DB6C50"/>
    <w:rsid w:val="00DC0D4E"/>
    <w:rsid w:val="00DD4FAE"/>
    <w:rsid w:val="00DE531E"/>
    <w:rsid w:val="00DE532B"/>
    <w:rsid w:val="00DE7E8C"/>
    <w:rsid w:val="00DF0189"/>
    <w:rsid w:val="00DF3C29"/>
    <w:rsid w:val="00DF537D"/>
    <w:rsid w:val="00E06FD5"/>
    <w:rsid w:val="00E07F55"/>
    <w:rsid w:val="00E10E80"/>
    <w:rsid w:val="00E124F0"/>
    <w:rsid w:val="00E179A3"/>
    <w:rsid w:val="00E22583"/>
    <w:rsid w:val="00E227F3"/>
    <w:rsid w:val="00E275AF"/>
    <w:rsid w:val="00E3105C"/>
    <w:rsid w:val="00E3372D"/>
    <w:rsid w:val="00E37599"/>
    <w:rsid w:val="00E50067"/>
    <w:rsid w:val="00E545C6"/>
    <w:rsid w:val="00E60F04"/>
    <w:rsid w:val="00E61F86"/>
    <w:rsid w:val="00E65B24"/>
    <w:rsid w:val="00E74E3D"/>
    <w:rsid w:val="00E80B9D"/>
    <w:rsid w:val="00E83526"/>
    <w:rsid w:val="00E8449D"/>
    <w:rsid w:val="00E854E4"/>
    <w:rsid w:val="00E86DBF"/>
    <w:rsid w:val="00E87893"/>
    <w:rsid w:val="00E904B1"/>
    <w:rsid w:val="00E93399"/>
    <w:rsid w:val="00E94925"/>
    <w:rsid w:val="00E96324"/>
    <w:rsid w:val="00E969AF"/>
    <w:rsid w:val="00EA718A"/>
    <w:rsid w:val="00EB0D6F"/>
    <w:rsid w:val="00EB1483"/>
    <w:rsid w:val="00EB20EF"/>
    <w:rsid w:val="00EB2232"/>
    <w:rsid w:val="00EB32C5"/>
    <w:rsid w:val="00EB69E4"/>
    <w:rsid w:val="00EC5337"/>
    <w:rsid w:val="00EC71E5"/>
    <w:rsid w:val="00EE0207"/>
    <w:rsid w:val="00EE49E8"/>
    <w:rsid w:val="00EE53C3"/>
    <w:rsid w:val="00EE5C77"/>
    <w:rsid w:val="00EE74EB"/>
    <w:rsid w:val="00EF2928"/>
    <w:rsid w:val="00EF2D89"/>
    <w:rsid w:val="00EF325A"/>
    <w:rsid w:val="00EF5DEC"/>
    <w:rsid w:val="00EF7FA5"/>
    <w:rsid w:val="00F00884"/>
    <w:rsid w:val="00F017E8"/>
    <w:rsid w:val="00F044E3"/>
    <w:rsid w:val="00F06569"/>
    <w:rsid w:val="00F11E7B"/>
    <w:rsid w:val="00F13967"/>
    <w:rsid w:val="00F1533C"/>
    <w:rsid w:val="00F16BAB"/>
    <w:rsid w:val="00F16EAF"/>
    <w:rsid w:val="00F1750B"/>
    <w:rsid w:val="00F2150A"/>
    <w:rsid w:val="00F231D8"/>
    <w:rsid w:val="00F25F08"/>
    <w:rsid w:val="00F31947"/>
    <w:rsid w:val="00F329D9"/>
    <w:rsid w:val="00F3627A"/>
    <w:rsid w:val="00F377A2"/>
    <w:rsid w:val="00F41092"/>
    <w:rsid w:val="00F44C00"/>
    <w:rsid w:val="00F45D2C"/>
    <w:rsid w:val="00F46C5F"/>
    <w:rsid w:val="00F6116A"/>
    <w:rsid w:val="00F632C0"/>
    <w:rsid w:val="00F641E1"/>
    <w:rsid w:val="00F70E11"/>
    <w:rsid w:val="00F746C4"/>
    <w:rsid w:val="00F800F3"/>
    <w:rsid w:val="00F84800"/>
    <w:rsid w:val="00F8B7F3"/>
    <w:rsid w:val="00F94A63"/>
    <w:rsid w:val="00FA14F4"/>
    <w:rsid w:val="00FA16F6"/>
    <w:rsid w:val="00FA1C28"/>
    <w:rsid w:val="00FA49F6"/>
    <w:rsid w:val="00FB1279"/>
    <w:rsid w:val="00FB6B76"/>
    <w:rsid w:val="00FB7596"/>
    <w:rsid w:val="00FC1C12"/>
    <w:rsid w:val="00FC78F4"/>
    <w:rsid w:val="00FD233C"/>
    <w:rsid w:val="00FD349E"/>
    <w:rsid w:val="00FD65AE"/>
    <w:rsid w:val="00FE1D71"/>
    <w:rsid w:val="00FE4077"/>
    <w:rsid w:val="00FE500D"/>
    <w:rsid w:val="00FE7302"/>
    <w:rsid w:val="00FE77D2"/>
    <w:rsid w:val="00FE7D19"/>
    <w:rsid w:val="00FF39B1"/>
    <w:rsid w:val="00FF4A5D"/>
    <w:rsid w:val="01171658"/>
    <w:rsid w:val="028001F8"/>
    <w:rsid w:val="02987511"/>
    <w:rsid w:val="03182272"/>
    <w:rsid w:val="03CD634A"/>
    <w:rsid w:val="041C275C"/>
    <w:rsid w:val="05EBE230"/>
    <w:rsid w:val="08244E50"/>
    <w:rsid w:val="0874C103"/>
    <w:rsid w:val="0893D449"/>
    <w:rsid w:val="09EE0AE9"/>
    <w:rsid w:val="0A523B75"/>
    <w:rsid w:val="0A600947"/>
    <w:rsid w:val="0B8DB2F5"/>
    <w:rsid w:val="0D459092"/>
    <w:rsid w:val="0DB0A95C"/>
    <w:rsid w:val="0DC084C1"/>
    <w:rsid w:val="0DFB58D2"/>
    <w:rsid w:val="0EF00638"/>
    <w:rsid w:val="12B638D7"/>
    <w:rsid w:val="13B21824"/>
    <w:rsid w:val="147BED6D"/>
    <w:rsid w:val="14B804FA"/>
    <w:rsid w:val="15351DE3"/>
    <w:rsid w:val="15363408"/>
    <w:rsid w:val="169414A3"/>
    <w:rsid w:val="16EA98AE"/>
    <w:rsid w:val="175662C5"/>
    <w:rsid w:val="18D5BABC"/>
    <w:rsid w:val="1902655B"/>
    <w:rsid w:val="1A0AAB31"/>
    <w:rsid w:val="1AF78D98"/>
    <w:rsid w:val="1B176FB5"/>
    <w:rsid w:val="1B33A997"/>
    <w:rsid w:val="1CC6F498"/>
    <w:rsid w:val="1CDCA0EC"/>
    <w:rsid w:val="1F83FFAA"/>
    <w:rsid w:val="20036449"/>
    <w:rsid w:val="20CD3591"/>
    <w:rsid w:val="212DB5AA"/>
    <w:rsid w:val="22105F61"/>
    <w:rsid w:val="228AB26E"/>
    <w:rsid w:val="248BB314"/>
    <w:rsid w:val="266022B2"/>
    <w:rsid w:val="268B594E"/>
    <w:rsid w:val="27BD8A70"/>
    <w:rsid w:val="27E7DF47"/>
    <w:rsid w:val="27F31389"/>
    <w:rsid w:val="2A6736F8"/>
    <w:rsid w:val="2A914E7B"/>
    <w:rsid w:val="2BAB88A5"/>
    <w:rsid w:val="2C131F34"/>
    <w:rsid w:val="2C3ABFC9"/>
    <w:rsid w:val="2C81C55A"/>
    <w:rsid w:val="2CAD80F0"/>
    <w:rsid w:val="2D2A2587"/>
    <w:rsid w:val="2E13DF5A"/>
    <w:rsid w:val="2EC62116"/>
    <w:rsid w:val="2F1E8472"/>
    <w:rsid w:val="2F521ED0"/>
    <w:rsid w:val="2FB1CA34"/>
    <w:rsid w:val="2FDD4D93"/>
    <w:rsid w:val="31182F8A"/>
    <w:rsid w:val="32E978DC"/>
    <w:rsid w:val="32F648D5"/>
    <w:rsid w:val="338D7D08"/>
    <w:rsid w:val="33BDAB49"/>
    <w:rsid w:val="35058161"/>
    <w:rsid w:val="360CBDAB"/>
    <w:rsid w:val="3676A398"/>
    <w:rsid w:val="37B5FB05"/>
    <w:rsid w:val="37E11FC4"/>
    <w:rsid w:val="3A23E053"/>
    <w:rsid w:val="3B8D4582"/>
    <w:rsid w:val="3BF6774C"/>
    <w:rsid w:val="3C35D084"/>
    <w:rsid w:val="3E47471F"/>
    <w:rsid w:val="3F52AD4A"/>
    <w:rsid w:val="3F851D41"/>
    <w:rsid w:val="40BA98B7"/>
    <w:rsid w:val="4115FF4D"/>
    <w:rsid w:val="41967FA6"/>
    <w:rsid w:val="42B7B254"/>
    <w:rsid w:val="440FCC2A"/>
    <w:rsid w:val="45F59359"/>
    <w:rsid w:val="460A5142"/>
    <w:rsid w:val="461DD754"/>
    <w:rsid w:val="462BBCC7"/>
    <w:rsid w:val="464F55F6"/>
    <w:rsid w:val="46A63258"/>
    <w:rsid w:val="46B4C871"/>
    <w:rsid w:val="47DC4E47"/>
    <w:rsid w:val="49243024"/>
    <w:rsid w:val="495B63DB"/>
    <w:rsid w:val="49C77102"/>
    <w:rsid w:val="4B06E320"/>
    <w:rsid w:val="4B94B35B"/>
    <w:rsid w:val="4BE7BFE3"/>
    <w:rsid w:val="4D27E546"/>
    <w:rsid w:val="4F102101"/>
    <w:rsid w:val="510BDF61"/>
    <w:rsid w:val="516D8D01"/>
    <w:rsid w:val="5285D4A7"/>
    <w:rsid w:val="52B74B20"/>
    <w:rsid w:val="52EB587F"/>
    <w:rsid w:val="52ECB3F6"/>
    <w:rsid w:val="536E5B66"/>
    <w:rsid w:val="53A9B9F9"/>
    <w:rsid w:val="55A0C84E"/>
    <w:rsid w:val="56920F8E"/>
    <w:rsid w:val="5786F78F"/>
    <w:rsid w:val="57DFCD35"/>
    <w:rsid w:val="5865BECC"/>
    <w:rsid w:val="59D2F2A5"/>
    <w:rsid w:val="5C6DC53A"/>
    <w:rsid w:val="5CC8D39E"/>
    <w:rsid w:val="5CEEB716"/>
    <w:rsid w:val="5DC9F486"/>
    <w:rsid w:val="5DF20A11"/>
    <w:rsid w:val="5F14B956"/>
    <w:rsid w:val="5F1AF60C"/>
    <w:rsid w:val="60EAA8EE"/>
    <w:rsid w:val="62583F5B"/>
    <w:rsid w:val="64CF3819"/>
    <w:rsid w:val="6555334F"/>
    <w:rsid w:val="655E3A4B"/>
    <w:rsid w:val="65A8CD6D"/>
    <w:rsid w:val="671400AD"/>
    <w:rsid w:val="6843E605"/>
    <w:rsid w:val="6888CC8B"/>
    <w:rsid w:val="6AE85DE4"/>
    <w:rsid w:val="6BCEE021"/>
    <w:rsid w:val="6BFC7953"/>
    <w:rsid w:val="6DB53B19"/>
    <w:rsid w:val="6F94EDD3"/>
    <w:rsid w:val="6FA6E086"/>
    <w:rsid w:val="7023495D"/>
    <w:rsid w:val="704B34AF"/>
    <w:rsid w:val="7123AA63"/>
    <w:rsid w:val="724F975E"/>
    <w:rsid w:val="72A60D1C"/>
    <w:rsid w:val="75614DC7"/>
    <w:rsid w:val="75B683C5"/>
    <w:rsid w:val="7A5C212D"/>
    <w:rsid w:val="7A8A4242"/>
    <w:rsid w:val="7A9D17F3"/>
    <w:rsid w:val="7CD55A74"/>
    <w:rsid w:val="7D8D25D2"/>
    <w:rsid w:val="7D94AC74"/>
    <w:rsid w:val="7FF4D0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6C97929A-6C0F-4A33-8556-900AAE4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4E3"/>
    <w:pPr>
      <w:framePr w:hSpace="180" w:wrap="around" w:vAnchor="page" w:hAnchor="margin" w:y="2101"/>
      <w:spacing w:before="840"/>
    </w:pPr>
    <w:rPr>
      <w:b/>
      <w:sz w:val="32"/>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uiPriority w:val="99"/>
    <w:rsid w:val="00813E5E"/>
    <w:rPr>
      <w:color w:val="800080"/>
      <w:u w:val="single"/>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ref">
    <w:name w:val="Annex_ref"/>
    <w:basedOn w:val="Normal"/>
    <w:next w:val="Annextitle"/>
    <w:qFormat/>
    <w:rsid w:val="00221F46"/>
    <w:pPr>
      <w:keepNext/>
      <w:keepLines/>
      <w:jc w:val="center"/>
    </w:p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CC0401"/>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title">
    <w:name w:val="Question_title"/>
    <w:basedOn w:val="Rectitle"/>
    <w:next w:val="Questionref"/>
    <w:rsid w:val="004D1851"/>
  </w:style>
  <w:style w:type="paragraph" w:customStyle="1" w:styleId="Questionref">
    <w:name w:val="Question_ref"/>
    <w:basedOn w:val="Recref"/>
    <w:next w:val="Questiondate"/>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CC0401"/>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5D1FC2"/>
    <w:rPr>
      <w:sz w:val="16"/>
      <w:szCs w:val="16"/>
    </w:rPr>
  </w:style>
  <w:style w:type="paragraph" w:styleId="CommentText">
    <w:name w:val="annotation text"/>
    <w:basedOn w:val="Normal"/>
    <w:link w:val="CommentTextChar"/>
    <w:unhideWhenUsed/>
    <w:rsid w:val="005D1FC2"/>
    <w:rPr>
      <w:sz w:val="20"/>
    </w:rPr>
  </w:style>
  <w:style w:type="character" w:customStyle="1" w:styleId="CommentTextChar">
    <w:name w:val="Comment Text Char"/>
    <w:basedOn w:val="DefaultParagraphFont"/>
    <w:link w:val="CommentText"/>
    <w:rsid w:val="005D1FC2"/>
    <w:rPr>
      <w:rFonts w:ascii="Calibri" w:hAnsi="Calibri"/>
      <w:lang w:val="en-GB" w:eastAsia="en-US"/>
    </w:rPr>
  </w:style>
  <w:style w:type="paragraph" w:styleId="CommentSubject">
    <w:name w:val="annotation subject"/>
    <w:basedOn w:val="CommentText"/>
    <w:next w:val="CommentText"/>
    <w:link w:val="CommentSubjectChar"/>
    <w:semiHidden/>
    <w:unhideWhenUsed/>
    <w:rsid w:val="005D1FC2"/>
    <w:rPr>
      <w:b/>
      <w:bCs/>
    </w:rPr>
  </w:style>
  <w:style w:type="character" w:customStyle="1" w:styleId="CommentSubjectChar">
    <w:name w:val="Comment Subject Char"/>
    <w:basedOn w:val="CommentTextChar"/>
    <w:link w:val="CommentSubject"/>
    <w:semiHidden/>
    <w:rsid w:val="005D1FC2"/>
    <w:rPr>
      <w:rFonts w:ascii="Calibri" w:hAnsi="Calibri"/>
      <w:b/>
      <w:bCs/>
      <w:lang w:val="en-GB" w:eastAsia="en-US"/>
    </w:rPr>
  </w:style>
  <w:style w:type="paragraph" w:styleId="Revision">
    <w:name w:val="Revision"/>
    <w:hidden/>
    <w:uiPriority w:val="99"/>
    <w:semiHidden/>
    <w:rsid w:val="00887F8D"/>
    <w:rPr>
      <w:rFonts w:ascii="Calibri" w:hAnsi="Calibri"/>
      <w:sz w:val="24"/>
      <w:lang w:val="en-GB" w:eastAsia="en-US"/>
    </w:rPr>
  </w:style>
  <w:style w:type="table" w:styleId="PlainTable1">
    <w:name w:val="Plain Table 1"/>
    <w:basedOn w:val="TableNormal"/>
    <w:uiPriority w:val="41"/>
    <w:rsid w:val="00770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semiHidden/>
    <w:unhideWhenUsed/>
    <w:rsid w:val="00F6116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6116A"/>
    <w:rPr>
      <w:rFonts w:ascii="Segoe UI" w:hAnsi="Segoe UI" w:cs="Segoe UI"/>
      <w:sz w:val="18"/>
      <w:szCs w:val="18"/>
      <w:lang w:val="en-GB" w:eastAsia="en-US"/>
    </w:rPr>
  </w:style>
  <w:style w:type="paragraph" w:styleId="ListParagraph">
    <w:name w:val="List Paragraph"/>
    <w:basedOn w:val="Normal"/>
    <w:uiPriority w:val="34"/>
    <w:qFormat/>
    <w:rsid w:val="0874C103"/>
    <w:pPr>
      <w:ind w:left="720"/>
      <w:contextualSpacing/>
    </w:pPr>
  </w:style>
  <w:style w:type="paragraph" w:customStyle="1" w:styleId="Tablefin">
    <w:name w:val="Table_fin"/>
    <w:basedOn w:val="Tabletext"/>
    <w:rsid w:val="00CC0401"/>
    <w:pPr>
      <w:spacing w:before="0" w:after="0"/>
    </w:pPr>
    <w:rPr>
      <w:rFonts w:eastAsia="Calibri"/>
    </w:rPr>
  </w:style>
  <w:style w:type="character" w:styleId="Mention">
    <w:name w:val="Mention"/>
    <w:basedOn w:val="DefaultParagraphFont"/>
    <w:uiPriority w:val="99"/>
    <w:unhideWhenUsed/>
    <w:rsid w:val="004D78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WGFHR22-C-0019/en" TargetMode="External"/><Relationship Id="rId18" Type="http://schemas.openxmlformats.org/officeDocument/2006/relationships/hyperlink" Target="https://www.itu.int/md/S26-SG-CIR-0011/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tu.int/md/S26-CL-INF-0008/en" TargetMode="External"/><Relationship Id="rId7" Type="http://schemas.openxmlformats.org/officeDocument/2006/relationships/settings" Target="settings.xml"/><Relationship Id="rId12" Type="http://schemas.openxmlformats.org/officeDocument/2006/relationships/hyperlink" Target="https://www.itu.int/md/S25-CWGFHR21-C-0008/en" TargetMode="External"/><Relationship Id="rId17" Type="http://schemas.openxmlformats.org/officeDocument/2006/relationships/hyperlink" Target="https://www.itu.int/md/S26-CWGFHR22-C-0036/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26-CWGFHR22-C-0019/en" TargetMode="External"/><Relationship Id="rId20" Type="http://schemas.openxmlformats.org/officeDocument/2006/relationships/hyperlink" Target="https://www.itu.int/md/S26-CWGFHR22-C-0036/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95/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S25-CWGFHR21-C-0008/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5-RCLCWGLANG16-INF-0001/en"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95/en"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8471ADB-0386-455D-AD4F-040BA528D777}">
    <t:Anchor>
      <t:Comment id="543628598"/>
    </t:Anchor>
    <t:History>
      <t:Event id="{6177947A-4EAE-45E3-8C98-957E0C52EDE1}" time="2026-03-27T12:01:16.638Z">
        <t:Attribution userId="S::mariadolores.delarosatrivino@itu.int::02289291-ff58-4a30-8539-3487f892a766" userProvider="AD" userName="De La Rosa Trivino, Maria Dolores"/>
        <t:Anchor>
          <t:Comment id="882402350"/>
        </t:Anchor>
        <t:Create/>
      </t:Event>
      <t:Event id="{CB710EEE-BA94-4B8E-8A5F-12DA8A5AC0E7}" time="2026-03-27T12:01:16.638Z">
        <t:Attribution userId="S::mariadolores.delarosatrivino@itu.int::02289291-ff58-4a30-8539-3487f892a766" userProvider="AD" userName="De La Rosa Trivino, Maria Dolores"/>
        <t:Anchor>
          <t:Comment id="882402350"/>
        </t:Anchor>
        <t:Assign userId="S::negar.takesh@itu.int::805e8347-af80-4bdf-a04e-1b06814424c9" userProvider="AD" userName="Takesh, Negar"/>
      </t:Event>
      <t:Event id="{5DD02412-6CB7-419C-AD66-1142E7BFE6FA}" time="2026-03-27T12:01:16.638Z">
        <t:Attribution userId="S::mariadolores.delarosatrivino@itu.int::02289291-ff58-4a30-8539-3487f892a766" userProvider="AD" userName="De La Rosa Trivino, Maria Dolores"/>
        <t:Anchor>
          <t:Comment id="882402350"/>
        </t:Anchor>
        <t:SetTitle title="@Takesh, Negar @Carrara, Kate "/>
      </t:Event>
      <t:Event id="{52C785ED-C856-4AD6-8527-9EB8916C16A8}" time="2026-03-27T16:28:23.969Z">
        <t:Attribution userId="S::mariadolores.delarosatrivino@itu.int::02289291-ff58-4a30-8539-3487f892a766" userProvider="AD" userName="De La Rosa Trivino, Maria Dolor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4892-4E3B-47E0-ADF4-6E387C6E2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37681-62A8-4677-A2DC-348DF0D92E79}">
  <ds:schemaRefs>
    <ds:schemaRef ds:uri="http://schemas.microsoft.com/office/2006/documentManagement/types"/>
    <ds:schemaRef ds:uri="http://schemas.openxmlformats.org/package/2006/metadata/core-properties"/>
    <ds:schemaRef ds:uri="http://schemas.microsoft.com/office/2006/metadata/properties"/>
    <ds:schemaRef ds:uri="a4c22657-7647-457b-a399-8471255bb166"/>
    <ds:schemaRef ds:uri="http://www.w3.org/XML/1998/namespace"/>
    <ds:schemaRef ds:uri="http://purl.org/dc/elements/1.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6BB3562-E6F3-4A91-A59E-0CB9F6589277}">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1657</Words>
  <Characters>11009</Characters>
  <Application>Microsoft Office Word</Application>
  <DocSecurity>0</DocSecurity>
  <Lines>207</Lines>
  <Paragraphs>100</Paragraphs>
  <ScaleCrop>false</ScaleCrop>
  <HeadingPairs>
    <vt:vector size="2" baseType="variant">
      <vt:variant>
        <vt:lpstr>Title</vt:lpstr>
      </vt:variant>
      <vt:variant>
        <vt:i4>1</vt:i4>
      </vt:variant>
    </vt:vector>
  </HeadingPairs>
  <TitlesOfParts>
    <vt:vector size="1" baseType="lpstr">
      <vt:lpstr>Update on measures to reduce financial burdens on host countries of ITU conferences, meetings and activities</vt:lpstr>
    </vt:vector>
  </TitlesOfParts>
  <Manager>General Secretariat</Manager>
  <Company>International Telecommunication Union (ITU)</Company>
  <LinksUpToDate>false</LinksUpToDate>
  <CharactersWithSpaces>12566</CharactersWithSpaces>
  <SharedDoc>false</SharedDoc>
  <HLinks>
    <vt:vector size="114" baseType="variant">
      <vt:variant>
        <vt:i4>1179728</vt:i4>
      </vt:variant>
      <vt:variant>
        <vt:i4>33</vt:i4>
      </vt:variant>
      <vt:variant>
        <vt:i4>0</vt:i4>
      </vt:variant>
      <vt:variant>
        <vt:i4>5</vt:i4>
      </vt:variant>
      <vt:variant>
        <vt:lpwstr>https://www.itu.int/md/S26-CL-INF-0008/en</vt:lpwstr>
      </vt:variant>
      <vt:variant>
        <vt:lpwstr/>
      </vt:variant>
      <vt:variant>
        <vt:i4>1179728</vt:i4>
      </vt:variant>
      <vt:variant>
        <vt:i4>30</vt:i4>
      </vt:variant>
      <vt:variant>
        <vt:i4>0</vt:i4>
      </vt:variant>
      <vt:variant>
        <vt:i4>5</vt:i4>
      </vt:variant>
      <vt:variant>
        <vt:lpwstr>https://www.itu.int/md/S26-CL-INF-0008/en</vt:lpwstr>
      </vt:variant>
      <vt:variant>
        <vt:lpwstr/>
      </vt:variant>
      <vt:variant>
        <vt:i4>5177346</vt:i4>
      </vt:variant>
      <vt:variant>
        <vt:i4>27</vt:i4>
      </vt:variant>
      <vt:variant>
        <vt:i4>0</vt:i4>
      </vt:variant>
      <vt:variant>
        <vt:i4>5</vt:i4>
      </vt:variant>
      <vt:variant>
        <vt:lpwstr>https://www.itu.int/md/S26-CWGFHR22-C-0036/en</vt:lpwstr>
      </vt:variant>
      <vt:variant>
        <vt:lpwstr/>
      </vt:variant>
      <vt:variant>
        <vt:i4>2162795</vt:i4>
      </vt:variant>
      <vt:variant>
        <vt:i4>24</vt:i4>
      </vt:variant>
      <vt:variant>
        <vt:i4>0</vt:i4>
      </vt:variant>
      <vt:variant>
        <vt:i4>5</vt:i4>
      </vt:variant>
      <vt:variant>
        <vt:lpwstr>https://www.itu.int/md/S25-RCLCWGLANG16-INF-0001/en</vt:lpwstr>
      </vt:variant>
      <vt:variant>
        <vt:lpwstr/>
      </vt:variant>
      <vt:variant>
        <vt:i4>786500</vt:i4>
      </vt:variant>
      <vt:variant>
        <vt:i4>21</vt:i4>
      </vt:variant>
      <vt:variant>
        <vt:i4>0</vt:i4>
      </vt:variant>
      <vt:variant>
        <vt:i4>5</vt:i4>
      </vt:variant>
      <vt:variant>
        <vt:lpwstr>https://www.itu.int/md/S26-SG-CIR-0011/en</vt:lpwstr>
      </vt:variant>
      <vt:variant>
        <vt:lpwstr/>
      </vt:variant>
      <vt:variant>
        <vt:i4>5177346</vt:i4>
      </vt:variant>
      <vt:variant>
        <vt:i4>18</vt:i4>
      </vt:variant>
      <vt:variant>
        <vt:i4>0</vt:i4>
      </vt:variant>
      <vt:variant>
        <vt:i4>5</vt:i4>
      </vt:variant>
      <vt:variant>
        <vt:lpwstr>https://www.itu.int/md/S26-CWGFHR22-C-0036/en</vt:lpwstr>
      </vt:variant>
      <vt:variant>
        <vt:lpwstr/>
      </vt:variant>
      <vt:variant>
        <vt:i4>4194304</vt:i4>
      </vt:variant>
      <vt:variant>
        <vt:i4>15</vt:i4>
      </vt:variant>
      <vt:variant>
        <vt:i4>0</vt:i4>
      </vt:variant>
      <vt:variant>
        <vt:i4>5</vt:i4>
      </vt:variant>
      <vt:variant>
        <vt:lpwstr>https://www.itu.int/md/S26-CWGFHR22-C-0019/en</vt:lpwstr>
      </vt:variant>
      <vt:variant>
        <vt:lpwstr/>
      </vt:variant>
      <vt:variant>
        <vt:i4>4325378</vt:i4>
      </vt:variant>
      <vt:variant>
        <vt:i4>12</vt:i4>
      </vt:variant>
      <vt:variant>
        <vt:i4>0</vt:i4>
      </vt:variant>
      <vt:variant>
        <vt:i4>5</vt:i4>
      </vt:variant>
      <vt:variant>
        <vt:lpwstr>https://www.itu.int/md/S25-CWGFHR21-C-0008/en</vt:lpwstr>
      </vt:variant>
      <vt:variant>
        <vt:lpwstr/>
      </vt:variant>
      <vt:variant>
        <vt:i4>7471157</vt:i4>
      </vt:variant>
      <vt:variant>
        <vt:i4>9</vt:i4>
      </vt:variant>
      <vt:variant>
        <vt:i4>0</vt:i4>
      </vt:variant>
      <vt:variant>
        <vt:i4>5</vt:i4>
      </vt:variant>
      <vt:variant>
        <vt:lpwstr>https://www.itu.int/md/S25-CL-C-0095/en</vt:lpwstr>
      </vt:variant>
      <vt:variant>
        <vt:lpwstr/>
      </vt:variant>
      <vt:variant>
        <vt:i4>4194304</vt:i4>
      </vt:variant>
      <vt:variant>
        <vt:i4>6</vt:i4>
      </vt:variant>
      <vt:variant>
        <vt:i4>0</vt:i4>
      </vt:variant>
      <vt:variant>
        <vt:i4>5</vt:i4>
      </vt:variant>
      <vt:variant>
        <vt:lpwstr>https://www.itu.int/md/S26-CWGFHR22-C-0019/en</vt:lpwstr>
      </vt:variant>
      <vt:variant>
        <vt:lpwstr/>
      </vt:variant>
      <vt:variant>
        <vt:i4>4325378</vt:i4>
      </vt:variant>
      <vt:variant>
        <vt:i4>3</vt:i4>
      </vt:variant>
      <vt:variant>
        <vt:i4>0</vt:i4>
      </vt:variant>
      <vt:variant>
        <vt:i4>5</vt:i4>
      </vt:variant>
      <vt:variant>
        <vt:lpwstr>https://www.itu.int/md/S25-CWGFHR21-C-0008/en</vt:lpwstr>
      </vt:variant>
      <vt:variant>
        <vt:lpwstr/>
      </vt:variant>
      <vt:variant>
        <vt:i4>7471157</vt:i4>
      </vt:variant>
      <vt:variant>
        <vt:i4>0</vt:i4>
      </vt:variant>
      <vt:variant>
        <vt:i4>0</vt:i4>
      </vt:variant>
      <vt:variant>
        <vt:i4>5</vt:i4>
      </vt:variant>
      <vt:variant>
        <vt:lpwstr>https://www.itu.int/md/S25-CL-C-0095/en</vt:lpwstr>
      </vt:variant>
      <vt:variant>
        <vt:lpwstr/>
      </vt:variant>
      <vt:variant>
        <vt:i4>25</vt:i4>
      </vt:variant>
      <vt:variant>
        <vt:i4>3</vt:i4>
      </vt:variant>
      <vt:variant>
        <vt:i4>0</vt:i4>
      </vt:variant>
      <vt:variant>
        <vt:i4>5</vt:i4>
      </vt:variant>
      <vt:variant>
        <vt:lpwstr>https://council.itu.int/2026/en/</vt:lpwstr>
      </vt:variant>
      <vt:variant>
        <vt:lpwstr/>
      </vt:variant>
      <vt:variant>
        <vt:i4>7143452</vt:i4>
      </vt:variant>
      <vt:variant>
        <vt:i4>15</vt:i4>
      </vt:variant>
      <vt:variant>
        <vt:i4>0</vt:i4>
      </vt:variant>
      <vt:variant>
        <vt:i4>5</vt:i4>
      </vt:variant>
      <vt:variant>
        <vt:lpwstr>mailto:Mathieu.Baunin@itu.int</vt:lpwstr>
      </vt:variant>
      <vt:variant>
        <vt:lpwstr/>
      </vt:variant>
      <vt:variant>
        <vt:i4>589932</vt:i4>
      </vt:variant>
      <vt:variant>
        <vt:i4>12</vt:i4>
      </vt:variant>
      <vt:variant>
        <vt:i4>0</vt:i4>
      </vt:variant>
      <vt:variant>
        <vt:i4>5</vt:i4>
      </vt:variant>
      <vt:variant>
        <vt:lpwstr>mailto:khuloud.odeh@itu.int</vt:lpwstr>
      </vt:variant>
      <vt:variant>
        <vt:lpwstr/>
      </vt:variant>
      <vt:variant>
        <vt:i4>7143452</vt:i4>
      </vt:variant>
      <vt:variant>
        <vt:i4>9</vt:i4>
      </vt:variant>
      <vt:variant>
        <vt:i4>0</vt:i4>
      </vt:variant>
      <vt:variant>
        <vt:i4>5</vt:i4>
      </vt:variant>
      <vt:variant>
        <vt:lpwstr>mailto:Mathieu.Baunin@itu.int</vt:lpwstr>
      </vt:variant>
      <vt:variant>
        <vt:lpwstr/>
      </vt:variant>
      <vt:variant>
        <vt:i4>589932</vt:i4>
      </vt:variant>
      <vt:variant>
        <vt:i4>6</vt:i4>
      </vt:variant>
      <vt:variant>
        <vt:i4>0</vt:i4>
      </vt:variant>
      <vt:variant>
        <vt:i4>5</vt:i4>
      </vt:variant>
      <vt:variant>
        <vt:lpwstr>mailto:khuloud.odeh@itu.int</vt:lpwstr>
      </vt:variant>
      <vt:variant>
        <vt:lpwstr/>
      </vt:variant>
      <vt:variant>
        <vt:i4>4587562</vt:i4>
      </vt:variant>
      <vt:variant>
        <vt:i4>3</vt:i4>
      </vt:variant>
      <vt:variant>
        <vt:i4>0</vt:i4>
      </vt:variant>
      <vt:variant>
        <vt:i4>5</vt:i4>
      </vt:variant>
      <vt:variant>
        <vt:lpwstr>mailto:kate.carrara@itu.int</vt:lpwstr>
      </vt:variant>
      <vt:variant>
        <vt:lpwstr/>
      </vt:variant>
      <vt:variant>
        <vt:i4>65657</vt:i4>
      </vt:variant>
      <vt:variant>
        <vt:i4>0</vt:i4>
      </vt:variant>
      <vt:variant>
        <vt:i4>0</vt:i4>
      </vt:variant>
      <vt:variant>
        <vt:i4>5</vt:i4>
      </vt:variant>
      <vt:variant>
        <vt:lpwstr>mailto:negar.takesh@itu.int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measures to reduce financial burdens on host countries of ITU conferences, meetings and activities</dc:title>
  <dc:subject>ITU Council 2026</dc:subject>
  <cp:keywords>C26; C2026; Council 2026; PP26</cp:keywords>
  <dc:description/>
  <cp:lastPrinted>2000-07-18T22:30:00Z</cp:lastPrinted>
  <dcterms:created xsi:type="dcterms:W3CDTF">2026-03-27T16:27:00Z</dcterms:created>
  <dcterms:modified xsi:type="dcterms:W3CDTF">2026-03-27T16:35:00Z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