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000163" w:rsidRPr="00C0458D" w14:paraId="547A06E8" w14:textId="77777777" w:rsidTr="00954C49">
        <w:trPr>
          <w:cantSplit/>
          <w:trHeight w:val="23"/>
        </w:trPr>
        <w:tc>
          <w:tcPr>
            <w:tcW w:w="3969" w:type="dxa"/>
            <w:vMerge w:val="restart"/>
            <w:tcMar>
              <w:left w:w="0" w:type="dxa"/>
            </w:tcMar>
          </w:tcPr>
          <w:p w14:paraId="7221E19B" w14:textId="4DE67480" w:rsidR="00000163" w:rsidRPr="00C0458D" w:rsidRDefault="00000163" w:rsidP="00954C49">
            <w:pPr>
              <w:tabs>
                <w:tab w:val="left" w:pos="851"/>
              </w:tabs>
              <w:spacing w:before="0" w:line="240" w:lineRule="atLeast"/>
              <w:rPr>
                <w:b/>
                <w:lang w:eastAsia="zh-CN"/>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rFonts w:hint="eastAsia"/>
                <w:b/>
                <w:lang w:eastAsia="zh-CN"/>
              </w:rPr>
              <w:t>议项：</w:t>
            </w:r>
            <w:r w:rsidR="0090661D" w:rsidRPr="00556FE3">
              <w:rPr>
                <w:b/>
              </w:rPr>
              <w:t>ADM</w:t>
            </w:r>
            <w:r w:rsidR="0090661D">
              <w:rPr>
                <w:b/>
              </w:rPr>
              <w:t xml:space="preserve"> </w:t>
            </w:r>
            <w:r w:rsidR="0090661D" w:rsidRPr="00556FE3">
              <w:rPr>
                <w:b/>
              </w:rPr>
              <w:t>3</w:t>
            </w:r>
          </w:p>
        </w:tc>
        <w:tc>
          <w:tcPr>
            <w:tcW w:w="5245" w:type="dxa"/>
          </w:tcPr>
          <w:p w14:paraId="18D8E947" w14:textId="1108F134" w:rsidR="00000163" w:rsidRPr="00C0458D" w:rsidRDefault="00000163" w:rsidP="00954C49">
            <w:pPr>
              <w:tabs>
                <w:tab w:val="left" w:pos="851"/>
              </w:tabs>
              <w:spacing w:before="0" w:line="240" w:lineRule="atLeast"/>
              <w:jc w:val="right"/>
              <w:rPr>
                <w:b/>
                <w:lang w:eastAsia="zh-CN"/>
              </w:rPr>
            </w:pPr>
            <w:r>
              <w:rPr>
                <w:rFonts w:hint="eastAsia"/>
                <w:b/>
                <w:lang w:eastAsia="zh-CN"/>
              </w:rPr>
              <w:t>文件</w:t>
            </w:r>
            <w:r w:rsidRPr="00C0458D">
              <w:rPr>
                <w:rFonts w:hint="eastAsia"/>
                <w:b/>
                <w:lang w:eastAsia="zh-CN"/>
              </w:rPr>
              <w:t xml:space="preserve"> C2</w:t>
            </w:r>
            <w:r>
              <w:rPr>
                <w:rFonts w:hint="eastAsia"/>
                <w:b/>
                <w:lang w:eastAsia="zh-CN"/>
              </w:rPr>
              <w:t>6</w:t>
            </w:r>
            <w:r w:rsidRPr="00C0458D">
              <w:rPr>
                <w:rFonts w:hint="eastAsia"/>
                <w:b/>
                <w:lang w:eastAsia="zh-CN"/>
              </w:rPr>
              <w:t>/</w:t>
            </w:r>
            <w:r w:rsidR="0090661D">
              <w:rPr>
                <w:b/>
                <w:lang w:eastAsia="zh-CN"/>
              </w:rPr>
              <w:t>7</w:t>
            </w:r>
            <w:r w:rsidR="000B22F0">
              <w:rPr>
                <w:b/>
                <w:lang w:eastAsia="zh-CN"/>
              </w:rPr>
              <w:t>1</w:t>
            </w:r>
            <w:r w:rsidRPr="00C0458D">
              <w:rPr>
                <w:rFonts w:hint="eastAsia"/>
                <w:b/>
                <w:lang w:eastAsia="zh-CN"/>
              </w:rPr>
              <w:t>-</w:t>
            </w:r>
            <w:r>
              <w:rPr>
                <w:rFonts w:hint="eastAsia"/>
                <w:b/>
                <w:lang w:eastAsia="zh-CN"/>
              </w:rPr>
              <w:t>C</w:t>
            </w:r>
          </w:p>
        </w:tc>
      </w:tr>
      <w:tr w:rsidR="00000163" w:rsidRPr="00C0458D" w14:paraId="46D88DBE" w14:textId="77777777" w:rsidTr="00954C49">
        <w:trPr>
          <w:cantSplit/>
        </w:trPr>
        <w:tc>
          <w:tcPr>
            <w:tcW w:w="3969" w:type="dxa"/>
            <w:vMerge/>
          </w:tcPr>
          <w:p w14:paraId="6867E25F" w14:textId="77777777" w:rsidR="00000163" w:rsidRPr="00C0458D" w:rsidRDefault="00000163" w:rsidP="00954C49">
            <w:pPr>
              <w:tabs>
                <w:tab w:val="left" w:pos="851"/>
              </w:tabs>
              <w:spacing w:line="240" w:lineRule="atLeast"/>
              <w:rPr>
                <w:b/>
                <w:lang w:eastAsia="zh-CN"/>
              </w:rPr>
            </w:pPr>
            <w:bookmarkStart w:id="6" w:name="ddate" w:colFirst="1" w:colLast="1"/>
            <w:bookmarkEnd w:id="0"/>
            <w:bookmarkEnd w:id="1"/>
          </w:p>
        </w:tc>
        <w:tc>
          <w:tcPr>
            <w:tcW w:w="5245" w:type="dxa"/>
          </w:tcPr>
          <w:p w14:paraId="74644C85" w14:textId="2ACD2E27" w:rsidR="00000163" w:rsidRPr="00C0458D" w:rsidRDefault="00000163" w:rsidP="00954C49">
            <w:pPr>
              <w:tabs>
                <w:tab w:val="left" w:pos="851"/>
              </w:tabs>
              <w:spacing w:before="0"/>
              <w:jc w:val="right"/>
              <w:rPr>
                <w:b/>
                <w:lang w:eastAsia="zh-CN"/>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sidR="0090661D">
              <w:rPr>
                <w:b/>
                <w:lang w:eastAsia="zh-CN"/>
              </w:rPr>
              <w:t>27</w:t>
            </w:r>
            <w:r>
              <w:rPr>
                <w:rFonts w:hint="eastAsia"/>
                <w:b/>
                <w:lang w:eastAsia="zh-CN"/>
              </w:rPr>
              <w:t>日</w:t>
            </w:r>
          </w:p>
        </w:tc>
      </w:tr>
      <w:tr w:rsidR="00000163" w:rsidRPr="00C0458D" w14:paraId="5A1050EA" w14:textId="77777777" w:rsidTr="00954C49">
        <w:trPr>
          <w:cantSplit/>
          <w:trHeight w:val="23"/>
        </w:trPr>
        <w:tc>
          <w:tcPr>
            <w:tcW w:w="3969" w:type="dxa"/>
            <w:vMerge/>
          </w:tcPr>
          <w:p w14:paraId="7CC27C6D" w14:textId="77777777" w:rsidR="00000163" w:rsidRPr="00C0458D" w:rsidRDefault="00000163" w:rsidP="00954C49">
            <w:pPr>
              <w:tabs>
                <w:tab w:val="left" w:pos="851"/>
              </w:tabs>
              <w:spacing w:line="240" w:lineRule="atLeast"/>
              <w:rPr>
                <w:b/>
                <w:lang w:eastAsia="zh-CN"/>
              </w:rPr>
            </w:pPr>
            <w:bookmarkStart w:id="7" w:name="dorlang" w:colFirst="1" w:colLast="1"/>
            <w:bookmarkEnd w:id="6"/>
          </w:p>
        </w:tc>
        <w:tc>
          <w:tcPr>
            <w:tcW w:w="5245" w:type="dxa"/>
          </w:tcPr>
          <w:p w14:paraId="4C2C4999" w14:textId="77777777" w:rsidR="00000163" w:rsidRPr="00C0458D" w:rsidRDefault="00000163" w:rsidP="00954C49">
            <w:pPr>
              <w:tabs>
                <w:tab w:val="left" w:pos="851"/>
              </w:tabs>
              <w:spacing w:before="0" w:line="240" w:lineRule="atLeast"/>
              <w:jc w:val="right"/>
              <w:rPr>
                <w:b/>
                <w:lang w:eastAsia="zh-CN"/>
              </w:rPr>
            </w:pPr>
            <w:r>
              <w:rPr>
                <w:rFonts w:hint="eastAsia"/>
                <w:b/>
                <w:lang w:eastAsia="zh-CN"/>
              </w:rPr>
              <w:t>原文：英文</w:t>
            </w:r>
          </w:p>
        </w:tc>
      </w:tr>
      <w:tr w:rsidR="00000163" w:rsidRPr="00C0458D" w14:paraId="2719E5E1" w14:textId="77777777" w:rsidTr="00954C49">
        <w:trPr>
          <w:cantSplit/>
          <w:trHeight w:val="23"/>
        </w:trPr>
        <w:tc>
          <w:tcPr>
            <w:tcW w:w="3969" w:type="dxa"/>
          </w:tcPr>
          <w:p w14:paraId="3EFD1526" w14:textId="77777777" w:rsidR="00000163" w:rsidRPr="00C0458D" w:rsidRDefault="00000163" w:rsidP="00954C49">
            <w:pPr>
              <w:tabs>
                <w:tab w:val="left" w:pos="851"/>
              </w:tabs>
              <w:spacing w:line="240" w:lineRule="atLeast"/>
              <w:rPr>
                <w:b/>
                <w:lang w:eastAsia="zh-CN"/>
              </w:rPr>
            </w:pPr>
          </w:p>
        </w:tc>
        <w:tc>
          <w:tcPr>
            <w:tcW w:w="5245" w:type="dxa"/>
          </w:tcPr>
          <w:p w14:paraId="0E211B1D" w14:textId="77777777" w:rsidR="00000163" w:rsidRPr="00C0458D" w:rsidRDefault="00000163" w:rsidP="00954C49">
            <w:pPr>
              <w:tabs>
                <w:tab w:val="left" w:pos="851"/>
              </w:tabs>
              <w:spacing w:before="0" w:line="240" w:lineRule="atLeast"/>
              <w:jc w:val="right"/>
              <w:rPr>
                <w:b/>
                <w:lang w:eastAsia="zh-CN"/>
              </w:rPr>
            </w:pPr>
          </w:p>
        </w:tc>
      </w:tr>
      <w:tr w:rsidR="00000163" w:rsidRPr="00C0458D" w14:paraId="0BF1B361" w14:textId="77777777" w:rsidTr="00954C49">
        <w:trPr>
          <w:cantSplit/>
        </w:trPr>
        <w:tc>
          <w:tcPr>
            <w:tcW w:w="9214" w:type="dxa"/>
            <w:gridSpan w:val="2"/>
            <w:tcMar>
              <w:left w:w="0" w:type="dxa"/>
            </w:tcMar>
          </w:tcPr>
          <w:p w14:paraId="2794A103" w14:textId="19FB7DB5" w:rsidR="00000163" w:rsidRPr="00C0458D" w:rsidRDefault="0090661D" w:rsidP="00954C49">
            <w:pPr>
              <w:pStyle w:val="Source"/>
              <w:framePr w:hSpace="0" w:wrap="auto" w:vAnchor="margin" w:hAnchor="text" w:yAlign="inline"/>
              <w:rPr>
                <w:lang w:eastAsia="zh-CN"/>
              </w:rPr>
            </w:pPr>
            <w:bookmarkStart w:id="8" w:name="dsource" w:colFirst="0" w:colLast="0"/>
            <w:bookmarkEnd w:id="7"/>
            <w:r>
              <w:rPr>
                <w:rFonts w:hint="eastAsia"/>
                <w:lang w:eastAsia="zh-CN"/>
              </w:rPr>
              <w:t>秘书长的报告</w:t>
            </w:r>
          </w:p>
        </w:tc>
      </w:tr>
      <w:tr w:rsidR="00000163" w:rsidRPr="00E82E09" w14:paraId="5E884DA6" w14:textId="77777777" w:rsidTr="00954C49">
        <w:trPr>
          <w:cantSplit/>
        </w:trPr>
        <w:tc>
          <w:tcPr>
            <w:tcW w:w="9214" w:type="dxa"/>
            <w:gridSpan w:val="2"/>
            <w:tcMar>
              <w:left w:w="0" w:type="dxa"/>
            </w:tcMar>
          </w:tcPr>
          <w:p w14:paraId="527B480F" w14:textId="09829301" w:rsidR="00000163" w:rsidRPr="000B22F0" w:rsidRDefault="0090661D" w:rsidP="00954C49">
            <w:pPr>
              <w:pStyle w:val="Subtitle"/>
              <w:framePr w:hSpace="0" w:wrap="auto" w:hAnchor="text" w:xAlign="left" w:yAlign="inline"/>
              <w:rPr>
                <w:rFonts w:eastAsia="SimSun" w:cs="Calibri"/>
                <w:b/>
                <w:bCs/>
                <w:sz w:val="34"/>
                <w:szCs w:val="34"/>
                <w:lang w:eastAsia="zh-CN"/>
              </w:rPr>
            </w:pPr>
            <w:bookmarkStart w:id="9" w:name="dtitle1" w:colFirst="0" w:colLast="0"/>
            <w:bookmarkEnd w:id="8"/>
            <w:r w:rsidRPr="00A777E0">
              <w:rPr>
                <w:rFonts w:hint="eastAsia"/>
                <w:lang w:eastAsia="zh-CN"/>
              </w:rPr>
              <w:t>国际电联大会、会议和活动东道国财务负担减轻措施的最新情况</w:t>
            </w:r>
          </w:p>
        </w:tc>
      </w:tr>
      <w:tr w:rsidR="00000163" w:rsidRPr="00E82E09" w14:paraId="7D8B65CC" w14:textId="77777777" w:rsidTr="00954C49">
        <w:trPr>
          <w:cantSplit/>
        </w:trPr>
        <w:tc>
          <w:tcPr>
            <w:tcW w:w="9214" w:type="dxa"/>
            <w:gridSpan w:val="2"/>
            <w:tcBorders>
              <w:top w:val="single" w:sz="4" w:space="0" w:color="auto"/>
              <w:bottom w:val="single" w:sz="4" w:space="0" w:color="auto"/>
            </w:tcBorders>
            <w:tcMar>
              <w:left w:w="0" w:type="dxa"/>
            </w:tcMar>
          </w:tcPr>
          <w:p w14:paraId="2E17D038" w14:textId="6E96019B" w:rsidR="00000163" w:rsidRPr="00E82E09" w:rsidRDefault="00000163" w:rsidP="00954C49">
            <w:pPr>
              <w:spacing w:before="160"/>
              <w:rPr>
                <w:rFonts w:eastAsia="SimSun" w:cs="Calibri"/>
                <w:b/>
                <w:bCs/>
                <w:sz w:val="26"/>
                <w:szCs w:val="26"/>
                <w:lang w:eastAsia="zh-CN"/>
              </w:rPr>
            </w:pPr>
            <w:r w:rsidRPr="00E82E09">
              <w:rPr>
                <w:rFonts w:eastAsia="SimSun" w:cs="Calibri" w:hint="eastAsia"/>
                <w:b/>
                <w:bCs/>
                <w:sz w:val="26"/>
                <w:szCs w:val="26"/>
                <w:lang w:eastAsia="zh-CN"/>
              </w:rPr>
              <w:t>目的</w:t>
            </w:r>
          </w:p>
          <w:p w14:paraId="433C6C6E" w14:textId="5C8586B8" w:rsidR="00187A07" w:rsidRPr="00E82E09" w:rsidRDefault="0090661D" w:rsidP="000B22F0">
            <w:pPr>
              <w:spacing w:before="160"/>
              <w:ind w:firstLineChars="200" w:firstLine="480"/>
              <w:rPr>
                <w:rFonts w:eastAsia="SimSun" w:cs="Calibri"/>
                <w:color w:val="000000"/>
                <w:lang w:val="en-US" w:eastAsia="zh-CN"/>
              </w:rPr>
            </w:pPr>
            <w:r w:rsidRPr="00A777E0">
              <w:rPr>
                <w:rFonts w:hint="eastAsia"/>
                <w:szCs w:val="24"/>
                <w:lang w:eastAsia="zh-CN"/>
              </w:rPr>
              <w:t>本文件介绍了为减轻国际电联大会、会议和活动</w:t>
            </w:r>
            <w:r>
              <w:rPr>
                <w:rFonts w:hint="eastAsia"/>
                <w:szCs w:val="24"/>
                <w:lang w:eastAsia="zh-CN"/>
              </w:rPr>
              <w:t>给</w:t>
            </w:r>
            <w:r w:rsidRPr="00A777E0">
              <w:rPr>
                <w:rFonts w:hint="eastAsia"/>
                <w:szCs w:val="24"/>
                <w:lang w:eastAsia="zh-CN"/>
              </w:rPr>
              <w:t>东道国</w:t>
            </w:r>
            <w:r>
              <w:rPr>
                <w:rFonts w:hint="eastAsia"/>
                <w:szCs w:val="24"/>
                <w:lang w:eastAsia="zh-CN"/>
              </w:rPr>
              <w:t>带来的</w:t>
            </w:r>
            <w:r w:rsidRPr="00A777E0">
              <w:rPr>
                <w:rFonts w:hint="eastAsia"/>
                <w:szCs w:val="24"/>
                <w:lang w:eastAsia="zh-CN"/>
              </w:rPr>
              <w:t>财务负担而可能采取的措施的最新情况。它符合多国文稿</w:t>
            </w:r>
            <w:hyperlink r:id="rId11">
              <w:proofErr w:type="spellStart"/>
              <w:r w:rsidRPr="00370D82">
                <w:rPr>
                  <w:rStyle w:val="Hyperlink"/>
                  <w:szCs w:val="24"/>
                  <w:lang w:eastAsia="zh-CN"/>
                </w:rPr>
                <w:t>C25</w:t>
              </w:r>
              <w:proofErr w:type="spellEnd"/>
              <w:r w:rsidRPr="00370D82">
                <w:rPr>
                  <w:rStyle w:val="Hyperlink"/>
                  <w:szCs w:val="24"/>
                  <w:lang w:eastAsia="zh-CN"/>
                </w:rPr>
                <w:t>/95</w:t>
              </w:r>
            </w:hyperlink>
            <w:r w:rsidRPr="00A777E0">
              <w:rPr>
                <w:rFonts w:hint="eastAsia"/>
                <w:szCs w:val="24"/>
                <w:lang w:eastAsia="zh-CN"/>
              </w:rPr>
              <w:t>号</w:t>
            </w:r>
            <w:r>
              <w:rPr>
                <w:rFonts w:hint="eastAsia"/>
                <w:szCs w:val="24"/>
                <w:lang w:eastAsia="zh-CN"/>
              </w:rPr>
              <w:t>文件</w:t>
            </w:r>
            <w:r w:rsidRPr="00A777E0">
              <w:rPr>
                <w:rFonts w:hint="eastAsia"/>
                <w:szCs w:val="24"/>
                <w:lang w:eastAsia="zh-CN"/>
              </w:rPr>
              <w:t>向理事会</w:t>
            </w:r>
            <w:r w:rsidRPr="00A777E0">
              <w:rPr>
                <w:rFonts w:hint="eastAsia"/>
                <w:szCs w:val="24"/>
                <w:lang w:eastAsia="zh-CN"/>
              </w:rPr>
              <w:t>2025</w:t>
            </w:r>
            <w:r w:rsidRPr="00A777E0">
              <w:rPr>
                <w:rFonts w:hint="eastAsia"/>
                <w:szCs w:val="24"/>
                <w:lang w:eastAsia="zh-CN"/>
              </w:rPr>
              <w:t>年会议提交的减轻财务负担的提案，并遵循了向</w:t>
            </w:r>
            <w:r w:rsidRPr="00A777E0">
              <w:rPr>
                <w:rFonts w:hint="eastAsia"/>
                <w:szCs w:val="24"/>
                <w:lang w:eastAsia="zh-CN"/>
              </w:rPr>
              <w:t>2025</w:t>
            </w:r>
            <w:r w:rsidRPr="00A777E0">
              <w:rPr>
                <w:rFonts w:hint="eastAsia"/>
                <w:szCs w:val="24"/>
                <w:lang w:eastAsia="zh-CN"/>
              </w:rPr>
              <w:t>年</w:t>
            </w:r>
            <w:r w:rsidRPr="00A777E0">
              <w:rPr>
                <w:rFonts w:hint="eastAsia"/>
                <w:szCs w:val="24"/>
                <w:lang w:eastAsia="zh-CN"/>
              </w:rPr>
              <w:t>9</w:t>
            </w:r>
            <w:r w:rsidRPr="00A777E0">
              <w:rPr>
                <w:rFonts w:hint="eastAsia"/>
                <w:szCs w:val="24"/>
                <w:lang w:eastAsia="zh-CN"/>
              </w:rPr>
              <w:t>月</w:t>
            </w:r>
            <w:r w:rsidRPr="00C80F48">
              <w:rPr>
                <w:rFonts w:hint="eastAsia"/>
                <w:szCs w:val="24"/>
                <w:lang w:eastAsia="zh-CN"/>
              </w:rPr>
              <w:t>理事会财务和人力资源工作组（</w:t>
            </w:r>
            <w:r w:rsidRPr="00C80F48">
              <w:rPr>
                <w:rFonts w:hint="eastAsia"/>
                <w:szCs w:val="24"/>
                <w:lang w:eastAsia="zh-CN"/>
              </w:rPr>
              <w:t>CWG-FHR</w:t>
            </w:r>
            <w:r w:rsidRPr="00C80F48">
              <w:rPr>
                <w:rFonts w:hint="eastAsia"/>
                <w:szCs w:val="24"/>
                <w:lang w:eastAsia="zh-CN"/>
              </w:rPr>
              <w:t>）</w:t>
            </w:r>
            <w:r w:rsidRPr="00A777E0">
              <w:rPr>
                <w:rFonts w:hint="eastAsia"/>
                <w:szCs w:val="24"/>
                <w:lang w:eastAsia="zh-CN"/>
              </w:rPr>
              <w:t>第</w:t>
            </w:r>
            <w:r w:rsidRPr="00A777E0">
              <w:rPr>
                <w:rFonts w:hint="eastAsia"/>
                <w:szCs w:val="24"/>
                <w:lang w:eastAsia="zh-CN"/>
              </w:rPr>
              <w:t>21</w:t>
            </w:r>
            <w:r w:rsidRPr="00A777E0">
              <w:rPr>
                <w:rFonts w:hint="eastAsia"/>
                <w:szCs w:val="24"/>
                <w:lang w:eastAsia="zh-CN"/>
              </w:rPr>
              <w:t>次会议（</w:t>
            </w:r>
            <w:r>
              <w:fldChar w:fldCharType="begin"/>
            </w:r>
            <w:r>
              <w:rPr>
                <w:lang w:eastAsia="zh-CN"/>
              </w:rPr>
              <w:instrText>HYPERLINK "https://www.itu.int/md/S25-CWGFHR21-C-0008/en"</w:instrText>
            </w:r>
            <w:r>
              <w:fldChar w:fldCharType="separate"/>
            </w:r>
            <w:r w:rsidRPr="00370D82">
              <w:rPr>
                <w:rStyle w:val="Hyperlink"/>
                <w:szCs w:val="24"/>
                <w:lang w:eastAsia="zh-CN"/>
              </w:rPr>
              <w:t>CWG-FHR-21/8</w:t>
            </w:r>
            <w:r>
              <w:fldChar w:fldCharType="end"/>
            </w:r>
            <w:r w:rsidRPr="00A777E0">
              <w:rPr>
                <w:rFonts w:hint="eastAsia"/>
                <w:szCs w:val="24"/>
                <w:lang w:eastAsia="zh-CN"/>
              </w:rPr>
              <w:t>号文件）和</w:t>
            </w:r>
            <w:r w:rsidRPr="00A777E0">
              <w:rPr>
                <w:rFonts w:hint="eastAsia"/>
                <w:szCs w:val="24"/>
                <w:lang w:eastAsia="zh-CN"/>
              </w:rPr>
              <w:t>2026</w:t>
            </w:r>
            <w:r w:rsidRPr="00A777E0">
              <w:rPr>
                <w:rFonts w:hint="eastAsia"/>
                <w:szCs w:val="24"/>
                <w:lang w:eastAsia="zh-CN"/>
              </w:rPr>
              <w:t>年</w:t>
            </w:r>
            <w:r w:rsidRPr="00A777E0">
              <w:rPr>
                <w:rFonts w:hint="eastAsia"/>
                <w:szCs w:val="24"/>
                <w:lang w:eastAsia="zh-CN"/>
              </w:rPr>
              <w:t>1</w:t>
            </w:r>
            <w:r w:rsidRPr="00A777E0">
              <w:rPr>
                <w:rFonts w:hint="eastAsia"/>
                <w:szCs w:val="24"/>
                <w:lang w:eastAsia="zh-CN"/>
              </w:rPr>
              <w:t>月第</w:t>
            </w:r>
            <w:r w:rsidRPr="00A777E0">
              <w:rPr>
                <w:rFonts w:hint="eastAsia"/>
                <w:szCs w:val="24"/>
                <w:lang w:eastAsia="zh-CN"/>
              </w:rPr>
              <w:t>22</w:t>
            </w:r>
            <w:r w:rsidRPr="00A777E0">
              <w:rPr>
                <w:rFonts w:hint="eastAsia"/>
                <w:szCs w:val="24"/>
                <w:lang w:eastAsia="zh-CN"/>
              </w:rPr>
              <w:t>次会议（</w:t>
            </w:r>
            <w:r>
              <w:fldChar w:fldCharType="begin"/>
            </w:r>
            <w:r>
              <w:rPr>
                <w:lang w:eastAsia="zh-CN"/>
              </w:rPr>
              <w:instrText>HYPERLINK "https://www.itu.int/md/S26-CWGFHR22-C-0019/en"</w:instrText>
            </w:r>
            <w:r>
              <w:fldChar w:fldCharType="separate"/>
            </w:r>
            <w:r w:rsidRPr="00370D82">
              <w:rPr>
                <w:rStyle w:val="Hyperlink"/>
                <w:szCs w:val="24"/>
                <w:lang w:eastAsia="zh-CN"/>
              </w:rPr>
              <w:t>CWG-FHR-22/19</w:t>
            </w:r>
            <w:r>
              <w:fldChar w:fldCharType="end"/>
            </w:r>
            <w:r w:rsidRPr="00A777E0">
              <w:rPr>
                <w:rFonts w:hint="eastAsia"/>
                <w:szCs w:val="24"/>
                <w:lang w:eastAsia="zh-CN"/>
              </w:rPr>
              <w:t>号文件）提交的报告。</w:t>
            </w:r>
          </w:p>
          <w:p w14:paraId="0A060381" w14:textId="4481D104" w:rsidR="00000163" w:rsidRPr="00E82E09" w:rsidRDefault="009B784E" w:rsidP="00954C49">
            <w:pPr>
              <w:spacing w:before="160"/>
              <w:rPr>
                <w:rFonts w:eastAsia="SimSun" w:cs="Calibri"/>
                <w:b/>
                <w:bCs/>
                <w:sz w:val="26"/>
                <w:szCs w:val="26"/>
                <w:lang w:eastAsia="zh-CN"/>
              </w:rPr>
            </w:pPr>
            <w:r w:rsidRPr="00E82E09">
              <w:rPr>
                <w:rFonts w:eastAsia="SimSun" w:cs="Calibri" w:hint="eastAsia"/>
                <w:b/>
                <w:bCs/>
                <w:sz w:val="26"/>
                <w:szCs w:val="26"/>
                <w:lang w:eastAsia="zh-CN"/>
              </w:rPr>
              <w:t>理事会需采取的行动</w:t>
            </w:r>
          </w:p>
          <w:p w14:paraId="23C13200" w14:textId="47D14DDA" w:rsidR="00000163" w:rsidRPr="00E82E09" w:rsidRDefault="0090661D" w:rsidP="009B5D72">
            <w:pPr>
              <w:ind w:firstLineChars="200" w:firstLine="480"/>
              <w:jc w:val="both"/>
              <w:rPr>
                <w:rFonts w:eastAsia="SimSun" w:cs="Calibri"/>
                <w:lang w:eastAsia="zh-CN"/>
              </w:rPr>
            </w:pPr>
            <w:r w:rsidRPr="00A777E0">
              <w:rPr>
                <w:rFonts w:hint="eastAsia"/>
                <w:lang w:eastAsia="zh-CN"/>
              </w:rPr>
              <w:t>请理事会将本文件</w:t>
            </w:r>
            <w:r w:rsidRPr="00A777E0">
              <w:rPr>
                <w:rFonts w:hint="eastAsia"/>
                <w:b/>
                <w:bCs/>
                <w:lang w:eastAsia="zh-CN"/>
              </w:rPr>
              <w:t>记录在案</w:t>
            </w:r>
            <w:r w:rsidRPr="00A777E0">
              <w:rPr>
                <w:rFonts w:hint="eastAsia"/>
                <w:lang w:eastAsia="zh-CN"/>
              </w:rPr>
              <w:t>。</w:t>
            </w:r>
          </w:p>
          <w:p w14:paraId="45A7DE13" w14:textId="4B1550D6" w:rsidR="00000163" w:rsidRPr="00E82E09" w:rsidRDefault="009B784E" w:rsidP="00954C49">
            <w:pPr>
              <w:spacing w:before="160"/>
              <w:rPr>
                <w:rFonts w:eastAsia="SimSun" w:cs="Calibri"/>
                <w:b/>
                <w:bCs/>
                <w:sz w:val="26"/>
                <w:szCs w:val="26"/>
                <w:lang w:eastAsia="zh-CN"/>
              </w:rPr>
            </w:pPr>
            <w:r w:rsidRPr="00E82E09">
              <w:rPr>
                <w:rFonts w:eastAsia="SimSun" w:cs="Calibri" w:hint="eastAsia"/>
                <w:b/>
                <w:bCs/>
                <w:sz w:val="26"/>
                <w:szCs w:val="26"/>
                <w:lang w:eastAsia="zh-CN"/>
              </w:rPr>
              <w:t>与《战略规划》的关联</w:t>
            </w:r>
          </w:p>
          <w:p w14:paraId="53FF61F5" w14:textId="145D3921" w:rsidR="00000163" w:rsidRPr="00E82E09" w:rsidRDefault="0090661D" w:rsidP="009B5D72">
            <w:pPr>
              <w:ind w:firstLineChars="200" w:firstLine="480"/>
              <w:jc w:val="both"/>
              <w:rPr>
                <w:rFonts w:eastAsia="SimSun" w:cs="Calibri"/>
                <w:lang w:eastAsia="zh-CN"/>
              </w:rPr>
            </w:pPr>
            <w:r>
              <w:rPr>
                <w:rFonts w:hint="eastAsia"/>
                <w:lang w:eastAsia="zh-CN"/>
              </w:rPr>
              <w:t>召集平台。</w:t>
            </w:r>
          </w:p>
          <w:p w14:paraId="075DD2CB" w14:textId="29C0FEB5" w:rsidR="00000163" w:rsidRPr="00E82E09" w:rsidRDefault="009B784E" w:rsidP="00954C49">
            <w:pPr>
              <w:spacing w:before="160"/>
              <w:rPr>
                <w:rFonts w:eastAsia="SimSun" w:cs="Calibri"/>
                <w:b/>
                <w:bCs/>
                <w:sz w:val="26"/>
                <w:szCs w:val="26"/>
                <w:lang w:eastAsia="zh-CN"/>
              </w:rPr>
            </w:pPr>
            <w:r w:rsidRPr="00E82E09">
              <w:rPr>
                <w:rFonts w:eastAsia="SimSun" w:cs="Calibri" w:hint="eastAsia"/>
                <w:b/>
                <w:bCs/>
                <w:sz w:val="26"/>
                <w:szCs w:val="26"/>
                <w:lang w:eastAsia="zh-CN"/>
              </w:rPr>
              <w:t>财务影响</w:t>
            </w:r>
          </w:p>
          <w:p w14:paraId="356C609B" w14:textId="3FC9CB4B" w:rsidR="00000163" w:rsidRPr="00E82E09" w:rsidRDefault="0090661D" w:rsidP="00BF47AA">
            <w:pPr>
              <w:ind w:firstLineChars="200" w:firstLine="480"/>
              <w:jc w:val="both"/>
              <w:rPr>
                <w:rFonts w:eastAsia="SimSun" w:cs="Calibri"/>
                <w:szCs w:val="24"/>
                <w:lang w:eastAsia="zh-CN"/>
              </w:rPr>
            </w:pPr>
            <w:r w:rsidRPr="00A777E0">
              <w:rPr>
                <w:rFonts w:hint="eastAsia"/>
                <w:lang w:eastAsia="zh-CN"/>
              </w:rPr>
              <w:t>在</w:t>
            </w:r>
            <w:r w:rsidRPr="00A777E0">
              <w:rPr>
                <w:rFonts w:hint="eastAsia"/>
                <w:lang w:eastAsia="zh-CN"/>
              </w:rPr>
              <w:t>2026-2027</w:t>
            </w:r>
            <w:r w:rsidRPr="00A777E0">
              <w:rPr>
                <w:rFonts w:hint="eastAsia"/>
                <w:lang w:eastAsia="zh-CN"/>
              </w:rPr>
              <w:t>年划拨预算范围内。</w:t>
            </w:r>
          </w:p>
          <w:p w14:paraId="19C2F041" w14:textId="77777777" w:rsidR="00000163" w:rsidRPr="00E82E09" w:rsidRDefault="00000163" w:rsidP="00954C49">
            <w:pPr>
              <w:rPr>
                <w:rFonts w:eastAsia="SimSun" w:cs="Calibri"/>
                <w:lang w:eastAsia="zh-CN"/>
              </w:rPr>
            </w:pPr>
            <w:r w:rsidRPr="00E82E09">
              <w:rPr>
                <w:rFonts w:eastAsia="SimSun" w:cs="Calibri" w:hint="eastAsia"/>
                <w:lang w:eastAsia="zh-CN"/>
              </w:rPr>
              <w:t>_______________</w:t>
            </w:r>
          </w:p>
          <w:p w14:paraId="6687AE33" w14:textId="70D8DC06" w:rsidR="00000163" w:rsidRPr="00E82E09" w:rsidRDefault="009B784E" w:rsidP="00954C49">
            <w:pPr>
              <w:spacing w:before="160"/>
              <w:rPr>
                <w:rFonts w:eastAsia="SimSun" w:cs="Calibri"/>
                <w:b/>
                <w:bCs/>
                <w:sz w:val="26"/>
                <w:szCs w:val="26"/>
                <w:lang w:eastAsia="zh-CN"/>
              </w:rPr>
            </w:pPr>
            <w:r w:rsidRPr="00E82E09">
              <w:rPr>
                <w:rFonts w:eastAsia="SimSun" w:cs="Calibri" w:hint="eastAsia"/>
                <w:b/>
                <w:bCs/>
                <w:sz w:val="26"/>
                <w:szCs w:val="26"/>
                <w:lang w:eastAsia="zh-CN"/>
              </w:rPr>
              <w:t>参考文件</w:t>
            </w:r>
          </w:p>
          <w:p w14:paraId="7E32CA64" w14:textId="600D54F5" w:rsidR="00000163" w:rsidRPr="00E82E09" w:rsidRDefault="0090661D" w:rsidP="00945F10">
            <w:pPr>
              <w:spacing w:after="160"/>
              <w:rPr>
                <w:rFonts w:eastAsia="SimSun" w:cs="Calibri"/>
                <w:sz w:val="22"/>
                <w:szCs w:val="22"/>
                <w:lang w:eastAsia="zh-CN"/>
              </w:rPr>
            </w:pPr>
            <w:hyperlink r:id="rId12" w:history="1">
              <w:proofErr w:type="spellStart"/>
              <w:r w:rsidRPr="00AB51B9">
                <w:rPr>
                  <w:rStyle w:val="Hyperlink"/>
                  <w:rFonts w:eastAsia="STKaiti" w:cs="Calibri"/>
                  <w:i/>
                  <w:iCs/>
                  <w:sz w:val="22"/>
                  <w:szCs w:val="22"/>
                </w:rPr>
                <w:t>C25</w:t>
              </w:r>
              <w:proofErr w:type="spellEnd"/>
              <w:r w:rsidRPr="00AB51B9">
                <w:rPr>
                  <w:rStyle w:val="Hyperlink"/>
                  <w:rFonts w:eastAsia="STKaiti" w:cs="Calibri"/>
                  <w:i/>
                  <w:iCs/>
                  <w:sz w:val="22"/>
                  <w:szCs w:val="22"/>
                </w:rPr>
                <w:t>/95</w:t>
              </w:r>
            </w:hyperlink>
            <w:r w:rsidRPr="00AB51B9">
              <w:rPr>
                <w:rFonts w:eastAsia="STKaiti" w:cs="Calibri" w:hint="eastAsia"/>
                <w:i/>
                <w:iCs/>
                <w:sz w:val="22"/>
                <w:szCs w:val="22"/>
                <w:lang w:eastAsia="zh-CN"/>
              </w:rPr>
              <w:t>、</w:t>
            </w:r>
            <w:r w:rsidRPr="00AB51B9">
              <w:rPr>
                <w:rFonts w:eastAsia="STKaiti" w:cs="Calibri"/>
                <w:i/>
                <w:iCs/>
              </w:rPr>
              <w:fldChar w:fldCharType="begin"/>
            </w:r>
            <w:r w:rsidRPr="00AB51B9">
              <w:rPr>
                <w:rFonts w:eastAsia="STKaiti" w:cs="Calibri"/>
                <w:i/>
                <w:iCs/>
              </w:rPr>
              <w:instrText>HYPERLINK "https://www.itu.int/md/S25-CWGFHR21-C-0008/en"</w:instrText>
            </w:r>
            <w:r w:rsidRPr="00AB51B9">
              <w:rPr>
                <w:rFonts w:eastAsia="STKaiti" w:cs="Calibri"/>
                <w:i/>
                <w:iCs/>
              </w:rPr>
            </w:r>
            <w:r w:rsidRPr="00AB51B9">
              <w:rPr>
                <w:rFonts w:eastAsia="STKaiti" w:cs="Calibri"/>
                <w:i/>
                <w:iCs/>
              </w:rPr>
              <w:fldChar w:fldCharType="separate"/>
            </w:r>
            <w:r w:rsidRPr="00AB51B9">
              <w:rPr>
                <w:rStyle w:val="Hyperlink"/>
                <w:rFonts w:eastAsia="STKaiti" w:cs="Calibri"/>
                <w:i/>
                <w:iCs/>
                <w:sz w:val="22"/>
                <w:szCs w:val="22"/>
              </w:rPr>
              <w:t>CWG-FHR-21/8</w:t>
            </w:r>
            <w:r w:rsidRPr="00AB51B9">
              <w:rPr>
                <w:rFonts w:eastAsia="STKaiti" w:cs="Calibri"/>
                <w:i/>
                <w:iCs/>
              </w:rPr>
              <w:fldChar w:fldCharType="end"/>
            </w:r>
            <w:r w:rsidRPr="00AB51B9">
              <w:rPr>
                <w:rFonts w:eastAsia="STKaiti" w:cs="Calibri" w:hint="eastAsia"/>
                <w:i/>
                <w:iCs/>
                <w:sz w:val="22"/>
                <w:szCs w:val="22"/>
                <w:lang w:eastAsia="zh-CN"/>
              </w:rPr>
              <w:t>、</w:t>
            </w:r>
            <w:r w:rsidRPr="00AB51B9">
              <w:rPr>
                <w:rFonts w:eastAsia="STKaiti" w:cs="Calibri"/>
                <w:i/>
                <w:iCs/>
              </w:rPr>
              <w:fldChar w:fldCharType="begin"/>
            </w:r>
            <w:r w:rsidRPr="00AB51B9">
              <w:rPr>
                <w:rFonts w:eastAsia="STKaiti" w:cs="Calibri"/>
                <w:i/>
                <w:iCs/>
              </w:rPr>
              <w:instrText>HYPERLINK "https://www.itu.int/md/S26-CWGFHR22-C-0019/en"</w:instrText>
            </w:r>
            <w:r w:rsidRPr="00AB51B9">
              <w:rPr>
                <w:rFonts w:eastAsia="STKaiti" w:cs="Calibri"/>
                <w:i/>
                <w:iCs/>
              </w:rPr>
            </w:r>
            <w:r w:rsidRPr="00AB51B9">
              <w:rPr>
                <w:rFonts w:eastAsia="STKaiti" w:cs="Calibri"/>
                <w:i/>
                <w:iCs/>
              </w:rPr>
              <w:fldChar w:fldCharType="separate"/>
            </w:r>
            <w:r w:rsidRPr="00AB51B9">
              <w:rPr>
                <w:rStyle w:val="Hyperlink"/>
                <w:rFonts w:eastAsia="STKaiti" w:cs="Calibri"/>
                <w:i/>
                <w:iCs/>
                <w:sz w:val="22"/>
                <w:szCs w:val="22"/>
              </w:rPr>
              <w:t>CWG-FHR-22/19</w:t>
            </w:r>
            <w:r w:rsidRPr="00AB51B9">
              <w:rPr>
                <w:rFonts w:eastAsia="STKaiti" w:cs="Calibri"/>
                <w:i/>
                <w:iCs/>
              </w:rPr>
              <w:fldChar w:fldCharType="end"/>
            </w:r>
            <w:r>
              <w:rPr>
                <w:rFonts w:eastAsia="STKaiti" w:cs="Calibri" w:hint="eastAsia"/>
                <w:sz w:val="22"/>
                <w:szCs w:val="22"/>
                <w:lang w:eastAsia="zh-CN"/>
              </w:rPr>
              <w:t>和</w:t>
            </w:r>
            <w:r w:rsidRPr="00AB51B9">
              <w:rPr>
                <w:i/>
                <w:iCs/>
              </w:rPr>
              <w:fldChar w:fldCharType="begin"/>
            </w:r>
            <w:r w:rsidRPr="00AB51B9">
              <w:rPr>
                <w:i/>
                <w:iCs/>
              </w:rPr>
              <w:instrText>HYPERLINK "https://www.itu.int/md/S26-CWGFHR22-C-0036/en"</w:instrText>
            </w:r>
            <w:r w:rsidRPr="00AB51B9">
              <w:rPr>
                <w:i/>
                <w:iCs/>
              </w:rPr>
            </w:r>
            <w:r w:rsidRPr="00AB51B9">
              <w:rPr>
                <w:i/>
                <w:iCs/>
              </w:rPr>
              <w:fldChar w:fldCharType="separate"/>
            </w:r>
            <w:r w:rsidRPr="00AB51B9">
              <w:rPr>
                <w:rStyle w:val="Hyperlink"/>
                <w:rFonts w:eastAsia="STKaiti" w:cs="Calibri"/>
                <w:i/>
                <w:iCs/>
                <w:sz w:val="22"/>
                <w:szCs w:val="22"/>
              </w:rPr>
              <w:t>CWG-FHR-22/36</w:t>
            </w:r>
            <w:r w:rsidRPr="00AB51B9">
              <w:rPr>
                <w:i/>
                <w:iCs/>
              </w:rPr>
              <w:fldChar w:fldCharType="end"/>
            </w:r>
            <w:r w:rsidRPr="00A777E0">
              <w:rPr>
                <w:rFonts w:eastAsia="STKaiti" w:cs="Calibri"/>
                <w:sz w:val="22"/>
                <w:szCs w:val="22"/>
                <w:lang w:eastAsia="zh-CN"/>
              </w:rPr>
              <w:t>号文件。</w:t>
            </w:r>
          </w:p>
        </w:tc>
      </w:tr>
      <w:bookmarkEnd w:id="2"/>
      <w:bookmarkEnd w:id="9"/>
      <w:bookmarkEnd w:id="3"/>
      <w:bookmarkEnd w:id="4"/>
      <w:bookmarkEnd w:id="5"/>
    </w:tbl>
    <w:p w14:paraId="192F0691" w14:textId="77777777" w:rsidR="00041050" w:rsidRDefault="00041050" w:rsidP="00041050">
      <w:pPr>
        <w:rPr>
          <w:lang w:eastAsia="zh-CN"/>
        </w:rPr>
      </w:pPr>
    </w:p>
    <w:p w14:paraId="0B3F4A76" w14:textId="77777777" w:rsidR="00041050" w:rsidRDefault="00041050">
      <w:pPr>
        <w:tabs>
          <w:tab w:val="clear" w:pos="567"/>
          <w:tab w:val="clear" w:pos="1134"/>
          <w:tab w:val="clear" w:pos="1701"/>
          <w:tab w:val="clear" w:pos="2268"/>
          <w:tab w:val="clear" w:pos="2835"/>
        </w:tabs>
        <w:overflowPunct/>
        <w:autoSpaceDE/>
        <w:autoSpaceDN/>
        <w:adjustRightInd/>
        <w:spacing w:before="0"/>
        <w:textAlignment w:val="auto"/>
        <w:rPr>
          <w:b/>
          <w:lang w:eastAsia="zh-CN"/>
        </w:rPr>
      </w:pPr>
      <w:r>
        <w:rPr>
          <w:lang w:eastAsia="zh-CN"/>
        </w:rPr>
        <w:br w:type="page"/>
      </w:r>
    </w:p>
    <w:p w14:paraId="732A4E8D" w14:textId="3C1BA2BF" w:rsidR="00927D16" w:rsidRDefault="0090661D" w:rsidP="00927D16">
      <w:pPr>
        <w:pStyle w:val="Headingb"/>
        <w:rPr>
          <w:lang w:val="en-US" w:eastAsia="zh-CN"/>
        </w:rPr>
      </w:pPr>
      <w:r>
        <w:rPr>
          <w:rFonts w:hint="eastAsia"/>
          <w:lang w:eastAsia="zh-CN"/>
        </w:rPr>
        <w:lastRenderedPageBreak/>
        <w:t>提案</w:t>
      </w:r>
      <w:r w:rsidRPr="00556FE3">
        <w:rPr>
          <w:lang w:eastAsia="zh-CN"/>
        </w:rPr>
        <w:t>1</w:t>
      </w:r>
      <w:r>
        <w:rPr>
          <w:rFonts w:hint="eastAsia"/>
          <w:lang w:eastAsia="zh-CN"/>
        </w:rPr>
        <w:t>：</w:t>
      </w:r>
      <w:r w:rsidRPr="005960EC">
        <w:rPr>
          <w:rFonts w:hint="eastAsia"/>
          <w:lang w:eastAsia="zh-CN"/>
        </w:rPr>
        <w:t>利用更多本地和</w:t>
      </w:r>
      <w:r w:rsidRPr="005960EC">
        <w:rPr>
          <w:rFonts w:hint="eastAsia"/>
          <w:lang w:eastAsia="zh-CN"/>
        </w:rPr>
        <w:t>/</w:t>
      </w:r>
      <w:r w:rsidRPr="005960EC">
        <w:rPr>
          <w:rFonts w:hint="eastAsia"/>
          <w:lang w:eastAsia="zh-CN"/>
        </w:rPr>
        <w:t>或</w:t>
      </w:r>
      <w:r>
        <w:rPr>
          <w:rFonts w:hint="eastAsia"/>
          <w:lang w:eastAsia="zh-CN"/>
        </w:rPr>
        <w:t>本</w:t>
      </w:r>
      <w:r w:rsidRPr="005960EC">
        <w:rPr>
          <w:rFonts w:hint="eastAsia"/>
          <w:lang w:eastAsia="zh-CN"/>
        </w:rPr>
        <w:t>国口译资源，并为国际电联活动实施</w:t>
      </w:r>
      <w:r>
        <w:rPr>
          <w:rFonts w:hint="eastAsia"/>
          <w:lang w:eastAsia="zh-CN"/>
        </w:rPr>
        <w:t>远程同声传译（</w:t>
      </w:r>
      <w:r w:rsidRPr="005960EC">
        <w:rPr>
          <w:rFonts w:hint="eastAsia"/>
          <w:lang w:eastAsia="zh-CN"/>
        </w:rPr>
        <w:t>RSI</w:t>
      </w:r>
      <w:r>
        <w:rPr>
          <w:rFonts w:hint="eastAsia"/>
          <w:lang w:eastAsia="zh-CN"/>
        </w:rPr>
        <w:t>）</w:t>
      </w:r>
    </w:p>
    <w:p w14:paraId="27FC9035" w14:textId="77777777" w:rsidR="0090661D" w:rsidRPr="00556FE3" w:rsidRDefault="0090661D" w:rsidP="0090661D">
      <w:pPr>
        <w:ind w:firstLineChars="200" w:firstLine="480"/>
        <w:jc w:val="both"/>
        <w:rPr>
          <w:lang w:eastAsia="zh-CN"/>
        </w:rPr>
      </w:pPr>
      <w:r w:rsidRPr="005960EC">
        <w:rPr>
          <w:rFonts w:hint="eastAsia"/>
          <w:lang w:eastAsia="zh-CN"/>
        </w:rPr>
        <w:t>招聘合格的本地口译员将减少口译员的差旅、</w:t>
      </w:r>
      <w:r>
        <w:rPr>
          <w:rFonts w:hint="eastAsia"/>
          <w:lang w:eastAsia="zh-CN"/>
        </w:rPr>
        <w:t>住</w:t>
      </w:r>
      <w:r w:rsidRPr="005960EC">
        <w:rPr>
          <w:rFonts w:hint="eastAsia"/>
          <w:lang w:eastAsia="zh-CN"/>
        </w:rPr>
        <w:t>宿和每日津贴费用，否则</w:t>
      </w:r>
      <w:r>
        <w:rPr>
          <w:rFonts w:hint="eastAsia"/>
          <w:lang w:eastAsia="zh-CN"/>
        </w:rPr>
        <w:t>这些费用都</w:t>
      </w:r>
      <w:r w:rsidRPr="005960EC">
        <w:rPr>
          <w:rFonts w:hint="eastAsia"/>
          <w:lang w:eastAsia="zh-CN"/>
        </w:rPr>
        <w:t>由东道国或国际电联承担。</w:t>
      </w:r>
    </w:p>
    <w:p w14:paraId="1F351C72" w14:textId="77777777" w:rsidR="0090661D" w:rsidRPr="00556FE3" w:rsidRDefault="0090661D" w:rsidP="0090661D">
      <w:pPr>
        <w:pStyle w:val="Headingi"/>
        <w:rPr>
          <w:lang w:eastAsia="zh-CN"/>
        </w:rPr>
      </w:pPr>
      <w:r w:rsidRPr="006F7C3C">
        <w:rPr>
          <w:rFonts w:ascii="STKaiti" w:eastAsia="STKaiti" w:hAnsi="STKaiti" w:hint="eastAsia"/>
          <w:i w:val="0"/>
          <w:iCs/>
          <w:lang w:eastAsia="zh-CN"/>
        </w:rPr>
        <w:t>规范和扩大本地及本国口译员使用措施的最新情况</w:t>
      </w:r>
    </w:p>
    <w:p w14:paraId="5390F710" w14:textId="77777777" w:rsidR="0090661D" w:rsidRPr="00556FE3" w:rsidRDefault="0090661D" w:rsidP="0090661D">
      <w:pPr>
        <w:tabs>
          <w:tab w:val="num" w:pos="720"/>
        </w:tabs>
        <w:ind w:firstLineChars="200" w:firstLine="480"/>
        <w:jc w:val="both"/>
        <w:rPr>
          <w:lang w:eastAsia="zh-CN"/>
        </w:rPr>
      </w:pPr>
      <w:bookmarkStart w:id="10" w:name="_Hlk213936764"/>
      <w:r w:rsidRPr="005960EC">
        <w:rPr>
          <w:rFonts w:hint="eastAsia"/>
          <w:lang w:eastAsia="zh-CN"/>
        </w:rPr>
        <w:t>关于与国际电联成员国加强专业口译服务合作的提案已于</w:t>
      </w:r>
      <w:r w:rsidRPr="005960EC">
        <w:rPr>
          <w:rFonts w:hint="eastAsia"/>
          <w:lang w:eastAsia="zh-CN"/>
        </w:rPr>
        <w:t>2026</w:t>
      </w:r>
      <w:r w:rsidRPr="005960EC">
        <w:rPr>
          <w:rFonts w:hint="eastAsia"/>
          <w:lang w:eastAsia="zh-CN"/>
        </w:rPr>
        <w:t>年</w:t>
      </w:r>
      <w:r w:rsidRPr="005960EC">
        <w:rPr>
          <w:rFonts w:hint="eastAsia"/>
          <w:lang w:eastAsia="zh-CN"/>
        </w:rPr>
        <w:t>1</w:t>
      </w:r>
      <w:r w:rsidRPr="005960EC">
        <w:rPr>
          <w:rFonts w:hint="eastAsia"/>
          <w:lang w:eastAsia="zh-CN"/>
        </w:rPr>
        <w:t>月</w:t>
      </w:r>
      <w:r>
        <w:rPr>
          <w:rFonts w:hint="eastAsia"/>
          <w:lang w:eastAsia="zh-CN"/>
        </w:rPr>
        <w:t>提交</w:t>
      </w:r>
      <w:r w:rsidRPr="006F7C3C">
        <w:rPr>
          <w:rFonts w:hint="eastAsia"/>
          <w:lang w:eastAsia="zh-CN"/>
        </w:rPr>
        <w:t>理事会语文工作组</w:t>
      </w:r>
      <w:r>
        <w:rPr>
          <w:rFonts w:hint="eastAsia"/>
          <w:lang w:eastAsia="zh-CN"/>
        </w:rPr>
        <w:t>（</w:t>
      </w:r>
      <w:r w:rsidRPr="005960EC">
        <w:rPr>
          <w:rFonts w:hint="eastAsia"/>
          <w:lang w:eastAsia="zh-CN"/>
        </w:rPr>
        <w:t>CWG-LANG</w:t>
      </w:r>
      <w:r>
        <w:rPr>
          <w:rFonts w:hint="eastAsia"/>
          <w:lang w:eastAsia="zh-CN"/>
        </w:rPr>
        <w:t>）</w:t>
      </w:r>
      <w:r w:rsidRPr="005960EC">
        <w:rPr>
          <w:rFonts w:hint="eastAsia"/>
          <w:lang w:eastAsia="zh-CN"/>
        </w:rPr>
        <w:t>并获得批准。请成员国推荐符合语</w:t>
      </w:r>
      <w:r>
        <w:rPr>
          <w:rFonts w:hint="eastAsia"/>
          <w:lang w:eastAsia="zh-CN"/>
        </w:rPr>
        <w:t>文</w:t>
      </w:r>
      <w:r w:rsidRPr="005960EC">
        <w:rPr>
          <w:rFonts w:hint="eastAsia"/>
          <w:lang w:eastAsia="zh-CN"/>
        </w:rPr>
        <w:t>组合要求、</w:t>
      </w:r>
      <w:r>
        <w:rPr>
          <w:rFonts w:hint="eastAsia"/>
          <w:lang w:eastAsia="zh-CN"/>
        </w:rPr>
        <w:t>教育背景</w:t>
      </w:r>
      <w:r w:rsidRPr="005960EC">
        <w:rPr>
          <w:rFonts w:hint="eastAsia"/>
          <w:lang w:eastAsia="zh-CN"/>
        </w:rPr>
        <w:t>和</w:t>
      </w:r>
      <w:r>
        <w:rPr>
          <w:rFonts w:hint="eastAsia"/>
          <w:lang w:eastAsia="zh-CN"/>
        </w:rPr>
        <w:t>拥有</w:t>
      </w:r>
      <w:r w:rsidRPr="005960EC">
        <w:rPr>
          <w:rFonts w:hint="eastAsia"/>
          <w:lang w:eastAsia="zh-CN"/>
        </w:rPr>
        <w:t>丰富经验的</w:t>
      </w:r>
      <w:r>
        <w:rPr>
          <w:rFonts w:hint="eastAsia"/>
          <w:lang w:eastAsia="zh-CN"/>
        </w:rPr>
        <w:t>本</w:t>
      </w:r>
      <w:r w:rsidRPr="005960EC">
        <w:rPr>
          <w:rFonts w:hint="eastAsia"/>
          <w:lang w:eastAsia="zh-CN"/>
        </w:rPr>
        <w:t>地专业口译员作为候选人，供国际电联秘书处遴选，以便为国际电联活动建立合格口译员名册。</w:t>
      </w:r>
    </w:p>
    <w:p w14:paraId="7B62FCBF" w14:textId="77777777" w:rsidR="0090661D" w:rsidRPr="00556FE3" w:rsidRDefault="0090661D" w:rsidP="0090661D">
      <w:pPr>
        <w:tabs>
          <w:tab w:val="num" w:pos="720"/>
        </w:tabs>
        <w:ind w:firstLineChars="200" w:firstLine="480"/>
        <w:jc w:val="both"/>
        <w:rPr>
          <w:lang w:eastAsia="zh-CN"/>
        </w:rPr>
      </w:pPr>
      <w:r w:rsidRPr="005960EC">
        <w:rPr>
          <w:rFonts w:hint="eastAsia"/>
          <w:lang w:eastAsia="zh-CN"/>
        </w:rPr>
        <w:t>还请成员国促进国际电联秘书处与提供专业会议口译课程的地方学术机构</w:t>
      </w:r>
      <w:r>
        <w:rPr>
          <w:rFonts w:hint="eastAsia"/>
          <w:lang w:eastAsia="zh-CN"/>
        </w:rPr>
        <w:t>建立</w:t>
      </w:r>
      <w:r w:rsidRPr="005960EC">
        <w:rPr>
          <w:rFonts w:hint="eastAsia"/>
          <w:lang w:eastAsia="zh-CN"/>
        </w:rPr>
        <w:t>联系，实现</w:t>
      </w:r>
      <w:r>
        <w:rPr>
          <w:rFonts w:hint="eastAsia"/>
          <w:lang w:eastAsia="zh-CN"/>
        </w:rPr>
        <w:t>满足</w:t>
      </w:r>
      <w:r w:rsidRPr="005960EC">
        <w:rPr>
          <w:rFonts w:hint="eastAsia"/>
          <w:lang w:eastAsia="zh-CN"/>
        </w:rPr>
        <w:t>国际电联需求的</w:t>
      </w:r>
      <w:r>
        <w:rPr>
          <w:rFonts w:hint="eastAsia"/>
          <w:lang w:eastAsia="zh-CN"/>
        </w:rPr>
        <w:t>定向</w:t>
      </w:r>
      <w:r w:rsidRPr="005960EC">
        <w:rPr>
          <w:rFonts w:hint="eastAsia"/>
          <w:lang w:eastAsia="zh-CN"/>
        </w:rPr>
        <w:t>培训并建设长期能力。</w:t>
      </w:r>
    </w:p>
    <w:p w14:paraId="1F8726B9" w14:textId="77777777" w:rsidR="0090661D" w:rsidRPr="00556FE3" w:rsidRDefault="0090661D" w:rsidP="0090661D">
      <w:pPr>
        <w:tabs>
          <w:tab w:val="num" w:pos="720"/>
        </w:tabs>
        <w:ind w:firstLineChars="200" w:firstLine="480"/>
        <w:jc w:val="both"/>
        <w:rPr>
          <w:lang w:eastAsia="zh-CN"/>
        </w:rPr>
      </w:pPr>
      <w:r w:rsidRPr="005960EC">
        <w:rPr>
          <w:rFonts w:hint="eastAsia"/>
          <w:lang w:eastAsia="zh-CN"/>
        </w:rPr>
        <w:t>这一举措的主要好处包括</w:t>
      </w:r>
      <w:r>
        <w:rPr>
          <w:rFonts w:hint="eastAsia"/>
          <w:lang w:eastAsia="zh-CN"/>
        </w:rPr>
        <w:t>：</w:t>
      </w:r>
      <w:r w:rsidRPr="005960EC">
        <w:rPr>
          <w:rFonts w:hint="eastAsia"/>
          <w:lang w:eastAsia="zh-CN"/>
        </w:rPr>
        <w:t>降低国际电联和东道国的成本</w:t>
      </w:r>
      <w:r>
        <w:rPr>
          <w:rFonts w:hint="eastAsia"/>
          <w:lang w:eastAsia="zh-CN"/>
        </w:rPr>
        <w:t>；完善</w:t>
      </w:r>
      <w:r w:rsidRPr="005960EC">
        <w:rPr>
          <w:rFonts w:hint="eastAsia"/>
          <w:lang w:eastAsia="zh-CN"/>
        </w:rPr>
        <w:t>口译员库的地理分布</w:t>
      </w:r>
      <w:r>
        <w:rPr>
          <w:rFonts w:hint="eastAsia"/>
          <w:lang w:eastAsia="zh-CN"/>
        </w:rPr>
        <w:t>；提高</w:t>
      </w:r>
      <w:r w:rsidRPr="005960EC">
        <w:rPr>
          <w:rFonts w:hint="eastAsia"/>
          <w:lang w:eastAsia="zh-CN"/>
        </w:rPr>
        <w:t>服务的连续性</w:t>
      </w:r>
      <w:r>
        <w:rPr>
          <w:rFonts w:hint="eastAsia"/>
          <w:lang w:eastAsia="zh-CN"/>
        </w:rPr>
        <w:t>；</w:t>
      </w:r>
      <w:r w:rsidRPr="005960EC">
        <w:rPr>
          <w:rFonts w:hint="eastAsia"/>
          <w:lang w:eastAsia="zh-CN"/>
        </w:rPr>
        <w:t>能力开发</w:t>
      </w:r>
      <w:r>
        <w:rPr>
          <w:rFonts w:hint="eastAsia"/>
          <w:lang w:eastAsia="zh-CN"/>
        </w:rPr>
        <w:t>；</w:t>
      </w:r>
      <w:r w:rsidRPr="005960EC">
        <w:rPr>
          <w:rFonts w:hint="eastAsia"/>
          <w:lang w:eastAsia="zh-CN"/>
        </w:rPr>
        <w:t>以及口译员的长期可持续可用性。</w:t>
      </w:r>
    </w:p>
    <w:p w14:paraId="1EE53A16" w14:textId="77777777" w:rsidR="0090661D" w:rsidRPr="00556FE3" w:rsidRDefault="0090661D" w:rsidP="0090661D">
      <w:pPr>
        <w:tabs>
          <w:tab w:val="num" w:pos="720"/>
        </w:tabs>
        <w:ind w:firstLineChars="200" w:firstLine="480"/>
        <w:jc w:val="both"/>
        <w:rPr>
          <w:lang w:eastAsia="zh-CN"/>
        </w:rPr>
      </w:pPr>
      <w:r w:rsidRPr="005960EC">
        <w:rPr>
          <w:rFonts w:hint="eastAsia"/>
          <w:lang w:eastAsia="zh-CN"/>
        </w:rPr>
        <w:t>秘书处已向</w:t>
      </w:r>
      <w:r>
        <w:rPr>
          <w:rFonts w:hint="eastAsia"/>
          <w:lang w:eastAsia="zh-CN"/>
        </w:rPr>
        <w:t>全体</w:t>
      </w:r>
      <w:r w:rsidRPr="005960EC">
        <w:rPr>
          <w:rFonts w:hint="eastAsia"/>
          <w:lang w:eastAsia="zh-CN"/>
        </w:rPr>
        <w:t>成员国和区域性电信组织（</w:t>
      </w:r>
      <w:r w:rsidRPr="005960EC">
        <w:rPr>
          <w:rFonts w:hint="eastAsia"/>
          <w:lang w:eastAsia="zh-CN"/>
        </w:rPr>
        <w:t>RTO</w:t>
      </w:r>
      <w:r w:rsidRPr="005960EC">
        <w:rPr>
          <w:rFonts w:hint="eastAsia"/>
          <w:lang w:eastAsia="zh-CN"/>
        </w:rPr>
        <w:t>）发出通函（</w:t>
      </w:r>
      <w:r>
        <w:fldChar w:fldCharType="begin"/>
      </w:r>
      <w:r>
        <w:rPr>
          <w:lang w:eastAsia="zh-CN"/>
        </w:rPr>
        <w:instrText>HYPERLINK "https://www.itu.int/md/S26-SG-CIR-0011/en" \h</w:instrText>
      </w:r>
      <w:r>
        <w:fldChar w:fldCharType="separate"/>
      </w:r>
      <w:r w:rsidRPr="00556FE3">
        <w:rPr>
          <w:rStyle w:val="Hyperlink"/>
          <w:lang w:eastAsia="zh-CN"/>
        </w:rPr>
        <w:t>CL-26/11</w:t>
      </w:r>
      <w:r>
        <w:fldChar w:fldCharType="end"/>
      </w:r>
      <w:r w:rsidRPr="005960EC">
        <w:rPr>
          <w:rFonts w:hint="eastAsia"/>
          <w:lang w:eastAsia="zh-CN"/>
        </w:rPr>
        <w:t>），规定感兴趣各方的回复截止日期为</w:t>
      </w:r>
      <w:r w:rsidRPr="005960EC">
        <w:rPr>
          <w:rFonts w:hint="eastAsia"/>
          <w:lang w:eastAsia="zh-CN"/>
        </w:rPr>
        <w:t>2026</w:t>
      </w:r>
      <w:r w:rsidRPr="005960EC">
        <w:rPr>
          <w:rFonts w:hint="eastAsia"/>
          <w:lang w:eastAsia="zh-CN"/>
        </w:rPr>
        <w:t>年</w:t>
      </w:r>
      <w:r w:rsidRPr="005960EC">
        <w:rPr>
          <w:rFonts w:hint="eastAsia"/>
          <w:lang w:eastAsia="zh-CN"/>
        </w:rPr>
        <w:t>5</w:t>
      </w:r>
      <w:r w:rsidRPr="005960EC">
        <w:rPr>
          <w:rFonts w:hint="eastAsia"/>
          <w:lang w:eastAsia="zh-CN"/>
        </w:rPr>
        <w:t>月</w:t>
      </w:r>
      <w:r w:rsidRPr="005960EC">
        <w:rPr>
          <w:rFonts w:hint="eastAsia"/>
          <w:lang w:eastAsia="zh-CN"/>
        </w:rPr>
        <w:t>31</w:t>
      </w:r>
      <w:r w:rsidRPr="005960EC">
        <w:rPr>
          <w:rFonts w:hint="eastAsia"/>
          <w:lang w:eastAsia="zh-CN"/>
        </w:rPr>
        <w:t>日。国际电联秘书处将于</w:t>
      </w:r>
      <w:r w:rsidRPr="005960EC">
        <w:rPr>
          <w:rFonts w:hint="eastAsia"/>
          <w:lang w:eastAsia="zh-CN"/>
        </w:rPr>
        <w:t>2026</w:t>
      </w:r>
      <w:r w:rsidRPr="005960EC">
        <w:rPr>
          <w:rFonts w:hint="eastAsia"/>
          <w:lang w:eastAsia="zh-CN"/>
        </w:rPr>
        <w:t>年</w:t>
      </w:r>
      <w:r w:rsidRPr="005960EC">
        <w:rPr>
          <w:rFonts w:hint="eastAsia"/>
          <w:lang w:eastAsia="zh-CN"/>
        </w:rPr>
        <w:t>6</w:t>
      </w:r>
      <w:r w:rsidRPr="005960EC">
        <w:rPr>
          <w:rFonts w:hint="eastAsia"/>
          <w:lang w:eastAsia="zh-CN"/>
        </w:rPr>
        <w:t>月</w:t>
      </w:r>
      <w:r w:rsidRPr="005960EC">
        <w:rPr>
          <w:rFonts w:hint="eastAsia"/>
          <w:lang w:eastAsia="zh-CN"/>
        </w:rPr>
        <w:t>/7</w:t>
      </w:r>
      <w:r w:rsidRPr="005960EC">
        <w:rPr>
          <w:rFonts w:hint="eastAsia"/>
          <w:lang w:eastAsia="zh-CN"/>
        </w:rPr>
        <w:t>月与感兴趣的成员国和</w:t>
      </w:r>
      <w:r>
        <w:rPr>
          <w:rFonts w:hint="eastAsia"/>
          <w:lang w:eastAsia="zh-CN"/>
        </w:rPr>
        <w:t>区域性电信组织（</w:t>
      </w:r>
      <w:r w:rsidRPr="005960EC">
        <w:rPr>
          <w:rFonts w:hint="eastAsia"/>
          <w:lang w:eastAsia="zh-CN"/>
        </w:rPr>
        <w:t>RTO</w:t>
      </w:r>
      <w:r>
        <w:rPr>
          <w:rFonts w:hint="eastAsia"/>
          <w:lang w:eastAsia="zh-CN"/>
        </w:rPr>
        <w:t>）</w:t>
      </w:r>
      <w:r w:rsidRPr="005960EC">
        <w:rPr>
          <w:rFonts w:hint="eastAsia"/>
          <w:lang w:eastAsia="zh-CN"/>
        </w:rPr>
        <w:t>接触，讨论国家或区域层面的协作。</w:t>
      </w:r>
    </w:p>
    <w:bookmarkEnd w:id="10"/>
    <w:p w14:paraId="5AF21E48" w14:textId="77777777" w:rsidR="0090661D" w:rsidRPr="00556FE3" w:rsidDel="001E794E" w:rsidRDefault="0090661D" w:rsidP="0090661D">
      <w:pPr>
        <w:pStyle w:val="Headingi"/>
        <w:rPr>
          <w:lang w:eastAsia="zh-CN"/>
        </w:rPr>
      </w:pPr>
      <w:r w:rsidRPr="0099160A">
        <w:rPr>
          <w:rFonts w:ascii="STKaiti" w:eastAsia="STKaiti" w:hAnsi="STKaiti" w:hint="eastAsia"/>
          <w:i w:val="0"/>
          <w:iCs/>
          <w:lang w:eastAsia="zh-CN"/>
        </w:rPr>
        <w:t>远程同声传译最新实施情况</w:t>
      </w:r>
    </w:p>
    <w:p w14:paraId="15808427" w14:textId="77777777" w:rsidR="0090661D" w:rsidRPr="00556FE3" w:rsidRDefault="0090661D" w:rsidP="0090661D">
      <w:pPr>
        <w:tabs>
          <w:tab w:val="num" w:pos="720"/>
        </w:tabs>
        <w:ind w:firstLineChars="200" w:firstLine="480"/>
        <w:jc w:val="both"/>
        <w:rPr>
          <w:lang w:eastAsia="zh-CN"/>
        </w:rPr>
      </w:pPr>
      <w:r w:rsidRPr="005960EC">
        <w:rPr>
          <w:rFonts w:hint="eastAsia"/>
          <w:lang w:eastAsia="zh-CN"/>
        </w:rPr>
        <w:t>秘书处正在</w:t>
      </w:r>
      <w:r>
        <w:rPr>
          <w:rFonts w:hint="eastAsia"/>
          <w:lang w:eastAsia="zh-CN"/>
        </w:rPr>
        <w:t>延长</w:t>
      </w:r>
      <w:r w:rsidRPr="005960EC">
        <w:rPr>
          <w:rFonts w:hint="eastAsia"/>
          <w:lang w:eastAsia="zh-CN"/>
        </w:rPr>
        <w:t>使用远程同声传译</w:t>
      </w:r>
      <w:r w:rsidRPr="005960EC">
        <w:rPr>
          <w:rFonts w:hint="eastAsia"/>
          <w:lang w:eastAsia="zh-CN"/>
        </w:rPr>
        <w:t>RSI</w:t>
      </w:r>
      <w:r w:rsidRPr="005960EC">
        <w:rPr>
          <w:rFonts w:hint="eastAsia"/>
          <w:lang w:eastAsia="zh-CN"/>
        </w:rPr>
        <w:t>的试用期，并将使用范围扩大到口译员</w:t>
      </w:r>
      <w:r>
        <w:rPr>
          <w:rFonts w:hint="eastAsia"/>
          <w:lang w:eastAsia="zh-CN"/>
        </w:rPr>
        <w:t>可</w:t>
      </w:r>
      <w:r w:rsidRPr="005960EC">
        <w:rPr>
          <w:rFonts w:hint="eastAsia"/>
          <w:lang w:eastAsia="zh-CN"/>
        </w:rPr>
        <w:t>远程工作的某些国际电联会议，从而大幅降低差旅费用。</w:t>
      </w:r>
      <w:r w:rsidRPr="005960EC">
        <w:rPr>
          <w:rFonts w:hint="eastAsia"/>
          <w:lang w:eastAsia="zh-CN"/>
        </w:rPr>
        <w:t>RSI</w:t>
      </w:r>
      <w:r>
        <w:rPr>
          <w:rFonts w:hint="eastAsia"/>
          <w:lang w:eastAsia="zh-CN"/>
        </w:rPr>
        <w:t>指</w:t>
      </w:r>
      <w:r w:rsidRPr="005960EC">
        <w:rPr>
          <w:rFonts w:hint="eastAsia"/>
          <w:lang w:eastAsia="zh-CN"/>
        </w:rPr>
        <w:t>由不在现场</w:t>
      </w:r>
      <w:r>
        <w:rPr>
          <w:rFonts w:hint="eastAsia"/>
          <w:lang w:eastAsia="zh-CN"/>
        </w:rPr>
        <w:t>、</w:t>
      </w:r>
      <w:r w:rsidRPr="005960EC">
        <w:rPr>
          <w:rFonts w:hint="eastAsia"/>
          <w:lang w:eastAsia="zh-CN"/>
        </w:rPr>
        <w:t>经验丰富的专业口译员提供标准会议口译。使用</w:t>
      </w:r>
      <w:r w:rsidRPr="005960EC">
        <w:rPr>
          <w:rFonts w:hint="eastAsia"/>
          <w:lang w:eastAsia="zh-CN"/>
        </w:rPr>
        <w:t>RSI</w:t>
      </w:r>
      <w:r w:rsidRPr="005960EC">
        <w:rPr>
          <w:rFonts w:hint="eastAsia"/>
          <w:lang w:eastAsia="zh-CN"/>
        </w:rPr>
        <w:t>代替现场口译员，预计可节省</w:t>
      </w:r>
      <w:r w:rsidRPr="005960EC">
        <w:rPr>
          <w:rFonts w:hint="eastAsia"/>
          <w:lang w:eastAsia="zh-CN"/>
        </w:rPr>
        <w:t>20-25%</w:t>
      </w:r>
      <w:r w:rsidRPr="005960EC">
        <w:rPr>
          <w:rFonts w:hint="eastAsia"/>
          <w:lang w:eastAsia="zh-CN"/>
        </w:rPr>
        <w:t>的成本。</w:t>
      </w:r>
    </w:p>
    <w:p w14:paraId="7E5A9764" w14:textId="32EE1C75" w:rsidR="0090661D" w:rsidRPr="00556FE3" w:rsidDel="001E794E" w:rsidRDefault="0090661D" w:rsidP="0090661D">
      <w:pPr>
        <w:tabs>
          <w:tab w:val="num" w:pos="720"/>
        </w:tabs>
        <w:ind w:firstLineChars="200" w:firstLine="480"/>
        <w:jc w:val="both"/>
        <w:rPr>
          <w:lang w:eastAsia="zh-CN"/>
        </w:rPr>
      </w:pPr>
      <w:r w:rsidRPr="005960EC">
        <w:rPr>
          <w:rFonts w:hint="eastAsia"/>
          <w:lang w:eastAsia="zh-CN"/>
        </w:rPr>
        <w:t>2026</w:t>
      </w:r>
      <w:r w:rsidRPr="005960EC">
        <w:rPr>
          <w:rFonts w:hint="eastAsia"/>
          <w:lang w:eastAsia="zh-CN"/>
        </w:rPr>
        <w:t>年，经东道国同意</w:t>
      </w:r>
      <w:r>
        <w:rPr>
          <w:rFonts w:hint="eastAsia"/>
          <w:lang w:eastAsia="zh-CN"/>
        </w:rPr>
        <w:t>，</w:t>
      </w:r>
      <w:r w:rsidRPr="005960EC">
        <w:rPr>
          <w:rFonts w:hint="eastAsia"/>
          <w:lang w:eastAsia="zh-CN"/>
        </w:rPr>
        <w:t>并在国际电联和东道国技术团队</w:t>
      </w:r>
      <w:r>
        <w:rPr>
          <w:rFonts w:hint="eastAsia"/>
          <w:lang w:eastAsia="zh-CN"/>
        </w:rPr>
        <w:t>的</w:t>
      </w:r>
      <w:r w:rsidRPr="005960EC">
        <w:rPr>
          <w:rFonts w:hint="eastAsia"/>
          <w:lang w:eastAsia="zh-CN"/>
        </w:rPr>
        <w:t>密切合作下，将</w:t>
      </w:r>
      <w:r>
        <w:rPr>
          <w:rFonts w:hint="eastAsia"/>
          <w:lang w:eastAsia="zh-CN"/>
        </w:rPr>
        <w:t>对</w:t>
      </w:r>
      <w:r w:rsidRPr="005960EC">
        <w:rPr>
          <w:rFonts w:hint="eastAsia"/>
          <w:lang w:eastAsia="zh-CN"/>
        </w:rPr>
        <w:t>日内瓦以外的活动实施</w:t>
      </w:r>
      <w:r w:rsidRPr="005960EC">
        <w:rPr>
          <w:rFonts w:hint="eastAsia"/>
          <w:lang w:eastAsia="zh-CN"/>
        </w:rPr>
        <w:t>RSI</w:t>
      </w:r>
      <w:r w:rsidRPr="005960EC">
        <w:rPr>
          <w:rFonts w:hint="eastAsia"/>
          <w:lang w:eastAsia="zh-CN"/>
        </w:rPr>
        <w:t>。</w:t>
      </w:r>
    </w:p>
    <w:p w14:paraId="746EE59D" w14:textId="77777777" w:rsidR="0090661D" w:rsidRPr="00556FE3" w:rsidRDefault="0090661D" w:rsidP="0090661D">
      <w:pPr>
        <w:tabs>
          <w:tab w:val="num" w:pos="720"/>
        </w:tabs>
        <w:jc w:val="both"/>
        <w:rPr>
          <w:i/>
          <w:iCs/>
          <w:lang w:eastAsia="zh-CN"/>
        </w:rPr>
      </w:pPr>
      <w:r w:rsidRPr="0099160A">
        <w:rPr>
          <w:rFonts w:ascii="STKaiti" w:eastAsia="STKaiti" w:hAnsi="STKaiti" w:hint="eastAsia"/>
          <w:lang w:eastAsia="zh-CN"/>
        </w:rPr>
        <w:t>人工智能口译</w:t>
      </w:r>
    </w:p>
    <w:p w14:paraId="5D6BB5D7" w14:textId="77777777" w:rsidR="0090661D" w:rsidRPr="00556FE3" w:rsidRDefault="0090661D" w:rsidP="0090661D">
      <w:pPr>
        <w:tabs>
          <w:tab w:val="num" w:pos="720"/>
        </w:tabs>
        <w:ind w:firstLineChars="200" w:firstLine="480"/>
        <w:jc w:val="both"/>
        <w:rPr>
          <w:rFonts w:asciiTheme="minorHAnsi" w:hAnsiTheme="minorHAnsi" w:cstheme="minorBidi"/>
          <w:lang w:eastAsia="zh-CN"/>
        </w:rPr>
      </w:pPr>
      <w:r w:rsidRPr="005960EC">
        <w:rPr>
          <w:rFonts w:hint="eastAsia"/>
          <w:lang w:eastAsia="zh-CN"/>
        </w:rPr>
        <w:t>作为其长期口译战略的一部分，并且为了与新兴技术进步保持同步，国际电联正在继续测试和评估基于人工智能的口译和字幕服务</w:t>
      </w:r>
      <w:r>
        <w:rPr>
          <w:rFonts w:hint="eastAsia"/>
          <w:lang w:eastAsia="zh-CN"/>
        </w:rPr>
        <w:t>，</w:t>
      </w:r>
      <w:r w:rsidRPr="005960EC">
        <w:rPr>
          <w:rFonts w:hint="eastAsia"/>
          <w:lang w:eastAsia="zh-CN"/>
        </w:rPr>
        <w:t>包括测试一系列商业供应商的产品以及开发和测试内部字幕和口译工具。人工智能口译</w:t>
      </w:r>
      <w:r>
        <w:rPr>
          <w:rFonts w:hint="eastAsia"/>
          <w:lang w:eastAsia="zh-CN"/>
        </w:rPr>
        <w:t>的</w:t>
      </w:r>
      <w:r w:rsidRPr="005960EC">
        <w:rPr>
          <w:rFonts w:hint="eastAsia"/>
          <w:lang w:eastAsia="zh-CN"/>
        </w:rPr>
        <w:t>质量正在</w:t>
      </w:r>
      <w:r>
        <w:rPr>
          <w:rFonts w:hint="eastAsia"/>
          <w:lang w:eastAsia="zh-CN"/>
        </w:rPr>
        <w:t>快速</w:t>
      </w:r>
      <w:r w:rsidRPr="005960EC">
        <w:rPr>
          <w:rFonts w:hint="eastAsia"/>
          <w:lang w:eastAsia="zh-CN"/>
        </w:rPr>
        <w:t>提高，但仍达不到</w:t>
      </w:r>
      <w:r>
        <w:rPr>
          <w:rFonts w:hint="eastAsia"/>
          <w:lang w:eastAsia="zh-CN"/>
        </w:rPr>
        <w:t>足以</w:t>
      </w:r>
      <w:r w:rsidRPr="005960EC">
        <w:rPr>
          <w:rFonts w:hint="eastAsia"/>
          <w:lang w:eastAsia="zh-CN"/>
        </w:rPr>
        <w:t>在正式会议上使用的标准。测试将按照《人工智能口译</w:t>
      </w:r>
      <w:r>
        <w:rPr>
          <w:rFonts w:hint="eastAsia"/>
          <w:lang w:eastAsia="zh-CN"/>
        </w:rPr>
        <w:t>面临</w:t>
      </w:r>
      <w:r w:rsidRPr="005960EC">
        <w:rPr>
          <w:rFonts w:hint="eastAsia"/>
          <w:lang w:eastAsia="zh-CN"/>
        </w:rPr>
        <w:t>的挑战和机遇报告》（</w:t>
      </w:r>
      <w:hyperlink r:id="rId13">
        <w:r w:rsidRPr="00556FE3">
          <w:rPr>
            <w:rStyle w:val="Hyperlink"/>
            <w:lang w:eastAsia="zh-CN"/>
          </w:rPr>
          <w:t>CWG-LANG-16/INF/1</w:t>
        </w:r>
      </w:hyperlink>
      <w:r w:rsidRPr="005960EC">
        <w:rPr>
          <w:rFonts w:hint="eastAsia"/>
          <w:lang w:eastAsia="zh-CN"/>
        </w:rPr>
        <w:t>号文件）</w:t>
      </w:r>
      <w:r>
        <w:rPr>
          <w:rFonts w:hint="eastAsia"/>
          <w:lang w:eastAsia="zh-CN"/>
        </w:rPr>
        <w:t>，聚焦</w:t>
      </w:r>
      <w:r w:rsidRPr="005960EC">
        <w:rPr>
          <w:rFonts w:hint="eastAsia"/>
          <w:lang w:eastAsia="zh-CN"/>
        </w:rPr>
        <w:t>以下类型的会议：</w:t>
      </w:r>
    </w:p>
    <w:p w14:paraId="082BD20D" w14:textId="77777777" w:rsidR="0090661D" w:rsidRPr="00556FE3" w:rsidRDefault="0090661D" w:rsidP="0090661D">
      <w:pPr>
        <w:pStyle w:val="enumlev1"/>
        <w:jc w:val="both"/>
        <w:rPr>
          <w:lang w:eastAsia="zh-CN"/>
        </w:rPr>
      </w:pPr>
      <w:r w:rsidRPr="00556FE3">
        <w:rPr>
          <w:lang w:eastAsia="zh-CN"/>
        </w:rPr>
        <w:t>–</w:t>
      </w:r>
      <w:r w:rsidRPr="00556FE3">
        <w:rPr>
          <w:lang w:eastAsia="zh-CN"/>
        </w:rPr>
        <w:tab/>
      </w:r>
      <w:r w:rsidRPr="00556FE3">
        <w:rPr>
          <w:rFonts w:eastAsia="SimSun"/>
          <w:lang w:eastAsia="zh-CN"/>
        </w:rPr>
        <w:t>与听众交流有限的</w:t>
      </w:r>
      <w:r>
        <w:rPr>
          <w:rFonts w:eastAsia="SimSun" w:hint="eastAsia"/>
          <w:lang w:eastAsia="zh-CN"/>
        </w:rPr>
        <w:t>纯</w:t>
      </w:r>
      <w:r w:rsidRPr="00556FE3">
        <w:rPr>
          <w:rFonts w:eastAsia="SimSun"/>
          <w:lang w:eastAsia="zh-CN"/>
        </w:rPr>
        <w:t>现场会议，例如简报会</w:t>
      </w:r>
    </w:p>
    <w:p w14:paraId="1425E124" w14:textId="77777777" w:rsidR="0090661D" w:rsidRPr="00556FE3" w:rsidRDefault="0090661D" w:rsidP="0090661D">
      <w:pPr>
        <w:pStyle w:val="enumlev1"/>
        <w:jc w:val="both"/>
        <w:rPr>
          <w:lang w:eastAsia="zh-CN"/>
        </w:rPr>
      </w:pPr>
      <w:r w:rsidRPr="00556FE3">
        <w:rPr>
          <w:lang w:eastAsia="zh-CN"/>
        </w:rPr>
        <w:t>–</w:t>
      </w:r>
      <w:r w:rsidRPr="00556FE3">
        <w:rPr>
          <w:lang w:eastAsia="zh-CN"/>
        </w:rPr>
        <w:tab/>
      </w:r>
      <w:r w:rsidRPr="00556FE3">
        <w:rPr>
          <w:rFonts w:eastAsia="SimSun"/>
          <w:lang w:eastAsia="zh-CN"/>
        </w:rPr>
        <w:t>很少有代表参</w:t>
      </w:r>
      <w:r>
        <w:rPr>
          <w:rFonts w:eastAsia="SimSun" w:hint="eastAsia"/>
          <w:lang w:eastAsia="zh-CN"/>
        </w:rPr>
        <w:t>加</w:t>
      </w:r>
      <w:r w:rsidRPr="00556FE3">
        <w:rPr>
          <w:rFonts w:eastAsia="SimSun"/>
          <w:lang w:eastAsia="zh-CN"/>
        </w:rPr>
        <w:t>的非正式会议，如秘书处内部会议</w:t>
      </w:r>
    </w:p>
    <w:p w14:paraId="0C3AE032" w14:textId="77777777" w:rsidR="0090661D" w:rsidRPr="00556FE3" w:rsidRDefault="0090661D" w:rsidP="0090661D">
      <w:pPr>
        <w:pStyle w:val="enumlev1"/>
        <w:jc w:val="both"/>
        <w:rPr>
          <w:lang w:eastAsia="zh-CN"/>
        </w:rPr>
      </w:pPr>
      <w:r w:rsidRPr="00556FE3">
        <w:rPr>
          <w:lang w:eastAsia="zh-CN"/>
        </w:rPr>
        <w:t>–</w:t>
      </w:r>
      <w:r w:rsidRPr="00556FE3">
        <w:rPr>
          <w:lang w:eastAsia="zh-CN"/>
        </w:rPr>
        <w:tab/>
      </w:r>
      <w:r w:rsidRPr="00556FE3">
        <w:rPr>
          <w:rFonts w:eastAsia="SimSun"/>
          <w:lang w:eastAsia="zh-CN"/>
        </w:rPr>
        <w:t>主题讲习班</w:t>
      </w:r>
    </w:p>
    <w:p w14:paraId="49B7A7E5" w14:textId="1DFEFAB9" w:rsidR="0090661D" w:rsidRPr="00556FE3" w:rsidRDefault="0090661D" w:rsidP="0090661D">
      <w:pPr>
        <w:pStyle w:val="enumlev1"/>
        <w:jc w:val="both"/>
        <w:rPr>
          <w:lang w:eastAsia="zh-CN"/>
        </w:rPr>
      </w:pPr>
      <w:r w:rsidRPr="00556FE3">
        <w:rPr>
          <w:lang w:eastAsia="zh-CN"/>
        </w:rPr>
        <w:t>–</w:t>
      </w:r>
      <w:r w:rsidRPr="00556FE3">
        <w:rPr>
          <w:lang w:eastAsia="zh-CN"/>
        </w:rPr>
        <w:tab/>
      </w:r>
      <w:r w:rsidRPr="00556FE3">
        <w:rPr>
          <w:rFonts w:eastAsia="SimSun"/>
          <w:lang w:eastAsia="zh-CN"/>
        </w:rPr>
        <w:t>区域性会议</w:t>
      </w:r>
    </w:p>
    <w:p w14:paraId="25B0CBD8" w14:textId="77777777" w:rsidR="0090661D" w:rsidRPr="00556FE3" w:rsidRDefault="0090661D" w:rsidP="0090661D">
      <w:pPr>
        <w:pStyle w:val="enumlev1"/>
        <w:jc w:val="both"/>
        <w:rPr>
          <w:lang w:eastAsia="zh-CN"/>
        </w:rPr>
      </w:pPr>
      <w:r w:rsidRPr="00556FE3">
        <w:rPr>
          <w:lang w:eastAsia="zh-CN"/>
        </w:rPr>
        <w:t>–</w:t>
      </w:r>
      <w:r w:rsidRPr="00556FE3">
        <w:rPr>
          <w:lang w:eastAsia="zh-CN"/>
        </w:rPr>
        <w:tab/>
      </w:r>
      <w:r w:rsidRPr="00556FE3">
        <w:rPr>
          <w:rFonts w:eastAsia="SimSun"/>
          <w:lang w:eastAsia="zh-CN"/>
        </w:rPr>
        <w:t>涉及多桌圆桌讨论</w:t>
      </w:r>
      <w:r>
        <w:rPr>
          <w:rFonts w:eastAsia="SimSun" w:hint="eastAsia"/>
          <w:lang w:eastAsia="zh-CN"/>
        </w:rPr>
        <w:t>、</w:t>
      </w:r>
      <w:r w:rsidRPr="00556FE3">
        <w:rPr>
          <w:rFonts w:eastAsia="SimSun"/>
          <w:lang w:eastAsia="zh-CN"/>
        </w:rPr>
        <w:t>现场口译不切实际或成本高得令人望而却步的活动</w:t>
      </w:r>
    </w:p>
    <w:p w14:paraId="0A88D42C" w14:textId="77777777" w:rsidR="0090661D" w:rsidRPr="00556FE3" w:rsidRDefault="0090661D" w:rsidP="0090661D">
      <w:pPr>
        <w:pStyle w:val="enumlev1"/>
        <w:jc w:val="both"/>
        <w:rPr>
          <w:lang w:eastAsia="zh-CN"/>
        </w:rPr>
      </w:pPr>
      <w:r w:rsidRPr="00556FE3">
        <w:rPr>
          <w:lang w:eastAsia="zh-CN"/>
        </w:rPr>
        <w:t>–</w:t>
      </w:r>
      <w:r w:rsidRPr="00556FE3">
        <w:rPr>
          <w:lang w:eastAsia="zh-CN"/>
        </w:rPr>
        <w:tab/>
      </w:r>
      <w:r>
        <w:rPr>
          <w:rFonts w:eastAsia="SimSun" w:hint="eastAsia"/>
          <w:lang w:eastAsia="zh-CN"/>
        </w:rPr>
        <w:t>通常</w:t>
      </w:r>
      <w:r w:rsidRPr="00556FE3">
        <w:rPr>
          <w:rFonts w:eastAsia="SimSun"/>
          <w:lang w:eastAsia="zh-CN"/>
        </w:rPr>
        <w:t>不提供口译服务</w:t>
      </w:r>
      <w:r>
        <w:rPr>
          <w:rFonts w:eastAsia="SimSun" w:hint="eastAsia"/>
          <w:lang w:eastAsia="zh-CN"/>
        </w:rPr>
        <w:t>的</w:t>
      </w:r>
      <w:r w:rsidRPr="00556FE3">
        <w:rPr>
          <w:rFonts w:eastAsia="SimSun"/>
          <w:lang w:eastAsia="zh-CN"/>
        </w:rPr>
        <w:t>非决策性工作组会议。</w:t>
      </w:r>
    </w:p>
    <w:p w14:paraId="3E404006" w14:textId="77777777" w:rsidR="0090661D" w:rsidRPr="00556FE3" w:rsidRDefault="0090661D" w:rsidP="0090661D">
      <w:pPr>
        <w:pStyle w:val="Headingb"/>
        <w:rPr>
          <w:lang w:eastAsia="zh-CN"/>
        </w:rPr>
      </w:pPr>
      <w:r w:rsidRPr="005960EC">
        <w:rPr>
          <w:rFonts w:hint="eastAsia"/>
          <w:lang w:eastAsia="zh-CN"/>
        </w:rPr>
        <w:t>提案</w:t>
      </w:r>
      <w:r w:rsidRPr="005960EC">
        <w:rPr>
          <w:rFonts w:hint="eastAsia"/>
          <w:lang w:eastAsia="zh-CN"/>
        </w:rPr>
        <w:t>2</w:t>
      </w:r>
      <w:r w:rsidRPr="005960EC">
        <w:rPr>
          <w:rFonts w:hint="eastAsia"/>
          <w:lang w:eastAsia="zh-CN"/>
        </w:rPr>
        <w:t>：本地提供</w:t>
      </w:r>
      <w:r w:rsidRPr="005960EC">
        <w:rPr>
          <w:rFonts w:hint="eastAsia"/>
          <w:lang w:eastAsia="zh-CN"/>
        </w:rPr>
        <w:t>IT</w:t>
      </w:r>
      <w:r w:rsidRPr="005960EC">
        <w:rPr>
          <w:rFonts w:hint="eastAsia"/>
          <w:lang w:eastAsia="zh-CN"/>
        </w:rPr>
        <w:t>设备和装置</w:t>
      </w:r>
    </w:p>
    <w:p w14:paraId="41E50E2E" w14:textId="77777777" w:rsidR="0090661D" w:rsidRPr="00556FE3" w:rsidRDefault="0090661D" w:rsidP="0090661D">
      <w:pPr>
        <w:tabs>
          <w:tab w:val="num" w:pos="720"/>
        </w:tabs>
        <w:ind w:firstLineChars="200" w:firstLine="480"/>
        <w:jc w:val="both"/>
        <w:rPr>
          <w:rFonts w:eastAsia="Calibri" w:cs="Calibri"/>
          <w:lang w:eastAsia="zh-CN"/>
        </w:rPr>
      </w:pPr>
      <w:r>
        <w:rPr>
          <w:rFonts w:hint="eastAsia"/>
          <w:lang w:eastAsia="zh-CN"/>
        </w:rPr>
        <w:t>按照</w:t>
      </w:r>
      <w:r w:rsidRPr="005960EC">
        <w:rPr>
          <w:rFonts w:hint="eastAsia"/>
          <w:lang w:eastAsia="zh-CN"/>
        </w:rPr>
        <w:t>CWG-FHR</w:t>
      </w:r>
      <w:r w:rsidRPr="005960EC">
        <w:rPr>
          <w:rFonts w:hint="eastAsia"/>
          <w:lang w:eastAsia="zh-CN"/>
        </w:rPr>
        <w:t>第</w:t>
      </w:r>
      <w:r w:rsidRPr="005960EC">
        <w:rPr>
          <w:rFonts w:hint="eastAsia"/>
          <w:lang w:eastAsia="zh-CN"/>
        </w:rPr>
        <w:t>22</w:t>
      </w:r>
      <w:r w:rsidRPr="005960EC">
        <w:rPr>
          <w:rFonts w:hint="eastAsia"/>
          <w:lang w:eastAsia="zh-CN"/>
        </w:rPr>
        <w:t>次会议的要求（</w:t>
      </w:r>
      <w:r>
        <w:fldChar w:fldCharType="begin"/>
      </w:r>
      <w:r>
        <w:rPr>
          <w:lang w:eastAsia="zh-CN"/>
        </w:rPr>
        <w:instrText>HYPERLINK "https://www.itu.int/md/S26-CWGFHR22-C-0036/en" \h</w:instrText>
      </w:r>
      <w:r>
        <w:fldChar w:fldCharType="separate"/>
      </w:r>
      <w:r w:rsidRPr="00556FE3">
        <w:rPr>
          <w:rStyle w:val="Hyperlink"/>
          <w:lang w:eastAsia="zh-CN"/>
        </w:rPr>
        <w:t>CWG-FHR-22/36</w:t>
      </w:r>
      <w:r>
        <w:fldChar w:fldCharType="end"/>
      </w:r>
      <w:r w:rsidRPr="005960EC">
        <w:rPr>
          <w:rFonts w:hint="eastAsia"/>
          <w:lang w:eastAsia="zh-CN"/>
        </w:rPr>
        <w:t>号文件），</w:t>
      </w:r>
      <w:r>
        <w:fldChar w:fldCharType="begin"/>
      </w:r>
      <w:r>
        <w:rPr>
          <w:lang w:eastAsia="zh-CN"/>
        </w:rPr>
        <w:instrText>HYPERLINK "https://www.itu.int/md/S26-CL-INF-0008/en"</w:instrText>
      </w:r>
      <w:r>
        <w:fldChar w:fldCharType="separate"/>
      </w:r>
      <w:proofErr w:type="spellStart"/>
      <w:r w:rsidRPr="00556FE3">
        <w:rPr>
          <w:rStyle w:val="Hyperlink"/>
          <w:lang w:eastAsia="zh-CN"/>
        </w:rPr>
        <w:t>C26</w:t>
      </w:r>
      <w:proofErr w:type="spellEnd"/>
      <w:r w:rsidRPr="00556FE3">
        <w:rPr>
          <w:rStyle w:val="Hyperlink"/>
          <w:lang w:eastAsia="zh-CN"/>
        </w:rPr>
        <w:t>/INF/8</w:t>
      </w:r>
      <w:r>
        <w:fldChar w:fldCharType="end"/>
      </w:r>
      <w:r w:rsidRPr="005960EC">
        <w:rPr>
          <w:rFonts w:hint="eastAsia"/>
          <w:lang w:eastAsia="zh-CN"/>
        </w:rPr>
        <w:t>号文件附件</w:t>
      </w:r>
      <w:r w:rsidRPr="005960EC">
        <w:rPr>
          <w:rFonts w:hint="eastAsia"/>
          <w:lang w:eastAsia="zh-CN"/>
        </w:rPr>
        <w:t>1</w:t>
      </w:r>
      <w:r w:rsidRPr="005960EC">
        <w:rPr>
          <w:rFonts w:hint="eastAsia"/>
          <w:lang w:eastAsia="zh-CN"/>
        </w:rPr>
        <w:t>提供</w:t>
      </w:r>
      <w:r>
        <w:rPr>
          <w:rFonts w:hint="eastAsia"/>
          <w:lang w:eastAsia="zh-CN"/>
        </w:rPr>
        <w:t>了</w:t>
      </w:r>
      <w:r w:rsidRPr="005960EC">
        <w:rPr>
          <w:rFonts w:hint="eastAsia"/>
          <w:lang w:eastAsia="zh-CN"/>
        </w:rPr>
        <w:t>基于</w:t>
      </w:r>
      <w:r w:rsidRPr="005960EC">
        <w:rPr>
          <w:rFonts w:hint="eastAsia"/>
          <w:lang w:eastAsia="zh-CN"/>
        </w:rPr>
        <w:t>2025</w:t>
      </w:r>
      <w:r w:rsidRPr="005960EC">
        <w:rPr>
          <w:rFonts w:hint="eastAsia"/>
          <w:lang w:eastAsia="zh-CN"/>
        </w:rPr>
        <w:t>年</w:t>
      </w:r>
      <w:r>
        <w:rPr>
          <w:rFonts w:hint="eastAsia"/>
          <w:lang w:eastAsia="zh-CN"/>
        </w:rPr>
        <w:t>世界电信发展大会（</w:t>
      </w:r>
      <w:r w:rsidRPr="005960EC">
        <w:rPr>
          <w:rFonts w:hint="eastAsia"/>
          <w:lang w:eastAsia="zh-CN"/>
        </w:rPr>
        <w:t>WTDC</w:t>
      </w:r>
      <w:r>
        <w:rPr>
          <w:rFonts w:hint="eastAsia"/>
          <w:lang w:eastAsia="zh-CN"/>
        </w:rPr>
        <w:t>）</w:t>
      </w:r>
      <w:r w:rsidRPr="005960EC">
        <w:rPr>
          <w:rFonts w:hint="eastAsia"/>
          <w:lang w:eastAsia="zh-CN"/>
        </w:rPr>
        <w:t>的</w:t>
      </w:r>
      <w:r w:rsidRPr="005960EC">
        <w:rPr>
          <w:rFonts w:hint="eastAsia"/>
          <w:lang w:eastAsia="zh-CN"/>
        </w:rPr>
        <w:t>IT</w:t>
      </w:r>
      <w:r w:rsidRPr="005960EC">
        <w:rPr>
          <w:rFonts w:hint="eastAsia"/>
          <w:lang w:eastAsia="zh-CN"/>
        </w:rPr>
        <w:t>设备</w:t>
      </w:r>
      <w:r>
        <w:rPr>
          <w:rFonts w:hint="eastAsia"/>
          <w:lang w:eastAsia="zh-CN"/>
        </w:rPr>
        <w:t>运输</w:t>
      </w:r>
      <w:r w:rsidRPr="005960EC">
        <w:rPr>
          <w:rFonts w:hint="eastAsia"/>
          <w:lang w:eastAsia="zh-CN"/>
        </w:rPr>
        <w:t>清单</w:t>
      </w:r>
      <w:r>
        <w:rPr>
          <w:rFonts w:hint="eastAsia"/>
          <w:lang w:eastAsia="zh-CN"/>
        </w:rPr>
        <w:t>样本</w:t>
      </w:r>
      <w:r w:rsidRPr="005960EC">
        <w:rPr>
          <w:rFonts w:hint="eastAsia"/>
          <w:lang w:eastAsia="zh-CN"/>
        </w:rPr>
        <w:t>和每件物品</w:t>
      </w:r>
      <w:r w:rsidRPr="005960EC">
        <w:rPr>
          <w:rFonts w:hint="eastAsia"/>
          <w:lang w:eastAsia="zh-CN"/>
        </w:rPr>
        <w:lastRenderedPageBreak/>
        <w:t>的采购成本，</w:t>
      </w:r>
      <w:r w:rsidRPr="005960EC">
        <w:rPr>
          <w:rFonts w:hint="eastAsia"/>
          <w:lang w:eastAsia="zh-CN"/>
        </w:rPr>
        <w:t>C26/INF/8</w:t>
      </w:r>
      <w:r w:rsidRPr="005960EC">
        <w:rPr>
          <w:rFonts w:hint="eastAsia"/>
          <w:lang w:eastAsia="zh-CN"/>
        </w:rPr>
        <w:t>号文件附件</w:t>
      </w:r>
      <w:r w:rsidRPr="005960EC">
        <w:rPr>
          <w:rFonts w:hint="eastAsia"/>
          <w:lang w:eastAsia="zh-CN"/>
        </w:rPr>
        <w:t>2</w:t>
      </w:r>
      <w:r w:rsidRPr="005960EC">
        <w:rPr>
          <w:rFonts w:hint="eastAsia"/>
          <w:lang w:eastAsia="zh-CN"/>
        </w:rPr>
        <w:t>提供了自</w:t>
      </w:r>
      <w:r w:rsidRPr="005960EC">
        <w:rPr>
          <w:rFonts w:hint="eastAsia"/>
          <w:lang w:eastAsia="zh-CN"/>
        </w:rPr>
        <w:t>2024</w:t>
      </w:r>
      <w:r w:rsidRPr="005960EC">
        <w:rPr>
          <w:rFonts w:hint="eastAsia"/>
          <w:lang w:eastAsia="zh-CN"/>
        </w:rPr>
        <w:t>年以来在日内瓦以外举办的国际电联重大活动的运输费用摘要。</w:t>
      </w:r>
    </w:p>
    <w:p w14:paraId="0B5DD90D" w14:textId="77777777" w:rsidR="0090661D" w:rsidRPr="00556FE3" w:rsidRDefault="0090661D" w:rsidP="0090661D">
      <w:pPr>
        <w:tabs>
          <w:tab w:val="num" w:pos="720"/>
        </w:tabs>
        <w:ind w:firstLineChars="200" w:firstLine="480"/>
        <w:jc w:val="both"/>
        <w:rPr>
          <w:rFonts w:eastAsia="Calibri" w:cs="Calibri"/>
          <w:lang w:eastAsia="zh-CN"/>
        </w:rPr>
      </w:pPr>
      <w:r w:rsidRPr="005960EC">
        <w:rPr>
          <w:rFonts w:cs="Calibri"/>
          <w:lang w:eastAsia="zh-CN"/>
        </w:rPr>
        <w:t>为了减少现场实施时间，所有设备在</w:t>
      </w:r>
      <w:r>
        <w:rPr>
          <w:rFonts w:cs="Calibri" w:hint="eastAsia"/>
          <w:lang w:eastAsia="zh-CN"/>
        </w:rPr>
        <w:t>运输前均</w:t>
      </w:r>
      <w:r w:rsidRPr="005960EC">
        <w:rPr>
          <w:rFonts w:cs="Calibri"/>
          <w:lang w:eastAsia="zh-CN"/>
        </w:rPr>
        <w:t>根据会议要求进行了预配置。</w:t>
      </w:r>
      <w:r>
        <w:rPr>
          <w:rFonts w:cs="Calibri" w:hint="eastAsia"/>
          <w:lang w:eastAsia="zh-CN"/>
        </w:rPr>
        <w:t>此外，</w:t>
      </w:r>
      <w:r w:rsidRPr="005960EC">
        <w:rPr>
          <w:rFonts w:cs="Calibri"/>
          <w:lang w:eastAsia="zh-CN"/>
        </w:rPr>
        <w:t>国际电联还请东道国提供标准设备和基础设施，包括计算机显示器、有线网络基础设施、</w:t>
      </w:r>
      <w:r w:rsidRPr="005960EC">
        <w:rPr>
          <w:rFonts w:cs="Calibri"/>
          <w:lang w:eastAsia="zh-CN"/>
        </w:rPr>
        <w:t>Wi-Fi</w:t>
      </w:r>
      <w:r w:rsidRPr="005960EC">
        <w:rPr>
          <w:rFonts w:cs="Calibri"/>
          <w:lang w:eastAsia="zh-CN"/>
        </w:rPr>
        <w:t>基础设施、</w:t>
      </w:r>
      <w:r>
        <w:rPr>
          <w:rFonts w:cs="Calibri" w:hint="eastAsia"/>
          <w:lang w:eastAsia="zh-CN"/>
        </w:rPr>
        <w:t>视听</w:t>
      </w:r>
      <w:r w:rsidRPr="005960EC">
        <w:rPr>
          <w:rFonts w:cs="Calibri"/>
          <w:lang w:eastAsia="zh-CN"/>
        </w:rPr>
        <w:t>（</w:t>
      </w:r>
      <w:r w:rsidRPr="005960EC">
        <w:rPr>
          <w:rFonts w:cs="Calibri"/>
          <w:lang w:eastAsia="zh-CN"/>
        </w:rPr>
        <w:t>AV</w:t>
      </w:r>
      <w:r w:rsidRPr="005960EC">
        <w:rPr>
          <w:rFonts w:cs="Calibri"/>
          <w:lang w:eastAsia="zh-CN"/>
        </w:rPr>
        <w:t>）基础设施和标牌系统。</w:t>
      </w:r>
    </w:p>
    <w:p w14:paraId="2A5C6F23" w14:textId="77777777" w:rsidR="0090661D" w:rsidRPr="005960EC" w:rsidRDefault="0090661D" w:rsidP="0090661D">
      <w:pPr>
        <w:tabs>
          <w:tab w:val="num" w:pos="720"/>
        </w:tabs>
        <w:ind w:firstLineChars="200" w:firstLine="480"/>
        <w:jc w:val="both"/>
        <w:rPr>
          <w:rFonts w:cs="Calibri"/>
          <w:lang w:eastAsia="zh-CN"/>
        </w:rPr>
      </w:pPr>
      <w:r w:rsidRPr="005960EC">
        <w:rPr>
          <w:rFonts w:cs="Calibri"/>
          <w:lang w:eastAsia="zh-CN"/>
        </w:rPr>
        <w:t>为实现系统现代化并进一步减少对日内瓦基础设施的依赖，正在继续</w:t>
      </w:r>
      <w:r>
        <w:rPr>
          <w:rFonts w:cs="Calibri" w:hint="eastAsia"/>
          <w:lang w:eastAsia="zh-CN"/>
        </w:rPr>
        <w:t>努力</w:t>
      </w:r>
      <w:r w:rsidRPr="005960EC">
        <w:rPr>
          <w:rFonts w:cs="Calibri"/>
          <w:lang w:eastAsia="zh-CN"/>
        </w:rPr>
        <w:t>。</w:t>
      </w:r>
    </w:p>
    <w:p w14:paraId="37205A06" w14:textId="77777777" w:rsidR="0090661D" w:rsidRPr="005960EC" w:rsidRDefault="0090661D" w:rsidP="0090661D">
      <w:pPr>
        <w:tabs>
          <w:tab w:val="num" w:pos="720"/>
        </w:tabs>
        <w:ind w:firstLineChars="200" w:firstLine="480"/>
        <w:jc w:val="both"/>
        <w:rPr>
          <w:rFonts w:cs="Calibri"/>
          <w:lang w:eastAsia="zh-CN"/>
        </w:rPr>
      </w:pPr>
      <w:r>
        <w:rPr>
          <w:rFonts w:cs="Calibri" w:hint="eastAsia"/>
          <w:lang w:eastAsia="zh-CN"/>
        </w:rPr>
        <w:t>在</w:t>
      </w:r>
      <w:r w:rsidRPr="005960EC">
        <w:rPr>
          <w:rFonts w:cs="Calibri"/>
          <w:lang w:eastAsia="zh-CN"/>
        </w:rPr>
        <w:t>可能</w:t>
      </w:r>
      <w:r>
        <w:rPr>
          <w:rFonts w:cs="Calibri" w:hint="eastAsia"/>
          <w:lang w:eastAsia="zh-CN"/>
        </w:rPr>
        <w:t>的情况下</w:t>
      </w:r>
      <w:r w:rsidRPr="005960EC">
        <w:rPr>
          <w:rFonts w:cs="Calibri"/>
          <w:lang w:eastAsia="zh-CN"/>
        </w:rPr>
        <w:t>，如有合格的本地服务提供商能够支持所需技术和集成，某些国际电联视听设备（如</w:t>
      </w:r>
      <w:r w:rsidRPr="005960EC">
        <w:rPr>
          <w:rFonts w:cs="Calibri"/>
          <w:lang w:eastAsia="zh-CN"/>
        </w:rPr>
        <w:t>AV</w:t>
      </w:r>
      <w:r w:rsidRPr="005960EC">
        <w:rPr>
          <w:rFonts w:cs="Calibri"/>
          <w:lang w:eastAsia="zh-CN"/>
        </w:rPr>
        <w:t>机架或</w:t>
      </w:r>
      <w:r w:rsidRPr="005960EC">
        <w:rPr>
          <w:rFonts w:cs="Calibri"/>
          <w:lang w:eastAsia="zh-CN"/>
        </w:rPr>
        <w:t>RP</w:t>
      </w:r>
      <w:r w:rsidRPr="005960EC">
        <w:rPr>
          <w:rFonts w:cs="Calibri"/>
          <w:lang w:eastAsia="zh-CN"/>
        </w:rPr>
        <w:t>飞行箱）可不再包</w:t>
      </w:r>
      <w:r>
        <w:rPr>
          <w:rFonts w:cs="Calibri" w:hint="eastAsia"/>
          <w:lang w:eastAsia="zh-CN"/>
        </w:rPr>
        <w:t>含</w:t>
      </w:r>
      <w:r w:rsidRPr="005960EC">
        <w:rPr>
          <w:rFonts w:cs="Calibri"/>
          <w:lang w:eastAsia="zh-CN"/>
        </w:rPr>
        <w:t>在国际电联运输</w:t>
      </w:r>
      <w:r>
        <w:rPr>
          <w:rFonts w:cs="Calibri" w:hint="eastAsia"/>
          <w:lang w:eastAsia="zh-CN"/>
        </w:rPr>
        <w:t>清单</w:t>
      </w:r>
      <w:r w:rsidRPr="005960EC">
        <w:rPr>
          <w:rFonts w:cs="Calibri"/>
          <w:lang w:eastAsia="zh-CN"/>
        </w:rPr>
        <w:t>中，但须在活动前的筹备阶段获得事先批准。</w:t>
      </w:r>
    </w:p>
    <w:p w14:paraId="6F2A5684" w14:textId="77777777" w:rsidR="0090661D" w:rsidRPr="00556FE3" w:rsidRDefault="0090661D" w:rsidP="0090661D">
      <w:pPr>
        <w:tabs>
          <w:tab w:val="num" w:pos="720"/>
        </w:tabs>
        <w:ind w:firstLineChars="200" w:firstLine="480"/>
        <w:jc w:val="both"/>
        <w:rPr>
          <w:rFonts w:eastAsia="Calibri" w:cs="Calibri"/>
          <w:lang w:eastAsia="zh-CN"/>
        </w:rPr>
      </w:pPr>
      <w:r w:rsidRPr="005960EC">
        <w:rPr>
          <w:rFonts w:cs="Calibri"/>
          <w:lang w:eastAsia="zh-CN"/>
        </w:rPr>
        <w:t>东道国应根据</w:t>
      </w:r>
      <w:r w:rsidRPr="005960EC">
        <w:rPr>
          <w:rFonts w:cs="Calibri"/>
          <w:lang w:eastAsia="zh-CN"/>
        </w:rPr>
        <w:t>C26/INF/8</w:t>
      </w:r>
      <w:r w:rsidRPr="005960EC">
        <w:rPr>
          <w:rFonts w:cs="Calibri"/>
          <w:lang w:eastAsia="zh-CN"/>
        </w:rPr>
        <w:t>号文件</w:t>
      </w:r>
      <w:r>
        <w:rPr>
          <w:rFonts w:cs="Calibri" w:hint="eastAsia"/>
          <w:lang w:eastAsia="zh-CN"/>
        </w:rPr>
        <w:t>列出</w:t>
      </w:r>
      <w:r w:rsidRPr="005960EC">
        <w:rPr>
          <w:rFonts w:cs="Calibri"/>
          <w:lang w:eastAsia="zh-CN"/>
        </w:rPr>
        <w:t>的财务数字进行财务评估，以确定是从国际电联</w:t>
      </w:r>
      <w:r>
        <w:rPr>
          <w:rFonts w:cs="Calibri" w:hint="eastAsia"/>
          <w:lang w:eastAsia="zh-CN"/>
        </w:rPr>
        <w:t>获取清单</w:t>
      </w:r>
      <w:r w:rsidRPr="005960EC">
        <w:rPr>
          <w:rFonts w:cs="Calibri"/>
          <w:lang w:eastAsia="zh-CN"/>
        </w:rPr>
        <w:t>设备还是从本地采购更具成本效益。如果</w:t>
      </w:r>
      <w:r>
        <w:rPr>
          <w:rFonts w:cs="Calibri" w:hint="eastAsia"/>
          <w:lang w:eastAsia="zh-CN"/>
        </w:rPr>
        <w:t>由</w:t>
      </w:r>
      <w:r w:rsidRPr="005960EC">
        <w:rPr>
          <w:rFonts w:cs="Calibri"/>
          <w:lang w:eastAsia="zh-CN"/>
        </w:rPr>
        <w:t>本地提供设备，东道国须确保设备在大会召开之前</w:t>
      </w:r>
      <w:r>
        <w:rPr>
          <w:rFonts w:cs="Calibri" w:hint="eastAsia"/>
          <w:lang w:eastAsia="zh-CN"/>
        </w:rPr>
        <w:t>具备</w:t>
      </w:r>
      <w:r w:rsidRPr="005960EC">
        <w:rPr>
          <w:rFonts w:cs="Calibri"/>
          <w:lang w:eastAsia="zh-CN"/>
        </w:rPr>
        <w:t>技术兼容</w:t>
      </w:r>
      <w:r>
        <w:rPr>
          <w:rFonts w:cs="Calibri" w:hint="eastAsia"/>
          <w:lang w:eastAsia="zh-CN"/>
        </w:rPr>
        <w:t>性</w:t>
      </w:r>
      <w:r w:rsidRPr="005960EC">
        <w:rPr>
          <w:rFonts w:cs="Calibri"/>
          <w:lang w:eastAsia="zh-CN"/>
        </w:rPr>
        <w:t>、配置齐全并及时投入使用，</w:t>
      </w:r>
      <w:r>
        <w:rPr>
          <w:rFonts w:cs="Calibri" w:hint="eastAsia"/>
          <w:lang w:eastAsia="zh-CN"/>
        </w:rPr>
        <w:t>且能够</w:t>
      </w:r>
      <w:r w:rsidRPr="005960EC">
        <w:rPr>
          <w:rFonts w:cs="Calibri"/>
          <w:lang w:eastAsia="zh-CN"/>
        </w:rPr>
        <w:t>在整个活动期间提供充</w:t>
      </w:r>
      <w:r>
        <w:rPr>
          <w:rFonts w:cs="Calibri" w:hint="eastAsia"/>
          <w:lang w:eastAsia="zh-CN"/>
        </w:rPr>
        <w:t>分的</w:t>
      </w:r>
      <w:r w:rsidRPr="005960EC">
        <w:rPr>
          <w:rFonts w:cs="Calibri"/>
          <w:lang w:eastAsia="zh-CN"/>
        </w:rPr>
        <w:t>技术支持。</w:t>
      </w:r>
    </w:p>
    <w:p w14:paraId="46460AF3" w14:textId="77777777" w:rsidR="0090661D" w:rsidRPr="00556FE3" w:rsidRDefault="0090661D" w:rsidP="0090661D">
      <w:pPr>
        <w:pStyle w:val="Headingb"/>
        <w:rPr>
          <w:lang w:eastAsia="zh-CN"/>
        </w:rPr>
      </w:pPr>
      <w:r w:rsidRPr="005960EC">
        <w:rPr>
          <w:rFonts w:hint="eastAsia"/>
          <w:lang w:eastAsia="zh-CN"/>
        </w:rPr>
        <w:t>提案</w:t>
      </w:r>
      <w:r w:rsidRPr="005960EC">
        <w:rPr>
          <w:rFonts w:hint="eastAsia"/>
          <w:lang w:eastAsia="zh-CN"/>
        </w:rPr>
        <w:t>3</w:t>
      </w:r>
      <w:r w:rsidRPr="005960EC">
        <w:rPr>
          <w:rFonts w:hint="eastAsia"/>
          <w:lang w:eastAsia="zh-CN"/>
        </w:rPr>
        <w:t>：通过简化流程和</w:t>
      </w:r>
      <w:r>
        <w:rPr>
          <w:rFonts w:hint="eastAsia"/>
          <w:lang w:eastAsia="zh-CN"/>
        </w:rPr>
        <w:t>启用</w:t>
      </w:r>
      <w:r w:rsidRPr="005960EC">
        <w:rPr>
          <w:rFonts w:hint="eastAsia"/>
          <w:lang w:eastAsia="zh-CN"/>
        </w:rPr>
        <w:t>数字胸牌，迈向全数字化的</w:t>
      </w:r>
      <w:r>
        <w:rPr>
          <w:rFonts w:hint="eastAsia"/>
          <w:lang w:eastAsia="zh-CN"/>
        </w:rPr>
        <w:t>大</w:t>
      </w:r>
      <w:r w:rsidRPr="005960EC">
        <w:rPr>
          <w:rFonts w:hint="eastAsia"/>
          <w:lang w:eastAsia="zh-CN"/>
        </w:rPr>
        <w:t>会认证模式</w:t>
      </w:r>
    </w:p>
    <w:p w14:paraId="081EF601" w14:textId="77777777" w:rsidR="0090661D" w:rsidRPr="005960EC" w:rsidRDefault="0090661D" w:rsidP="00E012CF">
      <w:pPr>
        <w:tabs>
          <w:tab w:val="num" w:pos="720"/>
        </w:tabs>
        <w:ind w:firstLineChars="200" w:firstLine="480"/>
        <w:jc w:val="both"/>
        <w:rPr>
          <w:rFonts w:cs="Calibri"/>
          <w:color w:val="1F243C"/>
          <w:lang w:eastAsia="zh-CN"/>
        </w:rPr>
      </w:pPr>
      <w:r w:rsidRPr="005960EC">
        <w:rPr>
          <w:rFonts w:cs="Calibri"/>
          <w:color w:val="1F243C"/>
          <w:lang w:eastAsia="zh-CN"/>
        </w:rPr>
        <w:t>从印刷身份识别材料转向数字会议证书</w:t>
      </w:r>
      <w:r>
        <w:rPr>
          <w:rFonts w:cs="Calibri" w:hint="eastAsia"/>
          <w:color w:val="1F243C"/>
          <w:lang w:eastAsia="zh-CN"/>
        </w:rPr>
        <w:t>，既</w:t>
      </w:r>
      <w:r w:rsidRPr="005960EC">
        <w:rPr>
          <w:rFonts w:cs="Calibri"/>
          <w:color w:val="1F243C"/>
          <w:lang w:eastAsia="zh-CN"/>
        </w:rPr>
        <w:t>减少了制作胸</w:t>
      </w:r>
      <w:r>
        <w:rPr>
          <w:rFonts w:cs="Calibri" w:hint="eastAsia"/>
          <w:color w:val="1F243C"/>
          <w:lang w:eastAsia="zh-CN"/>
        </w:rPr>
        <w:t>牌</w:t>
      </w:r>
      <w:r w:rsidRPr="005960EC">
        <w:rPr>
          <w:rFonts w:cs="Calibri"/>
          <w:color w:val="1F243C"/>
          <w:lang w:eastAsia="zh-CN"/>
        </w:rPr>
        <w:t>的行政</w:t>
      </w:r>
      <w:r>
        <w:rPr>
          <w:rFonts w:cs="Calibri" w:hint="eastAsia"/>
          <w:color w:val="1F243C"/>
          <w:lang w:eastAsia="zh-CN"/>
        </w:rPr>
        <w:t>管理</w:t>
      </w:r>
      <w:r w:rsidRPr="005960EC">
        <w:rPr>
          <w:rFonts w:cs="Calibri"/>
          <w:color w:val="1F243C"/>
          <w:lang w:eastAsia="zh-CN"/>
        </w:rPr>
        <w:t>和材料成本，</w:t>
      </w:r>
      <w:r>
        <w:rPr>
          <w:rFonts w:cs="Calibri" w:hint="eastAsia"/>
          <w:color w:val="1F243C"/>
          <w:lang w:eastAsia="zh-CN"/>
        </w:rPr>
        <w:t>也提高</w:t>
      </w:r>
      <w:r w:rsidRPr="005960EC">
        <w:rPr>
          <w:rFonts w:cs="Calibri"/>
          <w:color w:val="1F243C"/>
          <w:lang w:eastAsia="zh-CN"/>
        </w:rPr>
        <w:t>了可持续性。然而，这一转变也带来了新的成本，包括购买或租用数字</w:t>
      </w:r>
      <w:r>
        <w:rPr>
          <w:rFonts w:cs="Calibri" w:hint="eastAsia"/>
          <w:color w:val="1F243C"/>
          <w:lang w:eastAsia="zh-CN"/>
        </w:rPr>
        <w:t>化访问控制</w:t>
      </w:r>
      <w:r w:rsidRPr="005960EC">
        <w:rPr>
          <w:rFonts w:cs="Calibri"/>
          <w:color w:val="1F243C"/>
          <w:lang w:eastAsia="zh-CN"/>
        </w:rPr>
        <w:t>工具，如扫描设备和生物特征</w:t>
      </w:r>
      <w:r>
        <w:rPr>
          <w:rFonts w:cs="Calibri" w:hint="eastAsia"/>
          <w:color w:val="1F243C"/>
          <w:lang w:eastAsia="zh-CN"/>
        </w:rPr>
        <w:t>识别</w:t>
      </w:r>
      <w:r w:rsidRPr="005960EC">
        <w:rPr>
          <w:rFonts w:cs="Calibri"/>
          <w:color w:val="1F243C"/>
          <w:lang w:eastAsia="zh-CN"/>
        </w:rPr>
        <w:t>验证</w:t>
      </w:r>
      <w:r>
        <w:rPr>
          <w:rFonts w:cs="Calibri" w:hint="eastAsia"/>
          <w:color w:val="1F243C"/>
          <w:lang w:eastAsia="zh-CN"/>
        </w:rPr>
        <w:t>装置</w:t>
      </w:r>
      <w:r w:rsidRPr="005960EC">
        <w:rPr>
          <w:rFonts w:cs="Calibri"/>
          <w:color w:val="1F243C"/>
          <w:lang w:eastAsia="zh-CN"/>
        </w:rPr>
        <w:t>。这些需求因活动地点而异，并主要取决于</w:t>
      </w:r>
      <w:r>
        <w:rPr>
          <w:rFonts w:cs="Calibri" w:hint="eastAsia"/>
          <w:color w:val="1F243C"/>
          <w:lang w:eastAsia="zh-CN"/>
        </w:rPr>
        <w:t>该</w:t>
      </w:r>
      <w:r w:rsidRPr="005960EC">
        <w:rPr>
          <w:rFonts w:cs="Calibri"/>
          <w:color w:val="1F243C"/>
          <w:lang w:eastAsia="zh-CN"/>
        </w:rPr>
        <w:t>活动是在日内瓦还是在其它东道国举</w:t>
      </w:r>
      <w:r>
        <w:rPr>
          <w:rFonts w:cs="Calibri" w:hint="eastAsia"/>
          <w:color w:val="1F243C"/>
          <w:lang w:eastAsia="zh-CN"/>
        </w:rPr>
        <w:t>办</w:t>
      </w:r>
      <w:r w:rsidRPr="005960EC">
        <w:rPr>
          <w:rFonts w:cs="Calibri"/>
          <w:color w:val="1F243C"/>
          <w:lang w:eastAsia="zh-CN"/>
        </w:rPr>
        <w:t>。</w:t>
      </w:r>
    </w:p>
    <w:p w14:paraId="26D04328" w14:textId="77777777" w:rsidR="0090661D" w:rsidRPr="005960EC" w:rsidRDefault="0090661D" w:rsidP="00E012CF">
      <w:pPr>
        <w:tabs>
          <w:tab w:val="num" w:pos="720"/>
        </w:tabs>
        <w:ind w:firstLineChars="200" w:firstLine="480"/>
        <w:jc w:val="both"/>
        <w:rPr>
          <w:rFonts w:cs="Calibri"/>
          <w:lang w:eastAsia="zh-CN"/>
        </w:rPr>
      </w:pPr>
      <w:r w:rsidRPr="005960EC">
        <w:rPr>
          <w:rFonts w:cs="Calibri"/>
          <w:color w:val="1F243C"/>
          <w:lang w:eastAsia="zh-CN"/>
        </w:rPr>
        <w:t>对必要基础设施和</w:t>
      </w:r>
      <w:r>
        <w:rPr>
          <w:rFonts w:cs="Calibri" w:hint="eastAsia"/>
          <w:color w:val="1F243C"/>
          <w:lang w:eastAsia="zh-CN"/>
        </w:rPr>
        <w:t>运营</w:t>
      </w:r>
      <w:r w:rsidRPr="005960EC">
        <w:rPr>
          <w:rFonts w:cs="Calibri"/>
          <w:color w:val="1F243C"/>
          <w:lang w:eastAsia="zh-CN"/>
        </w:rPr>
        <w:t>的初步审查表明，虽然建立数字认证系统可能需要对硬件和</w:t>
      </w:r>
      <w:r w:rsidRPr="005960EC">
        <w:rPr>
          <w:rFonts w:cs="Calibri"/>
          <w:color w:val="1F243C"/>
          <w:lang w:eastAsia="zh-CN"/>
        </w:rPr>
        <w:t>IT</w:t>
      </w:r>
      <w:r w:rsidRPr="005960EC">
        <w:rPr>
          <w:rFonts w:cs="Calibri"/>
          <w:color w:val="1F243C"/>
          <w:lang w:eastAsia="zh-CN"/>
        </w:rPr>
        <w:t>集成进行更大的前期投资，但这些成本可能会被与供应、物流和现场工作人员相关的运营成本的节省所抵消。特别是，大幅减少使用</w:t>
      </w:r>
      <w:r w:rsidRPr="005960EC">
        <w:rPr>
          <w:rFonts w:cs="Calibri"/>
          <w:color w:val="1F243C"/>
          <w:lang w:eastAsia="zh-CN"/>
        </w:rPr>
        <w:t>PVC</w:t>
      </w:r>
      <w:r w:rsidRPr="005960EC">
        <w:rPr>
          <w:rFonts w:cs="Calibri"/>
          <w:color w:val="1F243C"/>
          <w:lang w:eastAsia="zh-CN"/>
        </w:rPr>
        <w:t>胸牌和挂绳等实物，可以减少胸牌打印设备和相关材料的运输需求。</w:t>
      </w:r>
    </w:p>
    <w:p w14:paraId="1EAD1140" w14:textId="77777777" w:rsidR="0090661D" w:rsidRPr="005960EC" w:rsidRDefault="0090661D" w:rsidP="00E012CF">
      <w:pPr>
        <w:tabs>
          <w:tab w:val="num" w:pos="720"/>
        </w:tabs>
        <w:ind w:firstLineChars="200" w:firstLine="480"/>
        <w:jc w:val="both"/>
        <w:rPr>
          <w:rFonts w:cs="Calibri"/>
          <w:lang w:eastAsia="zh-CN"/>
        </w:rPr>
      </w:pPr>
      <w:r w:rsidRPr="005960EC">
        <w:rPr>
          <w:rFonts w:cs="Calibri"/>
          <w:lang w:eastAsia="zh-CN"/>
        </w:rPr>
        <w:t>数字认证和</w:t>
      </w:r>
      <w:r>
        <w:rPr>
          <w:rFonts w:cs="Calibri" w:hint="eastAsia"/>
          <w:lang w:eastAsia="zh-CN"/>
        </w:rPr>
        <w:t>胸牌</w:t>
      </w:r>
      <w:r w:rsidRPr="005960EC">
        <w:rPr>
          <w:rFonts w:cs="Calibri"/>
          <w:lang w:eastAsia="zh-CN"/>
        </w:rPr>
        <w:t>解决方案的选择取决于</w:t>
      </w:r>
      <w:r w:rsidRPr="005960EC">
        <w:rPr>
          <w:rFonts w:cs="Calibri"/>
          <w:lang w:eastAsia="zh-CN"/>
        </w:rPr>
        <w:t>IT</w:t>
      </w:r>
      <w:r w:rsidRPr="005960EC">
        <w:rPr>
          <w:rFonts w:cs="Calibri"/>
          <w:lang w:eastAsia="zh-CN"/>
        </w:rPr>
        <w:t>战略和安全要求，以及对</w:t>
      </w:r>
      <w:r w:rsidRPr="005960EC">
        <w:rPr>
          <w:rFonts w:cs="Calibri"/>
          <w:lang w:eastAsia="zh-CN"/>
        </w:rPr>
        <w:t>IT</w:t>
      </w:r>
      <w:r w:rsidRPr="005960EC">
        <w:rPr>
          <w:rFonts w:cs="Calibri"/>
          <w:lang w:eastAsia="zh-CN"/>
        </w:rPr>
        <w:t>解决方案现代化前景的审查。在日内瓦，可利用现有基础设施提高效率，同时尽可能使用现场设备。对于国外的活动，数字证书降低了运输和海关成本</w:t>
      </w:r>
      <w:r>
        <w:rPr>
          <w:rFonts w:cs="Calibri" w:hint="eastAsia"/>
          <w:lang w:eastAsia="zh-CN"/>
        </w:rPr>
        <w:t>，尽管</w:t>
      </w:r>
      <w:r w:rsidRPr="005960EC">
        <w:rPr>
          <w:rFonts w:cs="Calibri"/>
          <w:lang w:eastAsia="zh-CN"/>
        </w:rPr>
        <w:t>一些设备仍然是安全验证</w:t>
      </w:r>
      <w:r>
        <w:rPr>
          <w:rFonts w:cs="Calibri" w:hint="eastAsia"/>
          <w:lang w:eastAsia="zh-CN"/>
        </w:rPr>
        <w:t>与会者身份所必需</w:t>
      </w:r>
      <w:r w:rsidRPr="005960EC">
        <w:rPr>
          <w:rFonts w:cs="Calibri"/>
          <w:lang w:eastAsia="zh-CN"/>
        </w:rPr>
        <w:t>的。</w:t>
      </w:r>
    </w:p>
    <w:p w14:paraId="707B952C" w14:textId="77777777" w:rsidR="0090661D" w:rsidRPr="005960EC" w:rsidRDefault="0090661D" w:rsidP="00E012CF">
      <w:pPr>
        <w:tabs>
          <w:tab w:val="num" w:pos="720"/>
        </w:tabs>
        <w:ind w:firstLineChars="200" w:firstLine="480"/>
        <w:jc w:val="both"/>
        <w:rPr>
          <w:rFonts w:cs="Calibri"/>
          <w:lang w:eastAsia="zh-CN"/>
        </w:rPr>
      </w:pPr>
      <w:r w:rsidRPr="005960EC">
        <w:rPr>
          <w:rFonts w:cs="Calibri"/>
          <w:lang w:eastAsia="zh-CN"/>
        </w:rPr>
        <w:t>对基础设施和运营成本的详细分析表明，</w:t>
      </w:r>
      <w:r>
        <w:rPr>
          <w:rFonts w:cs="Calibri" w:hint="eastAsia"/>
          <w:lang w:eastAsia="zh-CN"/>
        </w:rPr>
        <w:t>虽然</w:t>
      </w:r>
      <w:r w:rsidRPr="005960EC">
        <w:rPr>
          <w:rFonts w:cs="Calibri"/>
          <w:lang w:eastAsia="zh-CN"/>
        </w:rPr>
        <w:t>硬件和</w:t>
      </w:r>
      <w:r w:rsidRPr="005960EC">
        <w:rPr>
          <w:rFonts w:cs="Calibri"/>
          <w:lang w:eastAsia="zh-CN"/>
        </w:rPr>
        <w:t>IT</w:t>
      </w:r>
      <w:r w:rsidRPr="005960EC">
        <w:rPr>
          <w:rFonts w:cs="Calibri"/>
          <w:lang w:eastAsia="zh-CN"/>
        </w:rPr>
        <w:t>集成的资本支出最初可能会增加，但物理耗材和人员相关的运营支出</w:t>
      </w:r>
      <w:r>
        <w:rPr>
          <w:rFonts w:cs="Calibri" w:hint="eastAsia"/>
          <w:lang w:eastAsia="zh-CN"/>
        </w:rPr>
        <w:t>将</w:t>
      </w:r>
      <w:r w:rsidRPr="005960EC">
        <w:rPr>
          <w:rFonts w:cs="Calibri"/>
          <w:lang w:eastAsia="zh-CN"/>
        </w:rPr>
        <w:t>减少</w:t>
      </w:r>
      <w:r w:rsidRPr="005960EC">
        <w:rPr>
          <w:rFonts w:cs="Calibri"/>
          <w:lang w:eastAsia="zh-CN"/>
        </w:rPr>
        <w:t>30%</w:t>
      </w:r>
      <w:r w:rsidRPr="005960EC">
        <w:rPr>
          <w:rFonts w:cs="Calibri"/>
          <w:lang w:eastAsia="zh-CN"/>
        </w:rPr>
        <w:t>至</w:t>
      </w:r>
      <w:r w:rsidRPr="005960EC">
        <w:rPr>
          <w:rFonts w:cs="Calibri"/>
          <w:lang w:eastAsia="zh-CN"/>
        </w:rPr>
        <w:t>40%</w:t>
      </w:r>
      <w:r>
        <w:rPr>
          <w:rFonts w:cs="Calibri" w:hint="eastAsia"/>
          <w:lang w:eastAsia="zh-CN"/>
        </w:rPr>
        <w:t>，可</w:t>
      </w:r>
      <w:r w:rsidRPr="005960EC">
        <w:rPr>
          <w:rFonts w:cs="Calibri"/>
          <w:lang w:eastAsia="zh-CN"/>
        </w:rPr>
        <w:t>抵消这一影响。</w:t>
      </w:r>
    </w:p>
    <w:p w14:paraId="5016996B" w14:textId="77777777" w:rsidR="0090661D" w:rsidRPr="005960EC" w:rsidRDefault="0090661D" w:rsidP="00DE1FB9">
      <w:pPr>
        <w:tabs>
          <w:tab w:val="num" w:pos="720"/>
        </w:tabs>
        <w:spacing w:after="120"/>
        <w:ind w:firstLineChars="200" w:firstLine="480"/>
        <w:jc w:val="both"/>
        <w:rPr>
          <w:rFonts w:cs="Calibri"/>
          <w:lang w:eastAsia="zh-CN"/>
        </w:rPr>
      </w:pPr>
      <w:r w:rsidRPr="005960EC">
        <w:rPr>
          <w:rFonts w:cs="Calibri"/>
          <w:lang w:eastAsia="zh-CN"/>
        </w:rPr>
        <w:t>下表概述了传统</w:t>
      </w:r>
      <w:r>
        <w:rPr>
          <w:rFonts w:cs="Calibri" w:hint="eastAsia"/>
          <w:lang w:eastAsia="zh-CN"/>
        </w:rPr>
        <w:t>的实物射频识别（</w:t>
      </w:r>
      <w:r w:rsidRPr="005960EC">
        <w:rPr>
          <w:rFonts w:cs="Calibri"/>
          <w:lang w:eastAsia="zh-CN"/>
        </w:rPr>
        <w:t>RFID</w:t>
      </w:r>
      <w:r>
        <w:rPr>
          <w:rFonts w:cs="Calibri" w:hint="eastAsia"/>
          <w:lang w:eastAsia="zh-CN"/>
        </w:rPr>
        <w:t>）模式</w:t>
      </w:r>
      <w:r w:rsidRPr="005960EC">
        <w:rPr>
          <w:rFonts w:cs="Calibri"/>
          <w:lang w:eastAsia="zh-CN"/>
        </w:rPr>
        <w:t>和</w:t>
      </w:r>
      <w:r>
        <w:rPr>
          <w:rFonts w:cs="Calibri" w:hint="eastAsia"/>
          <w:lang w:eastAsia="zh-CN"/>
        </w:rPr>
        <w:t>拟</w:t>
      </w:r>
      <w:r w:rsidRPr="005960EC">
        <w:rPr>
          <w:rFonts w:cs="Calibri"/>
          <w:lang w:eastAsia="zh-CN"/>
        </w:rPr>
        <w:t>议数字</w:t>
      </w:r>
      <w:r w:rsidRPr="005960EC">
        <w:rPr>
          <w:rFonts w:cs="Calibri"/>
          <w:lang w:eastAsia="zh-CN"/>
        </w:rPr>
        <w:t>/</w:t>
      </w:r>
      <w:r w:rsidRPr="005960EC">
        <w:rPr>
          <w:rFonts w:cs="Calibri"/>
          <w:lang w:eastAsia="zh-CN"/>
        </w:rPr>
        <w:t>生物特征识别</w:t>
      </w:r>
      <w:r>
        <w:rPr>
          <w:rFonts w:cs="Calibri" w:hint="eastAsia"/>
          <w:lang w:eastAsia="zh-CN"/>
        </w:rPr>
        <w:t>模式</w:t>
      </w:r>
      <w:r w:rsidRPr="005960EC">
        <w:rPr>
          <w:rFonts w:cs="Calibri"/>
          <w:lang w:eastAsia="zh-CN"/>
        </w:rPr>
        <w:t>之间的成本驱动因素</w:t>
      </w:r>
      <w:r>
        <w:rPr>
          <w:rFonts w:cs="Calibri" w:hint="eastAsia"/>
          <w:lang w:eastAsia="zh-CN"/>
        </w:rPr>
        <w:t>对比</w:t>
      </w:r>
      <w:r w:rsidRPr="005960EC">
        <w:rPr>
          <w:rFonts w:cs="Calibri"/>
          <w:lang w:eastAsia="zh-CN"/>
        </w:rPr>
        <w:t>：</w:t>
      </w:r>
    </w:p>
    <w:tbl>
      <w:tblPr>
        <w:tblStyle w:val="TableGrid"/>
        <w:tblW w:w="9639" w:type="dxa"/>
        <w:jc w:val="center"/>
        <w:tblLook w:val="06A0" w:firstRow="1" w:lastRow="0" w:firstColumn="1" w:lastColumn="0" w:noHBand="1" w:noVBand="1"/>
      </w:tblPr>
      <w:tblGrid>
        <w:gridCol w:w="1555"/>
        <w:gridCol w:w="2902"/>
        <w:gridCol w:w="3195"/>
        <w:gridCol w:w="1987"/>
      </w:tblGrid>
      <w:tr w:rsidR="0090661D" w:rsidRPr="005960EC" w14:paraId="46C0A051" w14:textId="77777777" w:rsidTr="00DE1FB9">
        <w:trPr>
          <w:trHeight w:val="300"/>
          <w:jc w:val="center"/>
        </w:trPr>
        <w:tc>
          <w:tcPr>
            <w:tcW w:w="1555" w:type="dxa"/>
          </w:tcPr>
          <w:p w14:paraId="7497E1CA" w14:textId="77777777" w:rsidR="0090661D" w:rsidRPr="005960EC" w:rsidRDefault="0090661D" w:rsidP="00BB2B3A">
            <w:pPr>
              <w:pStyle w:val="Tablehead"/>
              <w:rPr>
                <w:rFonts w:eastAsiaTheme="minorEastAsia" w:cs="Calibri"/>
              </w:rPr>
            </w:pPr>
            <w:r w:rsidRPr="005960EC">
              <w:rPr>
                <w:rFonts w:eastAsiaTheme="minorEastAsia" w:cs="Calibri"/>
                <w:lang w:eastAsia="zh-CN"/>
              </w:rPr>
              <w:t>成本驱动因素</w:t>
            </w:r>
          </w:p>
        </w:tc>
        <w:tc>
          <w:tcPr>
            <w:tcW w:w="2902" w:type="dxa"/>
          </w:tcPr>
          <w:p w14:paraId="01BDED76" w14:textId="172FC0AA" w:rsidR="0090661D" w:rsidRPr="005960EC" w:rsidRDefault="0090661D" w:rsidP="00BB2B3A">
            <w:pPr>
              <w:pStyle w:val="Tablehead"/>
              <w:rPr>
                <w:rFonts w:eastAsiaTheme="minorEastAsia" w:cs="Calibri"/>
              </w:rPr>
            </w:pPr>
            <w:r>
              <w:rPr>
                <w:rFonts w:eastAsiaTheme="minorEastAsia" w:cs="Calibri" w:hint="eastAsia"/>
                <w:lang w:eastAsia="zh-CN"/>
              </w:rPr>
              <w:t>实物</w:t>
            </w:r>
            <w:r w:rsidRPr="005960EC">
              <w:rPr>
                <w:rFonts w:eastAsiaTheme="minorEastAsia" w:cs="Calibri"/>
              </w:rPr>
              <w:t>RFID</w:t>
            </w:r>
            <w:r>
              <w:rPr>
                <w:rFonts w:eastAsiaTheme="minorEastAsia" w:cs="Calibri" w:hint="eastAsia"/>
                <w:lang w:eastAsia="zh-CN"/>
              </w:rPr>
              <w:t>模式</w:t>
            </w:r>
          </w:p>
        </w:tc>
        <w:tc>
          <w:tcPr>
            <w:tcW w:w="3195" w:type="dxa"/>
          </w:tcPr>
          <w:p w14:paraId="6E4B6AB5" w14:textId="77777777" w:rsidR="0090661D" w:rsidRPr="005960EC" w:rsidRDefault="0090661D" w:rsidP="00BB2B3A">
            <w:pPr>
              <w:pStyle w:val="Tablehead"/>
              <w:rPr>
                <w:rFonts w:eastAsiaTheme="minorEastAsia" w:cs="Calibri"/>
                <w:lang w:eastAsia="zh-CN"/>
              </w:rPr>
            </w:pPr>
            <w:r w:rsidRPr="005960EC">
              <w:rPr>
                <w:rFonts w:eastAsiaTheme="minorEastAsia" w:cs="Calibri"/>
                <w:lang w:eastAsia="zh-CN"/>
              </w:rPr>
              <w:t>数字</w:t>
            </w:r>
            <w:r w:rsidRPr="005960EC">
              <w:rPr>
                <w:rFonts w:eastAsiaTheme="minorEastAsia" w:cs="Calibri"/>
                <w:lang w:eastAsia="zh-CN"/>
              </w:rPr>
              <w:t>/</w:t>
            </w:r>
            <w:r w:rsidRPr="005960EC">
              <w:rPr>
                <w:rFonts w:eastAsiaTheme="minorEastAsia" w:cs="Calibri"/>
                <w:lang w:eastAsia="zh-CN"/>
              </w:rPr>
              <w:t>生物特征识别</w:t>
            </w:r>
            <w:r>
              <w:rPr>
                <w:rFonts w:eastAsiaTheme="minorEastAsia" w:cs="Calibri" w:hint="eastAsia"/>
                <w:lang w:eastAsia="zh-CN"/>
              </w:rPr>
              <w:t>模式</w:t>
            </w:r>
          </w:p>
        </w:tc>
        <w:tc>
          <w:tcPr>
            <w:tcW w:w="1987" w:type="dxa"/>
          </w:tcPr>
          <w:p w14:paraId="5E498D5A" w14:textId="77777777" w:rsidR="0090661D" w:rsidRPr="005960EC" w:rsidRDefault="0090661D" w:rsidP="00BB2B3A">
            <w:pPr>
              <w:pStyle w:val="Tablehead"/>
              <w:rPr>
                <w:rFonts w:eastAsiaTheme="minorEastAsia" w:cs="Calibri"/>
              </w:rPr>
            </w:pPr>
            <w:proofErr w:type="spellStart"/>
            <w:r w:rsidRPr="005960EC">
              <w:rPr>
                <w:rFonts w:eastAsiaTheme="minorEastAsia" w:cs="Calibri"/>
              </w:rPr>
              <w:t>财务影响</w:t>
            </w:r>
            <w:proofErr w:type="spellEnd"/>
          </w:p>
        </w:tc>
      </w:tr>
      <w:tr w:rsidR="0090661D" w:rsidRPr="005960EC" w14:paraId="78A1FDE0" w14:textId="77777777" w:rsidTr="00DE1FB9">
        <w:trPr>
          <w:trHeight w:val="300"/>
          <w:jc w:val="center"/>
        </w:trPr>
        <w:tc>
          <w:tcPr>
            <w:tcW w:w="1555" w:type="dxa"/>
          </w:tcPr>
          <w:p w14:paraId="66D32F78" w14:textId="77777777" w:rsidR="0090661D" w:rsidRPr="005960EC" w:rsidRDefault="0090661D" w:rsidP="00BB2B3A">
            <w:pPr>
              <w:pStyle w:val="Tabletext"/>
              <w:rPr>
                <w:rFonts w:eastAsiaTheme="minorEastAsia" w:cs="Calibri"/>
              </w:rPr>
            </w:pPr>
            <w:r>
              <w:rPr>
                <w:rFonts w:eastAsiaTheme="minorEastAsia" w:cs="Calibri" w:hint="eastAsia"/>
                <w:lang w:eastAsia="zh-CN"/>
              </w:rPr>
              <w:t>耗材</w:t>
            </w:r>
          </w:p>
        </w:tc>
        <w:tc>
          <w:tcPr>
            <w:tcW w:w="2902" w:type="dxa"/>
          </w:tcPr>
          <w:p w14:paraId="4ED10BF3" w14:textId="77777777" w:rsidR="0090661D" w:rsidRPr="005960EC" w:rsidRDefault="0090661D" w:rsidP="00BB2B3A">
            <w:pPr>
              <w:pStyle w:val="Tabletext"/>
              <w:rPr>
                <w:rFonts w:eastAsiaTheme="minorEastAsia" w:cs="Calibri"/>
                <w:lang w:eastAsia="zh-CN"/>
              </w:rPr>
            </w:pPr>
            <w:r w:rsidRPr="005960EC">
              <w:rPr>
                <w:rFonts w:eastAsiaTheme="minorEastAsia" w:cs="Calibri" w:hint="eastAsia"/>
                <w:lang w:eastAsia="zh-CN"/>
              </w:rPr>
              <w:t>高（</w:t>
            </w:r>
            <w:r w:rsidRPr="005960EC">
              <w:rPr>
                <w:rFonts w:eastAsiaTheme="minorEastAsia" w:cs="Calibri" w:hint="eastAsia"/>
                <w:lang w:eastAsia="zh-CN"/>
              </w:rPr>
              <w:t>PVC</w:t>
            </w:r>
            <w:r w:rsidRPr="005960EC">
              <w:rPr>
                <w:rFonts w:eastAsiaTheme="minorEastAsia" w:cs="Calibri" w:hint="eastAsia"/>
                <w:lang w:eastAsia="zh-CN"/>
              </w:rPr>
              <w:t>卡、挂绳、色带）</w:t>
            </w:r>
          </w:p>
        </w:tc>
        <w:tc>
          <w:tcPr>
            <w:tcW w:w="3195" w:type="dxa"/>
          </w:tcPr>
          <w:p w14:paraId="44C43EB2" w14:textId="77777777" w:rsidR="0090661D" w:rsidRPr="005960EC" w:rsidRDefault="0090661D" w:rsidP="00BB2B3A">
            <w:pPr>
              <w:pStyle w:val="Tabletext"/>
              <w:rPr>
                <w:rFonts w:eastAsiaTheme="minorEastAsia" w:cs="Calibri"/>
              </w:rPr>
            </w:pPr>
            <w:proofErr w:type="spellStart"/>
            <w:r w:rsidRPr="005960EC">
              <w:rPr>
                <w:rFonts w:eastAsiaTheme="minorEastAsia" w:cs="Calibri" w:hint="eastAsia"/>
              </w:rPr>
              <w:t>接近零（移动</w:t>
            </w:r>
            <w:proofErr w:type="spellEnd"/>
            <w:r>
              <w:rPr>
                <w:rFonts w:eastAsiaTheme="minorEastAsia" w:cs="Calibri" w:hint="eastAsia"/>
                <w:lang w:eastAsia="zh-CN"/>
              </w:rPr>
              <w:t>传输</w:t>
            </w:r>
            <w:r w:rsidRPr="005960EC">
              <w:rPr>
                <w:rFonts w:eastAsiaTheme="minorEastAsia" w:cs="Calibri" w:hint="eastAsia"/>
              </w:rPr>
              <w:t>）</w:t>
            </w:r>
          </w:p>
        </w:tc>
        <w:tc>
          <w:tcPr>
            <w:tcW w:w="1987" w:type="dxa"/>
          </w:tcPr>
          <w:p w14:paraId="37A60F34" w14:textId="77777777" w:rsidR="0090661D" w:rsidRPr="005960EC" w:rsidRDefault="0090661D" w:rsidP="00BB2B3A">
            <w:pPr>
              <w:pStyle w:val="Tabletext"/>
              <w:rPr>
                <w:rFonts w:eastAsiaTheme="minorEastAsia" w:cs="Calibri"/>
                <w:lang w:eastAsia="zh-CN"/>
              </w:rPr>
            </w:pPr>
            <w:r>
              <w:rPr>
                <w:rFonts w:eastAsiaTheme="minorEastAsia" w:cs="Calibri" w:hint="eastAsia"/>
                <w:lang w:eastAsia="zh-CN"/>
              </w:rPr>
              <w:t>节省</w:t>
            </w:r>
            <w:r w:rsidRPr="005960EC">
              <w:rPr>
                <w:rFonts w:eastAsiaTheme="minorEastAsia" w:cs="Calibri"/>
              </w:rPr>
              <w:t>~90%</w:t>
            </w:r>
          </w:p>
        </w:tc>
      </w:tr>
      <w:tr w:rsidR="0090661D" w:rsidRPr="005960EC" w14:paraId="10B8B05F" w14:textId="77777777" w:rsidTr="00DE1FB9">
        <w:trPr>
          <w:trHeight w:val="300"/>
          <w:jc w:val="center"/>
        </w:trPr>
        <w:tc>
          <w:tcPr>
            <w:tcW w:w="1555" w:type="dxa"/>
          </w:tcPr>
          <w:p w14:paraId="79957F38" w14:textId="77777777" w:rsidR="0090661D" w:rsidRPr="005960EC" w:rsidRDefault="0090661D" w:rsidP="00BB2B3A">
            <w:pPr>
              <w:pStyle w:val="Tabletext"/>
              <w:rPr>
                <w:rFonts w:eastAsiaTheme="minorEastAsia" w:cs="Calibri"/>
              </w:rPr>
            </w:pPr>
            <w:r w:rsidRPr="005960EC">
              <w:rPr>
                <w:rFonts w:eastAsiaTheme="minorEastAsia" w:cs="Calibri"/>
                <w:lang w:eastAsia="zh-CN"/>
              </w:rPr>
              <w:t>物流</w:t>
            </w:r>
          </w:p>
        </w:tc>
        <w:tc>
          <w:tcPr>
            <w:tcW w:w="2902" w:type="dxa"/>
          </w:tcPr>
          <w:p w14:paraId="773E897E" w14:textId="77777777" w:rsidR="0090661D" w:rsidRPr="005960EC" w:rsidRDefault="0090661D" w:rsidP="00BB2B3A">
            <w:pPr>
              <w:pStyle w:val="Tabletext"/>
              <w:rPr>
                <w:rFonts w:eastAsiaTheme="minorEastAsia" w:cs="Calibri"/>
              </w:rPr>
            </w:pPr>
            <w:proofErr w:type="spellStart"/>
            <w:r w:rsidRPr="00556FE3">
              <w:rPr>
                <w:rFonts w:eastAsia="SimSun"/>
              </w:rPr>
              <w:t>高（重货、关税</w:t>
            </w:r>
            <w:proofErr w:type="spellEnd"/>
            <w:r w:rsidRPr="00556FE3">
              <w:rPr>
                <w:rFonts w:eastAsia="SimSun"/>
              </w:rPr>
              <w:t>）</w:t>
            </w:r>
          </w:p>
        </w:tc>
        <w:tc>
          <w:tcPr>
            <w:tcW w:w="3195" w:type="dxa"/>
          </w:tcPr>
          <w:p w14:paraId="352D943F" w14:textId="77777777" w:rsidR="0090661D" w:rsidRPr="005960EC" w:rsidRDefault="0090661D" w:rsidP="00BB2B3A">
            <w:pPr>
              <w:pStyle w:val="Tabletext"/>
              <w:rPr>
                <w:rFonts w:eastAsiaTheme="minorEastAsia" w:cs="Calibri"/>
                <w:lang w:eastAsia="zh-CN"/>
              </w:rPr>
            </w:pPr>
            <w:r w:rsidRPr="005960EC">
              <w:rPr>
                <w:rFonts w:eastAsiaTheme="minorEastAsia" w:cs="Calibri" w:hint="eastAsia"/>
                <w:lang w:eastAsia="zh-CN"/>
              </w:rPr>
              <w:t>低（硬件占用空间极少）</w:t>
            </w:r>
          </w:p>
        </w:tc>
        <w:tc>
          <w:tcPr>
            <w:tcW w:w="1987" w:type="dxa"/>
          </w:tcPr>
          <w:p w14:paraId="309CF6E6" w14:textId="752703D8" w:rsidR="0090661D" w:rsidRPr="005960EC" w:rsidRDefault="0090661D" w:rsidP="00BB2B3A">
            <w:pPr>
              <w:pStyle w:val="Tabletext"/>
              <w:rPr>
                <w:rFonts w:eastAsiaTheme="minorEastAsia" w:cs="Calibri"/>
              </w:rPr>
            </w:pPr>
            <w:r>
              <w:rPr>
                <w:rFonts w:eastAsiaTheme="minorEastAsia" w:cs="Calibri" w:hint="eastAsia"/>
                <w:lang w:eastAsia="zh-CN"/>
              </w:rPr>
              <w:t>节省</w:t>
            </w:r>
            <w:r w:rsidRPr="005960EC">
              <w:rPr>
                <w:rFonts w:eastAsiaTheme="minorEastAsia" w:cs="Calibri"/>
              </w:rPr>
              <w:t>~60%</w:t>
            </w:r>
          </w:p>
        </w:tc>
      </w:tr>
      <w:tr w:rsidR="0090661D" w:rsidRPr="005960EC" w14:paraId="01FBE74C" w14:textId="77777777" w:rsidTr="00DE1FB9">
        <w:trPr>
          <w:trHeight w:val="300"/>
          <w:jc w:val="center"/>
        </w:trPr>
        <w:tc>
          <w:tcPr>
            <w:tcW w:w="1555" w:type="dxa"/>
          </w:tcPr>
          <w:p w14:paraId="1852E5AF" w14:textId="77777777" w:rsidR="0090661D" w:rsidRPr="005960EC" w:rsidRDefault="0090661D" w:rsidP="00BB2B3A">
            <w:pPr>
              <w:pStyle w:val="Tabletext"/>
              <w:rPr>
                <w:rFonts w:eastAsiaTheme="minorEastAsia" w:cs="Calibri"/>
              </w:rPr>
            </w:pPr>
            <w:r w:rsidRPr="005960EC">
              <w:rPr>
                <w:rFonts w:eastAsiaTheme="minorEastAsia" w:cs="Calibri"/>
                <w:lang w:eastAsia="zh-CN"/>
              </w:rPr>
              <w:t>设备</w:t>
            </w:r>
          </w:p>
        </w:tc>
        <w:tc>
          <w:tcPr>
            <w:tcW w:w="2902" w:type="dxa"/>
          </w:tcPr>
          <w:p w14:paraId="3F4234C1" w14:textId="77777777" w:rsidR="0090661D" w:rsidRPr="005960EC" w:rsidRDefault="0090661D" w:rsidP="00BB2B3A">
            <w:pPr>
              <w:pStyle w:val="Tabletext"/>
              <w:rPr>
                <w:rFonts w:eastAsiaTheme="minorEastAsia" w:cs="Calibri"/>
              </w:rPr>
            </w:pPr>
            <w:proofErr w:type="spellStart"/>
            <w:r w:rsidRPr="005960EC">
              <w:rPr>
                <w:rFonts w:eastAsiaTheme="minorEastAsia" w:cs="Calibri" w:hint="eastAsia"/>
              </w:rPr>
              <w:t>胸牌打印机、编码器</w:t>
            </w:r>
            <w:proofErr w:type="spellEnd"/>
          </w:p>
        </w:tc>
        <w:tc>
          <w:tcPr>
            <w:tcW w:w="3195" w:type="dxa"/>
          </w:tcPr>
          <w:p w14:paraId="69EEA335" w14:textId="77777777" w:rsidR="0090661D" w:rsidRPr="005960EC" w:rsidRDefault="0090661D" w:rsidP="00BB2B3A">
            <w:pPr>
              <w:pStyle w:val="Tabletext"/>
              <w:rPr>
                <w:rFonts w:eastAsiaTheme="minorEastAsia" w:cs="Calibri"/>
                <w:lang w:eastAsia="zh-CN"/>
              </w:rPr>
            </w:pPr>
            <w:r w:rsidRPr="005960EC">
              <w:rPr>
                <w:rFonts w:eastAsiaTheme="minorEastAsia" w:cs="Calibri" w:hint="eastAsia"/>
                <w:lang w:eastAsia="zh-CN"/>
              </w:rPr>
              <w:t>扫描仪、生物识别</w:t>
            </w:r>
            <w:r>
              <w:rPr>
                <w:rFonts w:eastAsiaTheme="minorEastAsia" w:cs="Calibri" w:hint="eastAsia"/>
                <w:lang w:eastAsia="zh-CN"/>
              </w:rPr>
              <w:t>终端</w:t>
            </w:r>
          </w:p>
        </w:tc>
        <w:tc>
          <w:tcPr>
            <w:tcW w:w="1987" w:type="dxa"/>
          </w:tcPr>
          <w:p w14:paraId="02F812F5" w14:textId="77777777" w:rsidR="0090661D" w:rsidRPr="005960EC" w:rsidRDefault="0090661D" w:rsidP="00BB2B3A">
            <w:pPr>
              <w:pStyle w:val="Tabletext"/>
              <w:rPr>
                <w:rFonts w:eastAsiaTheme="minorEastAsia" w:cs="Calibri"/>
              </w:rPr>
            </w:pPr>
            <w:proofErr w:type="spellStart"/>
            <w:r w:rsidRPr="005960EC">
              <w:rPr>
                <w:rFonts w:eastAsiaTheme="minorEastAsia" w:cs="Calibri" w:hint="eastAsia"/>
              </w:rPr>
              <w:t>增加资本支出</w:t>
            </w:r>
            <w:proofErr w:type="spellEnd"/>
          </w:p>
        </w:tc>
      </w:tr>
      <w:tr w:rsidR="0090661D" w:rsidRPr="005960EC" w14:paraId="5315D4B9" w14:textId="77777777" w:rsidTr="00DE1FB9">
        <w:trPr>
          <w:trHeight w:val="300"/>
          <w:jc w:val="center"/>
        </w:trPr>
        <w:tc>
          <w:tcPr>
            <w:tcW w:w="1555" w:type="dxa"/>
          </w:tcPr>
          <w:p w14:paraId="37E4FB1F" w14:textId="77777777" w:rsidR="0090661D" w:rsidRPr="005960EC" w:rsidRDefault="0090661D" w:rsidP="00BB2B3A">
            <w:pPr>
              <w:pStyle w:val="Tabletext"/>
              <w:rPr>
                <w:rFonts w:eastAsiaTheme="minorEastAsia" w:cs="Calibri"/>
              </w:rPr>
            </w:pPr>
            <w:r w:rsidRPr="005960EC">
              <w:rPr>
                <w:rFonts w:eastAsiaTheme="minorEastAsia" w:cs="Calibri"/>
                <w:lang w:eastAsia="zh-CN"/>
              </w:rPr>
              <w:t>现场工作人员</w:t>
            </w:r>
          </w:p>
        </w:tc>
        <w:tc>
          <w:tcPr>
            <w:tcW w:w="2902" w:type="dxa"/>
          </w:tcPr>
          <w:p w14:paraId="66829AB0" w14:textId="77777777" w:rsidR="0090661D" w:rsidRPr="005960EC" w:rsidRDefault="0090661D" w:rsidP="00BB2B3A">
            <w:pPr>
              <w:pStyle w:val="Tabletext"/>
              <w:rPr>
                <w:rFonts w:eastAsiaTheme="minorEastAsia" w:cs="Calibri"/>
              </w:rPr>
            </w:pPr>
            <w:proofErr w:type="spellStart"/>
            <w:r w:rsidRPr="005960EC">
              <w:rPr>
                <w:rFonts w:eastAsiaTheme="minorEastAsia" w:cs="Calibri" w:hint="eastAsia"/>
              </w:rPr>
              <w:t>高（打印</w:t>
            </w:r>
            <w:proofErr w:type="spellEnd"/>
            <w:r w:rsidRPr="005960EC">
              <w:rPr>
                <w:rFonts w:eastAsiaTheme="minorEastAsia" w:cs="Calibri" w:hint="eastAsia"/>
              </w:rPr>
              <w:t>/</w:t>
            </w:r>
            <w:proofErr w:type="spellStart"/>
            <w:r w:rsidRPr="005960EC">
              <w:rPr>
                <w:rFonts w:eastAsiaTheme="minorEastAsia" w:cs="Calibri" w:hint="eastAsia"/>
              </w:rPr>
              <w:t>分配台</w:t>
            </w:r>
            <w:proofErr w:type="spellEnd"/>
            <w:r w:rsidRPr="005960EC">
              <w:rPr>
                <w:rFonts w:eastAsiaTheme="minorEastAsia" w:cs="Calibri" w:hint="eastAsia"/>
              </w:rPr>
              <w:t>）</w:t>
            </w:r>
          </w:p>
        </w:tc>
        <w:tc>
          <w:tcPr>
            <w:tcW w:w="3195" w:type="dxa"/>
          </w:tcPr>
          <w:p w14:paraId="3B75409B" w14:textId="77777777" w:rsidR="0090661D" w:rsidRPr="005960EC" w:rsidRDefault="0090661D" w:rsidP="00BB2B3A">
            <w:pPr>
              <w:pStyle w:val="Tabletext"/>
              <w:rPr>
                <w:rFonts w:eastAsiaTheme="minorEastAsia" w:cs="Calibri"/>
              </w:rPr>
            </w:pPr>
            <w:proofErr w:type="spellStart"/>
            <w:r w:rsidRPr="005960EC">
              <w:rPr>
                <w:rFonts w:eastAsiaTheme="minorEastAsia" w:cs="Calibri" w:hint="eastAsia"/>
              </w:rPr>
              <w:t>中等（技术支持</w:t>
            </w:r>
            <w:proofErr w:type="spellEnd"/>
            <w:r w:rsidRPr="005960EC">
              <w:rPr>
                <w:rFonts w:eastAsiaTheme="minorEastAsia" w:cs="Calibri" w:hint="eastAsia"/>
              </w:rPr>
              <w:t>）</w:t>
            </w:r>
          </w:p>
        </w:tc>
        <w:tc>
          <w:tcPr>
            <w:tcW w:w="1987" w:type="dxa"/>
          </w:tcPr>
          <w:p w14:paraId="1C3C5F04" w14:textId="74CB6C27" w:rsidR="0090661D" w:rsidRPr="005960EC" w:rsidRDefault="0090661D" w:rsidP="00BB2B3A">
            <w:pPr>
              <w:pStyle w:val="Tabletext"/>
              <w:rPr>
                <w:rFonts w:eastAsiaTheme="minorEastAsia" w:cs="Calibri"/>
              </w:rPr>
            </w:pPr>
            <w:r>
              <w:rPr>
                <w:rFonts w:eastAsiaTheme="minorEastAsia" w:cs="Calibri" w:hint="eastAsia"/>
                <w:lang w:eastAsia="zh-CN"/>
              </w:rPr>
              <w:t>节省</w:t>
            </w:r>
            <w:r w:rsidRPr="005960EC">
              <w:rPr>
                <w:rFonts w:eastAsiaTheme="minorEastAsia" w:cs="Calibri"/>
              </w:rPr>
              <w:t>~25%</w:t>
            </w:r>
          </w:p>
        </w:tc>
      </w:tr>
    </w:tbl>
    <w:p w14:paraId="06A3FDBF" w14:textId="77777777" w:rsidR="0090661D" w:rsidRPr="005960EC" w:rsidRDefault="0090661D" w:rsidP="00041050">
      <w:pPr>
        <w:keepNext/>
        <w:ind w:firstLineChars="200" w:firstLine="480"/>
        <w:jc w:val="both"/>
        <w:rPr>
          <w:rFonts w:cs="Calibri"/>
          <w:lang w:eastAsia="zh-CN"/>
        </w:rPr>
      </w:pPr>
      <w:r w:rsidRPr="005960EC">
        <w:rPr>
          <w:rFonts w:cs="Calibri"/>
          <w:lang w:eastAsia="zh-CN"/>
        </w:rPr>
        <w:lastRenderedPageBreak/>
        <w:t>无论是内部、</w:t>
      </w:r>
      <w:r>
        <w:rPr>
          <w:rFonts w:cs="Calibri" w:hint="eastAsia"/>
          <w:lang w:eastAsia="zh-CN"/>
        </w:rPr>
        <w:t>软件即服务（</w:t>
      </w:r>
      <w:r w:rsidRPr="005960EC">
        <w:rPr>
          <w:rFonts w:cs="Calibri"/>
          <w:lang w:eastAsia="zh-CN"/>
        </w:rPr>
        <w:t>SaaS</w:t>
      </w:r>
      <w:r>
        <w:rPr>
          <w:rFonts w:cs="Calibri" w:hint="eastAsia"/>
          <w:lang w:eastAsia="zh-CN"/>
        </w:rPr>
        <w:t>）</w:t>
      </w:r>
      <w:r w:rsidRPr="005960EC">
        <w:rPr>
          <w:rFonts w:cs="Calibri"/>
          <w:lang w:eastAsia="zh-CN"/>
        </w:rPr>
        <w:t>还是租赁商业模式，</w:t>
      </w:r>
      <w:r>
        <w:rPr>
          <w:rFonts w:cs="Calibri" w:hint="eastAsia"/>
          <w:lang w:eastAsia="zh-CN"/>
        </w:rPr>
        <w:t>均</w:t>
      </w:r>
      <w:r w:rsidRPr="005960EC">
        <w:rPr>
          <w:rFonts w:cs="Calibri"/>
          <w:lang w:eastAsia="zh-CN"/>
        </w:rPr>
        <w:t>会直接影响东道国的财务负担。</w:t>
      </w:r>
    </w:p>
    <w:p w14:paraId="5C4A4839" w14:textId="77777777" w:rsidR="0090661D" w:rsidRPr="005960EC" w:rsidRDefault="0090661D" w:rsidP="0090661D">
      <w:pPr>
        <w:pStyle w:val="enumlev1"/>
        <w:jc w:val="both"/>
        <w:rPr>
          <w:rFonts w:cs="Calibri"/>
          <w:lang w:eastAsia="zh-CN"/>
        </w:rPr>
      </w:pPr>
      <w:r w:rsidRPr="005960EC">
        <w:rPr>
          <w:rFonts w:cs="Calibri"/>
          <w:bCs/>
          <w:lang w:eastAsia="zh-CN"/>
        </w:rPr>
        <w:t>–</w:t>
      </w:r>
      <w:r w:rsidRPr="005960EC">
        <w:rPr>
          <w:rFonts w:cs="Calibri"/>
          <w:bCs/>
          <w:lang w:eastAsia="zh-CN"/>
        </w:rPr>
        <w:tab/>
      </w:r>
      <w:r w:rsidRPr="00840582">
        <w:rPr>
          <w:rFonts w:cs="Calibri"/>
          <w:b/>
          <w:bCs/>
          <w:lang w:eastAsia="zh-CN"/>
        </w:rPr>
        <w:t>邻近日内瓦的活动</w:t>
      </w:r>
      <w:r w:rsidRPr="00840582">
        <w:rPr>
          <w:rFonts w:cs="Calibri" w:hint="eastAsia"/>
          <w:b/>
          <w:bCs/>
          <w:lang w:eastAsia="zh-CN"/>
        </w:rPr>
        <w:t>：</w:t>
      </w:r>
      <w:r>
        <w:rPr>
          <w:rFonts w:cs="Calibri" w:hint="eastAsia"/>
          <w:lang w:eastAsia="zh-CN"/>
        </w:rPr>
        <w:t>得益于</w:t>
      </w:r>
      <w:r w:rsidRPr="005960EC">
        <w:rPr>
          <w:rFonts w:cs="Calibri"/>
          <w:lang w:eastAsia="zh-CN"/>
        </w:rPr>
        <w:t>现有的国际电联</w:t>
      </w:r>
      <w:r>
        <w:rPr>
          <w:rFonts w:cs="Calibri" w:hint="eastAsia"/>
          <w:lang w:eastAsia="zh-CN"/>
        </w:rPr>
        <w:t>自有</w:t>
      </w:r>
      <w:r w:rsidRPr="005960EC">
        <w:rPr>
          <w:rFonts w:cs="Calibri"/>
          <w:lang w:eastAsia="zh-CN"/>
        </w:rPr>
        <w:t>基础设施和可忽略不计的运输成本，数字化转型</w:t>
      </w:r>
      <w:r>
        <w:rPr>
          <w:rFonts w:cs="Calibri" w:hint="eastAsia"/>
          <w:lang w:eastAsia="zh-CN"/>
        </w:rPr>
        <w:t>实现</w:t>
      </w:r>
      <w:r w:rsidRPr="005960EC">
        <w:rPr>
          <w:rFonts w:cs="Calibri"/>
          <w:lang w:eastAsia="zh-CN"/>
        </w:rPr>
        <w:t>高</w:t>
      </w:r>
      <w:r>
        <w:rPr>
          <w:rFonts w:cs="Calibri" w:hint="eastAsia"/>
          <w:lang w:eastAsia="zh-CN"/>
        </w:rPr>
        <w:t>利润的</w:t>
      </w:r>
      <w:r w:rsidRPr="005960EC">
        <w:rPr>
          <w:rFonts w:cs="Calibri"/>
          <w:lang w:eastAsia="zh-CN"/>
        </w:rPr>
        <w:t>效率</w:t>
      </w:r>
      <w:r>
        <w:rPr>
          <w:rFonts w:cs="Calibri" w:hint="eastAsia"/>
          <w:lang w:eastAsia="zh-CN"/>
        </w:rPr>
        <w:t>提升</w:t>
      </w:r>
      <w:r w:rsidRPr="005960EC">
        <w:rPr>
          <w:rFonts w:cs="Calibri"/>
          <w:lang w:eastAsia="zh-CN"/>
        </w:rPr>
        <w:t>。</w:t>
      </w:r>
    </w:p>
    <w:p w14:paraId="28C1A99F" w14:textId="77777777" w:rsidR="0090661D" w:rsidRPr="00556FE3" w:rsidRDefault="0090661D" w:rsidP="0090661D">
      <w:pPr>
        <w:pStyle w:val="enumlev1"/>
        <w:jc w:val="both"/>
        <w:rPr>
          <w:rFonts w:asciiTheme="minorHAnsi" w:eastAsia="Calibri" w:hAnsiTheme="minorHAnsi" w:cstheme="minorBidi"/>
          <w:lang w:eastAsia="zh-CN"/>
        </w:rPr>
      </w:pPr>
      <w:r w:rsidRPr="005960EC">
        <w:rPr>
          <w:rFonts w:cs="Calibri"/>
          <w:bCs/>
          <w:lang w:eastAsia="zh-CN"/>
        </w:rPr>
        <w:t>–</w:t>
      </w:r>
      <w:r w:rsidRPr="005960EC">
        <w:rPr>
          <w:rFonts w:cs="Calibri"/>
          <w:bCs/>
          <w:lang w:eastAsia="zh-CN"/>
        </w:rPr>
        <w:tab/>
      </w:r>
      <w:r w:rsidRPr="00840582">
        <w:rPr>
          <w:rFonts w:cs="Calibri"/>
          <w:b/>
          <w:bCs/>
          <w:lang w:eastAsia="zh-CN"/>
        </w:rPr>
        <w:t>国际活动：</w:t>
      </w:r>
      <w:r w:rsidRPr="005960EC">
        <w:rPr>
          <w:rFonts w:cs="Calibri"/>
          <w:lang w:eastAsia="zh-CN"/>
        </w:rPr>
        <w:t>数字</w:t>
      </w:r>
      <w:r>
        <w:rPr>
          <w:rFonts w:cs="Calibri" w:hint="eastAsia"/>
          <w:lang w:eastAsia="zh-CN"/>
        </w:rPr>
        <w:t>胸牌</w:t>
      </w:r>
      <w:r w:rsidRPr="005960EC">
        <w:rPr>
          <w:rFonts w:cs="Calibri"/>
          <w:lang w:eastAsia="zh-CN"/>
        </w:rPr>
        <w:t>大大降低了物流溢价。通过消除运输数以千计</w:t>
      </w:r>
      <w:r>
        <w:rPr>
          <w:rFonts w:cs="Calibri" w:hint="eastAsia"/>
          <w:lang w:eastAsia="zh-CN"/>
        </w:rPr>
        <w:t>的</w:t>
      </w:r>
      <w:r w:rsidRPr="005960EC">
        <w:rPr>
          <w:rFonts w:cs="Calibri"/>
          <w:lang w:eastAsia="zh-CN"/>
        </w:rPr>
        <w:t>实物卡和重</w:t>
      </w:r>
      <w:r>
        <w:rPr>
          <w:rFonts w:cs="Calibri" w:hint="eastAsia"/>
          <w:lang w:eastAsia="zh-CN"/>
        </w:rPr>
        <w:t>型</w:t>
      </w:r>
      <w:r w:rsidRPr="005960EC">
        <w:rPr>
          <w:rFonts w:cs="Calibri"/>
          <w:lang w:eastAsia="zh-CN"/>
        </w:rPr>
        <w:t>工业打印机（通常需要复杂的</w:t>
      </w:r>
      <w:r w:rsidRPr="005960EC">
        <w:rPr>
          <w:rFonts w:cs="Calibri"/>
          <w:lang w:eastAsia="zh-CN"/>
        </w:rPr>
        <w:t>ATA</w:t>
      </w:r>
      <w:r w:rsidRPr="005960EC">
        <w:rPr>
          <w:rFonts w:cs="Calibri"/>
          <w:lang w:eastAsia="zh-CN"/>
        </w:rPr>
        <w:t>单证册文件和昂贵的空运）</w:t>
      </w:r>
      <w:r>
        <w:rPr>
          <w:rFonts w:cs="Calibri" w:hint="eastAsia"/>
          <w:lang w:eastAsia="zh-CN"/>
        </w:rPr>
        <w:t>的必要性</w:t>
      </w:r>
      <w:r w:rsidRPr="005960EC">
        <w:rPr>
          <w:rFonts w:cs="Calibri"/>
          <w:lang w:eastAsia="zh-CN"/>
        </w:rPr>
        <w:t>，东道国</w:t>
      </w:r>
      <w:r>
        <w:rPr>
          <w:rFonts w:cs="Calibri" w:hint="eastAsia"/>
          <w:lang w:eastAsia="zh-CN"/>
        </w:rPr>
        <w:t>承办的</w:t>
      </w:r>
      <w:r w:rsidRPr="005960EC">
        <w:rPr>
          <w:rFonts w:cs="Calibri"/>
          <w:lang w:eastAsia="zh-CN"/>
        </w:rPr>
        <w:t>每个重大活动可减少约</w:t>
      </w:r>
      <w:r w:rsidRPr="005960EC">
        <w:rPr>
          <w:rFonts w:cs="Calibri"/>
          <w:lang w:eastAsia="zh-CN"/>
        </w:rPr>
        <w:t>10 000-15 000</w:t>
      </w:r>
      <w:r w:rsidRPr="005960EC">
        <w:rPr>
          <w:rFonts w:cs="Calibri"/>
          <w:lang w:eastAsia="zh-CN"/>
        </w:rPr>
        <w:t>美元的专业运输费用。</w:t>
      </w:r>
    </w:p>
    <w:p w14:paraId="2894F65B" w14:textId="77777777" w:rsidR="0090661D" w:rsidRPr="00556FE3" w:rsidRDefault="0090661D" w:rsidP="00E012CF">
      <w:pPr>
        <w:ind w:firstLineChars="200" w:firstLine="480"/>
        <w:jc w:val="both"/>
        <w:rPr>
          <w:lang w:eastAsia="zh-CN"/>
        </w:rPr>
      </w:pPr>
      <w:r>
        <w:rPr>
          <w:rFonts w:hint="eastAsia"/>
          <w:lang w:eastAsia="zh-CN"/>
        </w:rPr>
        <w:t>虽然</w:t>
      </w:r>
      <w:r w:rsidRPr="005960EC">
        <w:rPr>
          <w:rFonts w:hint="eastAsia"/>
          <w:lang w:eastAsia="zh-CN"/>
        </w:rPr>
        <w:t>数字认证降低了总体物流要求，但生物识别和访问控制设备运输仍然是一个成本驱动因素，应</w:t>
      </w:r>
      <w:r>
        <w:rPr>
          <w:rFonts w:hint="eastAsia"/>
          <w:lang w:eastAsia="zh-CN"/>
        </w:rPr>
        <w:t>在可行的情况下，</w:t>
      </w:r>
      <w:r w:rsidRPr="005960EC">
        <w:rPr>
          <w:rFonts w:hint="eastAsia"/>
          <w:lang w:eastAsia="zh-CN"/>
        </w:rPr>
        <w:t>通过探索将集中资产和本地租赁相结合的混合模式来对其进行优化。</w:t>
      </w:r>
    </w:p>
    <w:p w14:paraId="75BBC05F" w14:textId="77777777" w:rsidR="0090661D" w:rsidRPr="00556FE3" w:rsidDel="0001061E" w:rsidRDefault="0090661D" w:rsidP="00E012CF">
      <w:pPr>
        <w:ind w:firstLineChars="200" w:firstLine="480"/>
        <w:jc w:val="both"/>
        <w:rPr>
          <w:lang w:eastAsia="zh-CN"/>
        </w:rPr>
      </w:pPr>
      <w:r w:rsidRPr="005960EC">
        <w:rPr>
          <w:rFonts w:hint="eastAsia"/>
          <w:lang w:eastAsia="zh-CN"/>
        </w:rPr>
        <w:t>数字资格认证解决方案和部署</w:t>
      </w:r>
      <w:r>
        <w:rPr>
          <w:rFonts w:hint="eastAsia"/>
          <w:lang w:eastAsia="zh-CN"/>
        </w:rPr>
        <w:t>模式</w:t>
      </w:r>
      <w:r w:rsidRPr="005960EC">
        <w:rPr>
          <w:rFonts w:hint="eastAsia"/>
          <w:lang w:eastAsia="zh-CN"/>
        </w:rPr>
        <w:t>的选择</w:t>
      </w:r>
      <w:r>
        <w:rPr>
          <w:rFonts w:hint="eastAsia"/>
          <w:lang w:eastAsia="zh-CN"/>
        </w:rPr>
        <w:t>，</w:t>
      </w:r>
      <w:r w:rsidRPr="005960EC">
        <w:rPr>
          <w:rFonts w:hint="eastAsia"/>
          <w:lang w:eastAsia="zh-CN"/>
        </w:rPr>
        <w:t>应与更广泛的信息技术现代化战略保持一致，还须优先考虑通过简化后勤工作、减少设备运输和灵活的采购方式来减轻东道国的运营和财务负担。</w:t>
      </w:r>
    </w:p>
    <w:p w14:paraId="3ECFE902" w14:textId="77777777" w:rsidR="0090661D" w:rsidRPr="005960EC" w:rsidRDefault="0090661D" w:rsidP="00E012CF">
      <w:pPr>
        <w:ind w:firstLineChars="200" w:firstLine="480"/>
        <w:jc w:val="both"/>
        <w:rPr>
          <w:rFonts w:cs="Calibri"/>
          <w:lang w:eastAsia="zh-CN"/>
        </w:rPr>
      </w:pPr>
      <w:r w:rsidRPr="005960EC">
        <w:rPr>
          <w:rFonts w:cs="Calibri"/>
          <w:color w:val="1F243C"/>
          <w:lang w:eastAsia="zh-CN"/>
        </w:rPr>
        <w:t>秘书处目前正在</w:t>
      </w:r>
      <w:r>
        <w:rPr>
          <w:rFonts w:cs="Calibri" w:hint="eastAsia"/>
          <w:color w:val="1F243C"/>
          <w:lang w:eastAsia="zh-CN"/>
        </w:rPr>
        <w:t>为</w:t>
      </w:r>
      <w:r w:rsidRPr="005960EC">
        <w:rPr>
          <w:rFonts w:cs="Calibri"/>
          <w:color w:val="1F243C"/>
          <w:lang w:eastAsia="zh-CN"/>
        </w:rPr>
        <w:t>不同类型活动的注册、认证和胸牌制作流程</w:t>
      </w:r>
      <w:r>
        <w:rPr>
          <w:rFonts w:cs="Calibri" w:hint="eastAsia"/>
          <w:color w:val="1F243C"/>
          <w:lang w:eastAsia="zh-CN"/>
        </w:rPr>
        <w:t>，</w:t>
      </w:r>
      <w:r w:rsidRPr="005960EC">
        <w:rPr>
          <w:rFonts w:cs="Calibri"/>
          <w:color w:val="1F243C"/>
          <w:lang w:eastAsia="zh-CN"/>
        </w:rPr>
        <w:t>评估各种数字解决方案，包括在日内瓦和其他地方举行的法定大会和技术会议。推广计划的目标是到</w:t>
      </w:r>
      <w:r w:rsidRPr="005960EC">
        <w:rPr>
          <w:rFonts w:cs="Calibri"/>
          <w:color w:val="1F243C"/>
          <w:lang w:eastAsia="zh-CN"/>
        </w:rPr>
        <w:t>2027</w:t>
      </w:r>
      <w:r w:rsidRPr="005960EC">
        <w:rPr>
          <w:rFonts w:cs="Calibri"/>
          <w:color w:val="1F243C"/>
          <w:lang w:eastAsia="zh-CN"/>
        </w:rPr>
        <w:t>年为选定的活动实现数字运营能力，可能会与</w:t>
      </w:r>
      <w:r w:rsidRPr="005960EC">
        <w:rPr>
          <w:rFonts w:cs="Calibri"/>
          <w:color w:val="1F243C"/>
          <w:lang w:eastAsia="zh-CN"/>
        </w:rPr>
        <w:t>2027</w:t>
      </w:r>
      <w:r w:rsidRPr="005960EC">
        <w:rPr>
          <w:rFonts w:cs="Calibri"/>
          <w:color w:val="1F243C"/>
          <w:lang w:eastAsia="zh-CN"/>
        </w:rPr>
        <w:t>年世界无线电通信大会等主要大会保持一致。</w:t>
      </w:r>
    </w:p>
    <w:p w14:paraId="492ACC2A" w14:textId="77777777" w:rsidR="0090661D" w:rsidRPr="005960EC" w:rsidRDefault="0090661D" w:rsidP="00DE1FB9">
      <w:pPr>
        <w:keepNext/>
        <w:keepLines/>
        <w:ind w:firstLineChars="200" w:firstLine="480"/>
        <w:jc w:val="both"/>
        <w:rPr>
          <w:rFonts w:cs="Calibri"/>
          <w:lang w:eastAsia="zh-CN"/>
        </w:rPr>
      </w:pPr>
      <w:r>
        <w:rPr>
          <w:rFonts w:cs="Calibri" w:hint="eastAsia"/>
          <w:lang w:eastAsia="zh-CN"/>
        </w:rPr>
        <w:t>当</w:t>
      </w:r>
      <w:r w:rsidRPr="005960EC">
        <w:rPr>
          <w:rFonts w:cs="Calibri"/>
          <w:lang w:eastAsia="zh-CN"/>
        </w:rPr>
        <w:t>前路线图包括以下里程碑：</w:t>
      </w:r>
    </w:p>
    <w:p w14:paraId="09E74A51" w14:textId="77777777" w:rsidR="0090661D" w:rsidRPr="005960EC" w:rsidRDefault="0090661D" w:rsidP="0090661D">
      <w:pPr>
        <w:pStyle w:val="enumlev1"/>
        <w:rPr>
          <w:rFonts w:cs="Calibri"/>
          <w:lang w:eastAsia="zh-CN"/>
        </w:rPr>
      </w:pPr>
      <w:r w:rsidRPr="005960EC">
        <w:rPr>
          <w:rFonts w:cs="Calibri"/>
          <w:lang w:eastAsia="zh-CN"/>
        </w:rPr>
        <w:t>–</w:t>
      </w:r>
      <w:r w:rsidRPr="005960EC">
        <w:rPr>
          <w:rFonts w:cs="Calibri"/>
          <w:lang w:eastAsia="zh-CN"/>
        </w:rPr>
        <w:tab/>
      </w:r>
      <w:r>
        <w:rPr>
          <w:rFonts w:cs="Calibri" w:hint="eastAsia"/>
          <w:lang w:eastAsia="zh-CN"/>
        </w:rPr>
        <w:t>在</w:t>
      </w:r>
      <w:r w:rsidRPr="005960EC">
        <w:rPr>
          <w:rFonts w:cs="Calibri"/>
          <w:lang w:eastAsia="zh-CN"/>
        </w:rPr>
        <w:t>2025</w:t>
      </w:r>
      <w:r w:rsidRPr="005960EC">
        <w:rPr>
          <w:rFonts w:cs="Calibri"/>
          <w:lang w:eastAsia="zh-CN"/>
        </w:rPr>
        <w:t>年底成立了一个专门</w:t>
      </w:r>
      <w:r>
        <w:rPr>
          <w:rFonts w:cs="Calibri" w:hint="eastAsia"/>
          <w:lang w:eastAsia="zh-CN"/>
        </w:rPr>
        <w:t>的</w:t>
      </w:r>
      <w:r w:rsidRPr="005960EC">
        <w:rPr>
          <w:rFonts w:cs="Calibri"/>
          <w:lang w:eastAsia="zh-CN"/>
        </w:rPr>
        <w:t>任务组，评估活动将持续到</w:t>
      </w:r>
      <w:r w:rsidRPr="005960EC">
        <w:rPr>
          <w:rFonts w:cs="Calibri"/>
          <w:lang w:eastAsia="zh-CN"/>
        </w:rPr>
        <w:t>2026</w:t>
      </w:r>
      <w:r w:rsidRPr="005960EC">
        <w:rPr>
          <w:rFonts w:cs="Calibri"/>
          <w:lang w:eastAsia="zh-CN"/>
        </w:rPr>
        <w:t>年。</w:t>
      </w:r>
    </w:p>
    <w:p w14:paraId="091ABDDA" w14:textId="04FE1E52" w:rsidR="0090661D" w:rsidRPr="005960EC" w:rsidRDefault="0090661D" w:rsidP="0090661D">
      <w:pPr>
        <w:pStyle w:val="enumlev1"/>
        <w:rPr>
          <w:rFonts w:cs="Calibri"/>
          <w:lang w:eastAsia="zh-CN"/>
        </w:rPr>
      </w:pPr>
      <w:r w:rsidRPr="005960EC">
        <w:rPr>
          <w:rFonts w:cs="Calibri"/>
          <w:lang w:eastAsia="zh-CN"/>
        </w:rPr>
        <w:t>–</w:t>
      </w:r>
      <w:r w:rsidRPr="005960EC">
        <w:rPr>
          <w:rFonts w:cs="Calibri"/>
          <w:lang w:eastAsia="zh-CN"/>
        </w:rPr>
        <w:tab/>
      </w:r>
      <w:r w:rsidRPr="005960EC">
        <w:rPr>
          <w:rFonts w:cs="Calibri"/>
          <w:lang w:eastAsia="zh-CN"/>
        </w:rPr>
        <w:t>确定事件类型</w:t>
      </w:r>
      <w:r>
        <w:rPr>
          <w:rFonts w:cs="Calibri" w:hint="eastAsia"/>
          <w:lang w:eastAsia="zh-CN"/>
        </w:rPr>
        <w:t>和优先顺序</w:t>
      </w:r>
      <w:r w:rsidRPr="005960EC">
        <w:rPr>
          <w:rFonts w:cs="Calibri"/>
          <w:lang w:eastAsia="zh-CN"/>
        </w:rPr>
        <w:t>，以确定技术、安全和运营需求。</w:t>
      </w:r>
    </w:p>
    <w:p w14:paraId="61F1FF0D" w14:textId="77777777" w:rsidR="0090661D" w:rsidRPr="005960EC" w:rsidRDefault="0090661D" w:rsidP="0090661D">
      <w:pPr>
        <w:pStyle w:val="enumlev1"/>
        <w:rPr>
          <w:rFonts w:cs="Calibri"/>
          <w:lang w:eastAsia="zh-CN"/>
        </w:rPr>
      </w:pPr>
      <w:r w:rsidRPr="005960EC">
        <w:rPr>
          <w:rFonts w:cs="Calibri"/>
          <w:lang w:eastAsia="zh-CN"/>
        </w:rPr>
        <w:t>–</w:t>
      </w:r>
      <w:r w:rsidRPr="005960EC">
        <w:rPr>
          <w:rFonts w:cs="Calibri"/>
          <w:lang w:eastAsia="zh-CN"/>
        </w:rPr>
        <w:tab/>
      </w:r>
      <w:r w:rsidRPr="005960EC">
        <w:rPr>
          <w:rFonts w:cs="Calibri"/>
          <w:lang w:eastAsia="zh-CN"/>
        </w:rPr>
        <w:t>在</w:t>
      </w:r>
      <w:r w:rsidRPr="005960EC">
        <w:rPr>
          <w:rFonts w:cs="Calibri"/>
          <w:lang w:eastAsia="zh-CN"/>
        </w:rPr>
        <w:t>2026</w:t>
      </w:r>
      <w:r w:rsidRPr="005960EC">
        <w:rPr>
          <w:rFonts w:cs="Calibri"/>
          <w:lang w:eastAsia="zh-CN"/>
        </w:rPr>
        <w:t>年实施渐进试点计划，从日内瓦会议上的小规模试点开始，检查成本、效率、安全性和与会者体验</w:t>
      </w:r>
      <w:r>
        <w:rPr>
          <w:rFonts w:cs="Calibri" w:hint="eastAsia"/>
          <w:lang w:eastAsia="zh-CN"/>
        </w:rPr>
        <w:t>等</w:t>
      </w:r>
      <w:r w:rsidRPr="005960EC">
        <w:rPr>
          <w:rFonts w:cs="Calibri"/>
          <w:lang w:eastAsia="zh-CN"/>
        </w:rPr>
        <w:t>方面的关键绩效指标。</w:t>
      </w:r>
    </w:p>
    <w:p w14:paraId="1BD29208" w14:textId="6374701E" w:rsidR="0090661D" w:rsidRPr="005960EC" w:rsidRDefault="0090661D" w:rsidP="0090661D">
      <w:pPr>
        <w:pStyle w:val="enumlev1"/>
        <w:rPr>
          <w:rFonts w:cs="Calibri"/>
          <w:lang w:eastAsia="zh-CN"/>
        </w:rPr>
      </w:pPr>
      <w:r w:rsidRPr="005960EC">
        <w:rPr>
          <w:rFonts w:cs="Calibri"/>
          <w:lang w:eastAsia="zh-CN"/>
        </w:rPr>
        <w:t>–</w:t>
      </w:r>
      <w:r w:rsidRPr="005960EC">
        <w:rPr>
          <w:rFonts w:cs="Calibri"/>
          <w:lang w:eastAsia="zh-CN"/>
        </w:rPr>
        <w:tab/>
      </w:r>
      <w:r w:rsidRPr="005960EC">
        <w:rPr>
          <w:rFonts w:cs="Calibri"/>
          <w:lang w:eastAsia="zh-CN"/>
        </w:rPr>
        <w:t>随着试点结果</w:t>
      </w:r>
      <w:r>
        <w:rPr>
          <w:rFonts w:cs="Calibri" w:hint="eastAsia"/>
          <w:lang w:eastAsia="zh-CN"/>
        </w:rPr>
        <w:t>的产生</w:t>
      </w:r>
      <w:r w:rsidRPr="005960EC">
        <w:rPr>
          <w:rFonts w:cs="Calibri"/>
          <w:lang w:eastAsia="zh-CN"/>
        </w:rPr>
        <w:t>，评估可持续性效益和成本影响。</w:t>
      </w:r>
    </w:p>
    <w:p w14:paraId="7838FD7E" w14:textId="77777777" w:rsidR="0090661D" w:rsidRPr="005960EC" w:rsidRDefault="0090661D" w:rsidP="00E012CF">
      <w:pPr>
        <w:ind w:firstLineChars="200" w:firstLine="480"/>
        <w:jc w:val="both"/>
        <w:rPr>
          <w:rFonts w:cs="Calibri"/>
          <w:lang w:eastAsia="zh-CN"/>
        </w:rPr>
      </w:pPr>
      <w:r w:rsidRPr="005960EC">
        <w:rPr>
          <w:rFonts w:cs="Calibri"/>
          <w:szCs w:val="24"/>
          <w:lang w:eastAsia="zh-CN"/>
        </w:rPr>
        <w:t>2026</w:t>
      </w:r>
      <w:r w:rsidRPr="005960EC">
        <w:rPr>
          <w:rFonts w:cs="Calibri"/>
          <w:szCs w:val="24"/>
          <w:lang w:eastAsia="zh-CN"/>
        </w:rPr>
        <w:t>年，国际电联</w:t>
      </w:r>
      <w:r>
        <w:rPr>
          <w:rFonts w:cs="Calibri" w:hint="eastAsia"/>
          <w:szCs w:val="24"/>
          <w:lang w:eastAsia="zh-CN"/>
        </w:rPr>
        <w:t>将</w:t>
      </w:r>
      <w:r w:rsidRPr="005960EC">
        <w:rPr>
          <w:rFonts w:cs="Calibri"/>
          <w:szCs w:val="24"/>
          <w:lang w:eastAsia="zh-CN"/>
        </w:rPr>
        <w:t>试验一种其他联合国机构已经</w:t>
      </w:r>
      <w:r>
        <w:rPr>
          <w:rFonts w:cs="Calibri" w:hint="eastAsia"/>
          <w:szCs w:val="24"/>
          <w:lang w:eastAsia="zh-CN"/>
        </w:rPr>
        <w:t>在</w:t>
      </w:r>
      <w:r w:rsidRPr="005960EC">
        <w:rPr>
          <w:rFonts w:cs="Calibri"/>
          <w:szCs w:val="24"/>
          <w:lang w:eastAsia="zh-CN"/>
        </w:rPr>
        <w:t>使用</w:t>
      </w:r>
      <w:r>
        <w:rPr>
          <w:rFonts w:cs="Calibri" w:hint="eastAsia"/>
          <w:szCs w:val="24"/>
          <w:lang w:eastAsia="zh-CN"/>
        </w:rPr>
        <w:t>的</w:t>
      </w:r>
      <w:r w:rsidRPr="005960EC">
        <w:rPr>
          <w:rFonts w:cs="Calibri"/>
          <w:szCs w:val="24"/>
          <w:lang w:eastAsia="zh-CN"/>
        </w:rPr>
        <w:t>商业活动管理解决方案（用于</w:t>
      </w:r>
      <w:r w:rsidRPr="005960EC">
        <w:rPr>
          <w:rFonts w:cs="Calibri"/>
          <w:szCs w:val="24"/>
          <w:lang w:eastAsia="zh-CN"/>
        </w:rPr>
        <w:t>AI4Good</w:t>
      </w:r>
      <w:r w:rsidRPr="005960EC">
        <w:rPr>
          <w:rFonts w:cs="Calibri"/>
          <w:szCs w:val="24"/>
          <w:lang w:eastAsia="zh-CN"/>
        </w:rPr>
        <w:t>和</w:t>
      </w:r>
      <w:r w:rsidRPr="005960EC">
        <w:rPr>
          <w:rFonts w:cs="Calibri"/>
          <w:szCs w:val="24"/>
          <w:lang w:eastAsia="zh-CN"/>
        </w:rPr>
        <w:t>WSIS</w:t>
      </w:r>
      <w:r w:rsidRPr="005960EC">
        <w:rPr>
          <w:rFonts w:cs="Calibri"/>
          <w:szCs w:val="24"/>
          <w:lang w:eastAsia="zh-CN"/>
        </w:rPr>
        <w:t>活动），评估其在不同领域</w:t>
      </w:r>
      <w:r>
        <w:rPr>
          <w:rFonts w:cs="Calibri" w:hint="eastAsia"/>
          <w:szCs w:val="24"/>
          <w:lang w:eastAsia="zh-CN"/>
        </w:rPr>
        <w:t>对</w:t>
      </w:r>
      <w:r w:rsidRPr="005960EC">
        <w:rPr>
          <w:rFonts w:cs="Calibri"/>
          <w:szCs w:val="24"/>
          <w:lang w:eastAsia="zh-CN"/>
        </w:rPr>
        <w:t>国际电联活动的适用性。试点</w:t>
      </w:r>
      <w:r>
        <w:rPr>
          <w:rFonts w:cs="Calibri" w:hint="eastAsia"/>
          <w:szCs w:val="24"/>
          <w:lang w:eastAsia="zh-CN"/>
        </w:rPr>
        <w:t>内容</w:t>
      </w:r>
      <w:r w:rsidRPr="005960EC">
        <w:rPr>
          <w:rFonts w:cs="Calibri"/>
          <w:szCs w:val="24"/>
          <w:lang w:eastAsia="zh-CN"/>
        </w:rPr>
        <w:t>包括测试各</w:t>
      </w:r>
      <w:r>
        <w:rPr>
          <w:rFonts w:cs="Calibri" w:hint="eastAsia"/>
          <w:szCs w:val="24"/>
          <w:lang w:eastAsia="zh-CN"/>
        </w:rPr>
        <w:t>项</w:t>
      </w:r>
      <w:r w:rsidRPr="005960EC">
        <w:rPr>
          <w:rFonts w:cs="Calibri"/>
          <w:szCs w:val="24"/>
          <w:lang w:eastAsia="zh-CN"/>
        </w:rPr>
        <w:t>功能，</w:t>
      </w:r>
      <w:r>
        <w:rPr>
          <w:rFonts w:cs="Calibri" w:hint="eastAsia"/>
          <w:szCs w:val="24"/>
          <w:lang w:eastAsia="zh-CN"/>
        </w:rPr>
        <w:t>以及</w:t>
      </w:r>
      <w:r w:rsidRPr="005960EC">
        <w:rPr>
          <w:rFonts w:cs="Calibri"/>
          <w:szCs w:val="24"/>
          <w:lang w:eastAsia="zh-CN"/>
        </w:rPr>
        <w:t>对在日内瓦举办的活动和在国外举办的活动进行财务评估。</w:t>
      </w:r>
      <w:r>
        <w:rPr>
          <w:rFonts w:cs="Calibri" w:hint="eastAsia"/>
          <w:szCs w:val="24"/>
          <w:lang w:eastAsia="zh-CN"/>
        </w:rPr>
        <w:t>试点</w:t>
      </w:r>
      <w:r w:rsidRPr="005960EC">
        <w:rPr>
          <w:rFonts w:cs="Calibri"/>
          <w:szCs w:val="24"/>
          <w:lang w:eastAsia="zh-CN"/>
        </w:rPr>
        <w:t>结果将为活动管理现代化的决策进程提供信息。</w:t>
      </w:r>
    </w:p>
    <w:p w14:paraId="3D61BAA4" w14:textId="77777777" w:rsidR="0090661D" w:rsidRPr="005960EC" w:rsidRDefault="0090661D" w:rsidP="00E012CF">
      <w:pPr>
        <w:ind w:firstLineChars="200" w:firstLine="480"/>
        <w:jc w:val="both"/>
        <w:rPr>
          <w:rFonts w:cs="Calibri"/>
          <w:lang w:eastAsia="zh-CN"/>
        </w:rPr>
      </w:pPr>
      <w:r w:rsidRPr="005960EC">
        <w:rPr>
          <w:rFonts w:cs="Calibri"/>
          <w:lang w:eastAsia="zh-CN"/>
        </w:rPr>
        <w:t>将在</w:t>
      </w:r>
      <w:r w:rsidRPr="005960EC">
        <w:rPr>
          <w:rFonts w:cs="Calibri"/>
          <w:lang w:eastAsia="zh-CN"/>
        </w:rPr>
        <w:t>2026-2027</w:t>
      </w:r>
      <w:r w:rsidRPr="005960EC">
        <w:rPr>
          <w:rFonts w:cs="Calibri"/>
          <w:lang w:eastAsia="zh-CN"/>
        </w:rPr>
        <w:t>年制定和确定活动管理平台的现代化路线图，与更广泛的技术和企业系统现代化（包括活动管理系统）保持一致，并</w:t>
      </w:r>
      <w:r>
        <w:rPr>
          <w:rFonts w:cs="Calibri" w:hint="eastAsia"/>
          <w:lang w:eastAsia="zh-CN"/>
        </w:rPr>
        <w:t>利用</w:t>
      </w:r>
      <w:r w:rsidRPr="005960EC">
        <w:rPr>
          <w:rFonts w:cs="Calibri"/>
          <w:lang w:eastAsia="zh-CN"/>
        </w:rPr>
        <w:t>试点成果和国际电联企业架构解决方案的前景评估来提供信息。</w:t>
      </w:r>
    </w:p>
    <w:p w14:paraId="694206C2" w14:textId="77777777" w:rsidR="0090661D" w:rsidRPr="005960EC" w:rsidRDefault="0090661D" w:rsidP="00E012CF">
      <w:pPr>
        <w:ind w:firstLineChars="200" w:firstLine="480"/>
        <w:jc w:val="both"/>
        <w:rPr>
          <w:rFonts w:cs="Calibri"/>
          <w:szCs w:val="24"/>
          <w:lang w:eastAsia="zh-CN"/>
        </w:rPr>
      </w:pPr>
      <w:r w:rsidRPr="005960EC">
        <w:rPr>
          <w:rFonts w:cs="Calibri"/>
          <w:szCs w:val="24"/>
          <w:lang w:eastAsia="zh-CN"/>
        </w:rPr>
        <w:t>与此同时，秘书处计划从</w:t>
      </w:r>
      <w:r w:rsidRPr="005960EC">
        <w:rPr>
          <w:rFonts w:cs="Calibri"/>
          <w:szCs w:val="24"/>
          <w:lang w:eastAsia="zh-CN"/>
        </w:rPr>
        <w:t>2026</w:t>
      </w:r>
      <w:r w:rsidRPr="005960EC">
        <w:rPr>
          <w:rFonts w:cs="Calibri"/>
          <w:szCs w:val="24"/>
          <w:lang w:eastAsia="zh-CN"/>
        </w:rPr>
        <w:t>年开始利用联合国数字身份举措取得的</w:t>
      </w:r>
      <w:r>
        <w:rPr>
          <w:rFonts w:cs="Calibri" w:hint="eastAsia"/>
          <w:szCs w:val="24"/>
          <w:lang w:eastAsia="zh-CN"/>
        </w:rPr>
        <w:t>进步成果</w:t>
      </w:r>
      <w:r w:rsidRPr="005960EC">
        <w:rPr>
          <w:rFonts w:cs="Calibri"/>
          <w:szCs w:val="24"/>
          <w:lang w:eastAsia="zh-CN"/>
        </w:rPr>
        <w:t>。该举措将利用安全的移动技术和改进的身份验证方法，在整个联合国系统建立可信数字身份。国际电联</w:t>
      </w:r>
      <w:r>
        <w:rPr>
          <w:rFonts w:cs="Calibri" w:hint="eastAsia"/>
          <w:szCs w:val="24"/>
          <w:lang w:eastAsia="zh-CN"/>
        </w:rPr>
        <w:t>的目标是</w:t>
      </w:r>
      <w:r w:rsidRPr="005960EC">
        <w:rPr>
          <w:rFonts w:cs="Calibri"/>
          <w:szCs w:val="24"/>
          <w:lang w:eastAsia="zh-CN"/>
        </w:rPr>
        <w:t>将这些能力纳入资格认证程序，以支持安全的数字证书，实现与会者的实时认证，并减少对实物胸牌和人工认证程序的依赖。</w:t>
      </w:r>
    </w:p>
    <w:p w14:paraId="1301A02C" w14:textId="77777777" w:rsidR="0090661D" w:rsidRPr="00556FE3" w:rsidRDefault="0090661D" w:rsidP="0090661D">
      <w:pPr>
        <w:jc w:val="center"/>
      </w:pPr>
      <w:r w:rsidRPr="00556FE3">
        <w:t>______________</w:t>
      </w:r>
    </w:p>
    <w:sectPr w:rsidR="0090661D" w:rsidRPr="00556FE3"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DB19" w14:textId="77777777" w:rsidR="00F51992" w:rsidRDefault="00F51992">
      <w:r>
        <w:separator/>
      </w:r>
    </w:p>
  </w:endnote>
  <w:endnote w:type="continuationSeparator" w:id="0">
    <w:p w14:paraId="17DFEE95" w14:textId="77777777" w:rsidR="00F51992" w:rsidRDefault="00F5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0316E2F5" w:rsidR="00EE49E8" w:rsidRPr="00E82E09" w:rsidRDefault="00B464AF" w:rsidP="00EE49E8">
          <w:pPr>
            <w:pStyle w:val="Header"/>
            <w:jc w:val="left"/>
            <w:rPr>
              <w:rFonts w:eastAsiaTheme="minorEastAsia"/>
              <w:noProof/>
              <w:lang w:eastAsia="zh-CN"/>
            </w:rPr>
          </w:pPr>
          <w:r>
            <w:rPr>
              <w:noProof/>
            </w:rPr>
            <w:t>R</w:t>
          </w:r>
          <w:r w:rsidR="009B5D72">
            <w:rPr>
              <w:noProof/>
            </w:rPr>
            <w:t>2600</w:t>
          </w:r>
          <w:r w:rsidR="00E82E09">
            <w:rPr>
              <w:rFonts w:eastAsiaTheme="minorEastAsia" w:hint="eastAsia"/>
              <w:noProof/>
              <w:lang w:eastAsia="zh-CN"/>
            </w:rPr>
            <w:t>7</w:t>
          </w:r>
          <w:r w:rsidR="00D6325F">
            <w:rPr>
              <w:rFonts w:eastAsiaTheme="minorEastAsia"/>
              <w:noProof/>
              <w:lang w:eastAsia="zh-CN"/>
            </w:rPr>
            <w:t>02</w:t>
          </w:r>
        </w:p>
      </w:tc>
      <w:tc>
        <w:tcPr>
          <w:tcW w:w="8261" w:type="dxa"/>
        </w:tcPr>
        <w:p w14:paraId="3E7590DE" w14:textId="594FBF8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AB51B9">
            <w:rPr>
              <w:bCs/>
            </w:rPr>
            <w:t>7</w:t>
          </w:r>
          <w:r w:rsidR="001712B2">
            <w:rPr>
              <w:bCs/>
            </w:rPr>
            <w:t>1</w:t>
          </w:r>
          <w:r w:rsidRPr="00623AE3">
            <w:rPr>
              <w:bCs/>
            </w:rPr>
            <w:t>-</w:t>
          </w:r>
          <w:r w:rsidR="009B784E">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19851C7D" w14:textId="36A97C08" w:rsidR="00EE49E8" w:rsidRPr="00DB1936" w:rsidRDefault="001712B2" w:rsidP="001712B2">
    <w:pPr>
      <w:pStyle w:val="Header"/>
      <w:tabs>
        <w:tab w:val="left" w:pos="7350"/>
      </w:tabs>
      <w:jc w:val="left"/>
      <w:rPr>
        <w:bCs/>
      </w:rPr>
    </w:pPr>
    <w:r>
      <w:rPr>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5EF6469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D6325F">
            <w:rPr>
              <w:bCs/>
            </w:rPr>
            <w:t>7</w:t>
          </w:r>
          <w:r w:rsidR="000A0EBD">
            <w:rPr>
              <w:bCs/>
            </w:rPr>
            <w:t>1</w:t>
          </w:r>
          <w:r w:rsidRPr="00623AE3">
            <w:rPr>
              <w:bCs/>
            </w:rPr>
            <w:t>-</w:t>
          </w:r>
          <w:r w:rsidR="009B784E">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D5A0" w14:textId="77777777" w:rsidR="00F51992" w:rsidRDefault="00F51992">
      <w:r>
        <w:t>____________________</w:t>
      </w:r>
    </w:p>
  </w:footnote>
  <w:footnote w:type="continuationSeparator" w:id="0">
    <w:p w14:paraId="2091F77B" w14:textId="77777777" w:rsidR="00F51992" w:rsidRDefault="00F5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7AAE14BC" w:rsidR="00AD3606" w:rsidRPr="00512087" w:rsidRDefault="009B5D72" w:rsidP="0049369C">
    <w:pPr>
      <w:pStyle w:val="Header"/>
    </w:pPr>
    <w:r>
      <w:rPr>
        <w:noProof/>
      </w:rPr>
      <w:drawing>
        <wp:inline distT="0" distB="0" distL="0" distR="0" wp14:anchorId="035E7CB7" wp14:editId="5FBA3732">
          <wp:extent cx="5760085" cy="840740"/>
          <wp:effectExtent l="0" t="0" r="0" b="0"/>
          <wp:docPr id="1347230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47D151F"/>
    <w:multiLevelType w:val="hybridMultilevel"/>
    <w:tmpl w:val="0F28F3EC"/>
    <w:lvl w:ilvl="0" w:tplc="413E3D0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23601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163"/>
    <w:rsid w:val="000210D4"/>
    <w:rsid w:val="000264CF"/>
    <w:rsid w:val="00041050"/>
    <w:rsid w:val="0006007D"/>
    <w:rsid w:val="00063016"/>
    <w:rsid w:val="00066795"/>
    <w:rsid w:val="00076AF6"/>
    <w:rsid w:val="00085CD5"/>
    <w:rsid w:val="00085CF2"/>
    <w:rsid w:val="000A0EBD"/>
    <w:rsid w:val="000A52ED"/>
    <w:rsid w:val="000B1705"/>
    <w:rsid w:val="000B22F0"/>
    <w:rsid w:val="000D0836"/>
    <w:rsid w:val="000D21F8"/>
    <w:rsid w:val="000D4AF5"/>
    <w:rsid w:val="000D75B2"/>
    <w:rsid w:val="000E0596"/>
    <w:rsid w:val="000E3517"/>
    <w:rsid w:val="000E372C"/>
    <w:rsid w:val="000F25AA"/>
    <w:rsid w:val="000F5DDB"/>
    <w:rsid w:val="000F60F9"/>
    <w:rsid w:val="001121F5"/>
    <w:rsid w:val="0011538F"/>
    <w:rsid w:val="0011634E"/>
    <w:rsid w:val="001400DC"/>
    <w:rsid w:val="00140CE1"/>
    <w:rsid w:val="0015189A"/>
    <w:rsid w:val="00152828"/>
    <w:rsid w:val="001712B2"/>
    <w:rsid w:val="0017539C"/>
    <w:rsid w:val="00175AC2"/>
    <w:rsid w:val="0017609F"/>
    <w:rsid w:val="00176F47"/>
    <w:rsid w:val="00187A07"/>
    <w:rsid w:val="001A3154"/>
    <w:rsid w:val="001A7D1D"/>
    <w:rsid w:val="001B14C1"/>
    <w:rsid w:val="001B51DD"/>
    <w:rsid w:val="001C628E"/>
    <w:rsid w:val="001E0F7B"/>
    <w:rsid w:val="001F5569"/>
    <w:rsid w:val="0020487B"/>
    <w:rsid w:val="00205BD2"/>
    <w:rsid w:val="002076D0"/>
    <w:rsid w:val="002119FD"/>
    <w:rsid w:val="002130E0"/>
    <w:rsid w:val="00221F46"/>
    <w:rsid w:val="00225D3C"/>
    <w:rsid w:val="00237882"/>
    <w:rsid w:val="00262FDC"/>
    <w:rsid w:val="00264425"/>
    <w:rsid w:val="00265875"/>
    <w:rsid w:val="0027303B"/>
    <w:rsid w:val="00276851"/>
    <w:rsid w:val="00277DEA"/>
    <w:rsid w:val="0028109B"/>
    <w:rsid w:val="002916B4"/>
    <w:rsid w:val="00291BE6"/>
    <w:rsid w:val="002A0615"/>
    <w:rsid w:val="002A133E"/>
    <w:rsid w:val="002A2188"/>
    <w:rsid w:val="002B1F58"/>
    <w:rsid w:val="002C1C7A"/>
    <w:rsid w:val="002C2EC7"/>
    <w:rsid w:val="002C3B0F"/>
    <w:rsid w:val="002C3F32"/>
    <w:rsid w:val="002C54E2"/>
    <w:rsid w:val="002F0B62"/>
    <w:rsid w:val="0030160F"/>
    <w:rsid w:val="00317862"/>
    <w:rsid w:val="00320223"/>
    <w:rsid w:val="00322D0D"/>
    <w:rsid w:val="00357D4F"/>
    <w:rsid w:val="00361465"/>
    <w:rsid w:val="00372DAD"/>
    <w:rsid w:val="003843C7"/>
    <w:rsid w:val="003877F5"/>
    <w:rsid w:val="003936D3"/>
    <w:rsid w:val="003942D4"/>
    <w:rsid w:val="003958A8"/>
    <w:rsid w:val="003B29C2"/>
    <w:rsid w:val="003B2D30"/>
    <w:rsid w:val="003B4FAF"/>
    <w:rsid w:val="003B5D54"/>
    <w:rsid w:val="003C2533"/>
    <w:rsid w:val="003D5A7F"/>
    <w:rsid w:val="003F0228"/>
    <w:rsid w:val="0040435A"/>
    <w:rsid w:val="00416A24"/>
    <w:rsid w:val="004208BA"/>
    <w:rsid w:val="00431D9E"/>
    <w:rsid w:val="00433CE8"/>
    <w:rsid w:val="00434A5C"/>
    <w:rsid w:val="00453079"/>
    <w:rsid w:val="004543B5"/>
    <w:rsid w:val="004544D9"/>
    <w:rsid w:val="00472BAD"/>
    <w:rsid w:val="00474524"/>
    <w:rsid w:val="00484009"/>
    <w:rsid w:val="00490E72"/>
    <w:rsid w:val="00491157"/>
    <w:rsid w:val="00491BA9"/>
    <w:rsid w:val="004921C8"/>
    <w:rsid w:val="0049369C"/>
    <w:rsid w:val="00495615"/>
    <w:rsid w:val="00495B0B"/>
    <w:rsid w:val="004A1B8B"/>
    <w:rsid w:val="004D1851"/>
    <w:rsid w:val="004D599D"/>
    <w:rsid w:val="004E2EA5"/>
    <w:rsid w:val="004E3AEB"/>
    <w:rsid w:val="004E5076"/>
    <w:rsid w:val="004F4DDB"/>
    <w:rsid w:val="0050223C"/>
    <w:rsid w:val="00511A28"/>
    <w:rsid w:val="00511A4D"/>
    <w:rsid w:val="00512087"/>
    <w:rsid w:val="005243FF"/>
    <w:rsid w:val="00564FBC"/>
    <w:rsid w:val="00565F61"/>
    <w:rsid w:val="005800BC"/>
    <w:rsid w:val="00582442"/>
    <w:rsid w:val="005A1A13"/>
    <w:rsid w:val="005D08DD"/>
    <w:rsid w:val="005E5B93"/>
    <w:rsid w:val="005F3269"/>
    <w:rsid w:val="00606ECF"/>
    <w:rsid w:val="0061071E"/>
    <w:rsid w:val="00623AE3"/>
    <w:rsid w:val="00642F4A"/>
    <w:rsid w:val="0064737F"/>
    <w:rsid w:val="006535F1"/>
    <w:rsid w:val="0065557D"/>
    <w:rsid w:val="00660D50"/>
    <w:rsid w:val="00662984"/>
    <w:rsid w:val="006716BB"/>
    <w:rsid w:val="00675659"/>
    <w:rsid w:val="00683AB7"/>
    <w:rsid w:val="00691DCE"/>
    <w:rsid w:val="006A2F4B"/>
    <w:rsid w:val="006B1859"/>
    <w:rsid w:val="006B6680"/>
    <w:rsid w:val="006B6DCC"/>
    <w:rsid w:val="006B77F1"/>
    <w:rsid w:val="006F14FD"/>
    <w:rsid w:val="00702DEF"/>
    <w:rsid w:val="00706861"/>
    <w:rsid w:val="00722551"/>
    <w:rsid w:val="00743713"/>
    <w:rsid w:val="0075051B"/>
    <w:rsid w:val="00765C89"/>
    <w:rsid w:val="0077110E"/>
    <w:rsid w:val="007717AD"/>
    <w:rsid w:val="00793188"/>
    <w:rsid w:val="00794D34"/>
    <w:rsid w:val="007A3FCD"/>
    <w:rsid w:val="007A511B"/>
    <w:rsid w:val="007B19CF"/>
    <w:rsid w:val="007C60B1"/>
    <w:rsid w:val="007D01AF"/>
    <w:rsid w:val="007D023F"/>
    <w:rsid w:val="007D32D5"/>
    <w:rsid w:val="007D61B6"/>
    <w:rsid w:val="00805828"/>
    <w:rsid w:val="00813E5E"/>
    <w:rsid w:val="00820ED8"/>
    <w:rsid w:val="0083581B"/>
    <w:rsid w:val="00836231"/>
    <w:rsid w:val="0084546D"/>
    <w:rsid w:val="00863874"/>
    <w:rsid w:val="00863CE1"/>
    <w:rsid w:val="00864AFF"/>
    <w:rsid w:val="00865925"/>
    <w:rsid w:val="00881595"/>
    <w:rsid w:val="008A3520"/>
    <w:rsid w:val="008A6B9F"/>
    <w:rsid w:val="008B4A6A"/>
    <w:rsid w:val="008C7E27"/>
    <w:rsid w:val="008F7448"/>
    <w:rsid w:val="0090147A"/>
    <w:rsid w:val="0090661D"/>
    <w:rsid w:val="00915EDB"/>
    <w:rsid w:val="009173EF"/>
    <w:rsid w:val="00924AD5"/>
    <w:rsid w:val="00927D16"/>
    <w:rsid w:val="00932906"/>
    <w:rsid w:val="0094555A"/>
    <w:rsid w:val="00945F10"/>
    <w:rsid w:val="009520C2"/>
    <w:rsid w:val="00954C49"/>
    <w:rsid w:val="00961B0B"/>
    <w:rsid w:val="00962D33"/>
    <w:rsid w:val="00976C8A"/>
    <w:rsid w:val="009842A1"/>
    <w:rsid w:val="009A29E1"/>
    <w:rsid w:val="009A76A8"/>
    <w:rsid w:val="009B38C3"/>
    <w:rsid w:val="009B5D72"/>
    <w:rsid w:val="009B784E"/>
    <w:rsid w:val="009E17BD"/>
    <w:rsid w:val="009E485A"/>
    <w:rsid w:val="009E5B2B"/>
    <w:rsid w:val="009E719C"/>
    <w:rsid w:val="00A04CEC"/>
    <w:rsid w:val="00A109AF"/>
    <w:rsid w:val="00A27F92"/>
    <w:rsid w:val="00A32257"/>
    <w:rsid w:val="00A36D20"/>
    <w:rsid w:val="00A41FCC"/>
    <w:rsid w:val="00A457E7"/>
    <w:rsid w:val="00A45D8F"/>
    <w:rsid w:val="00A514A4"/>
    <w:rsid w:val="00A55622"/>
    <w:rsid w:val="00A60FDA"/>
    <w:rsid w:val="00A8158F"/>
    <w:rsid w:val="00A83502"/>
    <w:rsid w:val="00A94BAB"/>
    <w:rsid w:val="00AB51B9"/>
    <w:rsid w:val="00AD15B3"/>
    <w:rsid w:val="00AD3606"/>
    <w:rsid w:val="00AD466D"/>
    <w:rsid w:val="00AD4A3D"/>
    <w:rsid w:val="00AD5DB9"/>
    <w:rsid w:val="00AF6E49"/>
    <w:rsid w:val="00B04A67"/>
    <w:rsid w:val="00B0583C"/>
    <w:rsid w:val="00B12F85"/>
    <w:rsid w:val="00B21541"/>
    <w:rsid w:val="00B40A81"/>
    <w:rsid w:val="00B44910"/>
    <w:rsid w:val="00B464AF"/>
    <w:rsid w:val="00B72267"/>
    <w:rsid w:val="00B76EB6"/>
    <w:rsid w:val="00B7737B"/>
    <w:rsid w:val="00B824C8"/>
    <w:rsid w:val="00B84B9D"/>
    <w:rsid w:val="00B9131F"/>
    <w:rsid w:val="00B928F6"/>
    <w:rsid w:val="00BA50E4"/>
    <w:rsid w:val="00BA7D95"/>
    <w:rsid w:val="00BB0646"/>
    <w:rsid w:val="00BB56B1"/>
    <w:rsid w:val="00BC251A"/>
    <w:rsid w:val="00BC4A20"/>
    <w:rsid w:val="00BD032B"/>
    <w:rsid w:val="00BE01C6"/>
    <w:rsid w:val="00BE1E1E"/>
    <w:rsid w:val="00BE2640"/>
    <w:rsid w:val="00BE4F29"/>
    <w:rsid w:val="00BF1FDE"/>
    <w:rsid w:val="00BF47AA"/>
    <w:rsid w:val="00BF4843"/>
    <w:rsid w:val="00BF5AD8"/>
    <w:rsid w:val="00C01189"/>
    <w:rsid w:val="00C0458D"/>
    <w:rsid w:val="00C374DE"/>
    <w:rsid w:val="00C47885"/>
    <w:rsid w:val="00C47AD4"/>
    <w:rsid w:val="00C52D81"/>
    <w:rsid w:val="00C55198"/>
    <w:rsid w:val="00C574B3"/>
    <w:rsid w:val="00C57B84"/>
    <w:rsid w:val="00C6520B"/>
    <w:rsid w:val="00C84727"/>
    <w:rsid w:val="00C930B8"/>
    <w:rsid w:val="00C97B69"/>
    <w:rsid w:val="00CA6393"/>
    <w:rsid w:val="00CA7995"/>
    <w:rsid w:val="00CB18FF"/>
    <w:rsid w:val="00CD0C08"/>
    <w:rsid w:val="00CD79DC"/>
    <w:rsid w:val="00CE03FB"/>
    <w:rsid w:val="00CE433C"/>
    <w:rsid w:val="00CF0161"/>
    <w:rsid w:val="00CF33F3"/>
    <w:rsid w:val="00CF4A2B"/>
    <w:rsid w:val="00D024CA"/>
    <w:rsid w:val="00D06183"/>
    <w:rsid w:val="00D22C42"/>
    <w:rsid w:val="00D412D5"/>
    <w:rsid w:val="00D43399"/>
    <w:rsid w:val="00D44B30"/>
    <w:rsid w:val="00D6325F"/>
    <w:rsid w:val="00D65041"/>
    <w:rsid w:val="00D93829"/>
    <w:rsid w:val="00D93C44"/>
    <w:rsid w:val="00D94E72"/>
    <w:rsid w:val="00D97D83"/>
    <w:rsid w:val="00DA4D77"/>
    <w:rsid w:val="00DA696D"/>
    <w:rsid w:val="00DB1936"/>
    <w:rsid w:val="00DB384B"/>
    <w:rsid w:val="00DC01C8"/>
    <w:rsid w:val="00DC165F"/>
    <w:rsid w:val="00DD4D9D"/>
    <w:rsid w:val="00DE1FB9"/>
    <w:rsid w:val="00DE532B"/>
    <w:rsid w:val="00DF0189"/>
    <w:rsid w:val="00E012CF"/>
    <w:rsid w:val="00E02A25"/>
    <w:rsid w:val="00E06FD5"/>
    <w:rsid w:val="00E10E80"/>
    <w:rsid w:val="00E124F0"/>
    <w:rsid w:val="00E1587D"/>
    <w:rsid w:val="00E20C2C"/>
    <w:rsid w:val="00E227F3"/>
    <w:rsid w:val="00E545C6"/>
    <w:rsid w:val="00E60F04"/>
    <w:rsid w:val="00E65B24"/>
    <w:rsid w:val="00E709B5"/>
    <w:rsid w:val="00E72DF8"/>
    <w:rsid w:val="00E82E09"/>
    <w:rsid w:val="00E854E4"/>
    <w:rsid w:val="00E86DBF"/>
    <w:rsid w:val="00E8702B"/>
    <w:rsid w:val="00E969AF"/>
    <w:rsid w:val="00EB0D6F"/>
    <w:rsid w:val="00EB2232"/>
    <w:rsid w:val="00EC0C15"/>
    <w:rsid w:val="00EC5337"/>
    <w:rsid w:val="00EC6078"/>
    <w:rsid w:val="00EE1642"/>
    <w:rsid w:val="00EE49E8"/>
    <w:rsid w:val="00F070FA"/>
    <w:rsid w:val="00F16BAB"/>
    <w:rsid w:val="00F2150A"/>
    <w:rsid w:val="00F231D8"/>
    <w:rsid w:val="00F44C00"/>
    <w:rsid w:val="00F45D2C"/>
    <w:rsid w:val="00F46C5F"/>
    <w:rsid w:val="00F508E2"/>
    <w:rsid w:val="00F50B01"/>
    <w:rsid w:val="00F51992"/>
    <w:rsid w:val="00F53D74"/>
    <w:rsid w:val="00F632C0"/>
    <w:rsid w:val="00F641E1"/>
    <w:rsid w:val="00F74D0C"/>
    <w:rsid w:val="00F806E4"/>
    <w:rsid w:val="00F92BC6"/>
    <w:rsid w:val="00F94A63"/>
    <w:rsid w:val="00F97326"/>
    <w:rsid w:val="00FA1C28"/>
    <w:rsid w:val="00FB1279"/>
    <w:rsid w:val="00FB6B76"/>
    <w:rsid w:val="00FB7596"/>
    <w:rsid w:val="00FE4077"/>
    <w:rsid w:val="00FE500D"/>
    <w:rsid w:val="00FE77D2"/>
    <w:rsid w:val="00FF3189"/>
    <w:rsid w:val="00FF39B1"/>
    <w:rsid w:val="00FF557D"/>
    <w:rsid w:val="588CE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945F10"/>
    <w:rPr>
      <w:sz w:val="16"/>
      <w:szCs w:val="16"/>
    </w:rPr>
  </w:style>
  <w:style w:type="paragraph" w:styleId="CommentText">
    <w:name w:val="annotation text"/>
    <w:basedOn w:val="Normal"/>
    <w:link w:val="CommentTextChar"/>
    <w:unhideWhenUsed/>
    <w:rsid w:val="00945F10"/>
    <w:rPr>
      <w:rFonts w:eastAsia="SimSun"/>
      <w:sz w:val="20"/>
    </w:rPr>
  </w:style>
  <w:style w:type="character" w:customStyle="1" w:styleId="CommentTextChar">
    <w:name w:val="Comment Text Char"/>
    <w:basedOn w:val="DefaultParagraphFont"/>
    <w:link w:val="CommentText"/>
    <w:rsid w:val="00945F10"/>
    <w:rPr>
      <w:rFonts w:ascii="Calibri" w:eastAsia="SimSun" w:hAnsi="Calibri"/>
      <w:lang w:val="en-GB" w:eastAsia="en-US"/>
    </w:rPr>
  </w:style>
  <w:style w:type="character" w:customStyle="1" w:styleId="FootnoteTextChar">
    <w:name w:val="Footnote Text Char"/>
    <w:basedOn w:val="DefaultParagraphFont"/>
    <w:link w:val="FootnoteText"/>
    <w:rsid w:val="000B22F0"/>
    <w:rPr>
      <w:rFonts w:ascii="Calibri" w:hAnsi="Calibri"/>
      <w:sz w:val="22"/>
      <w:lang w:val="en-GB" w:eastAsia="en-US"/>
    </w:rPr>
  </w:style>
  <w:style w:type="character" w:styleId="Strong">
    <w:name w:val="Strong"/>
    <w:basedOn w:val="DefaultParagraphFont"/>
    <w:uiPriority w:val="22"/>
    <w:qFormat/>
    <w:rsid w:val="00927D16"/>
    <w:rPr>
      <w:b/>
      <w:bCs/>
    </w:rPr>
  </w:style>
  <w:style w:type="paragraph" w:styleId="ListParagraph">
    <w:name w:val="List Paragraph"/>
    <w:basedOn w:val="Normal"/>
    <w:uiPriority w:val="34"/>
    <w:qFormat/>
    <w:rsid w:val="00927D16"/>
    <w:pPr>
      <w:ind w:left="720"/>
      <w:contextualSpacing/>
    </w:pPr>
  </w:style>
  <w:style w:type="paragraph" w:customStyle="1" w:styleId="Tablefin">
    <w:name w:val="Table_fin"/>
    <w:basedOn w:val="Tabletext"/>
    <w:rsid w:val="0090661D"/>
    <w:pPr>
      <w:spacing w:before="0" w:after="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RCLCWGLANG16-INF-0001/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L-C-0095/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95/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3975-0E74-4594-A643-DB2D079622CB}">
  <ds:schemaRefs>
    <ds:schemaRef ds:uri="http://schemas.microsoft.com/sharepoint/v3/contenttype/forms"/>
  </ds:schemaRefs>
</ds:datastoreItem>
</file>

<file path=customXml/itemProps2.xml><?xml version="1.0" encoding="utf-8"?>
<ds:datastoreItem xmlns:ds="http://schemas.openxmlformats.org/officeDocument/2006/customXml" ds:itemID="{184A402E-B659-4794-A47F-EB786F8BE5FF}">
  <ds:schemaRef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a4c22657-7647-457b-a399-8471255bb166"/>
    <ds:schemaRef ds:uri="http://www.w3.org/XML/1998/namespace"/>
  </ds:schemaRefs>
</ds:datastoreItem>
</file>

<file path=customXml/itemProps3.xml><?xml version="1.0" encoding="utf-8"?>
<ds:datastoreItem xmlns:ds="http://schemas.openxmlformats.org/officeDocument/2006/customXml" ds:itemID="{60D064B1-E427-41AF-A3A3-E92B4FA8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PE_Council26.dotx</Template>
  <TotalTime>1</TotalTime>
  <Pages>4</Pages>
  <Words>3219</Words>
  <Characters>1133</Characters>
  <Application>Microsoft Office Word</Application>
  <DocSecurity>0</DocSecurity>
  <Lines>47</Lines>
  <Paragraphs>98</Paragraphs>
  <ScaleCrop>false</ScaleCrop>
  <HeadingPairs>
    <vt:vector size="2" baseType="variant">
      <vt:variant>
        <vt:lpstr>Title</vt:lpstr>
      </vt:variant>
      <vt:variant>
        <vt:i4>1</vt:i4>
      </vt:variant>
    </vt:vector>
  </HeadingPairs>
  <TitlesOfParts>
    <vt:vector size="1" baseType="lpstr">
      <vt:lpstr>ITU Internet activities: Resolutions 101, 102, 133, 180 and 206</vt:lpstr>
    </vt:vector>
  </TitlesOfParts>
  <Manager>General Secretariat</Manager>
  <Company>International Telecommunication Union (ITU)</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measures to reduce financial burdens on host countries of ITU conferences, meetings and activities</dc:title>
  <dc:subject>ITU Council 2026</dc:subject>
  <cp:keywords>C26; C2026; Council 2026; PP26</cp:keywords>
  <dc:description/>
  <cp:lastPrinted>2000-07-18T13:30:00Z</cp:lastPrinted>
  <dcterms:created xsi:type="dcterms:W3CDTF">2026-04-07T16:10:00Z</dcterms:created>
  <dcterms:modified xsi:type="dcterms:W3CDTF">2026-04-07T16:11:00Z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