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3163DE9" w14:textId="77777777" w:rsidTr="00F363FE">
        <w:tc>
          <w:tcPr>
            <w:tcW w:w="6512" w:type="dxa"/>
          </w:tcPr>
          <w:p w14:paraId="0AAB0DC9" w14:textId="3749EF61"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C66FB3">
              <w:rPr>
                <w:rFonts w:hint="cs"/>
                <w:b/>
                <w:bCs/>
                <w:rtl/>
                <w:lang w:bidi="ar-EG"/>
              </w:rPr>
              <w:t xml:space="preserve"> </w:t>
            </w:r>
            <w:r w:rsidR="00C66FB3">
              <w:rPr>
                <w:b/>
                <w:bCs/>
                <w:lang w:bidi="ar-EG"/>
              </w:rPr>
              <w:t>ADM 3</w:t>
            </w:r>
          </w:p>
        </w:tc>
        <w:tc>
          <w:tcPr>
            <w:tcW w:w="3117" w:type="dxa"/>
          </w:tcPr>
          <w:p w14:paraId="5F3C9B14" w14:textId="369377F8"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C66FB3">
              <w:rPr>
                <w:b/>
                <w:bCs/>
                <w:lang w:bidi="ar-EG"/>
              </w:rPr>
              <w:t>71</w:t>
            </w:r>
            <w:r w:rsidRPr="007B0AA0">
              <w:rPr>
                <w:b/>
                <w:bCs/>
                <w:lang w:bidi="ar-EG"/>
              </w:rPr>
              <w:t>-A</w:t>
            </w:r>
          </w:p>
        </w:tc>
      </w:tr>
      <w:tr w:rsidR="007B0AA0" w14:paraId="36F14722" w14:textId="77777777" w:rsidTr="00F363FE">
        <w:tc>
          <w:tcPr>
            <w:tcW w:w="6512" w:type="dxa"/>
          </w:tcPr>
          <w:p w14:paraId="7751DFD8" w14:textId="77777777" w:rsidR="007B0AA0" w:rsidRPr="007B0AA0" w:rsidRDefault="007B0AA0" w:rsidP="00F363FE">
            <w:pPr>
              <w:spacing w:before="60" w:after="60" w:line="260" w:lineRule="exact"/>
              <w:rPr>
                <w:b/>
                <w:bCs/>
                <w:rtl/>
                <w:lang w:bidi="ar-EG"/>
              </w:rPr>
            </w:pPr>
          </w:p>
        </w:tc>
        <w:tc>
          <w:tcPr>
            <w:tcW w:w="3117" w:type="dxa"/>
          </w:tcPr>
          <w:p w14:paraId="1B055742" w14:textId="7AFCCC47" w:rsidR="007B0AA0" w:rsidRPr="007B0AA0" w:rsidRDefault="00C66FB3" w:rsidP="00F363FE">
            <w:pPr>
              <w:spacing w:before="60" w:after="60" w:line="260" w:lineRule="exact"/>
              <w:rPr>
                <w:b/>
                <w:bCs/>
                <w:rtl/>
                <w:lang w:bidi="ar-EG"/>
              </w:rPr>
            </w:pPr>
            <w:r>
              <w:rPr>
                <w:rFonts w:hint="cs"/>
                <w:b/>
                <w:bCs/>
                <w:rtl/>
              </w:rPr>
              <w:t>‏27‏ مارس‏ 2026</w:t>
            </w:r>
          </w:p>
        </w:tc>
      </w:tr>
      <w:tr w:rsidR="007B0AA0" w14:paraId="6C304FD4" w14:textId="77777777" w:rsidTr="00F363FE">
        <w:tc>
          <w:tcPr>
            <w:tcW w:w="6512" w:type="dxa"/>
          </w:tcPr>
          <w:p w14:paraId="6142BA1E" w14:textId="77777777" w:rsidR="007B0AA0" w:rsidRPr="007B0AA0" w:rsidRDefault="007B0AA0" w:rsidP="00F363FE">
            <w:pPr>
              <w:spacing w:before="60" w:after="60" w:line="260" w:lineRule="exact"/>
              <w:rPr>
                <w:b/>
                <w:bCs/>
                <w:rtl/>
                <w:lang w:bidi="ar-EG"/>
              </w:rPr>
            </w:pPr>
          </w:p>
        </w:tc>
        <w:tc>
          <w:tcPr>
            <w:tcW w:w="3117" w:type="dxa"/>
          </w:tcPr>
          <w:p w14:paraId="57EAF7C6"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B054013" w14:textId="77777777" w:rsidTr="00F363FE">
        <w:tc>
          <w:tcPr>
            <w:tcW w:w="6512" w:type="dxa"/>
          </w:tcPr>
          <w:p w14:paraId="14735D3F" w14:textId="77777777" w:rsidR="007B0AA0" w:rsidRDefault="007B0AA0" w:rsidP="00F363FE">
            <w:pPr>
              <w:spacing w:before="60" w:after="60" w:line="260" w:lineRule="exact"/>
              <w:rPr>
                <w:lang w:bidi="ar-EG"/>
              </w:rPr>
            </w:pPr>
          </w:p>
        </w:tc>
        <w:tc>
          <w:tcPr>
            <w:tcW w:w="3117" w:type="dxa"/>
          </w:tcPr>
          <w:p w14:paraId="28CCFCA6" w14:textId="77777777" w:rsidR="007B0AA0" w:rsidRDefault="007B0AA0" w:rsidP="00F363FE">
            <w:pPr>
              <w:spacing w:before="60" w:after="60" w:line="260" w:lineRule="exact"/>
              <w:rPr>
                <w:rtl/>
                <w:lang w:bidi="ar-EG"/>
              </w:rPr>
            </w:pPr>
          </w:p>
        </w:tc>
      </w:tr>
      <w:tr w:rsidR="007B0AA0" w14:paraId="5C156FC8" w14:textId="77777777" w:rsidTr="00EE7446">
        <w:tc>
          <w:tcPr>
            <w:tcW w:w="9629" w:type="dxa"/>
            <w:gridSpan w:val="2"/>
          </w:tcPr>
          <w:p w14:paraId="7377F596" w14:textId="77777777" w:rsidR="007B0AA0" w:rsidRDefault="001D64C7" w:rsidP="007B0AA0">
            <w:pPr>
              <w:pStyle w:val="Source"/>
              <w:jc w:val="left"/>
              <w:rPr>
                <w:lang w:bidi="ar-EG"/>
              </w:rPr>
            </w:pPr>
            <w:r>
              <w:rPr>
                <w:rFonts w:hint="cs"/>
                <w:rtl/>
                <w:lang w:bidi="ar-EG"/>
              </w:rPr>
              <w:t>تقرير من الأمينة العامة</w:t>
            </w:r>
          </w:p>
        </w:tc>
      </w:tr>
      <w:tr w:rsidR="007B0AA0" w14:paraId="45175104" w14:textId="77777777" w:rsidTr="007B0AA0">
        <w:tc>
          <w:tcPr>
            <w:tcW w:w="9629" w:type="dxa"/>
            <w:gridSpan w:val="2"/>
            <w:tcBorders>
              <w:bottom w:val="single" w:sz="4" w:space="0" w:color="auto"/>
            </w:tcBorders>
          </w:tcPr>
          <w:p w14:paraId="3D6E21E6" w14:textId="2E556A29" w:rsidR="007B0AA0" w:rsidRPr="005546CF" w:rsidRDefault="00C66FB3" w:rsidP="00C66FB3">
            <w:pPr>
              <w:pStyle w:val="Subtitle0"/>
              <w:rPr>
                <w:sz w:val="32"/>
                <w:szCs w:val="32"/>
              </w:rPr>
            </w:pPr>
            <w:r w:rsidRPr="00C66FB3">
              <w:rPr>
                <w:sz w:val="32"/>
                <w:szCs w:val="32"/>
                <w:rtl/>
                <w:lang w:bidi="ar-SA"/>
              </w:rPr>
              <w:t>تحديث بشأن التدابير الرامية إلى تخفيف الأعباء المالية على البلدان المضيفة لمؤتمرات الاتحاد الدولي للاتصالات واجتماعاته وأنشطته</w:t>
            </w:r>
          </w:p>
        </w:tc>
      </w:tr>
      <w:tr w:rsidR="007B0AA0" w14:paraId="778520BE" w14:textId="77777777" w:rsidTr="007B0AA0">
        <w:tc>
          <w:tcPr>
            <w:tcW w:w="9629" w:type="dxa"/>
            <w:gridSpan w:val="2"/>
            <w:tcBorders>
              <w:top w:val="single" w:sz="4" w:space="0" w:color="auto"/>
              <w:bottom w:val="single" w:sz="4" w:space="0" w:color="auto"/>
            </w:tcBorders>
          </w:tcPr>
          <w:p w14:paraId="2A8BE5D7" w14:textId="77777777" w:rsidR="007B0AA0" w:rsidRPr="007B0AA0" w:rsidRDefault="007B0AA0" w:rsidP="007B0AA0">
            <w:pPr>
              <w:rPr>
                <w:b/>
                <w:bCs/>
                <w:rtl/>
              </w:rPr>
            </w:pPr>
            <w:r w:rsidRPr="00494119">
              <w:rPr>
                <w:rFonts w:hint="cs"/>
                <w:b/>
                <w:bCs/>
                <w:rtl/>
              </w:rPr>
              <w:t>الغرض</w:t>
            </w:r>
          </w:p>
          <w:p w14:paraId="53FD2559" w14:textId="3DF9A480" w:rsidR="007B0AA0" w:rsidRDefault="00C66FB3" w:rsidP="00C66FB3">
            <w:pPr>
              <w:rPr>
                <w:rtl/>
              </w:rPr>
            </w:pPr>
            <w:r w:rsidRPr="00C66FB3">
              <w:rPr>
                <w:rtl/>
              </w:rPr>
              <w:t xml:space="preserve">تقدم هذه الوثيقة تحديثاً بشأن التدابير المحتملة لتخفيف الأعباء المالية على البلدان المضيفة لمؤتمرات الاتحاد الدولي للاتصالات واجتماعاته وأنشطته. وهي تتماشى مع المقترحات المقدمة إلى المجلس في دورته لعام 2025 بشأن تخفيف الأعباء المالية والواردة في وثيقة المساهمات متعددة البلدان </w:t>
            </w:r>
            <w:hyperlink r:id="rId8" w:history="1">
              <w:r w:rsidRPr="00C66FB3">
                <w:rPr>
                  <w:rStyle w:val="Hyperlink"/>
                  <w:noProof w:val="0"/>
                  <w:lang w:eastAsia="zh-CN"/>
                </w:rPr>
                <w:t>C25/95</w:t>
              </w:r>
            </w:hyperlink>
            <w:r w:rsidRPr="00C66FB3">
              <w:rPr>
                <w:rtl/>
              </w:rPr>
              <w:t xml:space="preserve">، وتأتي في أعقاب التقارير المقدمة إلى فريق العمل </w:t>
            </w:r>
            <w:r w:rsidR="00B51E1F">
              <w:rPr>
                <w:rFonts w:hint="cs"/>
                <w:rtl/>
              </w:rPr>
              <w:t>التابع للمجلس و</w:t>
            </w:r>
            <w:r w:rsidRPr="00C66FB3">
              <w:rPr>
                <w:rtl/>
              </w:rPr>
              <w:t xml:space="preserve">المعني </w:t>
            </w:r>
            <w:r w:rsidR="00B51E1F">
              <w:rPr>
                <w:rFonts w:hint="cs"/>
                <w:rtl/>
              </w:rPr>
              <w:t>بالموارد المالية والبشرية</w:t>
            </w:r>
            <w:r w:rsidRPr="00C66FB3">
              <w:rPr>
                <w:rtl/>
              </w:rPr>
              <w:t xml:space="preserve"> </w:t>
            </w:r>
            <w:r w:rsidR="00B51E1F">
              <w:t>(CWG</w:t>
            </w:r>
            <w:r w:rsidR="00B51E1F">
              <w:noBreakHyphen/>
              <w:t>FHR)</w:t>
            </w:r>
            <w:r w:rsidR="00B51E1F">
              <w:rPr>
                <w:rFonts w:hint="cs"/>
                <w:rtl/>
              </w:rPr>
              <w:t xml:space="preserve"> </w:t>
            </w:r>
            <w:r w:rsidRPr="00C66FB3">
              <w:rPr>
                <w:rtl/>
              </w:rPr>
              <w:t xml:space="preserve">في اجتماعه الحادي والعشرين في سبتمبر 2025 (الوثيقة </w:t>
            </w:r>
            <w:hyperlink r:id="rId9" w:history="1">
              <w:r w:rsidRPr="00C66FB3">
                <w:rPr>
                  <w:rStyle w:val="Hyperlink"/>
                  <w:noProof w:val="0"/>
                  <w:lang w:eastAsia="zh-CN"/>
                </w:rPr>
                <w:t>CWG-FHR-21/8</w:t>
              </w:r>
            </w:hyperlink>
            <w:r w:rsidRPr="00C66FB3">
              <w:rPr>
                <w:rtl/>
              </w:rPr>
              <w:t xml:space="preserve">) واجتماعه الثاني والعشرين في يناير 2026 (الوثيقة </w:t>
            </w:r>
            <w:hyperlink r:id="rId10" w:history="1">
              <w:r w:rsidRPr="00C66FB3">
                <w:rPr>
                  <w:rStyle w:val="Hyperlink"/>
                  <w:noProof w:val="0"/>
                  <w:lang w:eastAsia="zh-CN"/>
                </w:rPr>
                <w:t>CWG-FHR-22/19</w:t>
              </w:r>
            </w:hyperlink>
            <w:r w:rsidRPr="00C66FB3">
              <w:rPr>
                <w:rtl/>
              </w:rPr>
              <w:t>).</w:t>
            </w:r>
          </w:p>
          <w:p w14:paraId="318EA2AC" w14:textId="77777777" w:rsidR="007B0AA0" w:rsidRPr="007B0AA0" w:rsidRDefault="007B0AA0" w:rsidP="007B0AA0">
            <w:pPr>
              <w:rPr>
                <w:b/>
                <w:bCs/>
                <w:rtl/>
              </w:rPr>
            </w:pPr>
            <w:r w:rsidRPr="007B0AA0">
              <w:rPr>
                <w:rFonts w:hint="cs"/>
                <w:b/>
                <w:bCs/>
                <w:rtl/>
              </w:rPr>
              <w:t>الإجراء المطلوب من المجلس</w:t>
            </w:r>
          </w:p>
          <w:p w14:paraId="48036412" w14:textId="054952D2" w:rsidR="007B0AA0" w:rsidRDefault="00C66FB3" w:rsidP="00C66FB3">
            <w:pPr>
              <w:rPr>
                <w:rtl/>
              </w:rPr>
            </w:pPr>
            <w:r w:rsidRPr="00C66FB3">
              <w:rPr>
                <w:rtl/>
              </w:rPr>
              <w:t xml:space="preserve">يُدعى المجلس إلى </w:t>
            </w:r>
            <w:r w:rsidRPr="00C66FB3">
              <w:rPr>
                <w:b/>
                <w:bCs/>
                <w:rtl/>
              </w:rPr>
              <w:t>الإحاطة علماً</w:t>
            </w:r>
            <w:r w:rsidRPr="00C66FB3">
              <w:rPr>
                <w:rtl/>
              </w:rPr>
              <w:t xml:space="preserve"> بهذه الوثيقة</w:t>
            </w:r>
          </w:p>
          <w:p w14:paraId="4522DA3C"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651B0583" w14:textId="25A06439" w:rsidR="007B0AA0" w:rsidRDefault="00C66FB3" w:rsidP="00C66FB3">
            <w:pPr>
              <w:rPr>
                <w:rtl/>
              </w:rPr>
            </w:pPr>
            <w:r w:rsidRPr="00C66FB3">
              <w:rPr>
                <w:rtl/>
              </w:rPr>
              <w:t>منصات عقد الاجتماعات.</w:t>
            </w:r>
          </w:p>
          <w:p w14:paraId="58AF6B00" w14:textId="77777777" w:rsidR="007B0AA0" w:rsidRDefault="007B0AA0" w:rsidP="00B97F32">
            <w:pPr>
              <w:rPr>
                <w:b/>
                <w:bCs/>
              </w:rPr>
            </w:pPr>
            <w:r w:rsidRPr="007B0AA0">
              <w:rPr>
                <w:rFonts w:hint="cs"/>
                <w:b/>
                <w:bCs/>
                <w:rtl/>
              </w:rPr>
              <w:t>الآثار المالية</w:t>
            </w:r>
          </w:p>
          <w:p w14:paraId="5CA8B4DE" w14:textId="54034D41" w:rsidR="006F363C" w:rsidRPr="005546CF" w:rsidRDefault="00C66FB3" w:rsidP="00C66FB3">
            <w:pPr>
              <w:rPr>
                <w:rtl/>
              </w:rPr>
            </w:pPr>
            <w:r w:rsidRPr="00C66FB3">
              <w:rPr>
                <w:rtl/>
              </w:rPr>
              <w:t>في حدود الميزانية المخصصة للفترة 2026-2027.</w:t>
            </w:r>
          </w:p>
          <w:p w14:paraId="4F2F88A2"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6D997C7A" w14:textId="77777777" w:rsidR="007B0AA0" w:rsidRPr="007B0AA0" w:rsidRDefault="007B0AA0" w:rsidP="007B0AA0">
            <w:pPr>
              <w:rPr>
                <w:b/>
                <w:bCs/>
                <w:rtl/>
              </w:rPr>
            </w:pPr>
            <w:r w:rsidRPr="007B0AA0">
              <w:rPr>
                <w:rFonts w:hint="cs"/>
                <w:b/>
                <w:bCs/>
                <w:rtl/>
              </w:rPr>
              <w:t>المراجع</w:t>
            </w:r>
          </w:p>
          <w:p w14:paraId="3449350E" w14:textId="45E56D00" w:rsidR="007B0AA0" w:rsidRPr="005546CF" w:rsidRDefault="00C66FB3" w:rsidP="00C66FB3">
            <w:pPr>
              <w:rPr>
                <w:i/>
                <w:iCs/>
                <w:rtl/>
              </w:rPr>
            </w:pPr>
            <w:r w:rsidRPr="00C66FB3">
              <w:rPr>
                <w:i/>
                <w:iCs/>
                <w:rtl/>
              </w:rPr>
              <w:t>الوثائق</w:t>
            </w:r>
            <w:r w:rsidRPr="00C66FB3">
              <w:rPr>
                <w:i/>
                <w:iCs/>
                <w:rtl/>
                <w:lang w:bidi="ar-EG"/>
              </w:rPr>
              <w:t xml:space="preserve"> </w:t>
            </w:r>
            <w:hyperlink r:id="rId11" w:history="1">
              <w:r w:rsidRPr="00C66FB3">
                <w:rPr>
                  <w:rStyle w:val="Hyperlink"/>
                  <w:i/>
                  <w:iCs/>
                  <w:noProof w:val="0"/>
                  <w:lang w:eastAsia="zh-CN"/>
                </w:rPr>
                <w:t>C25/95</w:t>
              </w:r>
            </w:hyperlink>
            <w:r w:rsidRPr="00C66FB3">
              <w:rPr>
                <w:i/>
                <w:iCs/>
                <w:rtl/>
              </w:rPr>
              <w:t xml:space="preserve"> و</w:t>
            </w:r>
            <w:hyperlink r:id="rId12">
              <w:r w:rsidRPr="00C66FB3">
                <w:rPr>
                  <w:rStyle w:val="Hyperlink"/>
                  <w:i/>
                  <w:iCs/>
                  <w:noProof w:val="0"/>
                  <w:lang w:eastAsia="zh-CN"/>
                </w:rPr>
                <w:t>CWG-FHR-21/8</w:t>
              </w:r>
            </w:hyperlink>
            <w:r w:rsidRPr="00C66FB3">
              <w:rPr>
                <w:i/>
                <w:iCs/>
                <w:rtl/>
              </w:rPr>
              <w:t xml:space="preserve"> و</w:t>
            </w:r>
            <w:hyperlink r:id="rId13">
              <w:r w:rsidRPr="00C66FB3">
                <w:rPr>
                  <w:rStyle w:val="Hyperlink"/>
                  <w:i/>
                  <w:iCs/>
                  <w:noProof w:val="0"/>
                  <w:lang w:eastAsia="zh-CN"/>
                </w:rPr>
                <w:t>CWG-FHR-22/19</w:t>
              </w:r>
            </w:hyperlink>
            <w:r w:rsidRPr="00C66FB3">
              <w:rPr>
                <w:i/>
                <w:iCs/>
                <w:rtl/>
              </w:rPr>
              <w:t xml:space="preserve"> و</w:t>
            </w:r>
            <w:hyperlink r:id="rId14">
              <w:r w:rsidRPr="00C66FB3">
                <w:rPr>
                  <w:rStyle w:val="Hyperlink"/>
                  <w:i/>
                  <w:iCs/>
                  <w:noProof w:val="0"/>
                  <w:lang w:eastAsia="zh-CN"/>
                </w:rPr>
                <w:t>CWG-FHR-22/36</w:t>
              </w:r>
            </w:hyperlink>
          </w:p>
        </w:tc>
      </w:tr>
    </w:tbl>
    <w:p w14:paraId="1D296719" w14:textId="77777777" w:rsidR="00F50E3F" w:rsidRDefault="00F50E3F" w:rsidP="0043260A">
      <w:pPr>
        <w:rPr>
          <w:rtl/>
          <w:lang w:bidi="ar-EG"/>
        </w:rPr>
      </w:pPr>
      <w:r>
        <w:rPr>
          <w:rtl/>
          <w:lang w:bidi="ar-EG"/>
        </w:rPr>
        <w:br w:type="page"/>
      </w:r>
    </w:p>
    <w:p w14:paraId="52AEB0DD" w14:textId="0D9364D5" w:rsidR="00C66FB3" w:rsidRPr="00C66FB3" w:rsidRDefault="00C66FB3" w:rsidP="00B51E1F">
      <w:pPr>
        <w:pStyle w:val="Headingb"/>
        <w:ind w:left="-1" w:firstLine="1"/>
        <w:rPr>
          <w:rtl/>
          <w:lang w:bidi="ar-EG"/>
        </w:rPr>
      </w:pPr>
      <w:r w:rsidRPr="00C66FB3">
        <w:rPr>
          <w:rtl/>
          <w:lang w:bidi="ar-EG"/>
        </w:rPr>
        <w:lastRenderedPageBreak/>
        <w:t>المقترح 1: استخدام بشكل أكبر من موارد الترجمة الفورية المحلية و/أو الوطنية وتطبيق الترجمة الفورية عن بُعد (</w:t>
      </w:r>
      <w:r w:rsidRPr="00C66FB3">
        <w:rPr>
          <w:lang w:val="en-CA" w:bidi="ar-EG"/>
        </w:rPr>
        <w:t>RSI</w:t>
      </w:r>
      <w:r w:rsidRPr="00C66FB3">
        <w:rPr>
          <w:rtl/>
          <w:lang w:bidi="ar-EG"/>
        </w:rPr>
        <w:t>) في أحداث الاتحاد</w:t>
      </w:r>
    </w:p>
    <w:p w14:paraId="12C3F743" w14:textId="77777777" w:rsidR="00C66FB3" w:rsidRPr="00C66FB3" w:rsidRDefault="00C66FB3" w:rsidP="00C66FB3">
      <w:pPr>
        <w:rPr>
          <w:rtl/>
          <w:lang w:bidi="ar-EG"/>
        </w:rPr>
      </w:pPr>
      <w:r w:rsidRPr="00C66FB3">
        <w:rPr>
          <w:rtl/>
          <w:lang w:bidi="ar-EG"/>
        </w:rPr>
        <w:t>سيؤدي توظيف مترجمين فوريين محليين مؤهلين إلى خفض تكاليف السفر والإقامة وبدلات الإقامة اليومية للمترجمين الفوريين، والتي يتحملها بخلاف ذلك البلد المضيف أو الاتحاد.</w:t>
      </w:r>
    </w:p>
    <w:p w14:paraId="02F18B2D" w14:textId="6A8FEBF5" w:rsidR="00C66FB3" w:rsidRPr="00B51E1F" w:rsidRDefault="00C66FB3" w:rsidP="00B51E1F">
      <w:pPr>
        <w:pStyle w:val="Headingi"/>
        <w:rPr>
          <w:i w:val="0"/>
          <w:iCs w:val="0"/>
          <w:spacing w:val="-6"/>
          <w:rtl/>
          <w:lang w:bidi="ar-EG"/>
        </w:rPr>
      </w:pPr>
      <w:r w:rsidRPr="00B51E1F">
        <w:rPr>
          <w:spacing w:val="-6"/>
          <w:rtl/>
          <w:lang w:bidi="ar-EG"/>
        </w:rPr>
        <w:t>تحديث بشأن التدابير الرامية إلى إضفاء الطابع الرسمي على الاستعانة بالمترجمين الفوريين المحليين والوطنيين وتوسيع نطاقها</w:t>
      </w:r>
    </w:p>
    <w:p w14:paraId="0774FBEB" w14:textId="77777777" w:rsidR="00C66FB3" w:rsidRPr="00C66FB3" w:rsidRDefault="00C66FB3" w:rsidP="00C66FB3">
      <w:pPr>
        <w:rPr>
          <w:rtl/>
          <w:lang w:bidi="ar-EG"/>
        </w:rPr>
      </w:pPr>
      <w:r w:rsidRPr="00C66FB3">
        <w:rPr>
          <w:rtl/>
          <w:lang w:bidi="ar-EG"/>
        </w:rPr>
        <w:t>قُدّم مقترح بشأن تعزيز التعاون مع الدول الأعضاء في الاتحاد بشأن خدمات الترجمة الفورية المهنية، وتمت الموافقة عليه في اجتماع فريق العمل التابع للمجلس والمعني باللغات (</w:t>
      </w:r>
      <w:r w:rsidRPr="00C66FB3">
        <w:rPr>
          <w:lang w:bidi="ar-EG"/>
        </w:rPr>
        <w:t>CWG-LANG</w:t>
      </w:r>
      <w:r w:rsidRPr="00C66FB3">
        <w:rPr>
          <w:rtl/>
          <w:lang w:bidi="ar-EG"/>
        </w:rPr>
        <w:t>) في يناير 2026. وتُدعى الدول الأعضاء إلى ترشيح مترجمين فوريين محليين مهنيين يستوفون معايير متطلبات إتقان اللغات والمؤهلات التعليمية والخبرة الكافية، لتختار أمانة الاتحاد من بينهم لإنشاء قائمة بالمترجمين الفوريين المؤهلين لأحداث الاتحاد.</w:t>
      </w:r>
    </w:p>
    <w:p w14:paraId="2DF10D30" w14:textId="77777777" w:rsidR="00C66FB3" w:rsidRPr="00C66FB3" w:rsidRDefault="00C66FB3" w:rsidP="00C66FB3">
      <w:pPr>
        <w:rPr>
          <w:rtl/>
          <w:lang w:bidi="ar-EG"/>
        </w:rPr>
      </w:pPr>
      <w:r w:rsidRPr="00C66FB3">
        <w:rPr>
          <w:rtl/>
          <w:lang w:bidi="ar-EG"/>
        </w:rPr>
        <w:t>كما تُدعى الدول الأعضاء إلى تسهيل التواصل بين أمانة الاتحاد والمؤسسات الأكاديمية المحلية التي تقدم دورات تدريبية مهنية في مجال الترجمة الفورية للمؤتمرات، وذلك لتمكين توجيه التدريب بما يتوافق مع احتياجات الاتحاد وبناء القدرات على المدى الطويل.</w:t>
      </w:r>
    </w:p>
    <w:p w14:paraId="1393B85B" w14:textId="2E5C1921" w:rsidR="00C66FB3" w:rsidRPr="00C66FB3" w:rsidRDefault="00C66FB3" w:rsidP="00C66FB3">
      <w:pPr>
        <w:rPr>
          <w:rtl/>
          <w:lang w:bidi="ar-EG"/>
        </w:rPr>
      </w:pPr>
      <w:r w:rsidRPr="00C66FB3">
        <w:rPr>
          <w:rtl/>
          <w:lang w:bidi="ar-EG"/>
        </w:rPr>
        <w:t xml:space="preserve">وتشمل الفوائد الرئيسية لهذه المبادرة خفض التكاليف على الاتحاد والبلدان المضيفة؛ وتحسين التمثيل الجغرافي </w:t>
      </w:r>
      <w:r w:rsidR="009831E0" w:rsidRPr="00C66FB3">
        <w:rPr>
          <w:rtl/>
          <w:lang w:bidi="ar-EG"/>
        </w:rPr>
        <w:t>في</w:t>
      </w:r>
      <w:r w:rsidR="009831E0">
        <w:rPr>
          <w:rFonts w:hint="cs"/>
          <w:rtl/>
          <w:lang w:bidi="ar-EG"/>
        </w:rPr>
        <w:t> </w:t>
      </w:r>
      <w:r w:rsidRPr="00C66FB3">
        <w:rPr>
          <w:rtl/>
          <w:lang w:bidi="ar-EG"/>
        </w:rPr>
        <w:t>قاعدة بيانات المترجمين الفوريين؛ وتعزيز استمرارية الخدمة؛ وتنمية القدرات؛ وتوفير مترجمين فوريين على المدى الطويل بشكل مستدام.</w:t>
      </w:r>
    </w:p>
    <w:p w14:paraId="2514420E" w14:textId="1E3CDBE2" w:rsidR="00C66FB3" w:rsidRPr="00C66FB3" w:rsidRDefault="00C66FB3" w:rsidP="00F05581">
      <w:pPr>
        <w:rPr>
          <w:rtl/>
          <w:lang w:bidi="ar-EG"/>
        </w:rPr>
      </w:pPr>
      <w:r w:rsidRPr="00C66FB3">
        <w:rPr>
          <w:rtl/>
          <w:lang w:bidi="ar-EG"/>
        </w:rPr>
        <w:t>وأصدرت الأمانة رسالة معممة (</w:t>
      </w:r>
      <w:hyperlink r:id="rId15" w:history="1">
        <w:r w:rsidRPr="00C66FB3">
          <w:rPr>
            <w:rStyle w:val="Hyperlink"/>
            <w:noProof w:val="0"/>
            <w:lang w:eastAsia="zh-CN" w:bidi="ar-EG"/>
          </w:rPr>
          <w:t>CL-26/11</w:t>
        </w:r>
      </w:hyperlink>
      <w:r w:rsidRPr="00C66FB3">
        <w:rPr>
          <w:rtl/>
          <w:lang w:bidi="ar-EG"/>
        </w:rPr>
        <w:t xml:space="preserve">) إلى جميع الدول الأعضاء ومنظمات الاتصالات الإقليمية، </w:t>
      </w:r>
      <w:r w:rsidR="00F05581" w:rsidRPr="00F05581">
        <w:rPr>
          <w:lang w:val="en-GB" w:bidi="ar-EG"/>
        </w:rPr>
        <w:t>(RTO)</w:t>
      </w:r>
      <w:r w:rsidR="00F05581">
        <w:rPr>
          <w:rFonts w:hint="cs"/>
          <w:rtl/>
          <w:lang w:val="en-GB" w:bidi="ar-EG"/>
        </w:rPr>
        <w:t xml:space="preserve"> </w:t>
      </w:r>
      <w:r w:rsidRPr="00C66FB3">
        <w:rPr>
          <w:rtl/>
          <w:lang w:bidi="ar-EG"/>
        </w:rPr>
        <w:t>وحددت موعداً نهائياً لتلقي ردود الأطراف المهتمة في 31 مايو 2026. وستتواصل أمانة الاتحاد مع الدول الأعضاء ومنظمات الاتصالات الإقليمية المهتمة لمناقشة التعاون على المستوى الوطني أو الإقليمي في يونيو</w:t>
      </w:r>
      <w:r w:rsidR="00F05581">
        <w:rPr>
          <w:rFonts w:hint="cs"/>
          <w:rtl/>
          <w:lang w:bidi="ar-EG"/>
        </w:rPr>
        <w:t>/</w:t>
      </w:r>
      <w:r w:rsidRPr="00C66FB3">
        <w:rPr>
          <w:rtl/>
          <w:lang w:bidi="ar-EG"/>
        </w:rPr>
        <w:t>يوليو 2026.</w:t>
      </w:r>
    </w:p>
    <w:p w14:paraId="1536DDC1" w14:textId="77777777" w:rsidR="00C66FB3" w:rsidRPr="00C66FB3" w:rsidRDefault="00C66FB3" w:rsidP="00B51E1F">
      <w:pPr>
        <w:pStyle w:val="Headingi"/>
        <w:rPr>
          <w:rtl/>
          <w:lang w:bidi="ar-EG"/>
        </w:rPr>
      </w:pPr>
      <w:r w:rsidRPr="00C66FB3">
        <w:rPr>
          <w:rtl/>
          <w:lang w:bidi="ar-EG"/>
        </w:rPr>
        <w:t>تحديث بشأن تطبيق الترجمة الفورية عن بُعد (</w:t>
      </w:r>
      <w:r w:rsidRPr="00C66FB3">
        <w:rPr>
          <w:lang w:bidi="ar-EG"/>
        </w:rPr>
        <w:t>RSI</w:t>
      </w:r>
      <w:r w:rsidRPr="00C66FB3">
        <w:rPr>
          <w:rtl/>
          <w:lang w:bidi="ar-EG"/>
        </w:rPr>
        <w:t>)</w:t>
      </w:r>
    </w:p>
    <w:p w14:paraId="74E5FBF5" w14:textId="77777777" w:rsidR="00C66FB3" w:rsidRPr="00C66FB3" w:rsidRDefault="00C66FB3" w:rsidP="00C66FB3">
      <w:pPr>
        <w:rPr>
          <w:rtl/>
          <w:lang w:bidi="ar-EG"/>
        </w:rPr>
      </w:pPr>
      <w:r w:rsidRPr="00C66FB3">
        <w:rPr>
          <w:rtl/>
          <w:lang w:bidi="ar-EG"/>
        </w:rPr>
        <w:t>توسع الأمانة نطاق تجربتها بشأن استخدام الترجمة الفورية عن بُعد، وتوسع استخدامها لتشمل بعض اجتماعات الاتحاد التي يعمل فيها المترجمون الفوريون عن بُعد، مما يقلل بشكل كبير التكاليف المتعلقة بالسفر. وتتضمن الترجمة الفورية عن بُعد توفير ترجمة فورية معيارية للمؤتمرات من قبل مترجمين فوريين مهنيين ذوي خبرة غير متواجدين في الموقع. وتشير التقديرات إلى أن وفورات التكاليف الناتجة عن استخدام الترجمة الفورية عن بُعد بدلاً من المترجمين الفوريين المتواجدين في الموقع تتراوح بين 20 و25%.</w:t>
      </w:r>
    </w:p>
    <w:p w14:paraId="35FFC919" w14:textId="77777777" w:rsidR="00C66FB3" w:rsidRPr="00C66FB3" w:rsidRDefault="00C66FB3" w:rsidP="00C66FB3">
      <w:pPr>
        <w:rPr>
          <w:rtl/>
          <w:lang w:bidi="ar-EG"/>
        </w:rPr>
      </w:pPr>
      <w:r w:rsidRPr="00C66FB3">
        <w:rPr>
          <w:rtl/>
          <w:lang w:bidi="ar-EG"/>
        </w:rPr>
        <w:t>وفي عام 2026، سيتم تطبيق الترجمة الفورية عن بُعد للأحداث التي تقام خارج جنيف، وذلك بموافقة البلد المضيف وبالتعاون الوثيق بين الفرق التقنية التابعة للاتحاد والبلد المضيف.</w:t>
      </w:r>
    </w:p>
    <w:p w14:paraId="30D29348" w14:textId="77777777" w:rsidR="00C66FB3" w:rsidRPr="00C66FB3" w:rsidRDefault="00C66FB3" w:rsidP="00B51E1F">
      <w:pPr>
        <w:pStyle w:val="Headingi"/>
        <w:rPr>
          <w:rtl/>
          <w:lang w:bidi="ar-EG"/>
        </w:rPr>
      </w:pPr>
      <w:r w:rsidRPr="00C66FB3">
        <w:rPr>
          <w:rtl/>
          <w:lang w:bidi="ar-EG"/>
        </w:rPr>
        <w:t>الترجمة الفورية المدعومة بالذكاء الاصطناعي</w:t>
      </w:r>
    </w:p>
    <w:p w14:paraId="19690AC6" w14:textId="060E1A4D" w:rsidR="00C66FB3" w:rsidRPr="00C66FB3" w:rsidRDefault="00C66FB3" w:rsidP="00C66FB3">
      <w:pPr>
        <w:rPr>
          <w:rtl/>
          <w:lang w:bidi="ar-EG"/>
        </w:rPr>
      </w:pPr>
      <w:r w:rsidRPr="00C66FB3">
        <w:rPr>
          <w:rtl/>
          <w:lang w:bidi="ar-EG"/>
        </w:rPr>
        <w:t>كجزء من استراتيجيته طويلة الأجل بشأن الترجمة الفورية، ولمواكبة التطورات التكنولوجية الناشئة، يواصل الاتحاد اختبار وتقييم خدمات الترجمة الفورية والعروض النصية القائمة على الذكاء الاصطناعي. ويشمل ذلك اختبار منتجات من مجموعة من الموردين التجاريين، بالإضافة إلى تطوير واختبار أدوات الترجمة النصية والترجمة الفورية داخلياً. وتشهد جودة الترجمة الفورية القائمة على الذكاء الاصطناعي تحسناً سريعاً، إلا أنها لا تزال دون المستوى الكافي لاستخدامها في</w:t>
      </w:r>
      <w:r w:rsidR="00F05581">
        <w:rPr>
          <w:rFonts w:hint="cs"/>
          <w:rtl/>
          <w:lang w:bidi="ar-EG"/>
        </w:rPr>
        <w:t> </w:t>
      </w:r>
      <w:r w:rsidRPr="00C66FB3">
        <w:rPr>
          <w:rtl/>
          <w:lang w:bidi="ar-EG"/>
        </w:rPr>
        <w:t xml:space="preserve">الاجتماعات الرسمية. وسيركز الاختبار على أنواع الاجتماعات التالية، بما يتماشى مع التقرير المتعلق بتحديات وفرص الترجمة الفورية باستخدام الذكاء الاصطناعي (الوثيقة </w:t>
      </w:r>
      <w:hyperlink r:id="rId16" w:history="1">
        <w:r w:rsidRPr="00C66FB3">
          <w:rPr>
            <w:rStyle w:val="Hyperlink"/>
            <w:noProof w:val="0"/>
            <w:lang w:eastAsia="zh-CN" w:bidi="ar-EG"/>
          </w:rPr>
          <w:t>CWG-LANG-16/INF/1</w:t>
        </w:r>
      </w:hyperlink>
      <w:r w:rsidRPr="00C66FB3">
        <w:rPr>
          <w:rtl/>
          <w:lang w:bidi="ar-EG"/>
        </w:rPr>
        <w:t>):</w:t>
      </w:r>
    </w:p>
    <w:p w14:paraId="6DCF0AB2" w14:textId="0BC09809" w:rsidR="00C66FB3" w:rsidRPr="00F05581" w:rsidRDefault="00C66FB3" w:rsidP="00F05581">
      <w:pPr>
        <w:pStyle w:val="enumlev1"/>
        <w:rPr>
          <w:rtl/>
          <w:lang w:bidi="ar-EG"/>
        </w:rPr>
      </w:pPr>
      <w:r w:rsidRPr="00C66FB3">
        <w:rPr>
          <w:rtl/>
        </w:rPr>
        <w:t>–</w:t>
      </w:r>
      <w:r w:rsidRPr="00F05581">
        <w:rPr>
          <w:rtl/>
          <w:lang w:bidi="ar-EG"/>
        </w:rPr>
        <w:tab/>
        <w:t>الاجتماعات التي لا تنطوي على مناقشات مع الجمهور، مثل جلسات الإحاطة التي تتضمن تفاعلاً محدوداً مع</w:t>
      </w:r>
      <w:r w:rsidR="00F05581">
        <w:rPr>
          <w:rFonts w:hint="cs"/>
          <w:rtl/>
          <w:lang w:bidi="ar-EG"/>
        </w:rPr>
        <w:t> </w:t>
      </w:r>
      <w:r w:rsidRPr="00F05581">
        <w:rPr>
          <w:rtl/>
          <w:lang w:bidi="ar-EG"/>
        </w:rPr>
        <w:t>الحضور</w:t>
      </w:r>
    </w:p>
    <w:p w14:paraId="3ADA346B" w14:textId="77777777" w:rsidR="00C66FB3" w:rsidRPr="00F05581" w:rsidRDefault="00C66FB3" w:rsidP="00F05581">
      <w:pPr>
        <w:pStyle w:val="enumlev1"/>
        <w:rPr>
          <w:rtl/>
          <w:lang w:bidi="ar-EG"/>
        </w:rPr>
      </w:pPr>
      <w:r w:rsidRPr="00F05581">
        <w:rPr>
          <w:rtl/>
          <w:lang w:bidi="ar-EG"/>
        </w:rPr>
        <w:t>–</w:t>
      </w:r>
      <w:r w:rsidRPr="00F05581">
        <w:rPr>
          <w:rtl/>
          <w:lang w:bidi="ar-EG"/>
        </w:rPr>
        <w:tab/>
        <w:t>الاجتماعات غير الرسمية، مثل الاجتماعات الداخلية للأمانة التي تتضمن مشاركة محدودة من المندوبين</w:t>
      </w:r>
    </w:p>
    <w:p w14:paraId="6019BA1F" w14:textId="77777777" w:rsidR="00C66FB3" w:rsidRPr="00F05581" w:rsidRDefault="00C66FB3" w:rsidP="00F05581">
      <w:pPr>
        <w:pStyle w:val="enumlev1"/>
        <w:rPr>
          <w:rtl/>
          <w:lang w:bidi="ar-EG"/>
        </w:rPr>
      </w:pPr>
      <w:r w:rsidRPr="00F05581">
        <w:rPr>
          <w:rtl/>
          <w:lang w:bidi="ar-EG"/>
        </w:rPr>
        <w:t>–</w:t>
      </w:r>
      <w:r w:rsidRPr="00F05581">
        <w:rPr>
          <w:rtl/>
          <w:lang w:bidi="ar-EG"/>
        </w:rPr>
        <w:tab/>
        <w:t>ورش العمل المواضيعية</w:t>
      </w:r>
    </w:p>
    <w:p w14:paraId="435A7224" w14:textId="6613BC8F" w:rsidR="00C66FB3" w:rsidRPr="00F05581" w:rsidRDefault="00C66FB3" w:rsidP="00F05581">
      <w:pPr>
        <w:pStyle w:val="enumlev1"/>
        <w:rPr>
          <w:rtl/>
        </w:rPr>
      </w:pPr>
      <w:r w:rsidRPr="00F05581">
        <w:rPr>
          <w:rtl/>
          <w:lang w:bidi="ar-EG"/>
        </w:rPr>
        <w:t>–</w:t>
      </w:r>
      <w:r w:rsidRPr="00F05581">
        <w:rPr>
          <w:rtl/>
          <w:lang w:bidi="ar-EG"/>
        </w:rPr>
        <w:tab/>
        <w:t>الاجتماعات الإقليمية</w:t>
      </w:r>
    </w:p>
    <w:p w14:paraId="7FD9AB16" w14:textId="77777777" w:rsidR="00C66FB3" w:rsidRPr="00F05581" w:rsidRDefault="00C66FB3" w:rsidP="00F05581">
      <w:pPr>
        <w:pStyle w:val="enumlev1"/>
        <w:rPr>
          <w:rtl/>
          <w:lang w:bidi="ar-EG"/>
        </w:rPr>
      </w:pPr>
      <w:r w:rsidRPr="00F05581">
        <w:rPr>
          <w:rtl/>
          <w:lang w:bidi="ar-EG"/>
        </w:rPr>
        <w:t>–</w:t>
      </w:r>
      <w:r w:rsidRPr="00F05581">
        <w:rPr>
          <w:rtl/>
          <w:lang w:bidi="ar-EG"/>
        </w:rPr>
        <w:tab/>
        <w:t>الأحداث التي تتضمن مناقشات المائدة المستديرة والتي تضم أكثر من مائدة، حيث تكون الترجمة الفورية الحضورية غير عملية أو باهظة التكاليف</w:t>
      </w:r>
    </w:p>
    <w:p w14:paraId="5C856D4B" w14:textId="77777777" w:rsidR="00C66FB3" w:rsidRPr="00C66FB3" w:rsidRDefault="00C66FB3" w:rsidP="00F05581">
      <w:pPr>
        <w:pStyle w:val="enumlev1"/>
        <w:rPr>
          <w:rtl/>
          <w:lang w:bidi="ar-EG"/>
        </w:rPr>
      </w:pPr>
      <w:r w:rsidRPr="00F05581">
        <w:rPr>
          <w:rtl/>
          <w:lang w:bidi="ar-EG"/>
        </w:rPr>
        <w:lastRenderedPageBreak/>
        <w:t>–</w:t>
      </w:r>
      <w:r w:rsidRPr="00F05581">
        <w:rPr>
          <w:rtl/>
          <w:lang w:bidi="ar-EG"/>
        </w:rPr>
        <w:tab/>
        <w:t>اجتماعات فرق العمل التي لا تنطوي على اتخاذ قرارات، والتي لا تتوفر فيها الترجمة الفورية بخلاف ذلك.</w:t>
      </w:r>
    </w:p>
    <w:p w14:paraId="05BEAB4B" w14:textId="77777777" w:rsidR="00C66FB3" w:rsidRPr="00C66FB3" w:rsidRDefault="00C66FB3" w:rsidP="00B51E1F">
      <w:pPr>
        <w:pStyle w:val="Headingb"/>
        <w:rPr>
          <w:rtl/>
          <w:lang w:bidi="ar-EG"/>
        </w:rPr>
      </w:pPr>
      <w:r w:rsidRPr="00C66FB3">
        <w:rPr>
          <w:rtl/>
          <w:lang w:bidi="ar-EG"/>
        </w:rPr>
        <w:t>المقترح 2: توفير معدات وأجهزة تكنولوجيا المعلومات محلياً</w:t>
      </w:r>
    </w:p>
    <w:p w14:paraId="7EBE15F0" w14:textId="77777777" w:rsidR="00C66FB3" w:rsidRPr="00B51E1F" w:rsidRDefault="00C66FB3" w:rsidP="00C66FB3">
      <w:pPr>
        <w:rPr>
          <w:spacing w:val="-2"/>
          <w:rtl/>
          <w:lang w:bidi="ar-EG"/>
        </w:rPr>
      </w:pPr>
      <w:r w:rsidRPr="00B51E1F">
        <w:rPr>
          <w:spacing w:val="-2"/>
          <w:rtl/>
          <w:lang w:bidi="ar-EG"/>
        </w:rPr>
        <w:t xml:space="preserve">بناءً على طلب فريق العمل </w:t>
      </w:r>
      <w:r w:rsidRPr="00B51E1F">
        <w:rPr>
          <w:spacing w:val="-2"/>
          <w:lang w:bidi="ar-EG"/>
        </w:rPr>
        <w:t>CWG-FHR</w:t>
      </w:r>
      <w:r w:rsidRPr="00B51E1F">
        <w:rPr>
          <w:spacing w:val="-2"/>
          <w:rtl/>
          <w:lang w:bidi="ar-EG"/>
        </w:rPr>
        <w:t xml:space="preserve"> في اجتماعه الثاني والعشرين (الوثيقة </w:t>
      </w:r>
      <w:hyperlink r:id="rId17" w:history="1">
        <w:r w:rsidRPr="00B51E1F">
          <w:rPr>
            <w:rStyle w:val="Hyperlink"/>
            <w:noProof w:val="0"/>
            <w:spacing w:val="-2"/>
            <w:lang w:eastAsia="zh-CN" w:bidi="ar-EG"/>
          </w:rPr>
          <w:t>CWG-FHR-22/36</w:t>
        </w:r>
      </w:hyperlink>
      <w:r w:rsidRPr="00B51E1F">
        <w:rPr>
          <w:spacing w:val="-2"/>
          <w:rtl/>
          <w:lang w:bidi="ar-EG"/>
        </w:rPr>
        <w:t xml:space="preserve">)، يرد في الملحق 1 من الوثيقة </w:t>
      </w:r>
      <w:hyperlink r:id="rId18" w:history="1">
        <w:r w:rsidRPr="00B51E1F">
          <w:rPr>
            <w:rStyle w:val="Hyperlink"/>
            <w:noProof w:val="0"/>
            <w:spacing w:val="-2"/>
            <w:lang w:eastAsia="zh-CN" w:bidi="ar-EG"/>
          </w:rPr>
          <w:t>C26/INF/8</w:t>
        </w:r>
      </w:hyperlink>
      <w:r w:rsidRPr="00B51E1F">
        <w:rPr>
          <w:spacing w:val="-2"/>
          <w:rtl/>
          <w:lang w:bidi="ar-EG"/>
        </w:rPr>
        <w:t xml:space="preserve"> قائمة تشمل عينة من معدات تكنولوجيا المعلومات التي تم شحنها وتكاليف شراء كل بند منها، استناداً إلى المؤتمر العالمي لتنمية الاتصالات لعام 2025 (</w:t>
      </w:r>
      <w:r w:rsidRPr="00B51E1F">
        <w:rPr>
          <w:spacing w:val="-2"/>
          <w:lang w:val="en-CA" w:bidi="ar-EG"/>
        </w:rPr>
        <w:t>WTDC</w:t>
      </w:r>
      <w:r w:rsidRPr="00B51E1F">
        <w:rPr>
          <w:spacing w:val="-2"/>
          <w:lang w:val="en-CA" w:bidi="ar-EG"/>
        </w:rPr>
        <w:noBreakHyphen/>
        <w:t>25</w:t>
      </w:r>
      <w:r w:rsidRPr="00B51E1F">
        <w:rPr>
          <w:spacing w:val="-2"/>
          <w:rtl/>
          <w:lang w:bidi="ar-EG"/>
        </w:rPr>
        <w:t xml:space="preserve">). كما يقدم في الملحق 2 من الوثيقة </w:t>
      </w:r>
      <w:r w:rsidRPr="00B51E1F">
        <w:rPr>
          <w:spacing w:val="-2"/>
          <w:lang w:bidi="ar-EG"/>
        </w:rPr>
        <w:t>C26/INF/8</w:t>
      </w:r>
      <w:r w:rsidRPr="00B51E1F">
        <w:rPr>
          <w:spacing w:val="-2"/>
          <w:rtl/>
          <w:lang w:bidi="ar-EG"/>
        </w:rPr>
        <w:t xml:space="preserve"> ملخص لتكاليف الشحن لأحداث الاتحاد الرئيسية التي عقدت خارج جنيف منذ عام 2024.</w:t>
      </w:r>
    </w:p>
    <w:p w14:paraId="5D5C9325" w14:textId="3D086339" w:rsidR="00C66FB3" w:rsidRPr="00C66FB3" w:rsidRDefault="00C66FB3" w:rsidP="00C66FB3">
      <w:pPr>
        <w:rPr>
          <w:rtl/>
          <w:lang w:bidi="ar-EG"/>
        </w:rPr>
      </w:pPr>
      <w:r w:rsidRPr="00C66FB3">
        <w:rPr>
          <w:rtl/>
          <w:lang w:bidi="ar-EG"/>
        </w:rPr>
        <w:t xml:space="preserve">ولتقليل وقت التنفيذ في الموقع، تُشحن جميع المعدات مهيأة مسبقاً وفقاً لمتطلبات المؤتمر. ويطلب الاتحاد أيضاً من البلد المضيف توفير المعدات والبنية التحتية المعيارية، بما في ذلك شاشات الحواسيب، والبنية التحتية للشبكة السلكية، والبنية التحتية لشبكة </w:t>
      </w:r>
      <w:r w:rsidR="00B51E1F">
        <w:rPr>
          <w:lang w:bidi="ar-EG"/>
        </w:rPr>
        <w:t>Wi-Fi</w:t>
      </w:r>
      <w:r w:rsidRPr="00C66FB3">
        <w:rPr>
          <w:rtl/>
          <w:lang w:bidi="ar-EG"/>
        </w:rPr>
        <w:t xml:space="preserve">، والبنية التحتية للصوت والصورة، </w:t>
      </w:r>
      <w:r w:rsidR="00F05581" w:rsidRPr="00556FE3">
        <w:rPr>
          <w:rFonts w:cs="Calibri"/>
        </w:rPr>
        <w:t>(AV)</w:t>
      </w:r>
      <w:r w:rsidR="00F05581" w:rsidRPr="00B51E1F">
        <w:rPr>
          <w:rtl/>
        </w:rPr>
        <w:t xml:space="preserve"> </w:t>
      </w:r>
      <w:r w:rsidRPr="00C66FB3">
        <w:rPr>
          <w:rtl/>
          <w:lang w:bidi="ar-EG"/>
        </w:rPr>
        <w:t>وأنظمة اللافتات.</w:t>
      </w:r>
    </w:p>
    <w:p w14:paraId="4385CF21" w14:textId="77777777" w:rsidR="00C66FB3" w:rsidRPr="00C66FB3" w:rsidRDefault="00C66FB3" w:rsidP="00C66FB3">
      <w:pPr>
        <w:rPr>
          <w:rtl/>
          <w:lang w:bidi="ar-EG"/>
        </w:rPr>
      </w:pPr>
      <w:r w:rsidRPr="00C66FB3">
        <w:rPr>
          <w:rtl/>
          <w:lang w:bidi="ar-EG"/>
        </w:rPr>
        <w:t>وتُبذل جهود متواصلة لتحديث الأنظمة وتقليل الاعتماد على البنية التحتية القائمة في جنيف.</w:t>
      </w:r>
    </w:p>
    <w:p w14:paraId="7F67F2E9" w14:textId="77777777" w:rsidR="00C66FB3" w:rsidRPr="00C66FB3" w:rsidRDefault="00C66FB3" w:rsidP="00C66FB3">
      <w:pPr>
        <w:rPr>
          <w:rtl/>
          <w:lang w:bidi="ar-EG"/>
        </w:rPr>
      </w:pPr>
      <w:r w:rsidRPr="00C66FB3">
        <w:rPr>
          <w:rtl/>
          <w:lang w:bidi="ar-EG"/>
        </w:rPr>
        <w:t>وحيثما يمكن، إذا كان هناك مقدم خدمة محلي مؤهل قادر على دعم التكنولوجيا والتكامل المطلوبين، لا يتم إدراج بعض معدات الاتحاد السمعية والبصرية - مثل رفوف الأجهزة السمعية والبصرية أو حقائب المعدات - في شحنة الاتحاد، رهناً بالموافقة المسبقة أثناء التحضير المسبق للحدث.</w:t>
      </w:r>
    </w:p>
    <w:p w14:paraId="51DED140" w14:textId="77777777" w:rsidR="00C66FB3" w:rsidRPr="00B51E1F" w:rsidRDefault="00C66FB3" w:rsidP="00C66FB3">
      <w:pPr>
        <w:rPr>
          <w:spacing w:val="-4"/>
          <w:rtl/>
          <w:lang w:bidi="ar-EG"/>
        </w:rPr>
      </w:pPr>
      <w:r w:rsidRPr="00B51E1F">
        <w:rPr>
          <w:spacing w:val="-4"/>
          <w:rtl/>
          <w:lang w:bidi="ar-EG"/>
        </w:rPr>
        <w:t xml:space="preserve">واستناداً إلى الأرقام المالية الموضحة في الوثيقة </w:t>
      </w:r>
      <w:r w:rsidRPr="00B51E1F">
        <w:rPr>
          <w:spacing w:val="-4"/>
          <w:lang w:bidi="ar-EG"/>
        </w:rPr>
        <w:t>C26/INF/8</w:t>
      </w:r>
      <w:r w:rsidRPr="00B51E1F">
        <w:rPr>
          <w:spacing w:val="-4"/>
          <w:rtl/>
          <w:lang w:bidi="ar-EG"/>
        </w:rPr>
        <w:t>، ينبغي على البلد المضيف إجراء تقييم مالي لتحديد ما إذا كان أكثر فعالية من حيث التكاليف الحصول على المعدات المذكورة في القائمة من الاتحاد أو توفيرها محلياً. وفي حال توفير المعدات محلياً، يجب على البلد المضيف ضمان توافقها التقني، وتشكيلها بالكامل، وتشغيلها في الوقت المناسب للمؤتمر، وتوفير الدعم التقني الكافي طوال فترة الحدث.</w:t>
      </w:r>
    </w:p>
    <w:p w14:paraId="6C0E60C9" w14:textId="77777777" w:rsidR="00C66FB3" w:rsidRPr="00C66FB3" w:rsidRDefault="00C66FB3" w:rsidP="00B51E1F">
      <w:pPr>
        <w:pStyle w:val="Headingb"/>
        <w:ind w:left="-1" w:firstLine="1"/>
        <w:rPr>
          <w:rtl/>
          <w:lang w:bidi="ar-EG"/>
        </w:rPr>
      </w:pPr>
      <w:r w:rsidRPr="00C66FB3">
        <w:rPr>
          <w:rtl/>
          <w:lang w:bidi="ar-EG"/>
        </w:rPr>
        <w:t>المقترح 3: التقدم نحو نموذج اعتماد رقمي بالكامل للمؤتمرات من خلال تبسيط الإجراءات وتفعيل الشارات الرقمية</w:t>
      </w:r>
    </w:p>
    <w:p w14:paraId="7EA3E55E" w14:textId="77777777" w:rsidR="00C66FB3" w:rsidRPr="00C66FB3" w:rsidRDefault="00C66FB3" w:rsidP="00C66FB3">
      <w:pPr>
        <w:rPr>
          <w:rtl/>
          <w:lang w:bidi="ar-EG"/>
        </w:rPr>
      </w:pPr>
      <w:r w:rsidRPr="00C66FB3">
        <w:rPr>
          <w:rtl/>
          <w:lang w:bidi="ar-EG"/>
        </w:rPr>
        <w:t>يسهم الانتقال من مواد تعريف الهوية المطبوعة إلى بيانات اعتماد رقمية للمؤتمرات في خفض التكاليف الإدارية والمادية لإنتاج الشارات، ويعزز الاستدامة. ومع ذلك، يضيف هذا التحول تكاليف جديدة، بما في ذلك اقتناء أو استئجار أدوات النفاذ الرقمي مثل أجهزة المسح الضوئي وأجهزة التحقق البيومترية. وتختلف هذه الاحتياجات باختلاف مواقع انعقاد الأحداث، وتعتمد بشكل خاص على ما إذا كان الحدث يعقد في جنيف أو في بلد مضيف آخر.</w:t>
      </w:r>
    </w:p>
    <w:p w14:paraId="70A34C25" w14:textId="1932329C" w:rsidR="00C66FB3" w:rsidRPr="00C66FB3" w:rsidRDefault="00C66FB3" w:rsidP="00C66FB3">
      <w:pPr>
        <w:rPr>
          <w:rtl/>
          <w:lang w:bidi="ar-EG"/>
        </w:rPr>
      </w:pPr>
      <w:r w:rsidRPr="00C66FB3">
        <w:rPr>
          <w:rtl/>
          <w:lang w:bidi="ar-EG"/>
        </w:rPr>
        <w:t xml:space="preserve">وتشير الاستعراضات الأولية للبنية التحتية والعمليات اللازمة إلى أنه على الرغم من أن إنشاء أنظمة الاعتماد الرقمي </w:t>
      </w:r>
      <w:r w:rsidR="00B20DBA" w:rsidRPr="00C66FB3">
        <w:rPr>
          <w:rtl/>
          <w:lang w:bidi="ar-EG"/>
        </w:rPr>
        <w:t>قد</w:t>
      </w:r>
      <w:r w:rsidR="00B20DBA">
        <w:rPr>
          <w:lang w:bidi="ar-EG"/>
        </w:rPr>
        <w:t> </w:t>
      </w:r>
      <w:r w:rsidRPr="00C66FB3">
        <w:rPr>
          <w:rtl/>
          <w:lang w:bidi="ar-EG"/>
        </w:rPr>
        <w:t xml:space="preserve">يتطلب استثماراً أولياً أكبر في الأجهزة وتكامل تكنولوجيا المعلومات، إلا أن هذه التكاليف قد تعوضها وفورات </w:t>
      </w:r>
      <w:r w:rsidR="00B20DBA" w:rsidRPr="00C66FB3">
        <w:rPr>
          <w:rtl/>
          <w:lang w:bidi="ar-EG"/>
        </w:rPr>
        <w:t>في</w:t>
      </w:r>
      <w:r w:rsidR="00B20DBA">
        <w:rPr>
          <w:rFonts w:hint="cs"/>
          <w:rtl/>
          <w:lang w:bidi="ar-EG"/>
        </w:rPr>
        <w:t> </w:t>
      </w:r>
      <w:r w:rsidRPr="00C66FB3">
        <w:rPr>
          <w:rtl/>
          <w:lang w:bidi="ar-EG"/>
        </w:rPr>
        <w:t xml:space="preserve">التكاليف التشغيلية المتعلقة بالإمدادات والخدمات اللوجستية والموظفين في الموقع. وعلى وجه الخصوص، فإن التخفيضات الكبيرة في استخدام العناصر المادية مثل شارات </w:t>
      </w:r>
      <w:r w:rsidRPr="00C66FB3">
        <w:rPr>
          <w:lang w:bidi="ar-EG"/>
        </w:rPr>
        <w:t>PVC</w:t>
      </w:r>
      <w:r w:rsidRPr="00C66FB3">
        <w:rPr>
          <w:rtl/>
          <w:lang w:bidi="ar-EG"/>
        </w:rPr>
        <w:t xml:space="preserve"> وأشرطة تعليق الشارات يمكن أن تقلل الحاجة إلى نقل معدات طباعة الشارات والمواد ذات الصلة.</w:t>
      </w:r>
    </w:p>
    <w:p w14:paraId="43AD112A" w14:textId="00672C73" w:rsidR="00C66FB3" w:rsidRPr="00C66FB3" w:rsidRDefault="00C66FB3" w:rsidP="00C66FB3">
      <w:pPr>
        <w:rPr>
          <w:rtl/>
          <w:lang w:bidi="ar-EG"/>
        </w:rPr>
      </w:pPr>
      <w:r w:rsidRPr="00C66FB3">
        <w:rPr>
          <w:rtl/>
          <w:lang w:bidi="ar-EG"/>
        </w:rPr>
        <w:t>ويتوقف اختيار حلول الاعتماد الرقمي وإصدار الشارات على استراتيجية تكنولوجيا المعلومات ومتطلبات الأمن، بالإضافة إلى استعراض لمشهد تحديث حلول تكنولوجيا المعلومات. وفي جنيف، يمكن الاستفادة من البنية التحتية الحالية لتحقيق الكفاءة مع استخدام المعدات الموجودة في الموقع قدر الإمكان. وبالنسبة للأحداث التي تقام في الخارج، تقلل بيانات الاعتماد الرقمية تكاليف الشحن والجمارك، على الرغم من أن بعض المعدات لا تزال ضرورية للتحقق الآمن من</w:t>
      </w:r>
      <w:r w:rsidR="00F05581">
        <w:rPr>
          <w:rFonts w:hint="cs"/>
          <w:rtl/>
          <w:lang w:bidi="ar-EG"/>
        </w:rPr>
        <w:t> </w:t>
      </w:r>
      <w:r w:rsidRPr="00C66FB3">
        <w:rPr>
          <w:rtl/>
          <w:lang w:bidi="ar-EG"/>
        </w:rPr>
        <w:t>المشاركين.</w:t>
      </w:r>
    </w:p>
    <w:p w14:paraId="61785D7C" w14:textId="05437351" w:rsidR="00C66FB3" w:rsidRPr="00C66FB3" w:rsidRDefault="00C66FB3" w:rsidP="00C66FB3">
      <w:pPr>
        <w:rPr>
          <w:rtl/>
          <w:lang w:bidi="ar-EG"/>
        </w:rPr>
      </w:pPr>
      <w:r w:rsidRPr="00C66FB3">
        <w:rPr>
          <w:rtl/>
          <w:lang w:bidi="ar-EG"/>
        </w:rPr>
        <w:t xml:space="preserve">ويشير التحليل المفصل لتكاليف البنية التحتية والتكاليف التشغيلية إلى أنه على الرغم من أن النفقات الرأسمالية على الأجهزة وتكامل تكنولوجيا المعلومات قد </w:t>
      </w:r>
      <w:r w:rsidR="00B51E1F">
        <w:rPr>
          <w:rFonts w:hint="cs"/>
          <w:rtl/>
          <w:lang w:bidi="ar-EG"/>
        </w:rPr>
        <w:t>ت</w:t>
      </w:r>
      <w:r w:rsidRPr="00C66FB3">
        <w:rPr>
          <w:rtl/>
          <w:lang w:bidi="ar-EG"/>
        </w:rPr>
        <w:t>رتفع في البداية، إلا أنه يعوض بانخفاض يتراوح بين 30% و40% في النفقات التشغيلية المتعلقة بالمواد الاستهلاكية المادية والموظفين.</w:t>
      </w:r>
    </w:p>
    <w:p w14:paraId="61A74718" w14:textId="77777777" w:rsidR="00C66FB3" w:rsidRPr="00C66FB3" w:rsidRDefault="00C66FB3" w:rsidP="00B51E1F">
      <w:pPr>
        <w:keepNext/>
        <w:keepLines/>
        <w:rPr>
          <w:rtl/>
          <w:lang w:bidi="ar-EG"/>
        </w:rPr>
      </w:pPr>
      <w:r w:rsidRPr="00C66FB3">
        <w:rPr>
          <w:rtl/>
          <w:lang w:bidi="ar-EG"/>
        </w:rPr>
        <w:lastRenderedPageBreak/>
        <w:t>ويوضح الجدول التالي محركات التكاليف المقارنة بين النموذج المادي التقليدي للتعرف بواسطة التردد الراديوي (</w:t>
      </w:r>
      <w:r w:rsidRPr="00C66FB3">
        <w:rPr>
          <w:lang w:bidi="ar-EG"/>
        </w:rPr>
        <w:t>RFID</w:t>
      </w:r>
      <w:r w:rsidRPr="00C66FB3">
        <w:rPr>
          <w:rtl/>
          <w:lang w:bidi="ar-EG"/>
        </w:rPr>
        <w:t>) والنموذج الرقمي/البيومتري المقترح:</w:t>
      </w:r>
    </w:p>
    <w:tbl>
      <w:tblPr>
        <w:tblStyle w:val="TableGrid"/>
        <w:bidiVisual/>
        <w:tblW w:w="5000" w:type="pct"/>
        <w:jc w:val="center"/>
        <w:tblLook w:val="06A0" w:firstRow="1" w:lastRow="0" w:firstColumn="1" w:lastColumn="0" w:noHBand="1" w:noVBand="1"/>
      </w:tblPr>
      <w:tblGrid>
        <w:gridCol w:w="1745"/>
        <w:gridCol w:w="2791"/>
        <w:gridCol w:w="2399"/>
        <w:gridCol w:w="2126"/>
      </w:tblGrid>
      <w:tr w:rsidR="00C66FB3" w:rsidRPr="00C66FB3" w14:paraId="1A96742B" w14:textId="77777777" w:rsidTr="00B51E1F">
        <w:trPr>
          <w:trHeight w:val="300"/>
          <w:jc w:val="center"/>
        </w:trPr>
        <w:tc>
          <w:tcPr>
            <w:tcW w:w="963" w:type="pct"/>
          </w:tcPr>
          <w:p w14:paraId="695F56E2" w14:textId="77777777" w:rsidR="00C66FB3" w:rsidRPr="00C66FB3" w:rsidRDefault="00C66FB3" w:rsidP="00B51E1F">
            <w:pPr>
              <w:pStyle w:val="Tablehead"/>
              <w:keepLines/>
              <w:rPr>
                <w:lang w:bidi="ar-EG"/>
              </w:rPr>
            </w:pPr>
            <w:r w:rsidRPr="00C66FB3">
              <w:rPr>
                <w:rtl/>
              </w:rPr>
              <w:t>محركات التكاليف</w:t>
            </w:r>
          </w:p>
        </w:tc>
        <w:tc>
          <w:tcPr>
            <w:tcW w:w="1540" w:type="pct"/>
          </w:tcPr>
          <w:p w14:paraId="0994FCEA" w14:textId="35CC5441" w:rsidR="00C66FB3" w:rsidRPr="00C66FB3" w:rsidRDefault="00C66FB3" w:rsidP="00B51E1F">
            <w:pPr>
              <w:pStyle w:val="Tablehead"/>
              <w:keepLines/>
              <w:rPr>
                <w:lang w:bidi="ar-EG"/>
              </w:rPr>
            </w:pPr>
            <w:r w:rsidRPr="00C66FB3">
              <w:rPr>
                <w:rtl/>
              </w:rPr>
              <w:t xml:space="preserve">نموذج </w:t>
            </w:r>
            <w:r w:rsidRPr="00C66FB3">
              <w:rPr>
                <w:lang w:bidi="ar-EG"/>
              </w:rPr>
              <w:t>RFID</w:t>
            </w:r>
            <w:r w:rsidRPr="00C66FB3">
              <w:rPr>
                <w:rtl/>
              </w:rPr>
              <w:t xml:space="preserve"> المادي</w:t>
            </w:r>
          </w:p>
        </w:tc>
        <w:tc>
          <w:tcPr>
            <w:tcW w:w="1324" w:type="pct"/>
          </w:tcPr>
          <w:p w14:paraId="33B74432" w14:textId="77777777" w:rsidR="00C66FB3" w:rsidRPr="00C66FB3" w:rsidRDefault="00C66FB3" w:rsidP="00B51E1F">
            <w:pPr>
              <w:pStyle w:val="Tablehead"/>
              <w:keepLines/>
              <w:rPr>
                <w:lang w:bidi="ar-EG"/>
              </w:rPr>
            </w:pPr>
            <w:r w:rsidRPr="00C66FB3">
              <w:rPr>
                <w:rtl/>
              </w:rPr>
              <w:t>النموذج الرقمي/البيومتري</w:t>
            </w:r>
          </w:p>
        </w:tc>
        <w:tc>
          <w:tcPr>
            <w:tcW w:w="1173" w:type="pct"/>
          </w:tcPr>
          <w:p w14:paraId="18C00BEE" w14:textId="77777777" w:rsidR="00C66FB3" w:rsidRPr="00C66FB3" w:rsidRDefault="00C66FB3" w:rsidP="00B51E1F">
            <w:pPr>
              <w:pStyle w:val="Tablehead"/>
              <w:keepLines/>
              <w:rPr>
                <w:lang w:bidi="ar-EG"/>
              </w:rPr>
            </w:pPr>
            <w:r w:rsidRPr="00C66FB3">
              <w:rPr>
                <w:rtl/>
              </w:rPr>
              <w:t>التأثير المالي</w:t>
            </w:r>
          </w:p>
        </w:tc>
      </w:tr>
      <w:tr w:rsidR="00C66FB3" w:rsidRPr="00C66FB3" w14:paraId="2DC54431" w14:textId="77777777" w:rsidTr="00B51E1F">
        <w:trPr>
          <w:trHeight w:val="300"/>
          <w:jc w:val="center"/>
        </w:trPr>
        <w:tc>
          <w:tcPr>
            <w:tcW w:w="963" w:type="pct"/>
          </w:tcPr>
          <w:p w14:paraId="18F34CC5" w14:textId="77777777" w:rsidR="00C66FB3" w:rsidRPr="00C66FB3" w:rsidRDefault="00C66FB3" w:rsidP="00F05581">
            <w:pPr>
              <w:pStyle w:val="Tabletexte"/>
              <w:jc w:val="left"/>
              <w:rPr>
                <w:lang w:bidi="ar-EG"/>
              </w:rPr>
            </w:pPr>
            <w:r w:rsidRPr="00C66FB3">
              <w:rPr>
                <w:rtl/>
              </w:rPr>
              <w:t>المواد الاستهلاكية</w:t>
            </w:r>
          </w:p>
        </w:tc>
        <w:tc>
          <w:tcPr>
            <w:tcW w:w="1540" w:type="pct"/>
          </w:tcPr>
          <w:p w14:paraId="48D4EF6B" w14:textId="77777777" w:rsidR="00C66FB3" w:rsidRPr="00C66FB3" w:rsidRDefault="00C66FB3" w:rsidP="00F05581">
            <w:pPr>
              <w:pStyle w:val="Tabletexte"/>
              <w:jc w:val="left"/>
              <w:rPr>
                <w:lang w:bidi="ar-EG"/>
              </w:rPr>
            </w:pPr>
            <w:r w:rsidRPr="00C66FB3">
              <w:rPr>
                <w:rtl/>
              </w:rPr>
              <w:t xml:space="preserve">عالية (بطاقات </w:t>
            </w:r>
            <w:r w:rsidRPr="00C66FB3">
              <w:rPr>
                <w:lang w:val="en-CA" w:bidi="ar-EG"/>
              </w:rPr>
              <w:t>PVC</w:t>
            </w:r>
            <w:r w:rsidRPr="00C66FB3">
              <w:rPr>
                <w:rtl/>
                <w:lang w:bidi="ar-EG"/>
              </w:rPr>
              <w:t xml:space="preserve"> وأشرطة تعليق الشارات، والأشرطة الأخرى)</w:t>
            </w:r>
          </w:p>
        </w:tc>
        <w:tc>
          <w:tcPr>
            <w:tcW w:w="1324" w:type="pct"/>
          </w:tcPr>
          <w:p w14:paraId="2BF1AB26" w14:textId="77777777" w:rsidR="00C66FB3" w:rsidRPr="00C66FB3" w:rsidRDefault="00C66FB3" w:rsidP="00F05581">
            <w:pPr>
              <w:pStyle w:val="Tabletexte"/>
              <w:jc w:val="left"/>
              <w:rPr>
                <w:lang w:bidi="ar-EG"/>
              </w:rPr>
            </w:pPr>
            <w:r w:rsidRPr="00C66FB3">
              <w:rPr>
                <w:rtl/>
              </w:rPr>
              <w:t>قريبة من الصفر (تسليم عبر الأجهزة المتنقلة)</w:t>
            </w:r>
          </w:p>
        </w:tc>
        <w:tc>
          <w:tcPr>
            <w:tcW w:w="1173" w:type="pct"/>
          </w:tcPr>
          <w:p w14:paraId="713F8B05" w14:textId="77777777" w:rsidR="00C66FB3" w:rsidRPr="00C66FB3" w:rsidRDefault="00C66FB3" w:rsidP="00B51E1F">
            <w:pPr>
              <w:pStyle w:val="Tabletexte"/>
              <w:rPr>
                <w:lang w:bidi="ar-EG"/>
              </w:rPr>
            </w:pPr>
            <w:r w:rsidRPr="00C66FB3">
              <w:rPr>
                <w:rtl/>
              </w:rPr>
              <w:t>وفورات بنسبة 90% تقريباً</w:t>
            </w:r>
          </w:p>
        </w:tc>
      </w:tr>
      <w:tr w:rsidR="00C66FB3" w:rsidRPr="00C66FB3" w14:paraId="3535012E" w14:textId="77777777" w:rsidTr="00B51E1F">
        <w:trPr>
          <w:trHeight w:val="300"/>
          <w:jc w:val="center"/>
        </w:trPr>
        <w:tc>
          <w:tcPr>
            <w:tcW w:w="963" w:type="pct"/>
          </w:tcPr>
          <w:p w14:paraId="03D5CB92" w14:textId="77777777" w:rsidR="00C66FB3" w:rsidRPr="00C66FB3" w:rsidRDefault="00C66FB3" w:rsidP="00F05581">
            <w:pPr>
              <w:pStyle w:val="Tabletexte"/>
              <w:jc w:val="left"/>
              <w:rPr>
                <w:lang w:bidi="ar-EG"/>
              </w:rPr>
            </w:pPr>
            <w:r w:rsidRPr="00C66FB3">
              <w:rPr>
                <w:rtl/>
              </w:rPr>
              <w:t>الخدمات اللوجستية</w:t>
            </w:r>
          </w:p>
        </w:tc>
        <w:tc>
          <w:tcPr>
            <w:tcW w:w="1540" w:type="pct"/>
          </w:tcPr>
          <w:p w14:paraId="3BEF4342" w14:textId="77777777" w:rsidR="00C66FB3" w:rsidRPr="00B51E1F" w:rsidRDefault="00C66FB3" w:rsidP="00B51E1F">
            <w:pPr>
              <w:pStyle w:val="Tabletexte"/>
              <w:rPr>
                <w:spacing w:val="-4"/>
                <w:lang w:bidi="ar-EG"/>
              </w:rPr>
            </w:pPr>
            <w:r w:rsidRPr="00B51E1F">
              <w:rPr>
                <w:spacing w:val="-4"/>
                <w:rtl/>
              </w:rPr>
              <w:t>عالية (شحنات ثقيلة ورسوم جمركية)</w:t>
            </w:r>
          </w:p>
        </w:tc>
        <w:tc>
          <w:tcPr>
            <w:tcW w:w="1324" w:type="pct"/>
          </w:tcPr>
          <w:p w14:paraId="64F3FCB0" w14:textId="77777777" w:rsidR="00C66FB3" w:rsidRPr="00C66FB3" w:rsidRDefault="00C66FB3" w:rsidP="00F05581">
            <w:pPr>
              <w:pStyle w:val="Tabletexte"/>
              <w:jc w:val="left"/>
              <w:rPr>
                <w:lang w:bidi="ar-EG"/>
              </w:rPr>
            </w:pPr>
            <w:r w:rsidRPr="00C66FB3">
              <w:rPr>
                <w:rtl/>
              </w:rPr>
              <w:t>منخفضة (أدنى أثر للمعدات)</w:t>
            </w:r>
          </w:p>
        </w:tc>
        <w:tc>
          <w:tcPr>
            <w:tcW w:w="1173" w:type="pct"/>
          </w:tcPr>
          <w:p w14:paraId="7F31D13D" w14:textId="77777777" w:rsidR="00C66FB3" w:rsidRPr="00C66FB3" w:rsidRDefault="00C66FB3" w:rsidP="00B51E1F">
            <w:pPr>
              <w:pStyle w:val="Tabletexte"/>
              <w:rPr>
                <w:lang w:bidi="ar-EG"/>
              </w:rPr>
            </w:pPr>
            <w:r w:rsidRPr="00C66FB3">
              <w:rPr>
                <w:rtl/>
              </w:rPr>
              <w:t>وفورات بنسبة 60% تقريباً</w:t>
            </w:r>
          </w:p>
        </w:tc>
      </w:tr>
      <w:tr w:rsidR="00C66FB3" w:rsidRPr="00C66FB3" w14:paraId="72CBB7AD" w14:textId="77777777" w:rsidTr="00B51E1F">
        <w:trPr>
          <w:trHeight w:val="300"/>
          <w:jc w:val="center"/>
        </w:trPr>
        <w:tc>
          <w:tcPr>
            <w:tcW w:w="963" w:type="pct"/>
          </w:tcPr>
          <w:p w14:paraId="4D7B0A77" w14:textId="77777777" w:rsidR="00C66FB3" w:rsidRPr="00C66FB3" w:rsidRDefault="00C66FB3" w:rsidP="00F05581">
            <w:pPr>
              <w:pStyle w:val="Tabletexte"/>
              <w:jc w:val="left"/>
              <w:rPr>
                <w:lang w:bidi="ar-EG"/>
              </w:rPr>
            </w:pPr>
            <w:r w:rsidRPr="00C66FB3">
              <w:rPr>
                <w:rtl/>
              </w:rPr>
              <w:t>المعدات</w:t>
            </w:r>
          </w:p>
        </w:tc>
        <w:tc>
          <w:tcPr>
            <w:tcW w:w="1540" w:type="pct"/>
          </w:tcPr>
          <w:p w14:paraId="044D5F62" w14:textId="77777777" w:rsidR="00C66FB3" w:rsidRPr="00C66FB3" w:rsidRDefault="00C66FB3" w:rsidP="00F05581">
            <w:pPr>
              <w:pStyle w:val="Tabletexte"/>
              <w:jc w:val="left"/>
              <w:rPr>
                <w:lang w:bidi="ar-EG"/>
              </w:rPr>
            </w:pPr>
            <w:r w:rsidRPr="00C66FB3">
              <w:rPr>
                <w:rtl/>
              </w:rPr>
              <w:t>طابعات الشارات، والمشفرات</w:t>
            </w:r>
          </w:p>
        </w:tc>
        <w:tc>
          <w:tcPr>
            <w:tcW w:w="1324" w:type="pct"/>
          </w:tcPr>
          <w:p w14:paraId="2750F883" w14:textId="77777777" w:rsidR="00C66FB3" w:rsidRPr="00C66FB3" w:rsidRDefault="00C66FB3" w:rsidP="00F05581">
            <w:pPr>
              <w:pStyle w:val="Tabletexte"/>
              <w:jc w:val="left"/>
              <w:rPr>
                <w:lang w:bidi="ar-EG"/>
              </w:rPr>
            </w:pPr>
            <w:r w:rsidRPr="00C66FB3">
              <w:rPr>
                <w:rtl/>
              </w:rPr>
              <w:t>أجهزة المسح الضوئي، والأكشاك البيومترية</w:t>
            </w:r>
          </w:p>
        </w:tc>
        <w:tc>
          <w:tcPr>
            <w:tcW w:w="1173" w:type="pct"/>
          </w:tcPr>
          <w:p w14:paraId="685A7F1F" w14:textId="77777777" w:rsidR="00C66FB3" w:rsidRPr="00C66FB3" w:rsidRDefault="00C66FB3" w:rsidP="00F05581">
            <w:pPr>
              <w:pStyle w:val="Tabletexte"/>
              <w:jc w:val="left"/>
              <w:rPr>
                <w:lang w:bidi="ar-EG"/>
              </w:rPr>
            </w:pPr>
            <w:r w:rsidRPr="00C66FB3">
              <w:rPr>
                <w:rtl/>
              </w:rPr>
              <w:t>زيادة النفقات الرأسمالية</w:t>
            </w:r>
          </w:p>
        </w:tc>
      </w:tr>
      <w:tr w:rsidR="00C66FB3" w:rsidRPr="00C66FB3" w14:paraId="703C0488" w14:textId="77777777" w:rsidTr="00B51E1F">
        <w:trPr>
          <w:trHeight w:val="300"/>
          <w:jc w:val="center"/>
        </w:trPr>
        <w:tc>
          <w:tcPr>
            <w:tcW w:w="963" w:type="pct"/>
          </w:tcPr>
          <w:p w14:paraId="0C526BE0" w14:textId="77777777" w:rsidR="00C66FB3" w:rsidRPr="00C66FB3" w:rsidRDefault="00C66FB3" w:rsidP="00F05581">
            <w:pPr>
              <w:pStyle w:val="Tabletexte"/>
              <w:jc w:val="left"/>
              <w:rPr>
                <w:lang w:bidi="ar-EG"/>
              </w:rPr>
            </w:pPr>
            <w:r w:rsidRPr="00C66FB3">
              <w:rPr>
                <w:rtl/>
              </w:rPr>
              <w:t>الموظفون في الموقع</w:t>
            </w:r>
          </w:p>
        </w:tc>
        <w:tc>
          <w:tcPr>
            <w:tcW w:w="1540" w:type="pct"/>
          </w:tcPr>
          <w:p w14:paraId="510125F3" w14:textId="77777777" w:rsidR="00C66FB3" w:rsidRPr="00C66FB3" w:rsidRDefault="00C66FB3" w:rsidP="00F05581">
            <w:pPr>
              <w:pStyle w:val="Tabletexte"/>
              <w:jc w:val="left"/>
              <w:rPr>
                <w:lang w:bidi="ar-EG"/>
              </w:rPr>
            </w:pPr>
            <w:r w:rsidRPr="00C66FB3">
              <w:rPr>
                <w:rtl/>
              </w:rPr>
              <w:t>عالية (الطباعة/مكاتب التوزيع)</w:t>
            </w:r>
          </w:p>
        </w:tc>
        <w:tc>
          <w:tcPr>
            <w:tcW w:w="1324" w:type="pct"/>
          </w:tcPr>
          <w:p w14:paraId="3419B03F" w14:textId="7D0FF6D4" w:rsidR="00C66FB3" w:rsidRPr="00C66FB3" w:rsidRDefault="00C66FB3" w:rsidP="00F05581">
            <w:pPr>
              <w:pStyle w:val="Tabletexte"/>
              <w:jc w:val="left"/>
              <w:rPr>
                <w:lang w:bidi="ar-EG"/>
              </w:rPr>
            </w:pPr>
            <w:r w:rsidRPr="00C66FB3">
              <w:rPr>
                <w:rtl/>
              </w:rPr>
              <w:t>معتدلة (الدع</w:t>
            </w:r>
            <w:r w:rsidR="00B51E1F">
              <w:rPr>
                <w:rFonts w:hint="cs"/>
                <w:rtl/>
              </w:rPr>
              <w:t>م</w:t>
            </w:r>
            <w:r w:rsidRPr="00C66FB3">
              <w:rPr>
                <w:rtl/>
              </w:rPr>
              <w:t xml:space="preserve"> التقني)</w:t>
            </w:r>
          </w:p>
        </w:tc>
        <w:tc>
          <w:tcPr>
            <w:tcW w:w="1173" w:type="pct"/>
          </w:tcPr>
          <w:p w14:paraId="588B39FA" w14:textId="77777777" w:rsidR="00C66FB3" w:rsidRPr="00C66FB3" w:rsidRDefault="00C66FB3" w:rsidP="00B51E1F">
            <w:pPr>
              <w:pStyle w:val="Tabletexte"/>
              <w:rPr>
                <w:lang w:bidi="ar-EG"/>
              </w:rPr>
            </w:pPr>
            <w:r w:rsidRPr="00C66FB3">
              <w:rPr>
                <w:rtl/>
              </w:rPr>
              <w:t>وفورات بنسبة 25% تقريباً</w:t>
            </w:r>
          </w:p>
        </w:tc>
      </w:tr>
    </w:tbl>
    <w:p w14:paraId="55198F47" w14:textId="77777777" w:rsidR="00C66FB3" w:rsidRPr="00C66FB3" w:rsidRDefault="00C66FB3" w:rsidP="00B51E1F">
      <w:pPr>
        <w:spacing w:before="240"/>
        <w:rPr>
          <w:rtl/>
          <w:lang w:bidi="ar-EG"/>
        </w:rPr>
      </w:pPr>
      <w:r w:rsidRPr="00C66FB3">
        <w:rPr>
          <w:rtl/>
          <w:lang w:bidi="ar-EG"/>
        </w:rPr>
        <w:t>ويؤثر نموذج العمل - سواء كان داخلياً أو قائماً على البرمجيات كخدمة (</w:t>
      </w:r>
      <w:r w:rsidRPr="00C66FB3">
        <w:rPr>
          <w:lang w:bidi="ar-EG"/>
        </w:rPr>
        <w:t>SaaS</w:t>
      </w:r>
      <w:r w:rsidRPr="00C66FB3">
        <w:rPr>
          <w:rtl/>
          <w:lang w:bidi="ar-EG"/>
        </w:rPr>
        <w:t>) أو التأجير - بشكل مباشر على العبء المالي على البلدان المضيفة.</w:t>
      </w:r>
    </w:p>
    <w:p w14:paraId="509A8CBB" w14:textId="77777777" w:rsidR="00C66FB3" w:rsidRPr="00C66FB3" w:rsidRDefault="00C66FB3" w:rsidP="00F05581">
      <w:pPr>
        <w:pStyle w:val="enumlev1"/>
        <w:rPr>
          <w:rtl/>
        </w:rPr>
      </w:pPr>
      <w:r w:rsidRPr="00C66FB3">
        <w:rPr>
          <w:rtl/>
        </w:rPr>
        <w:t>–</w:t>
      </w:r>
      <w:r w:rsidRPr="00C66FB3">
        <w:rPr>
          <w:rtl/>
        </w:rPr>
        <w:tab/>
      </w:r>
      <w:r w:rsidRPr="00C66FB3">
        <w:rPr>
          <w:b/>
          <w:bCs/>
          <w:rtl/>
        </w:rPr>
        <w:t>الأحداث التي تعقد في مواقع مجاورة لجنيف:</w:t>
      </w:r>
      <w:r w:rsidRPr="00C66FB3">
        <w:rPr>
          <w:rtl/>
        </w:rPr>
        <w:t xml:space="preserve"> تستفيد من البنية التحتية القائمة المملوكة للاتحاد وتكاليف الشحن الضئيلة، مما يجعل التحول الرقمي مكسباً كبيراً من حيث الكفاءة.</w:t>
      </w:r>
    </w:p>
    <w:p w14:paraId="5415B806" w14:textId="77777777" w:rsidR="00C66FB3" w:rsidRPr="00C66FB3" w:rsidRDefault="00C66FB3" w:rsidP="00F05581">
      <w:pPr>
        <w:pStyle w:val="enumlev1"/>
        <w:rPr>
          <w:rtl/>
        </w:rPr>
      </w:pPr>
      <w:r w:rsidRPr="00C66FB3">
        <w:rPr>
          <w:rtl/>
        </w:rPr>
        <w:t>–</w:t>
      </w:r>
      <w:r w:rsidRPr="00C66FB3">
        <w:rPr>
          <w:rtl/>
        </w:rPr>
        <w:tab/>
      </w:r>
      <w:r w:rsidRPr="00C66FB3">
        <w:rPr>
          <w:b/>
          <w:bCs/>
          <w:rtl/>
        </w:rPr>
        <w:t>الأحداث الدولية:</w:t>
      </w:r>
      <w:r w:rsidRPr="00C66FB3">
        <w:rPr>
          <w:rtl/>
        </w:rPr>
        <w:t xml:space="preserve"> تقلل الشارات الرقمية بشكل كبير تكاليف الخدمات اللوجستية. فمن خلال الاستغناء عن شحن آلاف البطاقات المادية والطابعات الصناعية الثقيلة (التي غالباً ما تتطلب دفاتر الدخول المؤقت المعقدة وشحناً جوياً مكلفاً)، يمكن للبلدان المضيفة أن تشهد انخفاضاً في تكاليف الشحن المتخصص يتراوح بين 000 10 و000 15 دولار أمريكي لكل حدث رئيسي.</w:t>
      </w:r>
    </w:p>
    <w:p w14:paraId="6041B311" w14:textId="77777777" w:rsidR="00C66FB3" w:rsidRPr="00C66FB3" w:rsidRDefault="00C66FB3" w:rsidP="00C66FB3">
      <w:pPr>
        <w:rPr>
          <w:rtl/>
          <w:lang w:bidi="ar-EG"/>
        </w:rPr>
      </w:pPr>
      <w:r w:rsidRPr="00C66FB3">
        <w:rPr>
          <w:rtl/>
          <w:lang w:bidi="ar-EG"/>
        </w:rPr>
        <w:t>وعلى الرغم من أن الاعتماد الرقمي يقلل متطلبات الخدمات اللوجستية الإجمالية، إلا أن شحن معدات القياسات البيومترية والتحكم في النفاذ لا يزال يمثل عاملاً مؤثراً في التكاليف، وينبغي تحسينه من خلال استكشاف نموذج هجين يجمع بين الأصول المركزية والتأجير المحلي كلما أمكن.</w:t>
      </w:r>
    </w:p>
    <w:p w14:paraId="537F7ACD" w14:textId="77777777" w:rsidR="00C66FB3" w:rsidRPr="00C66FB3" w:rsidRDefault="00C66FB3" w:rsidP="00C66FB3">
      <w:pPr>
        <w:rPr>
          <w:rtl/>
          <w:lang w:bidi="ar-EG"/>
        </w:rPr>
      </w:pPr>
      <w:r w:rsidRPr="00C66FB3">
        <w:rPr>
          <w:rtl/>
          <w:lang w:bidi="ar-EG"/>
        </w:rPr>
        <w:t>وينبغي أن يتماشى اختيار حلول الاعتماد الرقمي ونماذج النشر مع استراتيجية تحديث تكنولوجيا المعلومات الأوسع نطاقاً، والتي يجب أن تعطي الأولوية أيضاً لتخفيف العبء التشغيلي والمالي على البلدان المضيفة من خلال تبسيط الخدمات اللوجستية، وتقليل شحن المعدات، واعتماد أساليب توريد مرنة.</w:t>
      </w:r>
    </w:p>
    <w:p w14:paraId="5C96EC54" w14:textId="77777777" w:rsidR="00C66FB3" w:rsidRPr="00C66FB3" w:rsidRDefault="00C66FB3" w:rsidP="00C66FB3">
      <w:pPr>
        <w:rPr>
          <w:rtl/>
          <w:lang w:bidi="ar-EG"/>
        </w:rPr>
      </w:pPr>
      <w:r w:rsidRPr="00C66FB3">
        <w:rPr>
          <w:rtl/>
          <w:lang w:bidi="ar-EG"/>
        </w:rPr>
        <w:t>وتقوم الأمانة حالياً بتقييم حلول رقمية متنوعة لعمليات التسجيل والاعتماد وإصدار الشارات في مختلف أنواع الأحداث، بما في ذلك المؤتمرات النظامية والاجتماعات التقنية التي تعقد في جنيف والمواقع الأخرى. وتهدف خطة التنفيذ إلى تحقيق القدرة التشغيلية الرقمية بحلول عام 2027 لأحداث مختارة، ربما بما يتوافق مع المؤتمرات الكبرى مثل المؤتمر العالمي للاتصالات الراديوية لعام 2027.</w:t>
      </w:r>
    </w:p>
    <w:p w14:paraId="24F534E6" w14:textId="77777777" w:rsidR="00C66FB3" w:rsidRPr="00C66FB3" w:rsidRDefault="00C66FB3" w:rsidP="00C66FB3">
      <w:pPr>
        <w:rPr>
          <w:rtl/>
          <w:lang w:bidi="ar-EG"/>
        </w:rPr>
      </w:pPr>
      <w:r w:rsidRPr="00C66FB3">
        <w:rPr>
          <w:rtl/>
          <w:lang w:bidi="ar-EG"/>
        </w:rPr>
        <w:t>وتتضمن خارطة الطريق الحالية المعالم الرئيسية التالية:</w:t>
      </w:r>
    </w:p>
    <w:p w14:paraId="6DFB21FC" w14:textId="77777777" w:rsidR="00C66FB3" w:rsidRPr="00C66FB3" w:rsidRDefault="00C66FB3" w:rsidP="00F05581">
      <w:pPr>
        <w:pStyle w:val="enumlev1"/>
        <w:rPr>
          <w:rtl/>
        </w:rPr>
      </w:pPr>
      <w:r w:rsidRPr="00C66FB3">
        <w:rPr>
          <w:rtl/>
        </w:rPr>
        <w:t>–</w:t>
      </w:r>
      <w:r w:rsidRPr="00C66FB3">
        <w:rPr>
          <w:rtl/>
        </w:rPr>
        <w:tab/>
        <w:t>تم تشكيل فريق مهام متخصص بحلول نهاية عام 2025، وستستمر أنشطة التقييم طوال عام 2026.</w:t>
      </w:r>
    </w:p>
    <w:p w14:paraId="5653B6DC" w14:textId="77777777" w:rsidR="00C66FB3" w:rsidRPr="00C66FB3" w:rsidRDefault="00C66FB3" w:rsidP="00F05581">
      <w:pPr>
        <w:pStyle w:val="enumlev1"/>
        <w:rPr>
          <w:rtl/>
        </w:rPr>
      </w:pPr>
      <w:r w:rsidRPr="00C66FB3">
        <w:rPr>
          <w:rtl/>
        </w:rPr>
        <w:t>–</w:t>
      </w:r>
      <w:r w:rsidRPr="00C66FB3">
        <w:rPr>
          <w:rtl/>
        </w:rPr>
        <w:tab/>
        <w:t>تحديد أنواع الأحداث وترتيبها حسب الأولوية لتحديد الاحتياجات التقنية والأمنية والتشغيلية.</w:t>
      </w:r>
    </w:p>
    <w:p w14:paraId="649AE891" w14:textId="7BC78DF9" w:rsidR="00C66FB3" w:rsidRPr="00C66FB3" w:rsidRDefault="00C66FB3" w:rsidP="00F05581">
      <w:pPr>
        <w:pStyle w:val="enumlev1"/>
        <w:rPr>
          <w:rtl/>
        </w:rPr>
      </w:pPr>
      <w:r w:rsidRPr="00C66FB3">
        <w:rPr>
          <w:rtl/>
        </w:rPr>
        <w:t>–</w:t>
      </w:r>
      <w:r w:rsidRPr="00C66FB3">
        <w:rPr>
          <w:rtl/>
        </w:rPr>
        <w:tab/>
        <w:t>تنفيذ برامج تجريبية تدريجية خلال عام 2026، بدءاً بتجارب صغيرة في الاجتماعات التي تعقد في جنيف للتحقق من مؤشرات الأداء الرئيسية المتعلقة بالتكاليف والكفاءة والأمن وتجربة المشاركين.</w:t>
      </w:r>
    </w:p>
    <w:p w14:paraId="25D8E9EE" w14:textId="77777777" w:rsidR="00C66FB3" w:rsidRPr="00C66FB3" w:rsidRDefault="00C66FB3" w:rsidP="00F05581">
      <w:pPr>
        <w:pStyle w:val="enumlev1"/>
        <w:rPr>
          <w:rtl/>
        </w:rPr>
      </w:pPr>
      <w:r w:rsidRPr="00C66FB3">
        <w:rPr>
          <w:rtl/>
        </w:rPr>
        <w:t>–</w:t>
      </w:r>
      <w:r w:rsidRPr="00C66FB3">
        <w:rPr>
          <w:rtl/>
        </w:rPr>
        <w:tab/>
        <w:t>تقييم فوائد الاستدامة والانعكاسات على التكاليف مع ظهور نتائج المشروع التجريبي.</w:t>
      </w:r>
    </w:p>
    <w:p w14:paraId="0D930E7B" w14:textId="77777777" w:rsidR="00C66FB3" w:rsidRPr="00B51E1F" w:rsidRDefault="00C66FB3" w:rsidP="00C66FB3">
      <w:pPr>
        <w:rPr>
          <w:spacing w:val="-2"/>
          <w:rtl/>
          <w:lang w:bidi="ar-EG"/>
        </w:rPr>
      </w:pPr>
      <w:r w:rsidRPr="00B51E1F">
        <w:rPr>
          <w:spacing w:val="-2"/>
          <w:rtl/>
          <w:lang w:bidi="ar-EG"/>
        </w:rPr>
        <w:t>وخلال عام 2026، يقوم الاتحاد بتجربة حل تجاري لإدارة الأحداث (</w:t>
      </w:r>
      <w:r w:rsidRPr="00B51E1F">
        <w:rPr>
          <w:spacing w:val="-2"/>
          <w:lang w:bidi="ar-EG"/>
        </w:rPr>
        <w:t>Event Management</w:t>
      </w:r>
      <w:r w:rsidRPr="00B51E1F">
        <w:rPr>
          <w:spacing w:val="-2"/>
          <w:rtl/>
          <w:lang w:bidi="ar-EG"/>
        </w:rPr>
        <w:t>) (لأحداث الذكاء الاصطناعي من أجل المصلحة العامة والقمة العالمية لمجتمع المعلومات) تستخدمه بالفعل وكالات أخرى تابعة للأمم المتحدة، وذلك لتقييم مدى ملاءمته لأحداث الاتحاد في مختلف المجالات. وتشمل التجربة اختبار ميزات متنوعة وتقييماً مالياً يقارن بين الأحداث التي تعقد في جنيف والأحداث التي تعقد في الخارج. وستُرشد النتائج عملية صنع القرار بشأن تحديث إدارة الأحداث.</w:t>
      </w:r>
    </w:p>
    <w:p w14:paraId="5D9F2EF1" w14:textId="77777777" w:rsidR="00C66FB3" w:rsidRPr="00C66FB3" w:rsidRDefault="00C66FB3" w:rsidP="00C66FB3">
      <w:pPr>
        <w:rPr>
          <w:rtl/>
          <w:lang w:bidi="ar-EG"/>
        </w:rPr>
      </w:pPr>
      <w:r w:rsidRPr="00C66FB3">
        <w:rPr>
          <w:rtl/>
          <w:lang w:bidi="ar-EG"/>
        </w:rPr>
        <w:t>وسيتم تطوير وتحديد خارطة طريق تحديث منصة إدارة الأحداث خلال الفترة 2026-2027، بما يتماشى مع تحديث أوسع لأنظمة التكنولوجيا والأنظمة المؤسسية، بما في ذلك أنظمة إدارة الأحداث، استناداً إلى نتائج التجربة وتقييمات بيئة حلول بنية الاتحاد المؤسسية.</w:t>
      </w:r>
    </w:p>
    <w:p w14:paraId="33CD8381" w14:textId="3ED8BE79" w:rsidR="00F50E3F" w:rsidRPr="00B51E1F" w:rsidRDefault="00C66FB3" w:rsidP="00C66FB3">
      <w:pPr>
        <w:rPr>
          <w:spacing w:val="-4"/>
          <w:rtl/>
          <w:lang w:bidi="ar-EG"/>
        </w:rPr>
      </w:pPr>
      <w:r w:rsidRPr="00B51E1F">
        <w:rPr>
          <w:spacing w:val="-4"/>
          <w:rtl/>
          <w:lang w:bidi="ar-EG"/>
        </w:rPr>
        <w:lastRenderedPageBreak/>
        <w:t>وبالتوازي مع ذلك، تعتزم الأمانة الاستفادة من التطورات التي حققتها مبادرة الهوية الرقمية للأمم المتحدة بدءاً من عام 2026. وستعمل هذه المبادرة على إنشاء بطاقات هوية رقمية موثوقة على نطاق منظومة الأمم المتحدة باستخدام التكنولوجيات المتنقلة الآمنة وأساليب التحقق من الهوية المحسنة. ويهدف الاتحاد إلى دمج هذه القدرات في عملية الاعتماد لدعم بيانات الاعتماد الرقمية الآمنة، وتمكين التحقق من هوية المشاركين في الوقت الفعلي، وتقليل الاعتماد على الشارات المادية وإجراءات التحقق اليدوية.</w:t>
      </w:r>
    </w:p>
    <w:p w14:paraId="60A83196"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19"/>
      <w:headerReference w:type="default" r:id="rId20"/>
      <w:footerReference w:type="even" r:id="rId21"/>
      <w:footerReference w:type="default" r:id="rId22"/>
      <w:headerReference w:type="first" r:id="rId23"/>
      <w:footerReference w:type="first" r:id="rId2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6C91" w14:textId="77777777" w:rsidR="00A66627" w:rsidRDefault="00A66627" w:rsidP="006C3242">
      <w:pPr>
        <w:spacing w:before="0" w:line="240" w:lineRule="auto"/>
      </w:pPr>
      <w:r>
        <w:separator/>
      </w:r>
    </w:p>
  </w:endnote>
  <w:endnote w:type="continuationSeparator" w:id="0">
    <w:p w14:paraId="5BFF2033" w14:textId="77777777" w:rsidR="00A66627" w:rsidRDefault="00A6662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2C51" w14:textId="77777777" w:rsidR="00502546" w:rsidRDefault="00502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20A6656" w14:textId="77777777" w:rsidTr="00A67F05">
      <w:trPr>
        <w:jc w:val="center"/>
      </w:trPr>
      <w:tc>
        <w:tcPr>
          <w:tcW w:w="868" w:type="pct"/>
          <w:vAlign w:val="center"/>
        </w:tcPr>
        <w:p w14:paraId="6AE44CF5" w14:textId="07A75254" w:rsidR="00F50E3F" w:rsidRPr="007B0AA0" w:rsidRDefault="00C66FB3" w:rsidP="00502546">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C66FB3">
            <w:rPr>
              <w:rFonts w:ascii="Calibri" w:hAnsi="Calibri" w:cs="Arial"/>
              <w:sz w:val="18"/>
              <w:szCs w:val="14"/>
            </w:rPr>
            <w:t>2600702</w:t>
          </w:r>
        </w:p>
      </w:tc>
      <w:tc>
        <w:tcPr>
          <w:tcW w:w="3912" w:type="pct"/>
        </w:tcPr>
        <w:p w14:paraId="5369498A" w14:textId="18954A99" w:rsidR="00F50E3F" w:rsidRPr="007B0AA0" w:rsidRDefault="00F50E3F" w:rsidP="00502546">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66FB3">
            <w:rPr>
              <w:rFonts w:ascii="Calibri" w:hAnsi="Calibri" w:cs="Arial"/>
              <w:bCs/>
              <w:color w:val="7F7F7F"/>
              <w:sz w:val="18"/>
            </w:rPr>
            <w:t>71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9371AC3" w14:textId="77777777" w:rsidR="00F50E3F" w:rsidRPr="007B0AA0" w:rsidRDefault="00F50E3F" w:rsidP="00502546">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404AD44"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E2179BB" w14:textId="77777777" w:rsidTr="00A67F05">
      <w:trPr>
        <w:jc w:val="center"/>
      </w:trPr>
      <w:tc>
        <w:tcPr>
          <w:tcW w:w="1013" w:type="pct"/>
          <w:vAlign w:val="center"/>
        </w:tcPr>
        <w:p w14:paraId="6D04B8FB" w14:textId="77777777" w:rsidR="007B0AA0" w:rsidRPr="000116AF" w:rsidRDefault="000116AF" w:rsidP="00502546">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69395EAE" w14:textId="3FBE488F" w:rsidR="007B0AA0" w:rsidRPr="007B0AA0" w:rsidRDefault="007B0AA0" w:rsidP="00502546">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66FB3">
            <w:rPr>
              <w:rFonts w:ascii="Calibri" w:hAnsi="Calibri" w:cs="Arial"/>
              <w:bCs/>
              <w:color w:val="7F7F7F"/>
              <w:sz w:val="18"/>
            </w:rPr>
            <w:t>71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8F22FD2" w14:textId="77777777" w:rsidR="007B0AA0" w:rsidRPr="007B0AA0" w:rsidRDefault="00F50E3F" w:rsidP="00502546">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547F118"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EC69" w14:textId="77777777" w:rsidR="00A66627" w:rsidRDefault="00A66627" w:rsidP="006C3242">
      <w:pPr>
        <w:spacing w:before="0" w:line="240" w:lineRule="auto"/>
      </w:pPr>
      <w:r>
        <w:separator/>
      </w:r>
    </w:p>
  </w:footnote>
  <w:footnote w:type="continuationSeparator" w:id="0">
    <w:p w14:paraId="57AC5C57" w14:textId="77777777" w:rsidR="00A66627" w:rsidRDefault="00A6662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EF61" w14:textId="77777777" w:rsidR="00502546" w:rsidRDefault="00502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6AB0" w14:textId="77777777" w:rsidR="00502546" w:rsidRDefault="00502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E0E2" w14:textId="77777777" w:rsidR="001A3E13" w:rsidRPr="00057769" w:rsidRDefault="001A3E13" w:rsidP="001A3E13">
    <w:pPr>
      <w:pStyle w:val="Header"/>
    </w:pPr>
    <w:r>
      <w:rPr>
        <w:noProof/>
      </w:rPr>
      <w:drawing>
        <wp:inline distT="0" distB="0" distL="0" distR="0" wp14:anchorId="54AF8030" wp14:editId="6BD58FB2">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8433686">
    <w:abstractNumId w:val="9"/>
  </w:num>
  <w:num w:numId="2" w16cid:durableId="808130559">
    <w:abstractNumId w:val="7"/>
  </w:num>
  <w:num w:numId="3" w16cid:durableId="1028529299">
    <w:abstractNumId w:val="6"/>
  </w:num>
  <w:num w:numId="4" w16cid:durableId="1379743805">
    <w:abstractNumId w:val="5"/>
  </w:num>
  <w:num w:numId="5" w16cid:durableId="2146386299">
    <w:abstractNumId w:val="4"/>
  </w:num>
  <w:num w:numId="6" w16cid:durableId="772627806">
    <w:abstractNumId w:val="8"/>
  </w:num>
  <w:num w:numId="7" w16cid:durableId="1790464430">
    <w:abstractNumId w:val="3"/>
  </w:num>
  <w:num w:numId="8" w16cid:durableId="130290005">
    <w:abstractNumId w:val="2"/>
  </w:num>
  <w:num w:numId="9" w16cid:durableId="1870022831">
    <w:abstractNumId w:val="1"/>
  </w:num>
  <w:num w:numId="10" w16cid:durableId="337270978">
    <w:abstractNumId w:val="0"/>
  </w:num>
  <w:num w:numId="11" w16cid:durableId="692733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B3"/>
    <w:rsid w:val="000116AF"/>
    <w:rsid w:val="0006468A"/>
    <w:rsid w:val="00077A58"/>
    <w:rsid w:val="00090574"/>
    <w:rsid w:val="000C1C0E"/>
    <w:rsid w:val="000C548A"/>
    <w:rsid w:val="001642B1"/>
    <w:rsid w:val="00165C2E"/>
    <w:rsid w:val="0017063D"/>
    <w:rsid w:val="00191059"/>
    <w:rsid w:val="00195D82"/>
    <w:rsid w:val="001A3E13"/>
    <w:rsid w:val="001B6E2B"/>
    <w:rsid w:val="001C0169"/>
    <w:rsid w:val="001C0C21"/>
    <w:rsid w:val="001C6CD9"/>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0533A"/>
    <w:rsid w:val="00334924"/>
    <w:rsid w:val="003409BC"/>
    <w:rsid w:val="0035253C"/>
    <w:rsid w:val="00357185"/>
    <w:rsid w:val="00383829"/>
    <w:rsid w:val="003925D8"/>
    <w:rsid w:val="003F4B29"/>
    <w:rsid w:val="00410B26"/>
    <w:rsid w:val="00420F8A"/>
    <w:rsid w:val="0042686F"/>
    <w:rsid w:val="004317D8"/>
    <w:rsid w:val="0043260A"/>
    <w:rsid w:val="00434183"/>
    <w:rsid w:val="00443869"/>
    <w:rsid w:val="00447F32"/>
    <w:rsid w:val="00476D7F"/>
    <w:rsid w:val="00491BA9"/>
    <w:rsid w:val="00494119"/>
    <w:rsid w:val="004A4701"/>
    <w:rsid w:val="004B7334"/>
    <w:rsid w:val="004C288B"/>
    <w:rsid w:val="004E11DC"/>
    <w:rsid w:val="00502546"/>
    <w:rsid w:val="005130DE"/>
    <w:rsid w:val="00513157"/>
    <w:rsid w:val="00525DDD"/>
    <w:rsid w:val="005409AC"/>
    <w:rsid w:val="005434E0"/>
    <w:rsid w:val="005546CF"/>
    <w:rsid w:val="0055516A"/>
    <w:rsid w:val="0058491B"/>
    <w:rsid w:val="00592EA5"/>
    <w:rsid w:val="005A3170"/>
    <w:rsid w:val="005F4ABD"/>
    <w:rsid w:val="00612361"/>
    <w:rsid w:val="00657019"/>
    <w:rsid w:val="00660DEA"/>
    <w:rsid w:val="00677396"/>
    <w:rsid w:val="00683F16"/>
    <w:rsid w:val="0069200F"/>
    <w:rsid w:val="006A65CB"/>
    <w:rsid w:val="006B12E5"/>
    <w:rsid w:val="006C3242"/>
    <w:rsid w:val="006C7CC0"/>
    <w:rsid w:val="006F363C"/>
    <w:rsid w:val="006F63F7"/>
    <w:rsid w:val="007025C7"/>
    <w:rsid w:val="00706D7A"/>
    <w:rsid w:val="007074CB"/>
    <w:rsid w:val="007147B9"/>
    <w:rsid w:val="00722F0D"/>
    <w:rsid w:val="00735081"/>
    <w:rsid w:val="0074420E"/>
    <w:rsid w:val="007648A6"/>
    <w:rsid w:val="0076542C"/>
    <w:rsid w:val="0077110E"/>
    <w:rsid w:val="00783E26"/>
    <w:rsid w:val="00792835"/>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422B"/>
    <w:rsid w:val="0096716C"/>
    <w:rsid w:val="00982B28"/>
    <w:rsid w:val="009831E0"/>
    <w:rsid w:val="009868AC"/>
    <w:rsid w:val="009D313F"/>
    <w:rsid w:val="00A47A5A"/>
    <w:rsid w:val="00A63AE6"/>
    <w:rsid w:val="00A66627"/>
    <w:rsid w:val="00A6683B"/>
    <w:rsid w:val="00A67F05"/>
    <w:rsid w:val="00A97F94"/>
    <w:rsid w:val="00AA7EA2"/>
    <w:rsid w:val="00AB5A56"/>
    <w:rsid w:val="00B03099"/>
    <w:rsid w:val="00B05BC8"/>
    <w:rsid w:val="00B1748C"/>
    <w:rsid w:val="00B20DBA"/>
    <w:rsid w:val="00B30F5E"/>
    <w:rsid w:val="00B51E1F"/>
    <w:rsid w:val="00B64B47"/>
    <w:rsid w:val="00B95654"/>
    <w:rsid w:val="00B97F32"/>
    <w:rsid w:val="00BA04B2"/>
    <w:rsid w:val="00BD6064"/>
    <w:rsid w:val="00C002DE"/>
    <w:rsid w:val="00C0602B"/>
    <w:rsid w:val="00C224DA"/>
    <w:rsid w:val="00C53BF8"/>
    <w:rsid w:val="00C66157"/>
    <w:rsid w:val="00C66FB3"/>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25E22"/>
    <w:rsid w:val="00E45211"/>
    <w:rsid w:val="00E473C5"/>
    <w:rsid w:val="00E50268"/>
    <w:rsid w:val="00E61BE8"/>
    <w:rsid w:val="00E75674"/>
    <w:rsid w:val="00E83FF1"/>
    <w:rsid w:val="00E92863"/>
    <w:rsid w:val="00E979B2"/>
    <w:rsid w:val="00EB796D"/>
    <w:rsid w:val="00EC499F"/>
    <w:rsid w:val="00F05581"/>
    <w:rsid w:val="00F058DC"/>
    <w:rsid w:val="00F24FC4"/>
    <w:rsid w:val="00F2676C"/>
    <w:rsid w:val="00F363FE"/>
    <w:rsid w:val="00F50E3F"/>
    <w:rsid w:val="00F84366"/>
    <w:rsid w:val="00F85089"/>
    <w:rsid w:val="00F974C5"/>
    <w:rsid w:val="00FA2D7B"/>
    <w:rsid w:val="00FA3763"/>
    <w:rsid w:val="00FA6F46"/>
    <w:rsid w:val="00FB7705"/>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5BA3E"/>
  <w15:chartTrackingRefBased/>
  <w15:docId w15:val="{7946B88C-3401-4562-8EA1-A42A9B2C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EC499F"/>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95/en" TargetMode="External"/><Relationship Id="rId13" Type="http://schemas.openxmlformats.org/officeDocument/2006/relationships/hyperlink" Target="https://www.itu.int/md/S26-CWGFHR22-C-0019/en" TargetMode="External"/><Relationship Id="rId18" Type="http://schemas.openxmlformats.org/officeDocument/2006/relationships/hyperlink" Target="https://www.itu.int/md/S26-CL-INF-0008/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5-CWGFHR21-C-0008/en" TargetMode="External"/><Relationship Id="rId17" Type="http://schemas.openxmlformats.org/officeDocument/2006/relationships/hyperlink" Target="https://www.itu.int/md/S26-CWGFHR22-C-0036/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5-RCLCWGLANG16-INF-0001/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95/e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md/S26-SG-CIR-0011/en" TargetMode="External"/><Relationship Id="rId23" Type="http://schemas.openxmlformats.org/officeDocument/2006/relationships/header" Target="header3.xml"/><Relationship Id="rId10" Type="http://schemas.openxmlformats.org/officeDocument/2006/relationships/hyperlink" Target="https://www.itu.int/md/S26-CWGFHR22-C-0019/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5-CWGFHR21-C-0008/en" TargetMode="External"/><Relationship Id="rId14" Type="http://schemas.openxmlformats.org/officeDocument/2006/relationships/hyperlink" Target="https://www.itu.int/md/S26-CWGFHR22-C-0036/en"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2</TotalTime>
  <Pages>5</Pages>
  <Words>1717</Words>
  <Characters>10557</Characters>
  <Application>Microsoft Office Word</Application>
  <DocSecurity>0</DocSecurity>
  <Lines>185</Lines>
  <Paragraphs>107</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measures to reduce financial burdens on host countries of ITU conferences, meetings and activities</dc:title>
  <dc:subject>ITU Council 2026</dc:subject>
  <cp:keywords>C26; C2026; Council 2026; PP26</cp:keywords>
  <dc:description/>
  <dcterms:created xsi:type="dcterms:W3CDTF">2026-04-21T09:46:00Z</dcterms:created>
  <dcterms:modified xsi:type="dcterms:W3CDTF">2026-04-21T09:47:00Z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