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3961EF" w14:paraId="3494EF75" w14:textId="77777777" w:rsidTr="00C4421B">
        <w:trPr>
          <w:cantSplit/>
          <w:trHeight w:val="23"/>
        </w:trPr>
        <w:tc>
          <w:tcPr>
            <w:tcW w:w="3969" w:type="dxa"/>
            <w:vMerge w:val="restart"/>
            <w:tcMar>
              <w:left w:w="0" w:type="dxa"/>
            </w:tcMar>
          </w:tcPr>
          <w:p w14:paraId="669D0375" w14:textId="5599DC23" w:rsidR="00FE57F6" w:rsidRPr="003961EF" w:rsidRDefault="00DC4B61" w:rsidP="00C4421B">
            <w:pPr>
              <w:tabs>
                <w:tab w:val="left" w:pos="851"/>
              </w:tabs>
              <w:spacing w:before="0" w:line="240" w:lineRule="atLeast"/>
              <w:rPr>
                <w:b/>
                <w:lang w:val="es-ES"/>
              </w:rPr>
            </w:pPr>
            <w:bookmarkStart w:id="0" w:name="_Hlk133421839"/>
            <w:r>
              <w:rPr>
                <w:b/>
                <w:lang w:val="es-ES"/>
              </w:rPr>
              <w:t>Punto del orden del día: ADM 3</w:t>
            </w:r>
            <w:r w:rsidR="00FE57F6" w:rsidRPr="003961EF">
              <w:rPr>
                <w:b/>
                <w:lang w:val="es-ES"/>
              </w:rPr>
              <w:t xml:space="preserve"> </w:t>
            </w:r>
          </w:p>
        </w:tc>
        <w:tc>
          <w:tcPr>
            <w:tcW w:w="5245" w:type="dxa"/>
          </w:tcPr>
          <w:p w14:paraId="309A900C" w14:textId="32938C12" w:rsidR="00FE57F6" w:rsidRPr="003961EF" w:rsidRDefault="00FE57F6" w:rsidP="00C4421B">
            <w:pPr>
              <w:tabs>
                <w:tab w:val="left" w:pos="851"/>
              </w:tabs>
              <w:spacing w:before="0" w:line="240" w:lineRule="atLeast"/>
              <w:jc w:val="right"/>
              <w:rPr>
                <w:b/>
                <w:lang w:val="es-ES"/>
              </w:rPr>
            </w:pPr>
            <w:r w:rsidRPr="003961EF">
              <w:rPr>
                <w:b/>
                <w:lang w:val="es-ES"/>
              </w:rPr>
              <w:t>Document</w:t>
            </w:r>
            <w:r w:rsidR="00F24B71" w:rsidRPr="003961EF">
              <w:rPr>
                <w:b/>
                <w:lang w:val="es-ES"/>
              </w:rPr>
              <w:t>o</w:t>
            </w:r>
            <w:r w:rsidRPr="003961EF">
              <w:rPr>
                <w:b/>
                <w:lang w:val="es-ES"/>
              </w:rPr>
              <w:t xml:space="preserve"> </w:t>
            </w:r>
            <w:proofErr w:type="spellStart"/>
            <w:r w:rsidRPr="003961EF">
              <w:rPr>
                <w:b/>
                <w:lang w:val="es-ES"/>
              </w:rPr>
              <w:t>C2</w:t>
            </w:r>
            <w:r w:rsidR="00F85E5C" w:rsidRPr="003961EF">
              <w:rPr>
                <w:b/>
                <w:lang w:val="es-ES"/>
              </w:rPr>
              <w:t>6</w:t>
            </w:r>
            <w:proofErr w:type="spellEnd"/>
            <w:r w:rsidRPr="003961EF">
              <w:rPr>
                <w:b/>
                <w:lang w:val="es-ES"/>
              </w:rPr>
              <w:t>/</w:t>
            </w:r>
            <w:r w:rsidR="00823266" w:rsidRPr="003961EF">
              <w:rPr>
                <w:b/>
                <w:lang w:val="es-ES"/>
              </w:rPr>
              <w:t>70</w:t>
            </w:r>
            <w:r w:rsidRPr="003961EF">
              <w:rPr>
                <w:b/>
                <w:lang w:val="es-ES"/>
              </w:rPr>
              <w:t>-</w:t>
            </w:r>
            <w:r w:rsidR="00F24B71" w:rsidRPr="003961EF">
              <w:rPr>
                <w:b/>
                <w:lang w:val="es-ES"/>
              </w:rPr>
              <w:t>S</w:t>
            </w:r>
          </w:p>
        </w:tc>
      </w:tr>
      <w:tr w:rsidR="00FE57F6" w:rsidRPr="003961EF" w14:paraId="64A2B058" w14:textId="77777777" w:rsidTr="00C4421B">
        <w:trPr>
          <w:cantSplit/>
        </w:trPr>
        <w:tc>
          <w:tcPr>
            <w:tcW w:w="3969" w:type="dxa"/>
            <w:vMerge/>
          </w:tcPr>
          <w:p w14:paraId="50B31FD6" w14:textId="77777777" w:rsidR="00FE57F6" w:rsidRPr="003961EF" w:rsidRDefault="00FE57F6" w:rsidP="00C4421B">
            <w:pPr>
              <w:tabs>
                <w:tab w:val="left" w:pos="851"/>
              </w:tabs>
              <w:spacing w:line="240" w:lineRule="atLeast"/>
              <w:rPr>
                <w:b/>
                <w:lang w:val="es-ES"/>
              </w:rPr>
            </w:pPr>
          </w:p>
        </w:tc>
        <w:tc>
          <w:tcPr>
            <w:tcW w:w="5245" w:type="dxa"/>
          </w:tcPr>
          <w:p w14:paraId="02D947C3" w14:textId="3AD71565" w:rsidR="00FE57F6" w:rsidRPr="003961EF" w:rsidRDefault="00823266" w:rsidP="00C4421B">
            <w:pPr>
              <w:tabs>
                <w:tab w:val="left" w:pos="851"/>
              </w:tabs>
              <w:spacing w:before="0"/>
              <w:jc w:val="right"/>
              <w:rPr>
                <w:b/>
                <w:lang w:val="es-ES"/>
              </w:rPr>
            </w:pPr>
            <w:r w:rsidRPr="003961EF">
              <w:rPr>
                <w:b/>
                <w:lang w:val="es-ES"/>
              </w:rPr>
              <w:t>27 de marzo de 2026</w:t>
            </w:r>
          </w:p>
        </w:tc>
      </w:tr>
      <w:tr w:rsidR="00FE57F6" w:rsidRPr="003961EF" w14:paraId="210E6DA0" w14:textId="77777777" w:rsidTr="00C4421B">
        <w:trPr>
          <w:cantSplit/>
          <w:trHeight w:val="23"/>
        </w:trPr>
        <w:tc>
          <w:tcPr>
            <w:tcW w:w="3969" w:type="dxa"/>
            <w:vMerge/>
          </w:tcPr>
          <w:p w14:paraId="50541C20" w14:textId="77777777" w:rsidR="00FE57F6" w:rsidRPr="003961EF" w:rsidRDefault="00FE57F6" w:rsidP="00C4421B">
            <w:pPr>
              <w:tabs>
                <w:tab w:val="left" w:pos="851"/>
              </w:tabs>
              <w:spacing w:line="240" w:lineRule="atLeast"/>
              <w:rPr>
                <w:b/>
                <w:lang w:val="es-ES"/>
              </w:rPr>
            </w:pPr>
          </w:p>
        </w:tc>
        <w:tc>
          <w:tcPr>
            <w:tcW w:w="5245" w:type="dxa"/>
          </w:tcPr>
          <w:p w14:paraId="45C7E7A5" w14:textId="77777777" w:rsidR="00FE57F6" w:rsidRPr="003961EF" w:rsidRDefault="00F24B71" w:rsidP="00C4421B">
            <w:pPr>
              <w:tabs>
                <w:tab w:val="left" w:pos="851"/>
              </w:tabs>
              <w:spacing w:before="0" w:line="240" w:lineRule="atLeast"/>
              <w:jc w:val="right"/>
              <w:rPr>
                <w:b/>
                <w:bCs/>
                <w:lang w:val="es-ES"/>
              </w:rPr>
            </w:pPr>
            <w:r w:rsidRPr="003961EF">
              <w:rPr>
                <w:rFonts w:cstheme="minorHAnsi"/>
                <w:b/>
                <w:bCs/>
                <w:lang w:val="es-ES"/>
              </w:rPr>
              <w:t>Original: inglés</w:t>
            </w:r>
          </w:p>
        </w:tc>
      </w:tr>
      <w:tr w:rsidR="00FE57F6" w:rsidRPr="003961EF" w14:paraId="3A163713" w14:textId="77777777" w:rsidTr="00C4421B">
        <w:trPr>
          <w:cantSplit/>
          <w:trHeight w:val="23"/>
        </w:trPr>
        <w:tc>
          <w:tcPr>
            <w:tcW w:w="3969" w:type="dxa"/>
          </w:tcPr>
          <w:p w14:paraId="41904DF2" w14:textId="77777777" w:rsidR="00FE57F6" w:rsidRPr="003961EF" w:rsidRDefault="00FE57F6" w:rsidP="00C4421B">
            <w:pPr>
              <w:tabs>
                <w:tab w:val="left" w:pos="851"/>
              </w:tabs>
              <w:spacing w:line="240" w:lineRule="atLeast"/>
              <w:rPr>
                <w:b/>
                <w:lang w:val="es-ES"/>
              </w:rPr>
            </w:pPr>
          </w:p>
        </w:tc>
        <w:tc>
          <w:tcPr>
            <w:tcW w:w="5245" w:type="dxa"/>
          </w:tcPr>
          <w:p w14:paraId="580B06F1" w14:textId="77777777" w:rsidR="00FE57F6" w:rsidRPr="003961EF" w:rsidRDefault="00FE57F6" w:rsidP="00C4421B">
            <w:pPr>
              <w:tabs>
                <w:tab w:val="left" w:pos="851"/>
              </w:tabs>
              <w:spacing w:before="0" w:line="240" w:lineRule="atLeast"/>
              <w:jc w:val="right"/>
              <w:rPr>
                <w:b/>
                <w:lang w:val="es-ES"/>
              </w:rPr>
            </w:pPr>
          </w:p>
        </w:tc>
      </w:tr>
      <w:tr w:rsidR="00FE57F6" w:rsidRPr="005C0D8E" w14:paraId="4D585A96" w14:textId="77777777" w:rsidTr="00C4421B">
        <w:trPr>
          <w:cantSplit/>
        </w:trPr>
        <w:tc>
          <w:tcPr>
            <w:tcW w:w="9214" w:type="dxa"/>
            <w:gridSpan w:val="2"/>
            <w:tcMar>
              <w:left w:w="0" w:type="dxa"/>
            </w:tcMar>
          </w:tcPr>
          <w:p w14:paraId="014BA07C" w14:textId="77777777" w:rsidR="00FE57F6" w:rsidRPr="003961EF" w:rsidRDefault="00157AC4" w:rsidP="00C4421B">
            <w:pPr>
              <w:pStyle w:val="Source"/>
              <w:jc w:val="left"/>
              <w:rPr>
                <w:sz w:val="34"/>
                <w:szCs w:val="34"/>
                <w:lang w:val="es-ES"/>
              </w:rPr>
            </w:pPr>
            <w:r w:rsidRPr="003961EF">
              <w:rPr>
                <w:rFonts w:cstheme="minorHAnsi"/>
                <w:sz w:val="34"/>
                <w:szCs w:val="34"/>
                <w:lang w:val="es-ES"/>
              </w:rPr>
              <w:t>Informe de la Secretaria General</w:t>
            </w:r>
          </w:p>
        </w:tc>
      </w:tr>
      <w:tr w:rsidR="00FE57F6" w:rsidRPr="005C0D8E" w14:paraId="503AA7E3" w14:textId="77777777" w:rsidTr="00C4421B">
        <w:trPr>
          <w:cantSplit/>
        </w:trPr>
        <w:tc>
          <w:tcPr>
            <w:tcW w:w="9214" w:type="dxa"/>
            <w:gridSpan w:val="2"/>
            <w:tcMar>
              <w:left w:w="0" w:type="dxa"/>
            </w:tcMar>
          </w:tcPr>
          <w:p w14:paraId="51980668" w14:textId="425CAE8A" w:rsidR="00FE57F6" w:rsidRPr="003961EF" w:rsidRDefault="007F3B05" w:rsidP="00C4421B">
            <w:pPr>
              <w:pStyle w:val="Subtitle"/>
              <w:framePr w:hSpace="0" w:wrap="auto" w:hAnchor="text" w:xAlign="left" w:yAlign="inline"/>
              <w:rPr>
                <w:lang w:val="es-ES"/>
              </w:rPr>
            </w:pPr>
            <w:r w:rsidRPr="003961EF">
              <w:rPr>
                <w:lang w:val="es-ES"/>
              </w:rPr>
              <w:t xml:space="preserve">PROPUESTA </w:t>
            </w:r>
            <w:r>
              <w:rPr>
                <w:lang w:val="es-ES"/>
              </w:rPr>
              <w:t xml:space="preserve">MARCO </w:t>
            </w:r>
            <w:r w:rsidRPr="003961EF">
              <w:rPr>
                <w:lang w:val="es-ES"/>
              </w:rPr>
              <w:t>PARA EL PROCESO DE SELECCIÓN DE PAÍSES ANFITRIONES DE CONFERENCIAS Y ASAMBLEAS DE LA UIT</w:t>
            </w:r>
          </w:p>
        </w:tc>
      </w:tr>
      <w:tr w:rsidR="00FE57F6" w:rsidRPr="005C0D8E" w14:paraId="1A403B2B" w14:textId="77777777" w:rsidTr="00C4421B">
        <w:trPr>
          <w:cantSplit/>
        </w:trPr>
        <w:tc>
          <w:tcPr>
            <w:tcW w:w="9214" w:type="dxa"/>
            <w:gridSpan w:val="2"/>
            <w:tcBorders>
              <w:top w:val="single" w:sz="4" w:space="0" w:color="auto"/>
              <w:bottom w:val="single" w:sz="4" w:space="0" w:color="auto"/>
            </w:tcBorders>
            <w:tcMar>
              <w:left w:w="0" w:type="dxa"/>
            </w:tcMar>
          </w:tcPr>
          <w:p w14:paraId="75477CB7" w14:textId="77777777" w:rsidR="00FE57F6" w:rsidRPr="003961EF" w:rsidRDefault="00F24B71" w:rsidP="00C4421B">
            <w:pPr>
              <w:spacing w:before="160"/>
              <w:rPr>
                <w:b/>
                <w:bCs/>
                <w:sz w:val="26"/>
                <w:szCs w:val="26"/>
                <w:lang w:val="es-ES"/>
              </w:rPr>
            </w:pPr>
            <w:r w:rsidRPr="003961EF">
              <w:rPr>
                <w:b/>
                <w:bCs/>
                <w:sz w:val="26"/>
                <w:szCs w:val="26"/>
                <w:lang w:val="es-ES"/>
              </w:rPr>
              <w:t>Finalidad</w:t>
            </w:r>
          </w:p>
          <w:p w14:paraId="52885CBC" w14:textId="05727429" w:rsidR="00FE57F6" w:rsidRPr="003961EF" w:rsidRDefault="00177AD6" w:rsidP="001C1DFB">
            <w:pPr>
              <w:jc w:val="both"/>
              <w:rPr>
                <w:lang w:val="es-ES"/>
              </w:rPr>
            </w:pPr>
            <w:r w:rsidRPr="003961EF">
              <w:rPr>
                <w:lang w:val="es-ES"/>
              </w:rPr>
              <w:t>En el presente documento se esboza una propuesta de proceso de selección de países anfitriones de conferencias y asambleas de la UIT, a raíz de la petición del Grupo de Trabajo del Consejo sobre Recursos Humanos y Financieros en enero de 2026. Se fundamenta en los debates mantenidos en el Consejo durante su reunión de junio de 2025 y en la 21</w:t>
            </w:r>
            <w:r w:rsidR="006E0AD7" w:rsidRPr="003961EF">
              <w:rPr>
                <w:lang w:val="es-ES"/>
              </w:rPr>
              <w:t>.</w:t>
            </w:r>
            <w:r w:rsidRPr="003961EF">
              <w:rPr>
                <w:lang w:val="es-ES"/>
              </w:rPr>
              <w:t>ª reunión de dicho Grupo de Trabajo del Consejo sobre Recursos Humanos y Financieros celebrada en septiembre de 2025, así como en los resultados de la reunión informativa al respecto celebrada el 30 de octubre de 2025.</w:t>
            </w:r>
          </w:p>
          <w:p w14:paraId="545A73A2" w14:textId="77777777" w:rsidR="00FE57F6" w:rsidRPr="003961EF" w:rsidRDefault="00F24B71" w:rsidP="00C4421B">
            <w:pPr>
              <w:spacing w:before="160"/>
              <w:rPr>
                <w:b/>
                <w:bCs/>
                <w:sz w:val="26"/>
                <w:szCs w:val="26"/>
                <w:lang w:val="es-ES"/>
              </w:rPr>
            </w:pPr>
            <w:r w:rsidRPr="003961EF">
              <w:rPr>
                <w:b/>
                <w:bCs/>
                <w:sz w:val="26"/>
                <w:szCs w:val="26"/>
                <w:lang w:val="es-ES"/>
              </w:rPr>
              <w:t xml:space="preserve">Acción solicitada </w:t>
            </w:r>
            <w:r w:rsidR="00677A97" w:rsidRPr="003961EF">
              <w:rPr>
                <w:b/>
                <w:bCs/>
                <w:sz w:val="26"/>
                <w:szCs w:val="26"/>
                <w:lang w:val="es-ES"/>
              </w:rPr>
              <w:t>al</w:t>
            </w:r>
            <w:r w:rsidRPr="003961EF">
              <w:rPr>
                <w:b/>
                <w:bCs/>
                <w:sz w:val="26"/>
                <w:szCs w:val="26"/>
                <w:lang w:val="es-ES"/>
              </w:rPr>
              <w:t xml:space="preserve"> Consejo</w:t>
            </w:r>
          </w:p>
          <w:p w14:paraId="2D12F7CD" w14:textId="08086537" w:rsidR="00F92BED" w:rsidRPr="003961EF" w:rsidRDefault="00177AD6" w:rsidP="00C4421B">
            <w:pPr>
              <w:spacing w:before="160"/>
              <w:rPr>
                <w:szCs w:val="24"/>
                <w:lang w:val="es-ES"/>
              </w:rPr>
            </w:pPr>
            <w:r w:rsidRPr="003961EF">
              <w:rPr>
                <w:szCs w:val="24"/>
                <w:lang w:val="es-ES"/>
              </w:rPr>
              <w:t xml:space="preserve">Se invita al Consejo a </w:t>
            </w:r>
            <w:r w:rsidRPr="003961EF">
              <w:rPr>
                <w:b/>
                <w:bCs/>
                <w:szCs w:val="24"/>
                <w:lang w:val="es-ES"/>
              </w:rPr>
              <w:t>examinar</w:t>
            </w:r>
            <w:r w:rsidRPr="003961EF">
              <w:rPr>
                <w:szCs w:val="24"/>
                <w:lang w:val="es-ES"/>
              </w:rPr>
              <w:t xml:space="preserve"> el presente documento.</w:t>
            </w:r>
          </w:p>
          <w:p w14:paraId="4BB9472B" w14:textId="77777777" w:rsidR="00F92BED" w:rsidRPr="003961EF" w:rsidRDefault="00F92BED" w:rsidP="00C4421B">
            <w:pPr>
              <w:spacing w:before="160"/>
              <w:rPr>
                <w:b/>
                <w:bCs/>
                <w:sz w:val="26"/>
                <w:szCs w:val="26"/>
                <w:lang w:val="es-ES"/>
              </w:rPr>
            </w:pPr>
            <w:r w:rsidRPr="003961EF">
              <w:rPr>
                <w:b/>
                <w:bCs/>
                <w:sz w:val="26"/>
                <w:szCs w:val="26"/>
                <w:lang w:val="es-ES"/>
              </w:rPr>
              <w:t>Vínculo(s) pertinente(s) con el Plan Estratégico</w:t>
            </w:r>
          </w:p>
          <w:p w14:paraId="1DEC1257" w14:textId="7BEE8244" w:rsidR="00F92BED" w:rsidRPr="003961EF" w:rsidRDefault="00177AD6" w:rsidP="00C4421B">
            <w:pPr>
              <w:rPr>
                <w:lang w:val="es-ES"/>
              </w:rPr>
            </w:pPr>
            <w:r w:rsidRPr="003961EF">
              <w:rPr>
                <w:lang w:val="es-ES"/>
              </w:rPr>
              <w:t>Plataformas de reunión.</w:t>
            </w:r>
          </w:p>
          <w:p w14:paraId="048865A8" w14:textId="77777777" w:rsidR="00F92BED" w:rsidRPr="003961EF" w:rsidRDefault="00F92BED" w:rsidP="00C4421B">
            <w:pPr>
              <w:spacing w:before="160"/>
              <w:rPr>
                <w:b/>
                <w:bCs/>
                <w:sz w:val="26"/>
                <w:szCs w:val="26"/>
                <w:lang w:val="es-ES"/>
              </w:rPr>
            </w:pPr>
            <w:r w:rsidRPr="003961EF">
              <w:rPr>
                <w:b/>
                <w:bCs/>
                <w:sz w:val="26"/>
                <w:szCs w:val="26"/>
                <w:lang w:val="es-ES"/>
              </w:rPr>
              <w:t>Repercusiones financieras</w:t>
            </w:r>
          </w:p>
          <w:p w14:paraId="7FB08D88" w14:textId="02B32C9E" w:rsidR="00F92BED" w:rsidRPr="003961EF" w:rsidRDefault="00177AD6" w:rsidP="00C4421B">
            <w:pPr>
              <w:rPr>
                <w:lang w:val="es-ES"/>
              </w:rPr>
            </w:pPr>
            <w:r w:rsidRPr="003961EF">
              <w:rPr>
                <w:lang w:val="es-ES"/>
              </w:rPr>
              <w:t>N/A</w:t>
            </w:r>
          </w:p>
          <w:p w14:paraId="3332A0C1" w14:textId="77777777" w:rsidR="00FE57F6" w:rsidRPr="003961EF" w:rsidRDefault="00FE57F6" w:rsidP="00C4421B">
            <w:pPr>
              <w:spacing w:before="160"/>
              <w:rPr>
                <w:caps/>
                <w:sz w:val="22"/>
                <w:lang w:val="es-ES"/>
              </w:rPr>
            </w:pPr>
            <w:r w:rsidRPr="003961EF">
              <w:rPr>
                <w:sz w:val="22"/>
                <w:lang w:val="es-ES"/>
              </w:rPr>
              <w:t>__________________</w:t>
            </w:r>
          </w:p>
          <w:p w14:paraId="384DD9D1" w14:textId="77777777" w:rsidR="00FE57F6" w:rsidRPr="003961EF" w:rsidRDefault="00F24B71" w:rsidP="00C4421B">
            <w:pPr>
              <w:spacing w:before="160"/>
              <w:rPr>
                <w:b/>
                <w:bCs/>
                <w:sz w:val="26"/>
                <w:szCs w:val="26"/>
                <w:lang w:val="es-ES"/>
              </w:rPr>
            </w:pPr>
            <w:r w:rsidRPr="003961EF">
              <w:rPr>
                <w:b/>
                <w:bCs/>
                <w:sz w:val="26"/>
                <w:szCs w:val="26"/>
                <w:lang w:val="es-ES"/>
              </w:rPr>
              <w:t>Referencia</w:t>
            </w:r>
            <w:r w:rsidR="00F92BED" w:rsidRPr="003961EF">
              <w:rPr>
                <w:b/>
                <w:bCs/>
                <w:sz w:val="26"/>
                <w:szCs w:val="26"/>
                <w:lang w:val="es-ES"/>
              </w:rPr>
              <w:t>s</w:t>
            </w:r>
            <w:r w:rsidR="00D375E0" w:rsidRPr="003961EF">
              <w:rPr>
                <w:sz w:val="26"/>
                <w:szCs w:val="26"/>
                <w:lang w:val="es-ES"/>
              </w:rPr>
              <w:t xml:space="preserve"> </w:t>
            </w:r>
          </w:p>
          <w:p w14:paraId="1DA9E844" w14:textId="65748C0F" w:rsidR="00FE57F6" w:rsidRPr="007F3B05" w:rsidRDefault="00177AD6" w:rsidP="00C4421B">
            <w:pPr>
              <w:spacing w:after="160"/>
              <w:rPr>
                <w:i/>
                <w:iCs/>
                <w:sz w:val="22"/>
                <w:szCs w:val="22"/>
                <w:lang w:val="es-ES"/>
              </w:rPr>
            </w:pPr>
            <w:hyperlink r:id="rId6" w:history="1">
              <w:r w:rsidRPr="007F3B05">
                <w:rPr>
                  <w:rStyle w:val="Hyperlink"/>
                  <w:rFonts w:eastAsia="Times New Roman" w:cs="Times New Roman"/>
                  <w:i/>
                  <w:iCs/>
                  <w:sz w:val="22"/>
                  <w:lang w:val="es-ES"/>
                </w:rPr>
                <w:t>Sitio web del GTC-RHF</w:t>
              </w:r>
            </w:hyperlink>
            <w:r w:rsidRPr="007F3B05">
              <w:rPr>
                <w:i/>
                <w:iCs/>
                <w:sz w:val="22"/>
                <w:szCs w:val="22"/>
                <w:lang w:val="es-ES"/>
              </w:rPr>
              <w:t xml:space="preserve">; Documentos </w:t>
            </w:r>
            <w:hyperlink r:id="rId7" w:history="1">
              <w:proofErr w:type="spellStart"/>
              <w:r w:rsidRPr="007F3B05">
                <w:rPr>
                  <w:rStyle w:val="Hyperlink"/>
                  <w:rFonts w:eastAsia="Times New Roman" w:cs="Times New Roman"/>
                  <w:i/>
                  <w:iCs/>
                  <w:sz w:val="22"/>
                  <w:lang w:val="es-ES"/>
                </w:rPr>
                <w:t>CWG</w:t>
              </w:r>
              <w:proofErr w:type="spellEnd"/>
              <w:r w:rsidRPr="007F3B05">
                <w:rPr>
                  <w:rStyle w:val="Hyperlink"/>
                  <w:rFonts w:eastAsia="Times New Roman" w:cs="Times New Roman"/>
                  <w:i/>
                  <w:iCs/>
                  <w:sz w:val="22"/>
                  <w:lang w:val="es-ES"/>
                </w:rPr>
                <w:t>-</w:t>
              </w:r>
              <w:proofErr w:type="spellStart"/>
              <w:r w:rsidRPr="007F3B05">
                <w:rPr>
                  <w:rStyle w:val="Hyperlink"/>
                  <w:rFonts w:eastAsia="Times New Roman" w:cs="Times New Roman"/>
                  <w:i/>
                  <w:iCs/>
                  <w:sz w:val="22"/>
                  <w:lang w:val="es-ES"/>
                </w:rPr>
                <w:t>FHR</w:t>
              </w:r>
              <w:proofErr w:type="spellEnd"/>
              <w:r w:rsidRPr="007F3B05">
                <w:rPr>
                  <w:rStyle w:val="Hyperlink"/>
                  <w:rFonts w:eastAsia="Times New Roman" w:cs="Times New Roman"/>
                  <w:i/>
                  <w:iCs/>
                  <w:sz w:val="22"/>
                  <w:lang w:val="es-ES"/>
                </w:rPr>
                <w:t>-21/7</w:t>
              </w:r>
            </w:hyperlink>
            <w:r w:rsidRPr="007F3B05">
              <w:rPr>
                <w:i/>
                <w:iCs/>
                <w:sz w:val="22"/>
                <w:szCs w:val="22"/>
                <w:lang w:val="es-ES"/>
              </w:rPr>
              <w:t xml:space="preserve">, </w:t>
            </w:r>
            <w:hyperlink r:id="rId8" w:history="1">
              <w:proofErr w:type="spellStart"/>
              <w:r w:rsidRPr="007F3B05">
                <w:rPr>
                  <w:rStyle w:val="Hyperlink"/>
                  <w:rFonts w:eastAsia="Times New Roman" w:cs="Times New Roman"/>
                  <w:i/>
                  <w:iCs/>
                  <w:sz w:val="22"/>
                  <w:lang w:val="es-ES"/>
                </w:rPr>
                <w:t>CWG</w:t>
              </w:r>
              <w:proofErr w:type="spellEnd"/>
              <w:r w:rsidRPr="007F3B05">
                <w:rPr>
                  <w:rStyle w:val="Hyperlink"/>
                  <w:rFonts w:eastAsia="Times New Roman" w:cs="Times New Roman"/>
                  <w:i/>
                  <w:iCs/>
                  <w:sz w:val="22"/>
                  <w:lang w:val="es-ES"/>
                </w:rPr>
                <w:t>-</w:t>
              </w:r>
              <w:proofErr w:type="spellStart"/>
              <w:r w:rsidRPr="007F3B05">
                <w:rPr>
                  <w:rStyle w:val="Hyperlink"/>
                  <w:rFonts w:eastAsia="Times New Roman" w:cs="Times New Roman"/>
                  <w:i/>
                  <w:iCs/>
                  <w:sz w:val="22"/>
                  <w:lang w:val="es-ES"/>
                </w:rPr>
                <w:t>FHR</w:t>
              </w:r>
              <w:proofErr w:type="spellEnd"/>
              <w:r w:rsidRPr="007F3B05">
                <w:rPr>
                  <w:rStyle w:val="Hyperlink"/>
                  <w:rFonts w:eastAsia="Times New Roman" w:cs="Times New Roman"/>
                  <w:i/>
                  <w:iCs/>
                  <w:sz w:val="22"/>
                  <w:lang w:val="es-ES"/>
                </w:rPr>
                <w:t>-21/15</w:t>
              </w:r>
            </w:hyperlink>
            <w:r w:rsidRPr="007F3B05">
              <w:rPr>
                <w:i/>
                <w:iCs/>
                <w:sz w:val="22"/>
                <w:szCs w:val="22"/>
                <w:lang w:val="es-ES"/>
              </w:rPr>
              <w:t xml:space="preserve">, </w:t>
            </w:r>
            <w:hyperlink r:id="rId9" w:history="1">
              <w:proofErr w:type="spellStart"/>
              <w:r w:rsidRPr="007F3B05">
                <w:rPr>
                  <w:rStyle w:val="Hyperlink"/>
                  <w:rFonts w:eastAsia="Times New Roman" w:cs="Times New Roman"/>
                  <w:i/>
                  <w:iCs/>
                  <w:sz w:val="22"/>
                  <w:lang w:val="es-ES"/>
                </w:rPr>
                <w:t>CWG</w:t>
              </w:r>
              <w:proofErr w:type="spellEnd"/>
              <w:r w:rsidRPr="007F3B05">
                <w:rPr>
                  <w:rStyle w:val="Hyperlink"/>
                  <w:rFonts w:eastAsia="Times New Roman" w:cs="Times New Roman"/>
                  <w:i/>
                  <w:iCs/>
                  <w:sz w:val="22"/>
                  <w:lang w:val="es-ES"/>
                </w:rPr>
                <w:t>-</w:t>
              </w:r>
              <w:proofErr w:type="spellStart"/>
              <w:r w:rsidRPr="007F3B05">
                <w:rPr>
                  <w:rStyle w:val="Hyperlink"/>
                  <w:rFonts w:eastAsia="Times New Roman" w:cs="Times New Roman"/>
                  <w:i/>
                  <w:iCs/>
                  <w:sz w:val="22"/>
                  <w:lang w:val="es-ES"/>
                </w:rPr>
                <w:t>FHR</w:t>
              </w:r>
              <w:proofErr w:type="spellEnd"/>
              <w:r w:rsidRPr="007F3B05">
                <w:rPr>
                  <w:rStyle w:val="Hyperlink"/>
                  <w:rFonts w:eastAsia="Times New Roman" w:cs="Times New Roman"/>
                  <w:i/>
                  <w:iCs/>
                  <w:sz w:val="22"/>
                  <w:lang w:val="es-ES"/>
                </w:rPr>
                <w:t>-21/17</w:t>
              </w:r>
            </w:hyperlink>
            <w:r w:rsidRPr="007F3B05">
              <w:rPr>
                <w:i/>
                <w:iCs/>
                <w:sz w:val="22"/>
                <w:szCs w:val="22"/>
                <w:lang w:val="es-ES"/>
              </w:rPr>
              <w:t xml:space="preserve">, </w:t>
            </w:r>
            <w:r w:rsidR="007F3B05">
              <w:rPr>
                <w:i/>
                <w:iCs/>
                <w:sz w:val="22"/>
                <w:szCs w:val="22"/>
                <w:lang w:val="es-ES"/>
              </w:rPr>
              <w:br/>
            </w:r>
            <w:hyperlink r:id="rId10" w:history="1">
              <w:proofErr w:type="spellStart"/>
              <w:r w:rsidRPr="007F3B05">
                <w:rPr>
                  <w:rStyle w:val="Hyperlink"/>
                  <w:rFonts w:eastAsia="Times New Roman" w:cs="Times New Roman"/>
                  <w:i/>
                  <w:iCs/>
                  <w:sz w:val="22"/>
                  <w:lang w:val="es-ES"/>
                </w:rPr>
                <w:t>CWG</w:t>
              </w:r>
              <w:proofErr w:type="spellEnd"/>
              <w:r w:rsidRPr="007F3B05">
                <w:rPr>
                  <w:rStyle w:val="Hyperlink"/>
                  <w:rFonts w:eastAsia="Times New Roman" w:cs="Times New Roman"/>
                  <w:i/>
                  <w:iCs/>
                  <w:sz w:val="22"/>
                  <w:lang w:val="es-ES"/>
                </w:rPr>
                <w:t>-</w:t>
              </w:r>
              <w:proofErr w:type="spellStart"/>
              <w:r w:rsidRPr="007F3B05">
                <w:rPr>
                  <w:rStyle w:val="Hyperlink"/>
                  <w:rFonts w:eastAsia="Times New Roman" w:cs="Times New Roman"/>
                  <w:i/>
                  <w:iCs/>
                  <w:sz w:val="22"/>
                  <w:lang w:val="es-ES"/>
                </w:rPr>
                <w:t>FHR</w:t>
              </w:r>
              <w:proofErr w:type="spellEnd"/>
              <w:r w:rsidRPr="007F3B05">
                <w:rPr>
                  <w:rStyle w:val="Hyperlink"/>
                  <w:rFonts w:eastAsia="Times New Roman" w:cs="Times New Roman"/>
                  <w:i/>
                  <w:iCs/>
                  <w:sz w:val="22"/>
                  <w:lang w:val="es-ES"/>
                </w:rPr>
                <w:t>-21/23</w:t>
              </w:r>
            </w:hyperlink>
            <w:r w:rsidRPr="007F3B05">
              <w:rPr>
                <w:i/>
                <w:iCs/>
                <w:sz w:val="22"/>
                <w:szCs w:val="22"/>
                <w:lang w:val="es-ES"/>
              </w:rPr>
              <w:t xml:space="preserve">, </w:t>
            </w:r>
            <w:hyperlink r:id="rId11" w:history="1">
              <w:proofErr w:type="spellStart"/>
              <w:r w:rsidRPr="007F3B05">
                <w:rPr>
                  <w:rStyle w:val="Hyperlink"/>
                  <w:rFonts w:eastAsia="Times New Roman" w:cs="Times New Roman"/>
                  <w:i/>
                  <w:iCs/>
                  <w:sz w:val="22"/>
                  <w:lang w:val="es-ES"/>
                </w:rPr>
                <w:t>CWG</w:t>
              </w:r>
              <w:proofErr w:type="spellEnd"/>
              <w:r w:rsidRPr="007F3B05">
                <w:rPr>
                  <w:rStyle w:val="Hyperlink"/>
                  <w:rFonts w:eastAsia="Times New Roman" w:cs="Times New Roman"/>
                  <w:i/>
                  <w:iCs/>
                  <w:sz w:val="22"/>
                  <w:lang w:val="es-ES"/>
                </w:rPr>
                <w:t>-</w:t>
              </w:r>
              <w:proofErr w:type="spellStart"/>
              <w:r w:rsidRPr="007F3B05">
                <w:rPr>
                  <w:rStyle w:val="Hyperlink"/>
                  <w:rFonts w:eastAsia="Times New Roman" w:cs="Times New Roman"/>
                  <w:i/>
                  <w:iCs/>
                  <w:sz w:val="22"/>
                  <w:lang w:val="es-ES"/>
                </w:rPr>
                <w:t>FHR</w:t>
              </w:r>
              <w:proofErr w:type="spellEnd"/>
              <w:r w:rsidRPr="007F3B05">
                <w:rPr>
                  <w:rStyle w:val="Hyperlink"/>
                  <w:rFonts w:eastAsia="Times New Roman" w:cs="Times New Roman"/>
                  <w:i/>
                  <w:iCs/>
                  <w:sz w:val="22"/>
                  <w:lang w:val="es-ES"/>
                </w:rPr>
                <w:t>-21/25</w:t>
              </w:r>
            </w:hyperlink>
            <w:r w:rsidRPr="007F3B05">
              <w:rPr>
                <w:i/>
                <w:iCs/>
                <w:sz w:val="22"/>
                <w:szCs w:val="22"/>
                <w:lang w:val="es-ES"/>
              </w:rPr>
              <w:t xml:space="preserve">; </w:t>
            </w:r>
            <w:hyperlink r:id="rId12" w:history="1">
              <w:r w:rsidRPr="007F3B05">
                <w:rPr>
                  <w:rStyle w:val="Hyperlink"/>
                  <w:rFonts w:eastAsia="Times New Roman" w:cs="Times New Roman"/>
                  <w:i/>
                  <w:iCs/>
                  <w:sz w:val="22"/>
                  <w:lang w:val="es-ES"/>
                </w:rPr>
                <w:t xml:space="preserve">Presentación de la sesión informativa sobre el proceso </w:t>
              </w:r>
              <w:r w:rsidR="007F3B05">
                <w:rPr>
                  <w:rStyle w:val="Hyperlink"/>
                  <w:rFonts w:eastAsia="Times New Roman" w:cs="Times New Roman"/>
                  <w:i/>
                  <w:iCs/>
                  <w:sz w:val="22"/>
                  <w:lang w:val="es-ES"/>
                </w:rPr>
                <w:br/>
              </w:r>
              <w:r w:rsidRPr="007F3B05">
                <w:rPr>
                  <w:rStyle w:val="Hyperlink"/>
                  <w:rFonts w:eastAsia="Times New Roman" w:cs="Times New Roman"/>
                  <w:i/>
                  <w:iCs/>
                  <w:sz w:val="22"/>
                  <w:lang w:val="es-ES"/>
                </w:rPr>
                <w:t>de selección de países anfitriones</w:t>
              </w:r>
            </w:hyperlink>
            <w:r w:rsidRPr="007F3B05">
              <w:rPr>
                <w:i/>
                <w:iCs/>
                <w:sz w:val="22"/>
                <w:szCs w:val="22"/>
                <w:lang w:val="es-ES"/>
              </w:rPr>
              <w:t xml:space="preserve">; </w:t>
            </w:r>
            <w:hyperlink r:id="rId13" w:history="1">
              <w:r w:rsidRPr="007F3B05">
                <w:rPr>
                  <w:rStyle w:val="Hyperlink"/>
                  <w:rFonts w:eastAsia="Times New Roman" w:cs="Times New Roman"/>
                  <w:i/>
                  <w:iCs/>
                  <w:sz w:val="22"/>
                  <w:lang w:val="es-ES"/>
                </w:rPr>
                <w:t>GTC-RHF-22/9</w:t>
              </w:r>
            </w:hyperlink>
          </w:p>
        </w:tc>
      </w:tr>
      <w:bookmarkEnd w:id="0"/>
    </w:tbl>
    <w:p w14:paraId="2D2A9885" w14:textId="77777777" w:rsidR="00093EEB" w:rsidRPr="003961EF" w:rsidRDefault="00093EEB">
      <w:pPr>
        <w:rPr>
          <w:lang w:val="es-ES"/>
        </w:rPr>
      </w:pPr>
    </w:p>
    <w:p w14:paraId="5629ED1F" w14:textId="77777777" w:rsidR="001559F5" w:rsidRPr="003961EF"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3961EF">
        <w:rPr>
          <w:lang w:val="es-ES"/>
        </w:rPr>
        <w:br w:type="page"/>
      </w:r>
    </w:p>
    <w:p w14:paraId="7AE7240C" w14:textId="4DEEF6AC" w:rsidR="00F92BED" w:rsidRPr="003961EF" w:rsidRDefault="00177AD6" w:rsidP="00177AD6">
      <w:pPr>
        <w:pStyle w:val="Headingb"/>
        <w:rPr>
          <w:lang w:val="es-ES"/>
        </w:rPr>
      </w:pPr>
      <w:r w:rsidRPr="003961EF">
        <w:rPr>
          <w:lang w:val="es-ES"/>
        </w:rPr>
        <w:lastRenderedPageBreak/>
        <w:t>Antecedentes</w:t>
      </w:r>
    </w:p>
    <w:p w14:paraId="6379F4A8" w14:textId="0DC2AFE6" w:rsidR="00177AD6" w:rsidRPr="003961EF" w:rsidRDefault="00177AD6" w:rsidP="00805FC8">
      <w:pPr>
        <w:jc w:val="both"/>
        <w:rPr>
          <w:lang w:val="es-ES"/>
        </w:rPr>
      </w:pPr>
      <w:r w:rsidRPr="003961EF">
        <w:rPr>
          <w:lang w:val="es-ES"/>
        </w:rPr>
        <w:t xml:space="preserve">A raíz de la presentación del </w:t>
      </w:r>
      <w:r w:rsidR="00805FC8" w:rsidRPr="003961EF">
        <w:rPr>
          <w:lang w:val="es-ES"/>
        </w:rPr>
        <w:t xml:space="preserve">Documento </w:t>
      </w:r>
      <w:hyperlink r:id="rId14" w:history="1">
        <w:proofErr w:type="spellStart"/>
        <w:r w:rsidRPr="003961EF">
          <w:rPr>
            <w:rStyle w:val="Hyperlink"/>
            <w:rFonts w:eastAsia="Times New Roman" w:cs="Times New Roman"/>
            <w:szCs w:val="20"/>
            <w:lang w:val="es-ES"/>
          </w:rPr>
          <w:t>C25</w:t>
        </w:r>
        <w:proofErr w:type="spellEnd"/>
        <w:r w:rsidRPr="003961EF">
          <w:rPr>
            <w:rStyle w:val="Hyperlink"/>
            <w:rFonts w:eastAsia="Times New Roman" w:cs="Times New Roman"/>
            <w:szCs w:val="20"/>
            <w:lang w:val="es-ES"/>
          </w:rPr>
          <w:t>/101</w:t>
        </w:r>
      </w:hyperlink>
      <w:r w:rsidRPr="003961EF">
        <w:rPr>
          <w:lang w:val="es-ES"/>
        </w:rPr>
        <w:t xml:space="preserve"> sobre la sede de la Conferencia Mundial de</w:t>
      </w:r>
      <w:r w:rsidR="009C7C05">
        <w:rPr>
          <w:lang w:val="es-ES"/>
        </w:rPr>
        <w:t> </w:t>
      </w:r>
      <w:r w:rsidRPr="003961EF">
        <w:rPr>
          <w:lang w:val="es-ES"/>
        </w:rPr>
        <w:t xml:space="preserve">Radiocomunicaciones de 2027, el Consejo solicitó a la secretaría que elaborara un proceso de selección para la organización de futuras conferencias de la UIT. En el </w:t>
      </w:r>
      <w:r w:rsidR="00805FC8" w:rsidRPr="003961EF">
        <w:rPr>
          <w:lang w:val="es-ES"/>
        </w:rPr>
        <w:t>Documento</w:t>
      </w:r>
      <w:r w:rsidR="009C7C05">
        <w:rPr>
          <w:lang w:val="es-ES"/>
        </w:rPr>
        <w:t> </w:t>
      </w:r>
      <w:proofErr w:type="spellStart"/>
      <w:r>
        <w:fldChar w:fldCharType="begin"/>
      </w:r>
      <w:r w:rsidRPr="005C0D8E">
        <w:rPr>
          <w:lang w:val="es-ES"/>
        </w:rPr>
        <w:instrText>HYPERLINK "https://www.itu.int/md/S25-CWGFHR21-C-0007/es"</w:instrText>
      </w:r>
      <w:r>
        <w:fldChar w:fldCharType="separate"/>
      </w:r>
      <w:r w:rsidRPr="003961EF">
        <w:rPr>
          <w:rStyle w:val="Hyperlink"/>
          <w:rFonts w:eastAsia="Times New Roman" w:cs="Times New Roman"/>
          <w:szCs w:val="20"/>
          <w:lang w:val="es-ES"/>
        </w:rPr>
        <w:t>CWG</w:t>
      </w:r>
      <w:proofErr w:type="spellEnd"/>
      <w:r w:rsidR="00472217" w:rsidRPr="003961EF">
        <w:rPr>
          <w:lang w:val="es-ES"/>
        </w:rPr>
        <w:noBreakHyphen/>
      </w:r>
      <w:proofErr w:type="spellStart"/>
      <w:r w:rsidRPr="003961EF">
        <w:rPr>
          <w:rStyle w:val="Hyperlink"/>
          <w:rFonts w:eastAsia="Times New Roman" w:cs="Times New Roman"/>
          <w:szCs w:val="20"/>
          <w:lang w:val="es-ES"/>
        </w:rPr>
        <w:t>FHR</w:t>
      </w:r>
      <w:proofErr w:type="spellEnd"/>
      <w:r w:rsidRPr="003961EF">
        <w:rPr>
          <w:rStyle w:val="Hyperlink"/>
          <w:rFonts w:eastAsia="Times New Roman" w:cs="Times New Roman"/>
          <w:szCs w:val="20"/>
          <w:lang w:val="es-ES"/>
        </w:rPr>
        <w:t>-21/77</w:t>
      </w:r>
      <w:r>
        <w:fldChar w:fldCharType="end"/>
      </w:r>
      <w:r w:rsidRPr="003961EF">
        <w:rPr>
          <w:lang w:val="es-ES"/>
        </w:rPr>
        <w:t xml:space="preserve"> se proporciona una visión general de la práctica actual de selección de países anfitriones para conferencias y asambleas celebradas fuera de la sede de la Unión. El 30 de octubre de 2025 se celebró una sesión informativa virtual, a petición del Presidente del GTC</w:t>
      </w:r>
      <w:r w:rsidR="004752C8" w:rsidRPr="003961EF">
        <w:rPr>
          <w:lang w:val="es-ES"/>
        </w:rPr>
        <w:noBreakHyphen/>
      </w:r>
      <w:r w:rsidRPr="003961EF">
        <w:rPr>
          <w:lang w:val="es-ES"/>
        </w:rPr>
        <w:t xml:space="preserve">RHF, en la que se respaldó la creación de un </w:t>
      </w:r>
      <w:hyperlink r:id="rId15" w:anchor="/es" w:history="1">
        <w:r w:rsidRPr="003961EF">
          <w:rPr>
            <w:rStyle w:val="Hyperlink"/>
            <w:rFonts w:eastAsia="Times New Roman" w:cs="Times New Roman"/>
            <w:szCs w:val="20"/>
            <w:lang w:val="es-ES"/>
          </w:rPr>
          <w:t>prototipo de portal web para países anfitriones</w:t>
        </w:r>
      </w:hyperlink>
      <w:r w:rsidRPr="003961EF">
        <w:rPr>
          <w:lang w:val="es-ES"/>
        </w:rPr>
        <w:t xml:space="preserve"> que brindase un acceso unificado a todos los documentos pertinentes sobre la organización de conferencias y asambleas. El GTC-RHF solicitó a la Secretaría que presentara al Consejo de</w:t>
      </w:r>
      <w:r w:rsidR="004752C8" w:rsidRPr="003961EF">
        <w:rPr>
          <w:lang w:val="es-ES"/>
        </w:rPr>
        <w:t> </w:t>
      </w:r>
      <w:r w:rsidRPr="003961EF">
        <w:rPr>
          <w:lang w:val="es-ES"/>
        </w:rPr>
        <w:t>2026 una actualización del proceso de selección, incluidos el calendario y los costes genéricos, habida cuenta de los debates previos sobre el particular.</w:t>
      </w:r>
    </w:p>
    <w:p w14:paraId="35F0F477" w14:textId="7714B157" w:rsidR="00177AD6" w:rsidRPr="003961EF" w:rsidRDefault="00177AD6" w:rsidP="00177AD6">
      <w:pPr>
        <w:pStyle w:val="Headingb"/>
        <w:rPr>
          <w:lang w:val="es-ES"/>
        </w:rPr>
      </w:pPr>
      <w:r w:rsidRPr="003961EF">
        <w:rPr>
          <w:lang w:val="es-ES"/>
        </w:rPr>
        <w:t>Resumen de los debates previos</w:t>
      </w:r>
    </w:p>
    <w:p w14:paraId="4A580FAE" w14:textId="7F60E3BE" w:rsidR="00177AD6" w:rsidRPr="003961EF" w:rsidRDefault="00177AD6" w:rsidP="00B35A43">
      <w:pPr>
        <w:pStyle w:val="Headingi"/>
        <w:rPr>
          <w:lang w:val="es-ES"/>
        </w:rPr>
      </w:pPr>
      <w:r w:rsidRPr="003961EF">
        <w:rPr>
          <w:lang w:val="es-ES"/>
        </w:rPr>
        <w:t>2</w:t>
      </w:r>
      <w:r w:rsidR="00B35A43">
        <w:rPr>
          <w:lang w:val="es-ES"/>
        </w:rPr>
        <w:t>1</w:t>
      </w:r>
      <w:r w:rsidR="00805FC8">
        <w:rPr>
          <w:lang w:val="es-ES"/>
        </w:rPr>
        <w:t xml:space="preserve">.ª </w:t>
      </w:r>
      <w:r w:rsidRPr="003961EF">
        <w:rPr>
          <w:lang w:val="es-ES"/>
        </w:rPr>
        <w:t>reunión del GTC-RHF, septiembre de 2025</w:t>
      </w:r>
    </w:p>
    <w:p w14:paraId="1D7A15DE" w14:textId="5D5486CE" w:rsidR="00177AD6" w:rsidRPr="003961EF" w:rsidRDefault="00177AD6" w:rsidP="004F25D7">
      <w:pPr>
        <w:jc w:val="both"/>
        <w:rPr>
          <w:lang w:val="es-ES"/>
        </w:rPr>
      </w:pPr>
      <w:r w:rsidRPr="002958DF">
        <w:rPr>
          <w:lang w:val="es-ES"/>
        </w:rPr>
        <w:t>El</w:t>
      </w:r>
      <w:r w:rsidRPr="003961EF">
        <w:rPr>
          <w:b/>
          <w:bCs/>
          <w:lang w:val="es-ES"/>
        </w:rPr>
        <w:t xml:space="preserve"> </w:t>
      </w:r>
      <w:r w:rsidR="009C7C05" w:rsidRPr="003961EF">
        <w:rPr>
          <w:b/>
          <w:bCs/>
          <w:lang w:val="es-ES"/>
        </w:rPr>
        <w:t xml:space="preserve">Documento </w:t>
      </w:r>
      <w:hyperlink r:id="rId16" w:history="1">
        <w:proofErr w:type="spellStart"/>
        <w:r w:rsidRPr="003961EF">
          <w:rPr>
            <w:rStyle w:val="Hyperlink"/>
            <w:rFonts w:eastAsia="Times New Roman" w:cs="Times New Roman"/>
            <w:b/>
            <w:bCs/>
            <w:szCs w:val="20"/>
            <w:lang w:val="es-ES"/>
          </w:rPr>
          <w:t>CWG</w:t>
        </w:r>
        <w:proofErr w:type="spellEnd"/>
        <w:r w:rsidRPr="003961EF">
          <w:rPr>
            <w:rStyle w:val="Hyperlink"/>
            <w:rFonts w:eastAsia="Times New Roman" w:cs="Times New Roman"/>
            <w:b/>
            <w:bCs/>
            <w:szCs w:val="20"/>
            <w:lang w:val="es-ES"/>
          </w:rPr>
          <w:t>-</w:t>
        </w:r>
        <w:proofErr w:type="spellStart"/>
        <w:r w:rsidRPr="003961EF">
          <w:rPr>
            <w:rStyle w:val="Hyperlink"/>
            <w:rFonts w:eastAsia="Times New Roman" w:cs="Times New Roman"/>
            <w:b/>
            <w:bCs/>
            <w:szCs w:val="20"/>
            <w:lang w:val="es-ES"/>
          </w:rPr>
          <w:t>FHR</w:t>
        </w:r>
        <w:proofErr w:type="spellEnd"/>
        <w:r w:rsidRPr="003961EF">
          <w:rPr>
            <w:rStyle w:val="Hyperlink"/>
            <w:rFonts w:eastAsia="Times New Roman" w:cs="Times New Roman"/>
            <w:b/>
            <w:bCs/>
            <w:szCs w:val="20"/>
            <w:lang w:val="es-ES"/>
          </w:rPr>
          <w:t>-21/15</w:t>
        </w:r>
      </w:hyperlink>
      <w:r w:rsidRPr="003961EF">
        <w:rPr>
          <w:lang w:val="es-ES"/>
        </w:rPr>
        <w:t xml:space="preserve">, presentado por la India, propone criterios de referencia para la candidatura de países anfitriones, entre los que cabe destacar la disponibilidad de la sede, la infraestructura, la capacidad de alojamiento, la conectividad y la preparación en materia de Internet y TIC. Los Estados miembros que cumplan esos criterios podrán presentar candidaturas para organizar la conferencia de que se trate; si el Consejo recibe varias candidaturas que cumplan los requisitos, se aplicará el principio regido por "por orden de llegada". La fecha y el lugar de la conferencia deberán fijarse al menos cinco años antes de la inauguración de </w:t>
      </w:r>
      <w:proofErr w:type="gramStart"/>
      <w:r w:rsidRPr="003961EF">
        <w:rPr>
          <w:lang w:val="es-ES"/>
        </w:rPr>
        <w:t>la misma</w:t>
      </w:r>
      <w:proofErr w:type="gramEnd"/>
      <w:r w:rsidRPr="003961EF">
        <w:rPr>
          <w:lang w:val="es-ES"/>
        </w:rPr>
        <w:t xml:space="preserve">. </w:t>
      </w:r>
    </w:p>
    <w:p w14:paraId="543591C5" w14:textId="1FDD49EF" w:rsidR="00177AD6" w:rsidRPr="003961EF" w:rsidRDefault="00177AD6" w:rsidP="009C7C05">
      <w:pPr>
        <w:jc w:val="both"/>
        <w:rPr>
          <w:lang w:val="es-ES"/>
        </w:rPr>
      </w:pPr>
      <w:r w:rsidRPr="002958DF">
        <w:rPr>
          <w:lang w:val="es-ES"/>
        </w:rPr>
        <w:t>El</w:t>
      </w:r>
      <w:r w:rsidRPr="003961EF">
        <w:rPr>
          <w:b/>
          <w:bCs/>
          <w:lang w:val="es-ES"/>
        </w:rPr>
        <w:t xml:space="preserve"> </w:t>
      </w:r>
      <w:r w:rsidR="009C7C05" w:rsidRPr="003961EF">
        <w:rPr>
          <w:b/>
          <w:bCs/>
          <w:lang w:val="es-ES"/>
        </w:rPr>
        <w:t xml:space="preserve">Documento </w:t>
      </w:r>
      <w:hyperlink r:id="rId17" w:history="1">
        <w:proofErr w:type="spellStart"/>
        <w:r w:rsidRPr="003961EF">
          <w:rPr>
            <w:rStyle w:val="Hyperlink"/>
            <w:rFonts w:eastAsia="Times New Roman" w:cs="Times New Roman"/>
            <w:b/>
            <w:bCs/>
            <w:szCs w:val="20"/>
            <w:lang w:val="es-ES"/>
          </w:rPr>
          <w:t>CWG</w:t>
        </w:r>
        <w:proofErr w:type="spellEnd"/>
        <w:r w:rsidRPr="003961EF">
          <w:rPr>
            <w:rStyle w:val="Hyperlink"/>
            <w:rFonts w:eastAsia="Times New Roman" w:cs="Times New Roman"/>
            <w:b/>
            <w:bCs/>
            <w:szCs w:val="20"/>
            <w:lang w:val="es-ES"/>
          </w:rPr>
          <w:t>-</w:t>
        </w:r>
        <w:proofErr w:type="spellStart"/>
        <w:r w:rsidRPr="003961EF">
          <w:rPr>
            <w:rStyle w:val="Hyperlink"/>
            <w:rFonts w:eastAsia="Times New Roman" w:cs="Times New Roman"/>
            <w:b/>
            <w:bCs/>
            <w:szCs w:val="20"/>
            <w:lang w:val="es-ES"/>
          </w:rPr>
          <w:t>FHR</w:t>
        </w:r>
        <w:proofErr w:type="spellEnd"/>
        <w:r w:rsidRPr="003961EF">
          <w:rPr>
            <w:rStyle w:val="Hyperlink"/>
            <w:rFonts w:eastAsia="Times New Roman" w:cs="Times New Roman"/>
            <w:b/>
            <w:bCs/>
            <w:szCs w:val="20"/>
            <w:lang w:val="es-ES"/>
          </w:rPr>
          <w:t>-21/17</w:t>
        </w:r>
      </w:hyperlink>
      <w:r w:rsidRPr="003961EF">
        <w:rPr>
          <w:lang w:val="es-ES"/>
        </w:rPr>
        <w:t>, presentado por China, propone que se optimice el proceso de selección en vigor de países anfitriones:</w:t>
      </w:r>
    </w:p>
    <w:p w14:paraId="406F09D2" w14:textId="56D5F01A" w:rsidR="00EF4159" w:rsidRPr="003961EF" w:rsidRDefault="00EF4159" w:rsidP="009C7C05">
      <w:pPr>
        <w:pStyle w:val="enumlev1"/>
        <w:jc w:val="both"/>
        <w:rPr>
          <w:lang w:val="es-ES"/>
        </w:rPr>
      </w:pPr>
      <w:r w:rsidRPr="003961EF">
        <w:rPr>
          <w:lang w:val="es-ES"/>
        </w:rPr>
        <w:t>–</w:t>
      </w:r>
      <w:r w:rsidRPr="003961EF">
        <w:rPr>
          <w:lang w:val="es-ES"/>
        </w:rPr>
        <w:tab/>
        <w:t>mediante la mejora de la normalización y la transparencia del proceso de licitación a través del marco normativo en vigor;</w:t>
      </w:r>
    </w:p>
    <w:p w14:paraId="7ED8A5F6" w14:textId="2115E753" w:rsidR="00EF4159" w:rsidRPr="003961EF" w:rsidRDefault="00EF4159" w:rsidP="009C7C05">
      <w:pPr>
        <w:pStyle w:val="enumlev1"/>
        <w:jc w:val="both"/>
        <w:rPr>
          <w:lang w:val="es-ES"/>
        </w:rPr>
      </w:pPr>
      <w:r w:rsidRPr="003961EF">
        <w:rPr>
          <w:lang w:val="es-ES"/>
        </w:rPr>
        <w:t>–</w:t>
      </w:r>
      <w:r w:rsidRPr="003961EF">
        <w:rPr>
          <w:lang w:val="es-ES"/>
        </w:rPr>
        <w:tab/>
      </w:r>
      <w:r w:rsidR="007863BF" w:rsidRPr="003961EF">
        <w:rPr>
          <w:lang w:val="es-ES"/>
        </w:rPr>
        <w:t>el departamento pertinente encargado de organizar la conferencia debe especificar los plazos para la presentación de invitaciones</w:t>
      </w:r>
      <w:r w:rsidR="002958DF">
        <w:rPr>
          <w:lang w:val="es-ES"/>
        </w:rPr>
        <w:t>;</w:t>
      </w:r>
    </w:p>
    <w:p w14:paraId="5863C50D" w14:textId="3B0E96D1" w:rsidR="00EF4159" w:rsidRPr="003961EF" w:rsidRDefault="007863BF" w:rsidP="009C7C05">
      <w:pPr>
        <w:pStyle w:val="enumlev1"/>
        <w:jc w:val="both"/>
        <w:rPr>
          <w:lang w:val="es-ES"/>
        </w:rPr>
      </w:pPr>
      <w:r w:rsidRPr="003961EF">
        <w:rPr>
          <w:lang w:val="es-ES"/>
        </w:rPr>
        <w:t>–</w:t>
      </w:r>
      <w:r w:rsidRPr="003961EF">
        <w:rPr>
          <w:lang w:val="es-ES"/>
        </w:rPr>
        <w:tab/>
        <w:t xml:space="preserve">las invitaciones para acoger el evento deben presentarse por escrito mediante una carta oficial dirigida a la secretaria general o una contribución oficial a la </w:t>
      </w:r>
      <w:r w:rsidR="00DC4B61" w:rsidRPr="003961EF">
        <w:rPr>
          <w:lang w:val="es-ES"/>
        </w:rPr>
        <w:t xml:space="preserve">PP </w:t>
      </w:r>
      <w:r w:rsidRPr="003961EF">
        <w:rPr>
          <w:lang w:val="es-ES"/>
        </w:rPr>
        <w:t xml:space="preserve">o al </w:t>
      </w:r>
      <w:r w:rsidR="00DC4B61" w:rsidRPr="003961EF">
        <w:rPr>
          <w:lang w:val="es-ES"/>
        </w:rPr>
        <w:t>Consejo</w:t>
      </w:r>
      <w:r w:rsidRPr="003961EF">
        <w:rPr>
          <w:lang w:val="es-ES"/>
        </w:rPr>
        <w:t>;</w:t>
      </w:r>
    </w:p>
    <w:p w14:paraId="068B7924" w14:textId="5CB71FAC" w:rsidR="00EF4159" w:rsidRPr="003961EF" w:rsidRDefault="007863BF" w:rsidP="009C7C05">
      <w:pPr>
        <w:pStyle w:val="enumlev1"/>
        <w:jc w:val="both"/>
        <w:rPr>
          <w:lang w:val="es-ES"/>
        </w:rPr>
      </w:pPr>
      <w:r w:rsidRPr="003961EF">
        <w:rPr>
          <w:lang w:val="es-ES"/>
        </w:rPr>
        <w:t>–</w:t>
      </w:r>
      <w:r w:rsidRPr="003961EF">
        <w:rPr>
          <w:lang w:val="es-ES"/>
        </w:rPr>
        <w:tab/>
        <w:t>la secretaria general deberá notificar a todos los Estados Miembros cada propuesta mediante la publicación de una carta circular en un plazo de cinco días hábiles a partir de la recepción de la carta oficial, o mediante la publicación oportuna de la invitación si esta se presenta como contribución</w:t>
      </w:r>
      <w:r w:rsidR="009A27DA">
        <w:rPr>
          <w:lang w:val="es-ES"/>
        </w:rPr>
        <w:t>;</w:t>
      </w:r>
      <w:r w:rsidRPr="003961EF">
        <w:rPr>
          <w:lang w:val="es-ES"/>
        </w:rPr>
        <w:t xml:space="preserve"> y</w:t>
      </w:r>
    </w:p>
    <w:p w14:paraId="1FB3610E" w14:textId="350E04A8" w:rsidR="00177AD6" w:rsidRPr="003961EF" w:rsidRDefault="007863BF" w:rsidP="009C7C05">
      <w:pPr>
        <w:pStyle w:val="enumlev1"/>
        <w:jc w:val="both"/>
        <w:rPr>
          <w:lang w:val="es-ES"/>
        </w:rPr>
      </w:pPr>
      <w:r w:rsidRPr="003961EF">
        <w:rPr>
          <w:lang w:val="es-ES"/>
        </w:rPr>
        <w:t>–</w:t>
      </w:r>
      <w:r w:rsidRPr="003961EF">
        <w:rPr>
          <w:lang w:val="es-ES"/>
        </w:rPr>
        <w:tab/>
        <w:t xml:space="preserve">el departamento </w:t>
      </w:r>
      <w:r w:rsidR="00EF4159" w:rsidRPr="003961EF">
        <w:rPr>
          <w:lang w:val="es-ES"/>
        </w:rPr>
        <w:t>pertinente encargado de organizar la conferencia deberá establecer los requisitos mínimos preliminares a los efectos de organización y realizar una visita al lugar propuesto para evaluar la posible sede antes de que la reunión examine oficialmente la invitación.</w:t>
      </w:r>
    </w:p>
    <w:p w14:paraId="757B3C92" w14:textId="47D061E8" w:rsidR="00EF4159" w:rsidRPr="003961EF" w:rsidRDefault="00EF4159" w:rsidP="009C7C05">
      <w:pPr>
        <w:jc w:val="both"/>
        <w:rPr>
          <w:lang w:val="es-ES"/>
        </w:rPr>
      </w:pPr>
      <w:r w:rsidRPr="003961EF">
        <w:rPr>
          <w:lang w:val="es-ES"/>
        </w:rPr>
        <w:t xml:space="preserve">El </w:t>
      </w:r>
      <w:r w:rsidR="004F25D7" w:rsidRPr="003961EF">
        <w:rPr>
          <w:b/>
          <w:bCs/>
          <w:lang w:val="es-ES"/>
        </w:rPr>
        <w:t xml:space="preserve">Documento </w:t>
      </w:r>
      <w:hyperlink r:id="rId18" w:history="1">
        <w:proofErr w:type="spellStart"/>
        <w:r w:rsidRPr="003961EF">
          <w:rPr>
            <w:rStyle w:val="Hyperlink"/>
            <w:rFonts w:eastAsia="Times New Roman" w:cs="Times New Roman"/>
            <w:b/>
            <w:bCs/>
            <w:szCs w:val="20"/>
            <w:lang w:val="es-ES"/>
          </w:rPr>
          <w:t>CWG</w:t>
        </w:r>
        <w:proofErr w:type="spellEnd"/>
        <w:r w:rsidRPr="003961EF">
          <w:rPr>
            <w:rStyle w:val="Hyperlink"/>
            <w:rFonts w:eastAsia="Times New Roman" w:cs="Times New Roman"/>
            <w:b/>
            <w:bCs/>
            <w:szCs w:val="20"/>
            <w:lang w:val="es-ES"/>
          </w:rPr>
          <w:t>-</w:t>
        </w:r>
        <w:proofErr w:type="spellStart"/>
        <w:r w:rsidRPr="003961EF">
          <w:rPr>
            <w:rStyle w:val="Hyperlink"/>
            <w:rFonts w:eastAsia="Times New Roman" w:cs="Times New Roman"/>
            <w:b/>
            <w:bCs/>
            <w:szCs w:val="20"/>
            <w:lang w:val="es-ES"/>
          </w:rPr>
          <w:t>FHR</w:t>
        </w:r>
        <w:proofErr w:type="spellEnd"/>
        <w:r w:rsidRPr="003961EF">
          <w:rPr>
            <w:rStyle w:val="Hyperlink"/>
            <w:rFonts w:eastAsia="Times New Roman" w:cs="Times New Roman"/>
            <w:b/>
            <w:bCs/>
            <w:szCs w:val="20"/>
            <w:lang w:val="es-ES"/>
          </w:rPr>
          <w:t>-21/23</w:t>
        </w:r>
      </w:hyperlink>
      <w:r w:rsidRPr="003961EF">
        <w:rPr>
          <w:lang w:val="es-ES"/>
        </w:rPr>
        <w:t xml:space="preserve">, presentado por Estados Unidos, propone que la UIT lleve a cabo un proceso de licitación para la organización de conferencias y asambleas mediante una solicitud de propuestas que abarque elementos clave como los productos finales esperados y las especificaciones pertinentes, las condiciones de pago y las obligaciones financieras. </w:t>
      </w:r>
    </w:p>
    <w:p w14:paraId="13CFAC6C" w14:textId="2C08621D" w:rsidR="00EF4159" w:rsidRPr="00DD52BE" w:rsidRDefault="00EF4159" w:rsidP="009C7C05">
      <w:pPr>
        <w:jc w:val="both"/>
        <w:rPr>
          <w:spacing w:val="-2"/>
          <w:lang w:val="es-ES"/>
        </w:rPr>
      </w:pPr>
      <w:r w:rsidRPr="00DD52BE">
        <w:rPr>
          <w:spacing w:val="-2"/>
          <w:lang w:val="es-ES"/>
        </w:rPr>
        <w:lastRenderedPageBreak/>
        <w:t>El GTC-RHF convino en la necesidad de garantizar la imparcialidad, una representación geográfica equitativa y unos requisitos mínimos claros para la organización de conferencias y asambleas; de normalizar el proceso para fomentar la transparencia</w:t>
      </w:r>
      <w:r w:rsidR="007863BF" w:rsidRPr="00DD52BE">
        <w:rPr>
          <w:spacing w:val="-2"/>
          <w:lang w:val="es-ES"/>
        </w:rPr>
        <w:t>,</w:t>
      </w:r>
      <w:r w:rsidRPr="00DD52BE">
        <w:rPr>
          <w:spacing w:val="-2"/>
          <w:lang w:val="es-ES"/>
        </w:rPr>
        <w:t xml:space="preserve"> y de promover una mayor participación de los Estados Miembros, entre otras cosas</w:t>
      </w:r>
      <w:r w:rsidR="007863BF" w:rsidRPr="00DD52BE">
        <w:rPr>
          <w:spacing w:val="-2"/>
          <w:lang w:val="es-ES"/>
        </w:rPr>
        <w:t>,</w:t>
      </w:r>
      <w:r w:rsidRPr="00DD52BE">
        <w:rPr>
          <w:spacing w:val="-2"/>
          <w:lang w:val="es-ES"/>
        </w:rPr>
        <w:t xml:space="preserve"> mediante iniciativas encaminadas a reducir la carga financiera de los países anfitriones. Los plazos para la selección de los países anfitriones han de tener en cuenta los ciclos presupuestarios de cada administración y ofrecer tiempo suficiente para las actividades de preparación; algunos delegados propusieron un </w:t>
      </w:r>
      <w:r w:rsidR="00DC4B61" w:rsidRPr="00DD52BE">
        <w:rPr>
          <w:spacing w:val="-2"/>
          <w:lang w:val="es-ES"/>
        </w:rPr>
        <w:t>periodo</w:t>
      </w:r>
      <w:r w:rsidRPr="00DD52BE">
        <w:rPr>
          <w:spacing w:val="-2"/>
          <w:lang w:val="es-ES"/>
        </w:rPr>
        <w:t xml:space="preserve"> de tres a cuatro años antes de la apertura de una conferencia. </w:t>
      </w:r>
    </w:p>
    <w:p w14:paraId="2116569F" w14:textId="77777777" w:rsidR="00EF4159" w:rsidRPr="003961EF" w:rsidRDefault="00EF4159" w:rsidP="009A27DA">
      <w:pPr>
        <w:pStyle w:val="Headingi"/>
        <w:rPr>
          <w:lang w:val="es-ES"/>
        </w:rPr>
      </w:pPr>
      <w:r w:rsidRPr="003961EF">
        <w:rPr>
          <w:lang w:val="es-ES"/>
        </w:rPr>
        <w:t>Reunión informativa, 30 de octubre de 2025</w:t>
      </w:r>
    </w:p>
    <w:p w14:paraId="7105CBC1" w14:textId="77777777" w:rsidR="00EF4159" w:rsidRPr="003961EF" w:rsidRDefault="00EF4159" w:rsidP="009C7C05">
      <w:pPr>
        <w:jc w:val="both"/>
        <w:rPr>
          <w:lang w:val="es-ES"/>
        </w:rPr>
      </w:pPr>
      <w:r w:rsidRPr="003961EF">
        <w:rPr>
          <w:lang w:val="es-ES"/>
        </w:rPr>
        <w:t>La Secretaría presentó una propuesta para desarrollar un portal web destinado a los países anfitriones que permita acceder a los documentos y a la información pertinentes sobre la organización de conferencias y asambleas de la UIT. La reunión informativa respaldó la creación de un portal web para países anfitriones y solicitó que se facilitara un enlace a un prototipo de página web para la próxima sesión del GTC-RHF. Otras consideraciones incluyeron la información adicional que debe estar disponible en el portal, la determinación de la necesidad de contar con un proceso oficial adicional, y en su caso, los plazos que deben fijarse, así como la manera de abordar la selección de varias invitaciones oficiales.</w:t>
      </w:r>
    </w:p>
    <w:p w14:paraId="06669B96" w14:textId="2048CB63" w:rsidR="00EF4159" w:rsidRPr="003961EF" w:rsidRDefault="00EF4159" w:rsidP="009A27DA">
      <w:pPr>
        <w:pStyle w:val="Headingi"/>
        <w:rPr>
          <w:lang w:val="es-ES"/>
        </w:rPr>
      </w:pPr>
      <w:r w:rsidRPr="003961EF">
        <w:rPr>
          <w:lang w:val="es-ES"/>
        </w:rPr>
        <w:t>22.ª</w:t>
      </w:r>
      <w:r w:rsidR="004F25D7">
        <w:rPr>
          <w:lang w:val="es-ES"/>
        </w:rPr>
        <w:t xml:space="preserve"> </w:t>
      </w:r>
      <w:r w:rsidRPr="003961EF">
        <w:rPr>
          <w:lang w:val="es-ES"/>
        </w:rPr>
        <w:t>reunión del GTC-RHF, enero de 2026</w:t>
      </w:r>
    </w:p>
    <w:p w14:paraId="55A00F91" w14:textId="540C3B31" w:rsidR="00177AD6" w:rsidRPr="003961EF" w:rsidRDefault="00EF4159" w:rsidP="009C7C05">
      <w:pPr>
        <w:jc w:val="both"/>
        <w:rPr>
          <w:lang w:val="es-ES"/>
        </w:rPr>
      </w:pPr>
      <w:r w:rsidRPr="003961EF">
        <w:rPr>
          <w:lang w:val="es-ES"/>
        </w:rPr>
        <w:t>El GTC-RHF acogió con satisfacción la propuesta de portal web, si bien solicitó el desarrollo de un proceso de selección de países anfitriones con arreglo a un calendario, un plazo para la presentación de candidaturas de los países anfitriones y un proceso oficial y plazos para seleccionar entre múltiples candidaturas, así como para proporcionar información a los candidatos no seleccionados. Otras consideraciones incluyen el respeto del principio de rotación geográfica, el envío de invitaciones para organizar eventos sociales, la inclusión en el citado portal de todas las invitaciones de países anfitriones recibidas y la presentación de los costes generales de la organización, de ser posible.</w:t>
      </w:r>
    </w:p>
    <w:p w14:paraId="7447AE46" w14:textId="2FA42D10" w:rsidR="00EF4159" w:rsidRPr="003961EF" w:rsidRDefault="00EF4159" w:rsidP="009C7C05">
      <w:pPr>
        <w:pStyle w:val="Headingb"/>
        <w:jc w:val="both"/>
        <w:rPr>
          <w:lang w:val="es-ES"/>
        </w:rPr>
      </w:pPr>
      <w:r w:rsidRPr="003961EF">
        <w:rPr>
          <w:lang w:val="es-ES"/>
        </w:rPr>
        <w:t>Alcance</w:t>
      </w:r>
    </w:p>
    <w:p w14:paraId="5BEDD354" w14:textId="77777777" w:rsidR="00EF4159" w:rsidRPr="003961EF" w:rsidRDefault="00EF4159" w:rsidP="009C7C05">
      <w:pPr>
        <w:jc w:val="both"/>
        <w:rPr>
          <w:lang w:val="es-ES"/>
        </w:rPr>
      </w:pPr>
      <w:r w:rsidRPr="003961EF">
        <w:rPr>
          <w:lang w:val="es-ES"/>
        </w:rPr>
        <w:t xml:space="preserve">El alcance del presente documento incluye las conferencias y asambleas de la UIT (PP, </w:t>
      </w:r>
      <w:proofErr w:type="spellStart"/>
      <w:r w:rsidRPr="003961EF">
        <w:rPr>
          <w:lang w:val="es-ES"/>
        </w:rPr>
        <w:t>CMR</w:t>
      </w:r>
      <w:proofErr w:type="spellEnd"/>
      <w:r w:rsidRPr="003961EF">
        <w:rPr>
          <w:lang w:val="es-ES"/>
        </w:rPr>
        <w:t xml:space="preserve">, AR, </w:t>
      </w:r>
      <w:proofErr w:type="spellStart"/>
      <w:r w:rsidRPr="003961EF">
        <w:rPr>
          <w:lang w:val="es-ES"/>
        </w:rPr>
        <w:t>AMNT</w:t>
      </w:r>
      <w:proofErr w:type="spellEnd"/>
      <w:r w:rsidRPr="003961EF">
        <w:rPr>
          <w:lang w:val="es-ES"/>
        </w:rPr>
        <w:t xml:space="preserve"> y </w:t>
      </w:r>
      <w:proofErr w:type="spellStart"/>
      <w:r w:rsidRPr="003961EF">
        <w:rPr>
          <w:lang w:val="es-ES"/>
        </w:rPr>
        <w:t>CMDT</w:t>
      </w:r>
      <w:proofErr w:type="spellEnd"/>
      <w:r w:rsidRPr="003961EF">
        <w:rPr>
          <w:lang w:val="es-ES"/>
        </w:rPr>
        <w:t xml:space="preserve">), que se celebren por defecto en la sede de la UIT en Ginebra, pero que pueden tener lugar fuera de Ginebra si el gobierno de un Estado Miembro se ofrece a acogerlas y acepta sufragar los gastos adicionales que ello conlleve. </w:t>
      </w:r>
    </w:p>
    <w:p w14:paraId="486196DA" w14:textId="4DD117A7" w:rsidR="00EF4159" w:rsidRPr="003961EF" w:rsidRDefault="00EF4159" w:rsidP="009C7C05">
      <w:pPr>
        <w:jc w:val="both"/>
        <w:rPr>
          <w:lang w:val="es-ES"/>
        </w:rPr>
      </w:pPr>
      <w:r w:rsidRPr="003961EF">
        <w:rPr>
          <w:lang w:val="es-ES"/>
        </w:rPr>
        <w:t>En el caso del Consejo, en virtud del número 51 del Artículo 4 del Convenio se establece que se celebre anualmente una reunión ordinaria del Consejo en la sede de la Unión. Se pide al Consejo que, en cada reunión ordinaria, programe sus tres reuniones ordinarias siguientes (Res. 77 (Rev. Bucarest, 2022)).</w:t>
      </w:r>
    </w:p>
    <w:p w14:paraId="781609BD" w14:textId="4FDC5944" w:rsidR="00EF4159" w:rsidRPr="003961EF" w:rsidRDefault="00EF4159" w:rsidP="00EF4159">
      <w:pPr>
        <w:pStyle w:val="Headingb"/>
        <w:rPr>
          <w:lang w:val="es-ES"/>
        </w:rPr>
      </w:pPr>
      <w:r w:rsidRPr="003961EF">
        <w:rPr>
          <w:lang w:val="es-ES"/>
        </w:rPr>
        <w:t>Propuesta de proceso de selección de países anfitriones</w:t>
      </w:r>
    </w:p>
    <w:p w14:paraId="53595B0C" w14:textId="08DBA680" w:rsidR="00EF4159" w:rsidRPr="003961EF" w:rsidRDefault="00EF4159" w:rsidP="009C7C05">
      <w:pPr>
        <w:pStyle w:val="Headingb"/>
        <w:rPr>
          <w:lang w:val="es-ES"/>
        </w:rPr>
      </w:pPr>
      <w:r w:rsidRPr="003961EF">
        <w:rPr>
          <w:lang w:val="es-ES"/>
        </w:rPr>
        <w:t>1</w:t>
      </w:r>
      <w:r w:rsidRPr="003961EF">
        <w:rPr>
          <w:lang w:val="es-ES"/>
        </w:rPr>
        <w:tab/>
        <w:t>Fijación del periodo y del año de la conferencia o asamblea</w:t>
      </w:r>
    </w:p>
    <w:p w14:paraId="22327C30" w14:textId="5D763EE7" w:rsidR="00EF4159" w:rsidRPr="003961EF" w:rsidRDefault="00EF4159" w:rsidP="009C7C05">
      <w:pPr>
        <w:jc w:val="both"/>
        <w:rPr>
          <w:lang w:val="es-ES"/>
        </w:rPr>
      </w:pPr>
      <w:r w:rsidRPr="003961EF">
        <w:rPr>
          <w:lang w:val="es-ES"/>
        </w:rPr>
        <w:t xml:space="preserve">La secretaría publica en cada Conferencia de Plenipotenciarios la lista de conferencias y asambleas que se celebrarán en los ocho años siguientes, especificando los </w:t>
      </w:r>
      <w:r w:rsidR="00DC4B61">
        <w:rPr>
          <w:lang w:val="es-ES"/>
        </w:rPr>
        <w:t>periodo</w:t>
      </w:r>
      <w:r w:rsidRPr="003961EF">
        <w:rPr>
          <w:lang w:val="es-ES"/>
        </w:rPr>
        <w:t>s en los que tendrán lugar e información pormenorizada sobre las fechas o los anfitriones, de estar disponible (Resolución 77).</w:t>
      </w:r>
    </w:p>
    <w:p w14:paraId="05D2FB2F" w14:textId="590A8F3F" w:rsidR="00EF4159" w:rsidRPr="003961EF" w:rsidRDefault="00EF4159" w:rsidP="009C7C05">
      <w:pPr>
        <w:pStyle w:val="Headingb"/>
        <w:rPr>
          <w:lang w:val="es-ES"/>
        </w:rPr>
      </w:pPr>
      <w:r w:rsidRPr="003961EF">
        <w:rPr>
          <w:lang w:val="es-ES"/>
        </w:rPr>
        <w:lastRenderedPageBreak/>
        <w:t>2</w:t>
      </w:r>
      <w:r w:rsidRPr="003961EF">
        <w:rPr>
          <w:lang w:val="es-ES"/>
        </w:rPr>
        <w:tab/>
        <w:t>Publicación de una circular para solicitar propuestas</w:t>
      </w:r>
      <w:r w:rsidR="009C7C05">
        <w:rPr>
          <w:lang w:val="es-ES"/>
        </w:rPr>
        <w:t xml:space="preserve"> </w:t>
      </w:r>
      <w:r w:rsidRPr="003961EF">
        <w:rPr>
          <w:lang w:val="es-ES"/>
        </w:rPr>
        <w:t>de futuros anfitriones</w:t>
      </w:r>
    </w:p>
    <w:p w14:paraId="09FAE0F7" w14:textId="67AB2436" w:rsidR="00EF4159" w:rsidRPr="003961EF" w:rsidRDefault="00EF4159" w:rsidP="004F25D7">
      <w:pPr>
        <w:jc w:val="both"/>
        <w:rPr>
          <w:lang w:val="es-ES"/>
        </w:rPr>
      </w:pPr>
      <w:r w:rsidRPr="003961EF">
        <w:rPr>
          <w:lang w:val="es-ES"/>
        </w:rPr>
        <w:t xml:space="preserve">La secretaría publica una </w:t>
      </w:r>
      <w:r w:rsidR="004F25D7" w:rsidRPr="003961EF">
        <w:rPr>
          <w:lang w:val="es-ES"/>
        </w:rPr>
        <w:t xml:space="preserve">carta circular </w:t>
      </w:r>
      <w:r w:rsidRPr="003961EF">
        <w:rPr>
          <w:lang w:val="es-ES"/>
        </w:rPr>
        <w:t>cuatro (4) años antes de la conferencia o la asamblea de que se trate, en particular:</w:t>
      </w:r>
    </w:p>
    <w:p w14:paraId="7895219E" w14:textId="77777777" w:rsidR="00EF4159" w:rsidRPr="00DD52BE" w:rsidRDefault="00EF4159" w:rsidP="004F25D7">
      <w:pPr>
        <w:jc w:val="both"/>
        <w:rPr>
          <w:spacing w:val="-2"/>
          <w:lang w:val="es-ES"/>
        </w:rPr>
      </w:pPr>
      <w:r w:rsidRPr="00DD52BE">
        <w:rPr>
          <w:spacing w:val="-2"/>
          <w:lang w:val="es-ES"/>
        </w:rPr>
        <w:t>2.1</w:t>
      </w:r>
      <w:r w:rsidRPr="00DD52BE">
        <w:rPr>
          <w:spacing w:val="-2"/>
          <w:lang w:val="es-ES"/>
        </w:rPr>
        <w:tab/>
      </w:r>
      <w:r w:rsidRPr="00DD52BE">
        <w:rPr>
          <w:b/>
          <w:bCs/>
          <w:spacing w:val="-2"/>
          <w:lang w:val="es-ES"/>
        </w:rPr>
        <w:t>Información general sobre la conferencia y requisitos principales con arreglo al modelo</w:t>
      </w:r>
      <w:r w:rsidRPr="00DD52BE">
        <w:rPr>
          <w:spacing w:val="-2"/>
          <w:lang w:val="es-ES"/>
        </w:rPr>
        <w:t xml:space="preserve"> de acuerdo con </w:t>
      </w:r>
      <w:r w:rsidRPr="00DD52BE">
        <w:rPr>
          <w:b/>
          <w:bCs/>
          <w:spacing w:val="-2"/>
          <w:lang w:val="es-ES"/>
        </w:rPr>
        <w:t>el país anfitrión</w:t>
      </w:r>
      <w:r w:rsidRPr="00DD52BE">
        <w:rPr>
          <w:spacing w:val="-2"/>
          <w:lang w:val="es-ES"/>
        </w:rPr>
        <w:t xml:space="preserve"> y sus anexos, incluidos los requisitos financieros, la sede y la infraestructura, aspectos de conectividad y servicios técnicos, consideraciones de seguridad y protección, capacidad de alojamiento, facilidad de acceso, instalaciones médicas, confirmación de la facilitación de visados y trámites aduaneros, así como cumplimiento del Reglamento de la UIT, incluida la adhesión a la Convención de 1947 sobre Privilegios e Inmunidades.</w:t>
      </w:r>
    </w:p>
    <w:p w14:paraId="5D4C6DB1" w14:textId="0C37ABF4" w:rsidR="00EF4159" w:rsidRPr="003961EF" w:rsidRDefault="00EF4159" w:rsidP="00EF4159">
      <w:pPr>
        <w:rPr>
          <w:lang w:val="es-ES"/>
        </w:rPr>
      </w:pPr>
      <w:r w:rsidRPr="003961EF">
        <w:rPr>
          <w:lang w:val="es-ES"/>
        </w:rPr>
        <w:t>2.2</w:t>
      </w:r>
      <w:r w:rsidRPr="003961EF">
        <w:rPr>
          <w:lang w:val="es-ES"/>
        </w:rPr>
        <w:tab/>
      </w:r>
      <w:r w:rsidRPr="003961EF">
        <w:rPr>
          <w:b/>
          <w:bCs/>
          <w:lang w:val="es-ES"/>
        </w:rPr>
        <w:t>Plazos de presentación para tres etapas clave</w:t>
      </w:r>
      <w:r w:rsidRPr="003961EF">
        <w:rPr>
          <w:lang w:val="es-ES"/>
        </w:rPr>
        <w:t>:</w:t>
      </w:r>
    </w:p>
    <w:p w14:paraId="517471B4" w14:textId="5700F082" w:rsidR="00EF4159" w:rsidRPr="003961EF" w:rsidRDefault="00EF4159" w:rsidP="004F25D7">
      <w:pPr>
        <w:pStyle w:val="enumlev1"/>
        <w:jc w:val="both"/>
        <w:rPr>
          <w:lang w:val="es-ES"/>
        </w:rPr>
      </w:pPr>
      <w:r w:rsidRPr="003961EF">
        <w:rPr>
          <w:lang w:val="es-ES"/>
        </w:rPr>
        <w:t>–</w:t>
      </w:r>
      <w:r w:rsidRPr="003961EF">
        <w:rPr>
          <w:lang w:val="es-ES"/>
        </w:rPr>
        <w:tab/>
      </w:r>
      <w:r w:rsidRPr="003961EF">
        <w:rPr>
          <w:b/>
          <w:bCs/>
          <w:lang w:val="es-ES"/>
        </w:rPr>
        <w:t>Manifestación de interés</w:t>
      </w:r>
      <w:r w:rsidRPr="003961EF">
        <w:rPr>
          <w:lang w:val="es-ES"/>
        </w:rPr>
        <w:t xml:space="preserve"> de los posibles Estados Miembros para facilitar las consultas con la Secretaría por un per</w:t>
      </w:r>
      <w:r w:rsidR="007863BF" w:rsidRPr="003961EF">
        <w:rPr>
          <w:lang w:val="es-ES"/>
        </w:rPr>
        <w:t>i</w:t>
      </w:r>
      <w:r w:rsidRPr="003961EF">
        <w:rPr>
          <w:lang w:val="es-ES"/>
        </w:rPr>
        <w:t>odo de seis a ocho semanas a partir de la publicación de la Carta Circular. Los Estados Miembros interesados presentan manifestaciones de interés a nivel oficial con la correspondiente justificación a través de su administración. La Secretaría les proporciona un modelo de Acuerdo de País Anfitrión e información sobre el presupuesto y las instalaciones, según proceda.</w:t>
      </w:r>
    </w:p>
    <w:p w14:paraId="7B3AE698" w14:textId="5DD13BB7" w:rsidR="00EF4159" w:rsidRPr="003961EF" w:rsidRDefault="00EF4159" w:rsidP="004F25D7">
      <w:pPr>
        <w:pStyle w:val="enumlev1"/>
        <w:jc w:val="both"/>
        <w:rPr>
          <w:lang w:val="es-ES"/>
        </w:rPr>
      </w:pPr>
      <w:r w:rsidRPr="003961EF">
        <w:rPr>
          <w:lang w:val="es-ES"/>
        </w:rPr>
        <w:t>–</w:t>
      </w:r>
      <w:r w:rsidRPr="003961EF">
        <w:rPr>
          <w:lang w:val="es-ES"/>
        </w:rPr>
        <w:tab/>
      </w:r>
      <w:r w:rsidRPr="003961EF">
        <w:rPr>
          <w:b/>
          <w:bCs/>
          <w:lang w:val="es-ES"/>
        </w:rPr>
        <w:t>Presentación de propuestas oficiales</w:t>
      </w:r>
      <w:r w:rsidRPr="003961EF">
        <w:rPr>
          <w:lang w:val="es-ES"/>
        </w:rPr>
        <w:t xml:space="preserve"> antes de (final del año natural). Los Estados </w:t>
      </w:r>
      <w:r w:rsidR="007863BF" w:rsidRPr="003961EF">
        <w:rPr>
          <w:lang w:val="es-ES"/>
        </w:rPr>
        <w:t xml:space="preserve">Miembros </w:t>
      </w:r>
      <w:r w:rsidRPr="003961EF">
        <w:rPr>
          <w:lang w:val="es-ES"/>
        </w:rPr>
        <w:t>interesados deben presentar una oferta oficial a través de su administración o misión permanente. La oferta debe incluir una carta de intención oficial que mencione el compromiso del gobierno de apoyar la conferencia o asamblea de que se trate; información pormenorizada sobre las instalaciones, en particular los lugares de celebración, alojamiento, transporte y seguridad, de conformidad con el acuerdo de país anfitrión más reciente pertinente</w:t>
      </w:r>
      <w:r w:rsidR="007863BF" w:rsidRPr="003961EF">
        <w:rPr>
          <w:lang w:val="es-ES"/>
        </w:rPr>
        <w:t>,</w:t>
      </w:r>
      <w:r w:rsidRPr="003961EF">
        <w:rPr>
          <w:lang w:val="es-ES"/>
        </w:rPr>
        <w:t xml:space="preserve"> y garantías financieras para sufragar los costes de la conferencia.</w:t>
      </w:r>
    </w:p>
    <w:p w14:paraId="50DE59EE" w14:textId="1DAD5E1D" w:rsidR="00EF4159" w:rsidRPr="003961EF" w:rsidRDefault="00EF4159" w:rsidP="004F25D7">
      <w:pPr>
        <w:pStyle w:val="enumlev1"/>
        <w:jc w:val="both"/>
        <w:rPr>
          <w:lang w:val="es-ES"/>
        </w:rPr>
      </w:pPr>
      <w:r w:rsidRPr="003961EF">
        <w:rPr>
          <w:lang w:val="es-ES"/>
        </w:rPr>
        <w:t>–</w:t>
      </w:r>
      <w:r w:rsidRPr="003961EF">
        <w:rPr>
          <w:lang w:val="es-ES"/>
        </w:rPr>
        <w:tab/>
        <w:t>Las propuestas oficiales se publicarán en el portal web del país anfitrión en un plazo de 12 días a partir del plazo de presentación de propuestas oficiales. Toda propuesta presentada al margen de este proceso se publicará en el citado portal web tras su recepción, con un descargo de responsabilidad al respecto.</w:t>
      </w:r>
    </w:p>
    <w:p w14:paraId="3CCCEE51" w14:textId="22494642" w:rsidR="00EF4159" w:rsidRPr="003961EF" w:rsidRDefault="00EF4159" w:rsidP="009C7C05">
      <w:pPr>
        <w:pStyle w:val="Headingb"/>
        <w:rPr>
          <w:lang w:val="es-ES"/>
        </w:rPr>
      </w:pPr>
      <w:r w:rsidRPr="003961EF">
        <w:rPr>
          <w:lang w:val="es-ES"/>
        </w:rPr>
        <w:t>3</w:t>
      </w:r>
      <w:r w:rsidRPr="003961EF">
        <w:rPr>
          <w:lang w:val="es-ES"/>
        </w:rPr>
        <w:tab/>
        <w:t>Diligencia debida del informe</w:t>
      </w:r>
    </w:p>
    <w:p w14:paraId="24F2AEF7" w14:textId="77777777" w:rsidR="00EF4159" w:rsidRPr="003961EF" w:rsidRDefault="00EF4159" w:rsidP="004F25D7">
      <w:pPr>
        <w:keepNext/>
        <w:keepLines/>
        <w:jc w:val="both"/>
        <w:rPr>
          <w:lang w:val="es-ES"/>
        </w:rPr>
      </w:pPr>
      <w:r w:rsidRPr="003961EF">
        <w:rPr>
          <w:lang w:val="es-ES"/>
        </w:rPr>
        <w:t xml:space="preserve">Tras el plazo de presentación de propuestas oficiales, la secretaría revisa todas las propuestas oficiales recibidas a fin de determinar si el posible país anfitrión cumple los requisitos mínimos, y lleva a cabo una evaluación. La secretaría podrá realizar una visita inicial al lugar o solicitar información adicional a los países candidatos si fuera necesario, proceso durante el cual un candidato anfitrión podrá ajustar o retirar su propuesta. La secretaría presenta las propuestas de los países anfitriones, junto con el informe de diligencia debida basado en la evaluación realizada, ya sea a la PP o a la siguiente reunión del Consejo, al menos tres (3) años antes del comienzo de la conferencia. </w:t>
      </w:r>
    </w:p>
    <w:p w14:paraId="0D2F08EF" w14:textId="77777777" w:rsidR="00EF4159" w:rsidRPr="003961EF" w:rsidRDefault="00EF4159" w:rsidP="004F25D7">
      <w:pPr>
        <w:jc w:val="both"/>
        <w:rPr>
          <w:lang w:val="es-ES"/>
        </w:rPr>
      </w:pPr>
      <w:r w:rsidRPr="003961EF">
        <w:rPr>
          <w:lang w:val="es-ES"/>
        </w:rPr>
        <w:t>Toda oferta oficial que no cumpla íntegramente los requisitos en materia de organización se indicará en el informe de diligencia debida. La información pormenorizada relativa a la evaluación podrá facilitarse al posible país anfitrión o a cualquier otro país anfitrión potencial que no cumpla los requisitos, previa solicitud a la secretaría.</w:t>
      </w:r>
    </w:p>
    <w:p w14:paraId="60766C13" w14:textId="77777777" w:rsidR="00EF4159" w:rsidRPr="003961EF" w:rsidRDefault="00EF4159" w:rsidP="009C7C05">
      <w:pPr>
        <w:pStyle w:val="Headingb"/>
        <w:rPr>
          <w:lang w:val="es-ES"/>
        </w:rPr>
      </w:pPr>
      <w:r w:rsidRPr="003961EF">
        <w:rPr>
          <w:lang w:val="es-ES"/>
        </w:rPr>
        <w:lastRenderedPageBreak/>
        <w:t>4</w:t>
      </w:r>
      <w:r w:rsidRPr="003961EF">
        <w:rPr>
          <w:lang w:val="es-ES"/>
        </w:rPr>
        <w:tab/>
        <w:t>Selección del país anfitrión</w:t>
      </w:r>
    </w:p>
    <w:p w14:paraId="3A1CF808" w14:textId="575CED24" w:rsidR="00EF4159" w:rsidRPr="003961EF" w:rsidRDefault="00EF4159" w:rsidP="004F25D7">
      <w:pPr>
        <w:jc w:val="both"/>
        <w:rPr>
          <w:lang w:val="es-ES"/>
        </w:rPr>
      </w:pPr>
      <w:r w:rsidRPr="003961EF">
        <w:rPr>
          <w:lang w:val="es-ES"/>
        </w:rPr>
        <w:t xml:space="preserve">La PP o el Consejo selecciona el país anfitrión sobre la base del informe de diligencia debida y teniendo en cuenta, en la medida de lo posible, el principio de rotación geográfica. Si la selección la realiza el Consejo, se solicita el acuerdo de la mayoría de los Estados Miembros de la Unión por correspondencia a través de Carta Circular. El anfitrión seleccionado se anuncia a través de una revisión de la Resolución 77 (en el caso de la PP) o mediante un Acuerdo del Consejo y, tras la confirmación de la mayoría de los Estados </w:t>
      </w:r>
      <w:r w:rsidR="003961EF" w:rsidRPr="003961EF">
        <w:rPr>
          <w:lang w:val="es-ES"/>
        </w:rPr>
        <w:t>Miembros</w:t>
      </w:r>
      <w:r w:rsidRPr="003961EF">
        <w:rPr>
          <w:lang w:val="es-ES"/>
        </w:rPr>
        <w:t>, mediante una Carta Circular (en el caso del Consejo). A continuación, el documento pertinente se publica en el portal web.</w:t>
      </w:r>
    </w:p>
    <w:p w14:paraId="046430AA" w14:textId="77777777" w:rsidR="00EF4159" w:rsidRPr="003961EF" w:rsidRDefault="00EF4159" w:rsidP="009C7C05">
      <w:pPr>
        <w:pStyle w:val="Headingb"/>
        <w:rPr>
          <w:lang w:val="es-ES"/>
        </w:rPr>
      </w:pPr>
      <w:r w:rsidRPr="003961EF">
        <w:rPr>
          <w:lang w:val="es-ES"/>
        </w:rPr>
        <w:t>5</w:t>
      </w:r>
      <w:r w:rsidRPr="003961EF">
        <w:rPr>
          <w:lang w:val="es-ES"/>
        </w:rPr>
        <w:tab/>
        <w:t>Conclusión del acuerdo con el país anfitrión</w:t>
      </w:r>
    </w:p>
    <w:p w14:paraId="12AB9080" w14:textId="77777777" w:rsidR="00EF4159" w:rsidRPr="003961EF" w:rsidRDefault="00EF4159" w:rsidP="004F25D7">
      <w:pPr>
        <w:jc w:val="both"/>
        <w:rPr>
          <w:lang w:val="es-ES"/>
        </w:rPr>
      </w:pPr>
      <w:r w:rsidRPr="003961EF">
        <w:rPr>
          <w:lang w:val="es-ES"/>
        </w:rPr>
        <w:t xml:space="preserve">El proyecto de acuerdo de país anfitrión se comparte con el gobierno que curse la invitación, preferiblemente dos (2) años antes de la fecha propuesta para la conferencia. Se establece un comité organizador conjunto integrado por la secretaría y el anfitrión, que se reúne periódicamente para garantizar que el plan de la sede se establezca de acuerdo con los requisitos pertinentes y las necesidades en materia de TI, planificar las estrategias de seguridad, protocolo, medios y comunicación, y concluir el acuerdo del país anfitrión. </w:t>
      </w:r>
    </w:p>
    <w:p w14:paraId="5AD32E74" w14:textId="77777777" w:rsidR="00EF4159" w:rsidRPr="003961EF" w:rsidRDefault="00EF4159" w:rsidP="009C7C05">
      <w:pPr>
        <w:pStyle w:val="Headingb"/>
        <w:rPr>
          <w:lang w:val="es-ES"/>
        </w:rPr>
      </w:pPr>
      <w:r w:rsidRPr="003961EF">
        <w:rPr>
          <w:lang w:val="es-ES"/>
        </w:rPr>
        <w:t>6</w:t>
      </w:r>
      <w:r w:rsidRPr="003961EF">
        <w:rPr>
          <w:lang w:val="es-ES"/>
        </w:rPr>
        <w:tab/>
        <w:t>Firma del acuerdo de país anfitrión</w:t>
      </w:r>
    </w:p>
    <w:p w14:paraId="72A9FB91" w14:textId="77777777" w:rsidR="00EF4159" w:rsidRPr="003961EF" w:rsidRDefault="00EF4159" w:rsidP="004F25D7">
      <w:pPr>
        <w:jc w:val="both"/>
        <w:rPr>
          <w:lang w:val="es-ES"/>
        </w:rPr>
      </w:pPr>
      <w:r w:rsidRPr="003961EF">
        <w:rPr>
          <w:lang w:val="es-ES"/>
        </w:rPr>
        <w:t>El acuerdo de país anfitrión es suscrito por la UIT y el país anfitrión, preferiblemente un año antes del comienzo de la conferencia. El acuerdo de país anfitrión definitivo suscrito se publica como documento de la conferencia a más tardar en la reunión de la PP o del Consejo previa al comienzo de la conferencia. El acuerdo de país anfitrión suscrito también se publica a través del portal web del país anfitrión.</w:t>
      </w:r>
    </w:p>
    <w:p w14:paraId="7E24EB4C" w14:textId="77777777" w:rsidR="00EF4159" w:rsidRPr="003961EF" w:rsidRDefault="00EF4159" w:rsidP="00EF4159">
      <w:pPr>
        <w:pStyle w:val="Headingb"/>
        <w:rPr>
          <w:lang w:val="es-ES"/>
        </w:rPr>
      </w:pPr>
      <w:r w:rsidRPr="003961EF">
        <w:rPr>
          <w:lang w:val="es-ES"/>
        </w:rPr>
        <w:t>Coste genérico de la organización</w:t>
      </w:r>
    </w:p>
    <w:p w14:paraId="6963CC1A" w14:textId="77777777" w:rsidR="00EF4159" w:rsidRPr="003961EF" w:rsidRDefault="00EF4159" w:rsidP="007F3B05">
      <w:pPr>
        <w:pStyle w:val="Headingi"/>
        <w:rPr>
          <w:lang w:val="es-ES"/>
        </w:rPr>
      </w:pPr>
      <w:r w:rsidRPr="003961EF">
        <w:rPr>
          <w:lang w:val="es-ES"/>
        </w:rPr>
        <w:t>Costes principales</w:t>
      </w:r>
    </w:p>
    <w:p w14:paraId="3499E746" w14:textId="77777777" w:rsidR="00EF4159" w:rsidRPr="003961EF" w:rsidRDefault="00EF4159" w:rsidP="004F25D7">
      <w:pPr>
        <w:jc w:val="both"/>
        <w:rPr>
          <w:lang w:val="es-ES"/>
        </w:rPr>
      </w:pPr>
      <w:r w:rsidRPr="003961EF">
        <w:rPr>
          <w:lang w:val="es-ES"/>
        </w:rPr>
        <w:t>Los principales costes asociados a la organización de una conferencia o asamblea son gestionados por el propio país anfitrión e incluyen el alquiler de las instalaciones de la conferencia, la infraestructura, el transporte y el personal local, así como el coste relacionado con todos los requisitos adicionales que figuran en el acuerdo de país anfitrión, incluidos sus anexos. Los costes pueden variar considerablemente en función del evento de que se trate, al depender del país anfitrión y de su sede, organización, personal y proveedores de servicios, y cada administración de los Estados Miembros puede computarlos de forma diferente.</w:t>
      </w:r>
    </w:p>
    <w:p w14:paraId="0F4A3C81" w14:textId="77777777" w:rsidR="00EF4159" w:rsidRPr="003961EF" w:rsidRDefault="00EF4159" w:rsidP="004F25D7">
      <w:pPr>
        <w:pStyle w:val="Headingi"/>
        <w:rPr>
          <w:lang w:val="es-ES"/>
        </w:rPr>
      </w:pPr>
      <w:r w:rsidRPr="003961EF">
        <w:rPr>
          <w:lang w:val="es-ES"/>
        </w:rPr>
        <w:t>Requisitos financieros directos de la UIT</w:t>
      </w:r>
    </w:p>
    <w:p w14:paraId="2DFFCCB3" w14:textId="6008A5D8" w:rsidR="00EF4159" w:rsidRPr="003961EF" w:rsidRDefault="00EF4159" w:rsidP="004F25D7">
      <w:pPr>
        <w:jc w:val="both"/>
        <w:rPr>
          <w:lang w:val="es-ES"/>
        </w:rPr>
      </w:pPr>
      <w:r w:rsidRPr="003961EF">
        <w:rPr>
          <w:lang w:val="es-ES"/>
        </w:rPr>
        <w:t>Por otro lado, en el Anexo 1 del acuerdo de país anfitrión se detallan los requisitos financieros directos de la UIT para la organización de una conferencia o asamblea, que representan los costes adicionales de la UIT para celebrar un evento en Ginebra, y que el anfitrión debe reembolsar a la UIT en virtud de lo dispuesto en la Resolución 5 de la PP (</w:t>
      </w:r>
      <w:proofErr w:type="spellStart"/>
      <w:r w:rsidRPr="003961EF">
        <w:rPr>
          <w:lang w:val="es-ES"/>
        </w:rPr>
        <w:t>Kyoto</w:t>
      </w:r>
      <w:proofErr w:type="spellEnd"/>
      <w:r w:rsidRPr="003961EF">
        <w:rPr>
          <w:lang w:val="es-ES"/>
        </w:rPr>
        <w:t>, 1994).</w:t>
      </w:r>
    </w:p>
    <w:p w14:paraId="495CAC78" w14:textId="77777777" w:rsidR="00EF4159" w:rsidRPr="003961EF" w:rsidRDefault="00EF4159" w:rsidP="004F25D7">
      <w:pPr>
        <w:jc w:val="both"/>
        <w:rPr>
          <w:lang w:val="es-ES"/>
        </w:rPr>
      </w:pPr>
      <w:r w:rsidRPr="003961EF">
        <w:rPr>
          <w:lang w:val="es-ES"/>
        </w:rPr>
        <w:t>Dichos costes se refieren a gastos de viaje y dietas del personal de la UIT y varían considerablemente en función del alcance y del tipo de conferencia o asamblea, la distancia desde Ginebra y el coste de los billetes de avión, así como del alojamiento en la ciudad anfitriona. Los gastos adicionales guardan relación con el transporte y el envío de equipos y materiales, así como con provisiones para gastos de índole diversa.</w:t>
      </w:r>
    </w:p>
    <w:p w14:paraId="43A645C1" w14:textId="37EB578C" w:rsidR="00EF4159" w:rsidRPr="003961EF" w:rsidRDefault="00EF4159" w:rsidP="004F25D7">
      <w:pPr>
        <w:spacing w:after="120"/>
        <w:jc w:val="both"/>
        <w:rPr>
          <w:lang w:val="es-ES"/>
        </w:rPr>
      </w:pPr>
      <w:r w:rsidRPr="003961EF">
        <w:rPr>
          <w:lang w:val="es-ES"/>
        </w:rPr>
        <w:lastRenderedPageBreak/>
        <w:t>A título indicativo, en el cuadro que figura a continuación se recogen los gastos reembolsables de la UIT que debe sufragar el país anfitrión en virtud de lo dispuesto en la Resolución 5 (</w:t>
      </w:r>
      <w:proofErr w:type="spellStart"/>
      <w:r w:rsidRPr="003961EF">
        <w:rPr>
          <w:lang w:val="es-ES"/>
        </w:rPr>
        <w:t>Kyoto</w:t>
      </w:r>
      <w:proofErr w:type="spellEnd"/>
      <w:r w:rsidRPr="003961EF">
        <w:rPr>
          <w:lang w:val="es-ES"/>
        </w:rPr>
        <w:t>, 1994), con arreglo al acuerdo de país anfitrión más reciente suscrito para cada conferencia o asamblea.</w:t>
      </w:r>
    </w:p>
    <w:tbl>
      <w:tblPr>
        <w:tblStyle w:val="TableGrid"/>
        <w:tblW w:w="9198" w:type="dxa"/>
        <w:tblLook w:val="04A0" w:firstRow="1" w:lastRow="0" w:firstColumn="1" w:lastColumn="0" w:noHBand="0" w:noVBand="1"/>
      </w:tblPr>
      <w:tblGrid>
        <w:gridCol w:w="2505"/>
        <w:gridCol w:w="3030"/>
        <w:gridCol w:w="3663"/>
      </w:tblGrid>
      <w:tr w:rsidR="00132A48" w:rsidRPr="005C0D8E" w14:paraId="2D446255" w14:textId="77777777" w:rsidTr="0006060D">
        <w:tc>
          <w:tcPr>
            <w:tcW w:w="2505" w:type="dxa"/>
          </w:tcPr>
          <w:p w14:paraId="26AF9A45" w14:textId="77777777" w:rsidR="00132A48" w:rsidRPr="003961EF" w:rsidRDefault="00132A48" w:rsidP="0006060D">
            <w:pPr>
              <w:pStyle w:val="Tablehead"/>
              <w:rPr>
                <w:rFonts w:asciiTheme="minorHAnsi" w:eastAsiaTheme="minorEastAsia" w:hAnsiTheme="minorHAnsi"/>
                <w:bCs/>
                <w:lang w:val="es-ES"/>
              </w:rPr>
            </w:pPr>
            <w:r w:rsidRPr="003961EF">
              <w:rPr>
                <w:lang w:val="es-ES"/>
              </w:rPr>
              <w:t>Conferencia o asamblea</w:t>
            </w:r>
          </w:p>
        </w:tc>
        <w:tc>
          <w:tcPr>
            <w:tcW w:w="3030" w:type="dxa"/>
          </w:tcPr>
          <w:p w14:paraId="39BE0ED3" w14:textId="77777777" w:rsidR="00132A48" w:rsidRPr="003961EF" w:rsidRDefault="00132A48" w:rsidP="0006060D">
            <w:pPr>
              <w:pStyle w:val="Tablehead"/>
              <w:rPr>
                <w:rFonts w:asciiTheme="minorHAnsi" w:eastAsiaTheme="minorEastAsia" w:hAnsiTheme="minorHAnsi"/>
                <w:bCs/>
                <w:lang w:val="es-ES"/>
              </w:rPr>
            </w:pPr>
            <w:r w:rsidRPr="003961EF">
              <w:rPr>
                <w:lang w:val="es-ES"/>
              </w:rPr>
              <w:t>Anfitrión y fecha</w:t>
            </w:r>
          </w:p>
        </w:tc>
        <w:tc>
          <w:tcPr>
            <w:tcW w:w="3663" w:type="dxa"/>
          </w:tcPr>
          <w:p w14:paraId="4B4B929D" w14:textId="77777777" w:rsidR="00132A48" w:rsidRPr="003961EF" w:rsidRDefault="00132A48" w:rsidP="0006060D">
            <w:pPr>
              <w:pStyle w:val="Tablehead"/>
              <w:rPr>
                <w:rFonts w:asciiTheme="minorHAnsi" w:eastAsiaTheme="minorEastAsia" w:hAnsiTheme="minorHAnsi"/>
                <w:bCs/>
                <w:lang w:val="es-ES"/>
              </w:rPr>
            </w:pPr>
            <w:r w:rsidRPr="003961EF">
              <w:rPr>
                <w:lang w:val="es-ES"/>
              </w:rPr>
              <w:t xml:space="preserve">Gastos adicionales </w:t>
            </w:r>
            <w:r w:rsidRPr="003961EF">
              <w:rPr>
                <w:rFonts w:asciiTheme="minorHAnsi" w:eastAsiaTheme="minorEastAsia" w:hAnsiTheme="minorHAnsi"/>
                <w:bCs/>
                <w:lang w:val="es-ES"/>
              </w:rPr>
              <w:t>en CHF en virtud de la Resolución 5 (</w:t>
            </w:r>
            <w:proofErr w:type="spellStart"/>
            <w:r w:rsidRPr="003961EF">
              <w:rPr>
                <w:rFonts w:asciiTheme="minorHAnsi" w:eastAsiaTheme="minorEastAsia" w:hAnsiTheme="minorHAnsi"/>
                <w:bCs/>
                <w:lang w:val="es-ES"/>
              </w:rPr>
              <w:t>Kyoto</w:t>
            </w:r>
            <w:proofErr w:type="spellEnd"/>
            <w:r w:rsidRPr="003961EF">
              <w:rPr>
                <w:rFonts w:asciiTheme="minorHAnsi" w:eastAsiaTheme="minorEastAsia" w:hAnsiTheme="minorHAnsi"/>
                <w:bCs/>
                <w:lang w:val="es-ES"/>
              </w:rPr>
              <w:t xml:space="preserve">, 1994) </w:t>
            </w:r>
          </w:p>
        </w:tc>
      </w:tr>
      <w:tr w:rsidR="00132A48" w:rsidRPr="003961EF" w14:paraId="748FC781" w14:textId="77777777" w:rsidTr="0006060D">
        <w:tc>
          <w:tcPr>
            <w:tcW w:w="2505" w:type="dxa"/>
          </w:tcPr>
          <w:p w14:paraId="337D33CB" w14:textId="77777777" w:rsidR="00132A48" w:rsidRPr="003961EF" w:rsidRDefault="00132A48" w:rsidP="003961EF">
            <w:pPr>
              <w:pStyle w:val="Tabletext"/>
              <w:jc w:val="center"/>
              <w:rPr>
                <w:lang w:val="es-ES"/>
              </w:rPr>
            </w:pPr>
            <w:proofErr w:type="spellStart"/>
            <w:r w:rsidRPr="003961EF">
              <w:rPr>
                <w:lang w:val="es-ES"/>
              </w:rPr>
              <w:t>CMDT</w:t>
            </w:r>
            <w:proofErr w:type="spellEnd"/>
          </w:p>
        </w:tc>
        <w:tc>
          <w:tcPr>
            <w:tcW w:w="3030" w:type="dxa"/>
          </w:tcPr>
          <w:p w14:paraId="6538AF36" w14:textId="77777777" w:rsidR="00132A48" w:rsidRPr="003961EF" w:rsidRDefault="00132A48" w:rsidP="003961EF">
            <w:pPr>
              <w:pStyle w:val="Tabletext"/>
              <w:rPr>
                <w:lang w:val="es-ES"/>
              </w:rPr>
            </w:pPr>
            <w:r w:rsidRPr="003961EF">
              <w:rPr>
                <w:lang w:val="es-ES"/>
              </w:rPr>
              <w:t>Azerbaiyán, 2025</w:t>
            </w:r>
          </w:p>
        </w:tc>
        <w:tc>
          <w:tcPr>
            <w:tcW w:w="3663" w:type="dxa"/>
          </w:tcPr>
          <w:p w14:paraId="4AA69ADC" w14:textId="77777777" w:rsidR="00132A48" w:rsidRPr="003961EF" w:rsidRDefault="00132A48" w:rsidP="003961EF">
            <w:pPr>
              <w:pStyle w:val="Tabletext"/>
              <w:jc w:val="center"/>
              <w:rPr>
                <w:lang w:val="es-ES"/>
              </w:rPr>
            </w:pPr>
            <w:r w:rsidRPr="003961EF">
              <w:rPr>
                <w:lang w:val="es-ES"/>
              </w:rPr>
              <w:t>1 099 000</w:t>
            </w:r>
          </w:p>
        </w:tc>
      </w:tr>
      <w:tr w:rsidR="00132A48" w:rsidRPr="003961EF" w14:paraId="0EC0A65A" w14:textId="77777777" w:rsidTr="0006060D">
        <w:tc>
          <w:tcPr>
            <w:tcW w:w="2505" w:type="dxa"/>
          </w:tcPr>
          <w:p w14:paraId="4AE59B0C" w14:textId="77777777" w:rsidR="00132A48" w:rsidRPr="003961EF" w:rsidRDefault="00132A48" w:rsidP="003961EF">
            <w:pPr>
              <w:pStyle w:val="Tabletext"/>
              <w:jc w:val="center"/>
              <w:rPr>
                <w:lang w:val="es-ES"/>
              </w:rPr>
            </w:pPr>
            <w:proofErr w:type="spellStart"/>
            <w:r w:rsidRPr="003961EF">
              <w:rPr>
                <w:lang w:val="es-ES"/>
              </w:rPr>
              <w:t>AMNT</w:t>
            </w:r>
            <w:proofErr w:type="spellEnd"/>
          </w:p>
        </w:tc>
        <w:tc>
          <w:tcPr>
            <w:tcW w:w="3030" w:type="dxa"/>
          </w:tcPr>
          <w:p w14:paraId="6579E683" w14:textId="77777777" w:rsidR="00132A48" w:rsidRPr="003961EF" w:rsidRDefault="00132A48" w:rsidP="003961EF">
            <w:pPr>
              <w:pStyle w:val="Tabletext"/>
              <w:rPr>
                <w:lang w:val="es-ES"/>
              </w:rPr>
            </w:pPr>
            <w:r w:rsidRPr="003961EF">
              <w:rPr>
                <w:lang w:val="es-ES"/>
              </w:rPr>
              <w:t>India, 2024</w:t>
            </w:r>
          </w:p>
        </w:tc>
        <w:tc>
          <w:tcPr>
            <w:tcW w:w="3663" w:type="dxa"/>
          </w:tcPr>
          <w:p w14:paraId="108D108D" w14:textId="77777777" w:rsidR="00132A48" w:rsidRPr="003961EF" w:rsidRDefault="00132A48" w:rsidP="003961EF">
            <w:pPr>
              <w:pStyle w:val="Tabletext"/>
              <w:jc w:val="center"/>
              <w:rPr>
                <w:lang w:val="es-ES"/>
              </w:rPr>
            </w:pPr>
            <w:r w:rsidRPr="003961EF">
              <w:rPr>
                <w:lang w:val="es-ES"/>
              </w:rPr>
              <w:t>995 000</w:t>
            </w:r>
          </w:p>
        </w:tc>
      </w:tr>
      <w:tr w:rsidR="00132A48" w:rsidRPr="003961EF" w14:paraId="77914C19" w14:textId="77777777" w:rsidTr="0006060D">
        <w:tc>
          <w:tcPr>
            <w:tcW w:w="2505" w:type="dxa"/>
          </w:tcPr>
          <w:p w14:paraId="0FBA75DB" w14:textId="77777777" w:rsidR="00132A48" w:rsidRPr="003961EF" w:rsidRDefault="00132A48" w:rsidP="003961EF">
            <w:pPr>
              <w:pStyle w:val="Tabletext"/>
              <w:jc w:val="center"/>
              <w:rPr>
                <w:lang w:val="es-ES"/>
              </w:rPr>
            </w:pPr>
            <w:proofErr w:type="spellStart"/>
            <w:r w:rsidRPr="003961EF">
              <w:rPr>
                <w:lang w:val="es-ES"/>
              </w:rPr>
              <w:t>CMR</w:t>
            </w:r>
            <w:proofErr w:type="spellEnd"/>
          </w:p>
        </w:tc>
        <w:tc>
          <w:tcPr>
            <w:tcW w:w="3030" w:type="dxa"/>
          </w:tcPr>
          <w:p w14:paraId="7F481E02" w14:textId="77777777" w:rsidR="00132A48" w:rsidRPr="003961EF" w:rsidRDefault="00132A48" w:rsidP="003961EF">
            <w:pPr>
              <w:pStyle w:val="Tabletext"/>
              <w:rPr>
                <w:lang w:val="es-ES"/>
              </w:rPr>
            </w:pPr>
            <w:r w:rsidRPr="003961EF">
              <w:rPr>
                <w:lang w:val="es-ES"/>
              </w:rPr>
              <w:t>Emiratos Árabes Unidos, 2023</w:t>
            </w:r>
          </w:p>
        </w:tc>
        <w:tc>
          <w:tcPr>
            <w:tcW w:w="3663" w:type="dxa"/>
          </w:tcPr>
          <w:p w14:paraId="0CB42F90" w14:textId="77777777" w:rsidR="00132A48" w:rsidRPr="003961EF" w:rsidRDefault="00132A48" w:rsidP="003961EF">
            <w:pPr>
              <w:pStyle w:val="Tabletext"/>
              <w:jc w:val="center"/>
              <w:rPr>
                <w:lang w:val="es-ES"/>
              </w:rPr>
            </w:pPr>
            <w:r w:rsidRPr="003961EF">
              <w:rPr>
                <w:lang w:val="es-ES"/>
              </w:rPr>
              <w:t>3 587 000</w:t>
            </w:r>
          </w:p>
        </w:tc>
      </w:tr>
      <w:tr w:rsidR="00132A48" w:rsidRPr="003961EF" w14:paraId="312EA312" w14:textId="77777777" w:rsidTr="0006060D">
        <w:tc>
          <w:tcPr>
            <w:tcW w:w="2505" w:type="dxa"/>
          </w:tcPr>
          <w:p w14:paraId="1C216268" w14:textId="77777777" w:rsidR="00132A48" w:rsidRPr="003961EF" w:rsidRDefault="00132A48" w:rsidP="003961EF">
            <w:pPr>
              <w:pStyle w:val="Tabletext"/>
              <w:jc w:val="center"/>
              <w:rPr>
                <w:lang w:val="es-ES"/>
              </w:rPr>
            </w:pPr>
            <w:r w:rsidRPr="003961EF">
              <w:rPr>
                <w:lang w:val="es-ES"/>
              </w:rPr>
              <w:t>PP</w:t>
            </w:r>
          </w:p>
        </w:tc>
        <w:tc>
          <w:tcPr>
            <w:tcW w:w="3030" w:type="dxa"/>
          </w:tcPr>
          <w:p w14:paraId="47C8E50E" w14:textId="77777777" w:rsidR="00132A48" w:rsidRPr="003961EF" w:rsidRDefault="00132A48" w:rsidP="003961EF">
            <w:pPr>
              <w:pStyle w:val="Tabletext"/>
              <w:rPr>
                <w:lang w:val="es-ES"/>
              </w:rPr>
            </w:pPr>
            <w:r w:rsidRPr="003961EF">
              <w:rPr>
                <w:lang w:val="es-ES"/>
              </w:rPr>
              <w:t>Rumanía, 2022</w:t>
            </w:r>
          </w:p>
        </w:tc>
        <w:tc>
          <w:tcPr>
            <w:tcW w:w="3663" w:type="dxa"/>
          </w:tcPr>
          <w:p w14:paraId="0108298C" w14:textId="77777777" w:rsidR="00132A48" w:rsidRPr="003961EF" w:rsidRDefault="00132A48" w:rsidP="003961EF">
            <w:pPr>
              <w:pStyle w:val="Tabletext"/>
              <w:jc w:val="center"/>
              <w:rPr>
                <w:lang w:val="es-ES"/>
              </w:rPr>
            </w:pPr>
            <w:r w:rsidRPr="003961EF">
              <w:rPr>
                <w:lang w:val="es-ES"/>
              </w:rPr>
              <w:t>1 271 700</w:t>
            </w:r>
          </w:p>
        </w:tc>
      </w:tr>
    </w:tbl>
    <w:p w14:paraId="37680085" w14:textId="77777777" w:rsidR="004F25D7" w:rsidRDefault="004F25D7" w:rsidP="004F25D7">
      <w:pPr>
        <w:pStyle w:val="Tablefin"/>
      </w:pPr>
    </w:p>
    <w:p w14:paraId="11BEBB7F" w14:textId="7DB585A4" w:rsidR="00132A48" w:rsidRPr="003961EF" w:rsidRDefault="00132A48" w:rsidP="007F3B05">
      <w:pPr>
        <w:jc w:val="both"/>
        <w:rPr>
          <w:lang w:val="es-ES"/>
        </w:rPr>
      </w:pPr>
      <w:r w:rsidRPr="003961EF">
        <w:rPr>
          <w:lang w:val="es-ES"/>
        </w:rPr>
        <w:t>La secretaría está plenamente comprometida con los esfuerzos en curso para reducir, en la medida de lo posible, la carga financiera que recae sobre los países anfitriones (Documentos</w:t>
      </w:r>
      <w:r w:rsidR="007F3B05">
        <w:rPr>
          <w:lang w:val="es-ES"/>
        </w:rPr>
        <w:t> </w:t>
      </w:r>
      <w:proofErr w:type="spellStart"/>
      <w:r>
        <w:fldChar w:fldCharType="begin"/>
      </w:r>
      <w:r w:rsidRPr="005C0D8E">
        <w:rPr>
          <w:lang w:val="es-ES"/>
        </w:rPr>
        <w:instrText>HYPERLINK "https://www.itu.int/md/S25-CL-C-0095/es"</w:instrText>
      </w:r>
      <w:r>
        <w:fldChar w:fldCharType="separate"/>
      </w:r>
      <w:r w:rsidRPr="003961EF">
        <w:rPr>
          <w:rStyle w:val="Hyperlink"/>
          <w:rFonts w:eastAsia="Times New Roman" w:cs="Times New Roman"/>
          <w:szCs w:val="20"/>
          <w:lang w:val="es-ES"/>
        </w:rPr>
        <w:t>C25</w:t>
      </w:r>
      <w:proofErr w:type="spellEnd"/>
      <w:r w:rsidRPr="003961EF">
        <w:rPr>
          <w:rStyle w:val="Hyperlink"/>
          <w:rFonts w:eastAsia="Times New Roman" w:cs="Times New Roman"/>
          <w:szCs w:val="20"/>
          <w:lang w:val="es-ES"/>
        </w:rPr>
        <w:t>/95</w:t>
      </w:r>
      <w:r>
        <w:fldChar w:fldCharType="end"/>
      </w:r>
      <w:r w:rsidRPr="003961EF">
        <w:rPr>
          <w:lang w:val="es-ES"/>
        </w:rPr>
        <w:t xml:space="preserve">, </w:t>
      </w:r>
      <w:hyperlink r:id="rId19" w:history="1">
        <w:proofErr w:type="spellStart"/>
        <w:r w:rsidRPr="003961EF">
          <w:rPr>
            <w:rStyle w:val="Hyperlink"/>
            <w:rFonts w:eastAsia="Times New Roman" w:cs="Times New Roman"/>
            <w:szCs w:val="20"/>
            <w:lang w:val="es-ES"/>
          </w:rPr>
          <w:t>CWG</w:t>
        </w:r>
        <w:proofErr w:type="spellEnd"/>
        <w:r w:rsidRPr="003961EF">
          <w:rPr>
            <w:rStyle w:val="Hyperlink"/>
            <w:rFonts w:eastAsia="Times New Roman" w:cs="Times New Roman"/>
            <w:szCs w:val="20"/>
            <w:lang w:val="es-ES"/>
          </w:rPr>
          <w:t>-</w:t>
        </w:r>
        <w:proofErr w:type="spellStart"/>
        <w:r w:rsidRPr="003961EF">
          <w:rPr>
            <w:rStyle w:val="Hyperlink"/>
            <w:rFonts w:eastAsia="Times New Roman" w:cs="Times New Roman"/>
            <w:szCs w:val="20"/>
            <w:lang w:val="es-ES"/>
          </w:rPr>
          <w:t>FHR</w:t>
        </w:r>
        <w:proofErr w:type="spellEnd"/>
        <w:r w:rsidRPr="003961EF">
          <w:rPr>
            <w:rStyle w:val="Hyperlink"/>
            <w:rFonts w:eastAsia="Times New Roman" w:cs="Times New Roman"/>
            <w:szCs w:val="20"/>
            <w:lang w:val="es-ES"/>
          </w:rPr>
          <w:t>-21/8</w:t>
        </w:r>
      </w:hyperlink>
      <w:r w:rsidRPr="003961EF">
        <w:rPr>
          <w:lang w:val="es-ES"/>
        </w:rPr>
        <w:t xml:space="preserve"> y </w:t>
      </w:r>
      <w:hyperlink r:id="rId20" w:history="1">
        <w:proofErr w:type="spellStart"/>
        <w:r w:rsidRPr="003961EF">
          <w:rPr>
            <w:rStyle w:val="Hyperlink"/>
            <w:rFonts w:eastAsia="Times New Roman" w:cs="Times New Roman"/>
            <w:szCs w:val="20"/>
            <w:lang w:val="es-ES"/>
          </w:rPr>
          <w:t>CWG</w:t>
        </w:r>
        <w:proofErr w:type="spellEnd"/>
        <w:r w:rsidRPr="003961EF">
          <w:rPr>
            <w:rStyle w:val="Hyperlink"/>
            <w:rFonts w:eastAsia="Times New Roman" w:cs="Times New Roman"/>
            <w:szCs w:val="20"/>
            <w:lang w:val="es-ES"/>
          </w:rPr>
          <w:t>-</w:t>
        </w:r>
        <w:proofErr w:type="spellStart"/>
        <w:r w:rsidRPr="003961EF">
          <w:rPr>
            <w:rStyle w:val="Hyperlink"/>
            <w:rFonts w:eastAsia="Times New Roman" w:cs="Times New Roman"/>
            <w:szCs w:val="20"/>
            <w:lang w:val="es-ES"/>
          </w:rPr>
          <w:t>FHR</w:t>
        </w:r>
        <w:proofErr w:type="spellEnd"/>
        <w:r w:rsidRPr="003961EF">
          <w:rPr>
            <w:rStyle w:val="Hyperlink"/>
            <w:rFonts w:eastAsia="Times New Roman" w:cs="Times New Roman"/>
            <w:szCs w:val="20"/>
            <w:lang w:val="es-ES"/>
          </w:rPr>
          <w:t>-22/19</w:t>
        </w:r>
      </w:hyperlink>
      <w:r w:rsidRPr="003961EF">
        <w:rPr>
          <w:lang w:val="es-ES"/>
        </w:rPr>
        <w:t>).</w:t>
      </w:r>
    </w:p>
    <w:p w14:paraId="5D2BB51A" w14:textId="77777777" w:rsidR="00132A48" w:rsidRPr="003961EF" w:rsidRDefault="00132A48" w:rsidP="00132A48">
      <w:pPr>
        <w:pStyle w:val="Headingb"/>
        <w:rPr>
          <w:lang w:val="es-ES"/>
        </w:rPr>
      </w:pPr>
      <w:r w:rsidRPr="003961EF">
        <w:rPr>
          <w:lang w:val="es-ES"/>
        </w:rPr>
        <w:t>Portal web</w:t>
      </w:r>
    </w:p>
    <w:p w14:paraId="70CF8899" w14:textId="3A222C17" w:rsidR="00132A48" w:rsidRPr="003961EF" w:rsidRDefault="00132A48" w:rsidP="004F25D7">
      <w:pPr>
        <w:jc w:val="both"/>
        <w:rPr>
          <w:lang w:val="es-ES"/>
        </w:rPr>
      </w:pPr>
      <w:r w:rsidRPr="003961EF">
        <w:rPr>
          <w:lang w:val="es-ES"/>
        </w:rPr>
        <w:t xml:space="preserve">El </w:t>
      </w:r>
      <w:hyperlink r:id="rId21" w:anchor="/es" w:history="1">
        <w:r w:rsidRPr="003961EF">
          <w:rPr>
            <w:rStyle w:val="Hyperlink"/>
            <w:rFonts w:eastAsia="Times New Roman" w:cs="Times New Roman"/>
            <w:szCs w:val="20"/>
            <w:lang w:val="es-ES"/>
          </w:rPr>
          <w:t>portal web</w:t>
        </w:r>
      </w:hyperlink>
      <w:r w:rsidRPr="003961EF">
        <w:rPr>
          <w:lang w:val="es-ES"/>
        </w:rPr>
        <w:t xml:space="preserve"> estará disponible a través de la página del Consejo y se actualizará con información pertinente sobre los próximos eventos, el acuerdo de país anfitrión más reciente suscrito para cada conferencia y cualquier propuesta oficial recibida de conformidad con este proceso, así como toda propuesta recibida fuera de plazo con un aviso al respecto.</w:t>
      </w:r>
    </w:p>
    <w:p w14:paraId="64B853D6" w14:textId="77777777" w:rsidR="00132A48" w:rsidRPr="003961EF" w:rsidRDefault="00132A48" w:rsidP="00132A48">
      <w:pPr>
        <w:pStyle w:val="Headingb"/>
        <w:rPr>
          <w:lang w:val="es-ES"/>
        </w:rPr>
      </w:pPr>
      <w:r w:rsidRPr="003961EF">
        <w:rPr>
          <w:lang w:val="es-ES"/>
        </w:rPr>
        <w:t>Aplicación</w:t>
      </w:r>
    </w:p>
    <w:p w14:paraId="0E751522" w14:textId="77777777" w:rsidR="00132A48" w:rsidRPr="003961EF" w:rsidRDefault="00132A48" w:rsidP="007F3B05">
      <w:pPr>
        <w:jc w:val="both"/>
        <w:rPr>
          <w:lang w:val="es-ES"/>
        </w:rPr>
      </w:pPr>
      <w:r w:rsidRPr="003961EF">
        <w:rPr>
          <w:lang w:val="es-ES"/>
        </w:rPr>
        <w:t xml:space="preserve">Si se aprueba el marco de selección propuesto, incluidas las fechas pertinentes para ello, el proceso íntegro, el calendario y los documentos de apoyo se incluirán asimismo en el portal web. Habida cuenta de los plazos del proceso, se propone que el marco de selección anteriormente descrito se aplique a las conferencias que se celebren a partir de 2031. </w:t>
      </w:r>
    </w:p>
    <w:p w14:paraId="3CB86B67" w14:textId="77777777" w:rsidR="00132A48" w:rsidRPr="003961EF" w:rsidRDefault="00132A48" w:rsidP="007F3B05">
      <w:pPr>
        <w:jc w:val="both"/>
        <w:rPr>
          <w:lang w:val="es-ES"/>
        </w:rPr>
      </w:pPr>
      <w:r w:rsidRPr="003961EF">
        <w:rPr>
          <w:lang w:val="es-ES"/>
        </w:rPr>
        <w:t xml:space="preserve">Para los eventos anteriores a 2031 se aplicará la práctica actual, y todas las manifestaciones de interés se publicarán en el portal web. </w:t>
      </w:r>
    </w:p>
    <w:p w14:paraId="09FD3526" w14:textId="77777777" w:rsidR="00132A48" w:rsidRPr="003961EF" w:rsidRDefault="00132A48" w:rsidP="00132A48">
      <w:pPr>
        <w:pStyle w:val="Headingb"/>
        <w:rPr>
          <w:lang w:val="es-ES"/>
        </w:rPr>
      </w:pPr>
      <w:r w:rsidRPr="003961EF">
        <w:rPr>
          <w:lang w:val="es-ES"/>
        </w:rPr>
        <w:t>Información complementaria</w:t>
      </w:r>
    </w:p>
    <w:p w14:paraId="5A8A76F7" w14:textId="1A2C9E2D" w:rsidR="00132A48" w:rsidRPr="003961EF" w:rsidRDefault="00132A48" w:rsidP="004F25D7">
      <w:pPr>
        <w:jc w:val="both"/>
        <w:rPr>
          <w:lang w:val="es-ES"/>
        </w:rPr>
      </w:pPr>
      <w:r w:rsidRPr="003961EF">
        <w:rPr>
          <w:lang w:val="es-ES"/>
        </w:rPr>
        <w:t xml:space="preserve">El </w:t>
      </w:r>
      <w:r w:rsidR="004F25D7" w:rsidRPr="003961EF">
        <w:rPr>
          <w:lang w:val="es-ES"/>
        </w:rPr>
        <w:t xml:space="preserve">Documento </w:t>
      </w:r>
      <w:hyperlink r:id="rId22" w:history="1">
        <w:proofErr w:type="spellStart"/>
        <w:r w:rsidRPr="003961EF">
          <w:rPr>
            <w:rStyle w:val="Hyperlink"/>
            <w:rFonts w:eastAsia="Times New Roman" w:cs="Times New Roman"/>
            <w:szCs w:val="20"/>
            <w:lang w:val="es-ES"/>
          </w:rPr>
          <w:t>C26</w:t>
        </w:r>
        <w:proofErr w:type="spellEnd"/>
        <w:r w:rsidRPr="003961EF">
          <w:rPr>
            <w:rStyle w:val="Hyperlink"/>
            <w:rFonts w:eastAsia="Times New Roman" w:cs="Times New Roman"/>
            <w:szCs w:val="20"/>
            <w:lang w:val="es-ES"/>
          </w:rPr>
          <w:t>/INF/4</w:t>
        </w:r>
      </w:hyperlink>
      <w:r w:rsidRPr="003961EF">
        <w:rPr>
          <w:lang w:val="es-ES"/>
        </w:rPr>
        <w:t xml:space="preserve"> proporciona información adicional de apoyo a esta propuesta e incluye un calendario del proceso de selección en un cuadro basado en una conferencia prevista para 2031 (Anexo A); un cuadro comparativo de requisitos indicativos por conferencia o asamblea sobre la base de los anexos del acuerdo de país anfitrión más reciente suscrito de la conferencia respectiva (Anexo B)</w:t>
      </w:r>
      <w:r w:rsidR="003961EF">
        <w:rPr>
          <w:lang w:val="es-ES"/>
        </w:rPr>
        <w:t>,</w:t>
      </w:r>
      <w:r w:rsidRPr="003961EF">
        <w:rPr>
          <w:lang w:val="es-ES"/>
        </w:rPr>
        <w:t xml:space="preserve"> y un ejemplo de evaluación (Anexo C).</w:t>
      </w:r>
    </w:p>
    <w:p w14:paraId="105EE8E2" w14:textId="77777777" w:rsidR="00F92BED" w:rsidRPr="003961EF" w:rsidRDefault="00F92BED" w:rsidP="0032202E">
      <w:pPr>
        <w:pStyle w:val="Reasons"/>
        <w:rPr>
          <w:lang w:val="es-ES"/>
        </w:rPr>
      </w:pPr>
    </w:p>
    <w:p w14:paraId="2418D7C8" w14:textId="77777777" w:rsidR="00F92BED" w:rsidRPr="003961EF" w:rsidRDefault="00F92BED" w:rsidP="00F92BED">
      <w:pPr>
        <w:jc w:val="center"/>
        <w:rPr>
          <w:lang w:val="es-ES"/>
        </w:rPr>
      </w:pPr>
      <w:r w:rsidRPr="003961EF">
        <w:rPr>
          <w:lang w:val="es-ES"/>
        </w:rPr>
        <w:t>______________</w:t>
      </w:r>
    </w:p>
    <w:sectPr w:rsidR="00F92BED" w:rsidRPr="003961EF" w:rsidSect="00C538FC">
      <w:footerReference w:type="default" r:id="rId23"/>
      <w:headerReference w:type="first" r:id="rId24"/>
      <w:footerReference w:type="first" r:id="rId2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7CD44" w14:textId="77777777" w:rsidR="003C51F1" w:rsidRDefault="003C51F1">
      <w:r>
        <w:separator/>
      </w:r>
    </w:p>
  </w:endnote>
  <w:endnote w:type="continuationSeparator" w:id="0">
    <w:p w14:paraId="6FA67C64" w14:textId="77777777" w:rsidR="003C51F1" w:rsidRDefault="003C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C07CC04" w14:textId="77777777" w:rsidTr="00E31DCE">
      <w:trPr>
        <w:jc w:val="center"/>
      </w:trPr>
      <w:tc>
        <w:tcPr>
          <w:tcW w:w="1803" w:type="dxa"/>
          <w:vAlign w:val="center"/>
        </w:tcPr>
        <w:p w14:paraId="2F31469C" w14:textId="77777777" w:rsidR="003273A4" w:rsidRDefault="002946E2" w:rsidP="003273A4">
          <w:pPr>
            <w:pStyle w:val="Header"/>
            <w:jc w:val="left"/>
            <w:rPr>
              <w:noProof/>
            </w:rPr>
          </w:pPr>
          <w:r>
            <w:rPr>
              <w:noProof/>
            </w:rPr>
            <w:t>gDoc #</w:t>
          </w:r>
        </w:p>
      </w:tc>
      <w:tc>
        <w:tcPr>
          <w:tcW w:w="8261" w:type="dxa"/>
        </w:tcPr>
        <w:p w14:paraId="106E8C44" w14:textId="60CE4E5E"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823266">
            <w:rPr>
              <w:bCs/>
            </w:rPr>
            <w:t>70</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522AA1F3"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38DDD08" w14:textId="77777777" w:rsidTr="00E31DCE">
      <w:trPr>
        <w:jc w:val="center"/>
      </w:trPr>
      <w:tc>
        <w:tcPr>
          <w:tcW w:w="1803" w:type="dxa"/>
          <w:vAlign w:val="center"/>
        </w:tcPr>
        <w:p w14:paraId="5E0BF2CF"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0B6EC525" w14:textId="7D7A76BA"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823266">
            <w:rPr>
              <w:bCs/>
            </w:rPr>
            <w:t>70</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4654569"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AD78A" w14:textId="77777777" w:rsidR="003C51F1" w:rsidRDefault="003C51F1">
      <w:r>
        <w:t>____________________</w:t>
      </w:r>
    </w:p>
  </w:footnote>
  <w:footnote w:type="continuationSeparator" w:id="0">
    <w:p w14:paraId="6A79969F" w14:textId="77777777" w:rsidR="003C51F1" w:rsidRDefault="003C5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6C89" w14:textId="77777777" w:rsidR="001559F5" w:rsidRPr="00B1560D" w:rsidRDefault="00B1560D" w:rsidP="00B1560D">
    <w:pPr>
      <w:pStyle w:val="Header"/>
    </w:pPr>
    <w:r>
      <w:rPr>
        <w:noProof/>
      </w:rPr>
      <w:drawing>
        <wp:inline distT="0" distB="0" distL="0" distR="0" wp14:anchorId="4895D421" wp14:editId="36F7C231">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F1"/>
    <w:rsid w:val="000007D1"/>
    <w:rsid w:val="0006007D"/>
    <w:rsid w:val="00093EEB"/>
    <w:rsid w:val="000B0D00"/>
    <w:rsid w:val="000B7C15"/>
    <w:rsid w:val="000D1D0F"/>
    <w:rsid w:val="000E045E"/>
    <w:rsid w:val="000E3F07"/>
    <w:rsid w:val="000F5290"/>
    <w:rsid w:val="000F5A95"/>
    <w:rsid w:val="0010165C"/>
    <w:rsid w:val="00132A48"/>
    <w:rsid w:val="00146BFB"/>
    <w:rsid w:val="001559F5"/>
    <w:rsid w:val="00157AC4"/>
    <w:rsid w:val="0016169C"/>
    <w:rsid w:val="00177AD6"/>
    <w:rsid w:val="001958F5"/>
    <w:rsid w:val="001B6E2B"/>
    <w:rsid w:val="001C1DFB"/>
    <w:rsid w:val="001F14A2"/>
    <w:rsid w:val="00277DEA"/>
    <w:rsid w:val="002801AA"/>
    <w:rsid w:val="002946E2"/>
    <w:rsid w:val="002958DF"/>
    <w:rsid w:val="002C3F32"/>
    <w:rsid w:val="002C4676"/>
    <w:rsid w:val="002C70B0"/>
    <w:rsid w:val="002F3CC4"/>
    <w:rsid w:val="003032E2"/>
    <w:rsid w:val="0031300A"/>
    <w:rsid w:val="003273A4"/>
    <w:rsid w:val="0034796E"/>
    <w:rsid w:val="003961EF"/>
    <w:rsid w:val="003C51F1"/>
    <w:rsid w:val="004571B0"/>
    <w:rsid w:val="00465C35"/>
    <w:rsid w:val="00472217"/>
    <w:rsid w:val="00473962"/>
    <w:rsid w:val="004752C8"/>
    <w:rsid w:val="004B5D49"/>
    <w:rsid w:val="004D3A3C"/>
    <w:rsid w:val="004F25D7"/>
    <w:rsid w:val="00513630"/>
    <w:rsid w:val="00560125"/>
    <w:rsid w:val="00585553"/>
    <w:rsid w:val="005B34D9"/>
    <w:rsid w:val="005C0D8E"/>
    <w:rsid w:val="005D0CCF"/>
    <w:rsid w:val="005E627B"/>
    <w:rsid w:val="005E6B63"/>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6E0AD7"/>
    <w:rsid w:val="00726872"/>
    <w:rsid w:val="00760F1C"/>
    <w:rsid w:val="007657F0"/>
    <w:rsid w:val="0077110E"/>
    <w:rsid w:val="0077252D"/>
    <w:rsid w:val="007863BF"/>
    <w:rsid w:val="007955DA"/>
    <w:rsid w:val="007E5DD3"/>
    <w:rsid w:val="007F350B"/>
    <w:rsid w:val="007F3B05"/>
    <w:rsid w:val="00805FC8"/>
    <w:rsid w:val="00820BE4"/>
    <w:rsid w:val="00823266"/>
    <w:rsid w:val="008451E8"/>
    <w:rsid w:val="0084546D"/>
    <w:rsid w:val="008F6ABC"/>
    <w:rsid w:val="00913B9C"/>
    <w:rsid w:val="00927F93"/>
    <w:rsid w:val="00956E77"/>
    <w:rsid w:val="009A27DA"/>
    <w:rsid w:val="009A338E"/>
    <w:rsid w:val="009A76A8"/>
    <w:rsid w:val="009C7C05"/>
    <w:rsid w:val="009F4811"/>
    <w:rsid w:val="00A01F4F"/>
    <w:rsid w:val="00A109AF"/>
    <w:rsid w:val="00A16051"/>
    <w:rsid w:val="00A94438"/>
    <w:rsid w:val="00AA390C"/>
    <w:rsid w:val="00AD5A4D"/>
    <w:rsid w:val="00AF0EAC"/>
    <w:rsid w:val="00B0200A"/>
    <w:rsid w:val="00B060DF"/>
    <w:rsid w:val="00B1560D"/>
    <w:rsid w:val="00B35A43"/>
    <w:rsid w:val="00B574DB"/>
    <w:rsid w:val="00B826C2"/>
    <w:rsid w:val="00B8298E"/>
    <w:rsid w:val="00BB6FD8"/>
    <w:rsid w:val="00BD0723"/>
    <w:rsid w:val="00BD2518"/>
    <w:rsid w:val="00BF1D1C"/>
    <w:rsid w:val="00C20C59"/>
    <w:rsid w:val="00C2727F"/>
    <w:rsid w:val="00C4421B"/>
    <w:rsid w:val="00C538FC"/>
    <w:rsid w:val="00C55B1F"/>
    <w:rsid w:val="00CF1A67"/>
    <w:rsid w:val="00D2750E"/>
    <w:rsid w:val="00D375E0"/>
    <w:rsid w:val="00D50A36"/>
    <w:rsid w:val="00D62446"/>
    <w:rsid w:val="00DA4EA2"/>
    <w:rsid w:val="00DC3D3E"/>
    <w:rsid w:val="00DC4B61"/>
    <w:rsid w:val="00DD52BE"/>
    <w:rsid w:val="00DE2C90"/>
    <w:rsid w:val="00DE3B24"/>
    <w:rsid w:val="00DE7376"/>
    <w:rsid w:val="00E06947"/>
    <w:rsid w:val="00E11319"/>
    <w:rsid w:val="00E21444"/>
    <w:rsid w:val="00E34072"/>
    <w:rsid w:val="00E3592D"/>
    <w:rsid w:val="00E50D76"/>
    <w:rsid w:val="00E8018B"/>
    <w:rsid w:val="00E92DE8"/>
    <w:rsid w:val="00E9729E"/>
    <w:rsid w:val="00EB1212"/>
    <w:rsid w:val="00ED65AB"/>
    <w:rsid w:val="00EF4159"/>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F2F63A"/>
  <w15:docId w15:val="{2AB09063-B7AC-4CE4-8F44-2E3472BD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4F25D7"/>
    <w:pPr>
      <w:keepNext/>
      <w:keepLines/>
      <w:spacing w:before="360"/>
      <w:ind w:left="567" w:hanging="567"/>
      <w:outlineLvl w:val="0"/>
    </w:pPr>
    <w:rPr>
      <w:b/>
      <w:sz w:val="28"/>
    </w:rPr>
  </w:style>
  <w:style w:type="paragraph" w:styleId="Heading2">
    <w:name w:val="heading 2"/>
    <w:basedOn w:val="Heading1"/>
    <w:next w:val="Normal"/>
    <w:qFormat/>
    <w:rsid w:val="00B35A43"/>
    <w:pPr>
      <w:spacing w:before="200"/>
      <w:outlineLvl w:val="1"/>
    </w:pPr>
    <w:rPr>
      <w:sz w:val="24"/>
    </w:rPr>
  </w:style>
  <w:style w:type="paragraph" w:styleId="Heading3">
    <w:name w:val="heading 3"/>
    <w:basedOn w:val="Heading2"/>
    <w:next w:val="Normal"/>
    <w:qFormat/>
    <w:rsid w:val="000F5A95"/>
    <w:pPr>
      <w:outlineLvl w:val="2"/>
    </w:pPr>
  </w:style>
  <w:style w:type="paragraph" w:styleId="Heading4">
    <w:name w:val="heading 4"/>
    <w:basedOn w:val="Heading3"/>
    <w:next w:val="Normal"/>
    <w:qFormat/>
    <w:rsid w:val="000F5A95"/>
    <w:pPr>
      <w:ind w:left="1134" w:hanging="1134"/>
      <w:outlineLvl w:val="3"/>
    </w:pPr>
    <w:rPr>
      <w:sz w:val="28"/>
    </w:r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9C7C0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9C7C0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customStyle="1" w:styleId="Tablefin">
    <w:name w:val="Table_fin"/>
    <w:basedOn w:val="Tabletext"/>
    <w:rsid w:val="004F25D7"/>
    <w:pPr>
      <w:spacing w:before="0" w:after="0"/>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WGFHR21-C-0015/es" TargetMode="External"/><Relationship Id="rId13" Type="http://schemas.openxmlformats.org/officeDocument/2006/relationships/hyperlink" Target="https://www.itu.int/md/S26-CWGFHR22-C-0009/es" TargetMode="External"/><Relationship Id="rId18" Type="http://schemas.openxmlformats.org/officeDocument/2006/relationships/hyperlink" Target="https://www.itu.int/md/S25-CWGFHR21-C-0023/e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council.itu.int/2026/en/resources/hosting-an-itu-conference/" TargetMode="External"/><Relationship Id="rId7" Type="http://schemas.openxmlformats.org/officeDocument/2006/relationships/hyperlink" Target="https://www.itu.int/md/S25-CWGFHR21-C-0007/es" TargetMode="External"/><Relationship Id="rId12" Type="http://schemas.openxmlformats.org/officeDocument/2006/relationships/hyperlink" Target="https://www.itu.int/en/council/ties/Documents/2025/Selection-process-infosession_cwg-fhr-30-October-2025.pptx" TargetMode="External"/><Relationship Id="rId17" Type="http://schemas.openxmlformats.org/officeDocument/2006/relationships/hyperlink" Target="https://www.itu.int/md/S25-CWGFHR21-C-0017/es"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itu.int/md/S25-CWGFHR21-C-0015/es" TargetMode="External"/><Relationship Id="rId20" Type="http://schemas.openxmlformats.org/officeDocument/2006/relationships/hyperlink" Target="https://www.itu.int/md/S26-CWGFHR22-C-0019/es" TargetMode="External"/><Relationship Id="rId1" Type="http://schemas.openxmlformats.org/officeDocument/2006/relationships/styles" Target="styles.xml"/><Relationship Id="rId6" Type="http://schemas.openxmlformats.org/officeDocument/2006/relationships/hyperlink" Target="https://www.itu.int/en/council/cwg-fhr/Pages/default.aspx" TargetMode="External"/><Relationship Id="rId11" Type="http://schemas.openxmlformats.org/officeDocument/2006/relationships/hyperlink" Target="https://www.itu.int/md/S25-CWGFHR21-C-0025/en"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council.itu.int/2026/en/resources/hosting-an-itu-conference/" TargetMode="External"/><Relationship Id="rId23" Type="http://schemas.openxmlformats.org/officeDocument/2006/relationships/footer" Target="footer1.xml"/><Relationship Id="rId10" Type="http://schemas.openxmlformats.org/officeDocument/2006/relationships/hyperlink" Target="https://www.itu.int/md/S25-CWGFHR21-C-0023/es" TargetMode="External"/><Relationship Id="rId19" Type="http://schemas.openxmlformats.org/officeDocument/2006/relationships/hyperlink" Target="https://www.itu.int/md/S25-CWGFHR21-C-0008/es" TargetMode="External"/><Relationship Id="rId4" Type="http://schemas.openxmlformats.org/officeDocument/2006/relationships/footnotes" Target="footnotes.xml"/><Relationship Id="rId9" Type="http://schemas.openxmlformats.org/officeDocument/2006/relationships/hyperlink" Target="https://www.itu.int/md/S25-CWGFHR21-C-0017/es" TargetMode="External"/><Relationship Id="rId14" Type="http://schemas.openxmlformats.org/officeDocument/2006/relationships/hyperlink" Target="https://www.itu.int/md/S25-CL-C-0101/es" TargetMode="External"/><Relationship Id="rId22" Type="http://schemas.openxmlformats.org/officeDocument/2006/relationships/hyperlink" Target="https://www.itu.int/md/meetingdoc.asp?lang=es&amp;parent="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18</TotalTime>
  <Pages>6</Pages>
  <Words>2581</Words>
  <Characters>15182</Characters>
  <Application>Microsoft Office Word</Application>
  <DocSecurity>0</DocSecurity>
  <Lines>286</Lines>
  <Paragraphs>131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Propuesta para el proceso de selección de países anfitriones de conferencias y asambleas de la UIT</vt:lpstr>
    </vt:vector>
  </TitlesOfParts>
  <Manager>Secretaría General - Pool</Manager>
  <Company>International Telecommunication Union</Company>
  <LinksUpToDate>false</LinksUpToDate>
  <CharactersWithSpaces>17632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marco para el proceso de selección de países anfitriones de conferencias y asambleas de la UIT</dc:title>
  <dc:subject>Consejo 2026 de la UIT</dc:subject>
  <cp:keywords>C26; C2026; Council 2026; PP26</cp:keywords>
  <dc:description/>
  <cp:lastPrinted>2006-03-24T09:51:00Z</cp:lastPrinted>
  <dcterms:created xsi:type="dcterms:W3CDTF">2026-04-02T13:05:00Z</dcterms:created>
  <dcterms:modified xsi:type="dcterms:W3CDTF">2026-04-02T13:28:00Z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