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015A5" w14:paraId="00B36475" w14:textId="77777777" w:rsidTr="00796BDB">
        <w:trPr>
          <w:cantSplit/>
          <w:trHeight w:val="23"/>
        </w:trPr>
        <w:tc>
          <w:tcPr>
            <w:tcW w:w="3969" w:type="dxa"/>
            <w:vMerge w:val="restart"/>
            <w:tcMar>
              <w:left w:w="0" w:type="dxa"/>
            </w:tcMar>
          </w:tcPr>
          <w:p w14:paraId="12ECDF46" w14:textId="3C0F0A7B" w:rsidR="00D72F49" w:rsidRPr="00A015A5" w:rsidRDefault="00D72F49" w:rsidP="00796BDB">
            <w:pPr>
              <w:tabs>
                <w:tab w:val="left" w:pos="851"/>
              </w:tabs>
              <w:spacing w:before="0" w:line="240" w:lineRule="atLeast"/>
              <w:rPr>
                <w:b/>
              </w:rPr>
            </w:pPr>
            <w:r w:rsidRPr="00A015A5">
              <w:rPr>
                <w:b/>
              </w:rPr>
              <w:t>Point de l'ordre du jour:</w:t>
            </w:r>
            <w:r w:rsidR="006619BC" w:rsidRPr="00A015A5">
              <w:rPr>
                <w:b/>
              </w:rPr>
              <w:t xml:space="preserve"> ADM 3</w:t>
            </w:r>
          </w:p>
        </w:tc>
        <w:tc>
          <w:tcPr>
            <w:tcW w:w="5245" w:type="dxa"/>
          </w:tcPr>
          <w:p w14:paraId="243E2F90" w14:textId="6CD78B40" w:rsidR="00D72F49" w:rsidRPr="00A015A5" w:rsidRDefault="00D72F49" w:rsidP="00796BDB">
            <w:pPr>
              <w:tabs>
                <w:tab w:val="left" w:pos="851"/>
              </w:tabs>
              <w:spacing w:before="0" w:line="240" w:lineRule="atLeast"/>
              <w:jc w:val="right"/>
              <w:rPr>
                <w:b/>
              </w:rPr>
            </w:pPr>
            <w:r w:rsidRPr="00A015A5">
              <w:rPr>
                <w:b/>
              </w:rPr>
              <w:t>Document C2</w:t>
            </w:r>
            <w:r w:rsidR="00E4448E" w:rsidRPr="00A015A5">
              <w:rPr>
                <w:b/>
              </w:rPr>
              <w:t>6</w:t>
            </w:r>
            <w:r w:rsidRPr="00A015A5">
              <w:rPr>
                <w:b/>
              </w:rPr>
              <w:t>/</w:t>
            </w:r>
            <w:r w:rsidR="006619BC" w:rsidRPr="00A015A5">
              <w:rPr>
                <w:b/>
              </w:rPr>
              <w:t>70</w:t>
            </w:r>
            <w:r w:rsidRPr="00A015A5">
              <w:rPr>
                <w:b/>
              </w:rPr>
              <w:t>-F</w:t>
            </w:r>
          </w:p>
        </w:tc>
      </w:tr>
      <w:tr w:rsidR="00D72F49" w:rsidRPr="00A015A5" w14:paraId="6E8E473D" w14:textId="77777777" w:rsidTr="00796BDB">
        <w:trPr>
          <w:cantSplit/>
        </w:trPr>
        <w:tc>
          <w:tcPr>
            <w:tcW w:w="3969" w:type="dxa"/>
            <w:vMerge/>
          </w:tcPr>
          <w:p w14:paraId="7D21985E" w14:textId="77777777" w:rsidR="00D72F49" w:rsidRPr="00A015A5" w:rsidRDefault="00D72F49" w:rsidP="00796BDB">
            <w:pPr>
              <w:tabs>
                <w:tab w:val="left" w:pos="851"/>
              </w:tabs>
              <w:spacing w:line="240" w:lineRule="atLeast"/>
              <w:rPr>
                <w:b/>
              </w:rPr>
            </w:pPr>
          </w:p>
        </w:tc>
        <w:tc>
          <w:tcPr>
            <w:tcW w:w="5245" w:type="dxa"/>
          </w:tcPr>
          <w:p w14:paraId="0CDF5360" w14:textId="37C34286" w:rsidR="00D72F49" w:rsidRPr="00A015A5" w:rsidRDefault="006619BC" w:rsidP="00796BDB">
            <w:pPr>
              <w:tabs>
                <w:tab w:val="left" w:pos="851"/>
              </w:tabs>
              <w:spacing w:before="0"/>
              <w:jc w:val="right"/>
              <w:rPr>
                <w:b/>
              </w:rPr>
            </w:pPr>
            <w:r w:rsidRPr="00A015A5">
              <w:rPr>
                <w:b/>
              </w:rPr>
              <w:t>27 mars 2026</w:t>
            </w:r>
          </w:p>
        </w:tc>
      </w:tr>
      <w:tr w:rsidR="00D72F49" w:rsidRPr="00A015A5" w14:paraId="1B6FD8DE" w14:textId="77777777" w:rsidTr="00796BDB">
        <w:trPr>
          <w:cantSplit/>
          <w:trHeight w:val="23"/>
        </w:trPr>
        <w:tc>
          <w:tcPr>
            <w:tcW w:w="3969" w:type="dxa"/>
            <w:vMerge/>
          </w:tcPr>
          <w:p w14:paraId="634FE64B" w14:textId="77777777" w:rsidR="00D72F49" w:rsidRPr="00A015A5" w:rsidRDefault="00D72F49" w:rsidP="00796BDB">
            <w:pPr>
              <w:tabs>
                <w:tab w:val="left" w:pos="851"/>
              </w:tabs>
              <w:spacing w:line="240" w:lineRule="atLeast"/>
              <w:rPr>
                <w:b/>
              </w:rPr>
            </w:pPr>
          </w:p>
        </w:tc>
        <w:tc>
          <w:tcPr>
            <w:tcW w:w="5245" w:type="dxa"/>
          </w:tcPr>
          <w:p w14:paraId="0B42C442" w14:textId="77777777" w:rsidR="00D72F49" w:rsidRPr="00A015A5" w:rsidRDefault="00D72F49" w:rsidP="00796BDB">
            <w:pPr>
              <w:tabs>
                <w:tab w:val="left" w:pos="851"/>
              </w:tabs>
              <w:spacing w:before="0" w:line="240" w:lineRule="atLeast"/>
              <w:jc w:val="right"/>
              <w:rPr>
                <w:b/>
              </w:rPr>
            </w:pPr>
            <w:r w:rsidRPr="00A015A5">
              <w:rPr>
                <w:b/>
              </w:rPr>
              <w:t>Original: anglais</w:t>
            </w:r>
          </w:p>
        </w:tc>
      </w:tr>
      <w:tr w:rsidR="00D72F49" w:rsidRPr="00A015A5" w14:paraId="2546E92A" w14:textId="77777777" w:rsidTr="00796BDB">
        <w:trPr>
          <w:cantSplit/>
          <w:trHeight w:val="23"/>
        </w:trPr>
        <w:tc>
          <w:tcPr>
            <w:tcW w:w="3969" w:type="dxa"/>
          </w:tcPr>
          <w:p w14:paraId="2CDF7BAA" w14:textId="77777777" w:rsidR="00D72F49" w:rsidRPr="00A015A5" w:rsidRDefault="00D72F49" w:rsidP="00796BDB">
            <w:pPr>
              <w:tabs>
                <w:tab w:val="left" w:pos="851"/>
              </w:tabs>
              <w:spacing w:line="240" w:lineRule="atLeast"/>
              <w:rPr>
                <w:b/>
              </w:rPr>
            </w:pPr>
          </w:p>
        </w:tc>
        <w:tc>
          <w:tcPr>
            <w:tcW w:w="5245" w:type="dxa"/>
          </w:tcPr>
          <w:p w14:paraId="1497F962" w14:textId="77777777" w:rsidR="00D72F49" w:rsidRPr="00A015A5" w:rsidRDefault="00D72F49" w:rsidP="00796BDB">
            <w:pPr>
              <w:tabs>
                <w:tab w:val="left" w:pos="851"/>
              </w:tabs>
              <w:spacing w:before="0" w:line="240" w:lineRule="atLeast"/>
              <w:jc w:val="right"/>
              <w:rPr>
                <w:b/>
              </w:rPr>
            </w:pPr>
          </w:p>
        </w:tc>
      </w:tr>
      <w:tr w:rsidR="00D72F49" w:rsidRPr="00A015A5" w14:paraId="399D47A6" w14:textId="77777777" w:rsidTr="00796BDB">
        <w:trPr>
          <w:cantSplit/>
        </w:trPr>
        <w:tc>
          <w:tcPr>
            <w:tcW w:w="9214" w:type="dxa"/>
            <w:gridSpan w:val="2"/>
            <w:tcMar>
              <w:left w:w="0" w:type="dxa"/>
            </w:tcMar>
          </w:tcPr>
          <w:p w14:paraId="2C6BAB74" w14:textId="77777777" w:rsidR="00D72F49" w:rsidRPr="00A015A5" w:rsidRDefault="00D72F49" w:rsidP="00796BDB">
            <w:pPr>
              <w:pStyle w:val="Source"/>
              <w:jc w:val="left"/>
              <w:rPr>
                <w:sz w:val="34"/>
                <w:szCs w:val="34"/>
              </w:rPr>
            </w:pPr>
            <w:r w:rsidRPr="00A015A5">
              <w:rPr>
                <w:rFonts w:cstheme="minorHAnsi"/>
                <w:color w:val="000000"/>
                <w:sz w:val="34"/>
                <w:szCs w:val="34"/>
              </w:rPr>
              <w:t xml:space="preserve">Rapport </w:t>
            </w:r>
            <w:r w:rsidR="00E95647" w:rsidRPr="00A015A5">
              <w:rPr>
                <w:rFonts w:cstheme="minorHAnsi"/>
                <w:color w:val="000000"/>
                <w:sz w:val="34"/>
                <w:szCs w:val="34"/>
              </w:rPr>
              <w:t xml:space="preserve">de la </w:t>
            </w:r>
            <w:r w:rsidRPr="00A015A5">
              <w:rPr>
                <w:rFonts w:cstheme="minorHAnsi"/>
                <w:color w:val="000000"/>
                <w:sz w:val="34"/>
                <w:szCs w:val="34"/>
              </w:rPr>
              <w:t>Secrétaire général</w:t>
            </w:r>
            <w:r w:rsidR="00E95647" w:rsidRPr="00A015A5">
              <w:rPr>
                <w:rFonts w:cstheme="minorHAnsi"/>
                <w:color w:val="000000"/>
                <w:sz w:val="34"/>
                <w:szCs w:val="34"/>
              </w:rPr>
              <w:t>e</w:t>
            </w:r>
          </w:p>
        </w:tc>
      </w:tr>
      <w:tr w:rsidR="00D72F49" w:rsidRPr="00A015A5" w14:paraId="63DA9328" w14:textId="77777777" w:rsidTr="00796BDB">
        <w:trPr>
          <w:cantSplit/>
        </w:trPr>
        <w:tc>
          <w:tcPr>
            <w:tcW w:w="9214" w:type="dxa"/>
            <w:gridSpan w:val="2"/>
            <w:tcMar>
              <w:left w:w="0" w:type="dxa"/>
            </w:tcMar>
          </w:tcPr>
          <w:p w14:paraId="61D28238" w14:textId="6F53D8D8" w:rsidR="00D72F49" w:rsidRPr="00A015A5" w:rsidRDefault="001E7DC2" w:rsidP="00796BDB">
            <w:pPr>
              <w:pStyle w:val="Subtitle"/>
              <w:framePr w:hSpace="0" w:wrap="auto" w:hAnchor="text" w:xAlign="left" w:yAlign="inline"/>
              <w:rPr>
                <w:sz w:val="32"/>
                <w:szCs w:val="32"/>
                <w:lang w:val="fr-FR"/>
              </w:rPr>
            </w:pPr>
            <w:r w:rsidRPr="00A015A5">
              <w:rPr>
                <w:rFonts w:cstheme="minorHAnsi"/>
                <w:sz w:val="32"/>
                <w:szCs w:val="32"/>
                <w:lang w:val="fr-FR"/>
              </w:rPr>
              <w:t>PROPOSITION DE CADRE POUR LA SÉLECTION DES PAYS HÔTES DES CONFÉRENCES ET ASSEMBLÉES DE L'UIT</w:t>
            </w:r>
          </w:p>
        </w:tc>
      </w:tr>
      <w:tr w:rsidR="00D72F49" w:rsidRPr="00A015A5" w14:paraId="5B0EC0F4" w14:textId="77777777" w:rsidTr="00796BDB">
        <w:trPr>
          <w:cantSplit/>
        </w:trPr>
        <w:tc>
          <w:tcPr>
            <w:tcW w:w="9214" w:type="dxa"/>
            <w:gridSpan w:val="2"/>
            <w:tcBorders>
              <w:top w:val="single" w:sz="4" w:space="0" w:color="auto"/>
              <w:bottom w:val="single" w:sz="4" w:space="0" w:color="auto"/>
            </w:tcBorders>
            <w:tcMar>
              <w:left w:w="0" w:type="dxa"/>
            </w:tcMar>
          </w:tcPr>
          <w:p w14:paraId="66AD72AF" w14:textId="77777777" w:rsidR="006619BC" w:rsidRPr="00A015A5" w:rsidRDefault="00F37FE5" w:rsidP="006619BC">
            <w:pPr>
              <w:spacing w:before="160"/>
              <w:rPr>
                <w:b/>
                <w:bCs/>
                <w:sz w:val="26"/>
                <w:szCs w:val="26"/>
              </w:rPr>
            </w:pPr>
            <w:r w:rsidRPr="00A015A5">
              <w:rPr>
                <w:b/>
                <w:bCs/>
                <w:sz w:val="26"/>
                <w:szCs w:val="26"/>
              </w:rPr>
              <w:t>Objet</w:t>
            </w:r>
          </w:p>
          <w:p w14:paraId="302D856B" w14:textId="68C9F93C" w:rsidR="00D72F49" w:rsidRPr="00A015A5" w:rsidRDefault="006619BC" w:rsidP="001E7DC2">
            <w:pPr>
              <w:jc w:val="both"/>
              <w:rPr>
                <w:b/>
                <w:bCs/>
                <w:sz w:val="26"/>
                <w:szCs w:val="26"/>
              </w:rPr>
            </w:pPr>
            <w:r w:rsidRPr="00A015A5">
              <w:t>On trouvera dans le présent document une proposition de procédure de sélection des pays</w:t>
            </w:r>
            <w:r w:rsidR="00576F23" w:rsidRPr="00A015A5">
              <w:t> </w:t>
            </w:r>
            <w:r w:rsidRPr="00A015A5">
              <w:t>hôtes des conférences et assemblées de l'UIT, comme l'a demandé le Groupe de travail du Conseil sur les ressources financières et les ressources humaines en janvier 2026. Cette proposition fait suite aux discussions tenues lors de la session de juin 2025 du Conseil et de la</w:t>
            </w:r>
            <w:r w:rsidR="00414D87" w:rsidRPr="00A015A5">
              <w:t> </w:t>
            </w:r>
            <w:r w:rsidRPr="00A015A5">
              <w:t>21ème réunion du Groupe de travail du Conseil sur les ressources financières et les ressources humaines en septembre 2025, ainsi qu'aux conclusions des discussions tenues lors de la séance d'information organisée sur cette question le 30 octobre 2025.</w:t>
            </w:r>
          </w:p>
          <w:p w14:paraId="5D641583" w14:textId="77777777" w:rsidR="00D72F49" w:rsidRPr="00A015A5" w:rsidRDefault="00D72F49" w:rsidP="00796BDB">
            <w:pPr>
              <w:spacing w:before="160"/>
              <w:rPr>
                <w:b/>
                <w:bCs/>
                <w:sz w:val="26"/>
                <w:szCs w:val="26"/>
              </w:rPr>
            </w:pPr>
            <w:r w:rsidRPr="00A015A5">
              <w:rPr>
                <w:b/>
                <w:bCs/>
                <w:sz w:val="26"/>
                <w:szCs w:val="26"/>
              </w:rPr>
              <w:t>Suite à donner par le Conseil</w:t>
            </w:r>
          </w:p>
          <w:p w14:paraId="639A32E8" w14:textId="2A878455" w:rsidR="00D72F49" w:rsidRPr="00A015A5" w:rsidRDefault="006619BC" w:rsidP="00796BDB">
            <w:r w:rsidRPr="00A015A5">
              <w:t xml:space="preserve">Le Conseil est invité à </w:t>
            </w:r>
            <w:r w:rsidRPr="00A015A5">
              <w:rPr>
                <w:b/>
                <w:bCs/>
              </w:rPr>
              <w:t>examiner</w:t>
            </w:r>
            <w:r w:rsidRPr="00A015A5">
              <w:t xml:space="preserve"> le présent document.</w:t>
            </w:r>
          </w:p>
          <w:p w14:paraId="2D9FD2D6" w14:textId="77777777" w:rsidR="00D72F49" w:rsidRPr="00A015A5" w:rsidRDefault="00D72F49" w:rsidP="00796BDB">
            <w:pPr>
              <w:spacing w:before="160"/>
              <w:rPr>
                <w:b/>
                <w:bCs/>
                <w:sz w:val="26"/>
                <w:szCs w:val="26"/>
              </w:rPr>
            </w:pPr>
            <w:r w:rsidRPr="00A015A5">
              <w:rPr>
                <w:b/>
                <w:bCs/>
                <w:sz w:val="26"/>
                <w:szCs w:val="26"/>
              </w:rPr>
              <w:t xml:space="preserve">Lien(s) pertinent(s) avec le </w:t>
            </w:r>
            <w:r w:rsidR="00F37FE5" w:rsidRPr="00A015A5">
              <w:rPr>
                <w:b/>
                <w:bCs/>
                <w:sz w:val="26"/>
                <w:szCs w:val="26"/>
              </w:rPr>
              <w:t>p</w:t>
            </w:r>
            <w:r w:rsidRPr="00A015A5">
              <w:rPr>
                <w:b/>
                <w:bCs/>
                <w:sz w:val="26"/>
                <w:szCs w:val="26"/>
              </w:rPr>
              <w:t>lan stratégique</w:t>
            </w:r>
          </w:p>
          <w:p w14:paraId="67682C70" w14:textId="2B41C1B4" w:rsidR="00D72F49" w:rsidRPr="00A015A5" w:rsidRDefault="006619BC" w:rsidP="00796BDB">
            <w:r w:rsidRPr="00A015A5">
              <w:t>Plates-formes fédératrices.</w:t>
            </w:r>
          </w:p>
          <w:p w14:paraId="227DB695" w14:textId="77777777" w:rsidR="00E95647" w:rsidRPr="00A015A5" w:rsidRDefault="00D72F49" w:rsidP="00796BDB">
            <w:pPr>
              <w:spacing w:before="160"/>
              <w:rPr>
                <w:b/>
                <w:bCs/>
                <w:sz w:val="26"/>
                <w:szCs w:val="26"/>
              </w:rPr>
            </w:pPr>
            <w:r w:rsidRPr="00A015A5">
              <w:rPr>
                <w:b/>
                <w:bCs/>
                <w:sz w:val="26"/>
                <w:szCs w:val="26"/>
              </w:rPr>
              <w:t>Incidences financières</w:t>
            </w:r>
          </w:p>
          <w:p w14:paraId="4BD22933" w14:textId="25EF355D" w:rsidR="00D72F49" w:rsidRPr="00A015A5" w:rsidRDefault="006619BC" w:rsidP="00796BDB">
            <w:pPr>
              <w:rPr>
                <w:szCs w:val="24"/>
              </w:rPr>
            </w:pPr>
            <w:r w:rsidRPr="00A015A5">
              <w:rPr>
                <w:szCs w:val="24"/>
              </w:rPr>
              <w:t>Sans objet</w:t>
            </w:r>
          </w:p>
          <w:p w14:paraId="588376C6" w14:textId="77777777" w:rsidR="00D72F49" w:rsidRPr="00A015A5" w:rsidRDefault="00D72F49" w:rsidP="00796BDB">
            <w:pPr>
              <w:spacing w:before="160"/>
              <w:rPr>
                <w:caps/>
                <w:sz w:val="22"/>
              </w:rPr>
            </w:pPr>
            <w:r w:rsidRPr="00A015A5">
              <w:rPr>
                <w:sz w:val="22"/>
              </w:rPr>
              <w:t>__________________</w:t>
            </w:r>
          </w:p>
          <w:p w14:paraId="46705D53" w14:textId="77777777" w:rsidR="00D72F49" w:rsidRPr="00A015A5" w:rsidRDefault="00D72F49" w:rsidP="00796BDB">
            <w:pPr>
              <w:spacing w:before="160"/>
              <w:rPr>
                <w:b/>
                <w:bCs/>
                <w:sz w:val="26"/>
                <w:szCs w:val="26"/>
              </w:rPr>
            </w:pPr>
            <w:r w:rsidRPr="00A015A5">
              <w:rPr>
                <w:b/>
                <w:bCs/>
                <w:sz w:val="26"/>
                <w:szCs w:val="26"/>
              </w:rPr>
              <w:t>Références</w:t>
            </w:r>
          </w:p>
          <w:p w14:paraId="5FB9195C" w14:textId="7FCA3279" w:rsidR="00D72F49" w:rsidRPr="001E7DC2" w:rsidRDefault="006619BC" w:rsidP="00CE5172">
            <w:pPr>
              <w:pStyle w:val="Referencetext"/>
              <w:framePr w:hSpace="0" w:wrap="auto" w:vAnchor="margin" w:hAnchor="text" w:xAlign="left" w:yAlign="inline"/>
            </w:pPr>
            <w:hyperlink r:id="rId7" w:anchor="/fr" w:history="1">
              <w:r w:rsidRPr="001E7DC2">
                <w:rPr>
                  <w:rStyle w:val="Hyperlink"/>
                  <w:rFonts w:eastAsia="Times New Roman" w:cs="Times New Roman"/>
                </w:rPr>
                <w:t xml:space="preserve">Site web du </w:t>
              </w:r>
              <w:r w:rsidRPr="001E7DC2">
                <w:rPr>
                  <w:rStyle w:val="Hyperlink"/>
                  <w:spacing w:val="-2"/>
                </w:rPr>
                <w:t>GTC-FHR</w:t>
              </w:r>
            </w:hyperlink>
            <w:r w:rsidRPr="001E7DC2">
              <w:rPr>
                <w:spacing w:val="-2"/>
              </w:rPr>
              <w:t xml:space="preserve">; Documents </w:t>
            </w:r>
            <w:hyperlink r:id="rId8">
              <w:r w:rsidRPr="001E7DC2">
                <w:rPr>
                  <w:rStyle w:val="Hyperlink"/>
                  <w:spacing w:val="-2"/>
                </w:rPr>
                <w:t>CWG-FHR-21/7</w:t>
              </w:r>
            </w:hyperlink>
            <w:r w:rsidRPr="001E7DC2">
              <w:rPr>
                <w:spacing w:val="-2"/>
              </w:rPr>
              <w:t xml:space="preserve">, </w:t>
            </w:r>
            <w:hyperlink r:id="rId9">
              <w:r w:rsidRPr="001E7DC2">
                <w:rPr>
                  <w:rStyle w:val="Hyperlink"/>
                  <w:spacing w:val="-2"/>
                </w:rPr>
                <w:t>CWG-FHR-21/15</w:t>
              </w:r>
            </w:hyperlink>
            <w:r w:rsidRPr="001E7DC2">
              <w:rPr>
                <w:spacing w:val="-2"/>
              </w:rPr>
              <w:t xml:space="preserve">, </w:t>
            </w:r>
            <w:hyperlink r:id="rId10">
              <w:r w:rsidRPr="001E7DC2">
                <w:rPr>
                  <w:rStyle w:val="Hyperlink"/>
                  <w:spacing w:val="-2"/>
                </w:rPr>
                <w:t>CWG-FHR-21/17</w:t>
              </w:r>
            </w:hyperlink>
            <w:r w:rsidRPr="001E7DC2">
              <w:rPr>
                <w:spacing w:val="-2"/>
              </w:rPr>
              <w:t xml:space="preserve">, </w:t>
            </w:r>
            <w:hyperlink r:id="rId11">
              <w:r w:rsidRPr="001E7DC2">
                <w:rPr>
                  <w:rStyle w:val="Hyperlink"/>
                  <w:spacing w:val="-2"/>
                </w:rPr>
                <w:t>CWG</w:t>
              </w:r>
              <w:r w:rsidR="00C77FD9" w:rsidRPr="001E7DC2">
                <w:rPr>
                  <w:rStyle w:val="Hyperlink"/>
                  <w:spacing w:val="-2"/>
                </w:rPr>
                <w:noBreakHyphen/>
              </w:r>
              <w:r w:rsidRPr="001E7DC2">
                <w:rPr>
                  <w:rStyle w:val="Hyperlink"/>
                  <w:spacing w:val="-2"/>
                </w:rPr>
                <w:t>FHR-21/23</w:t>
              </w:r>
            </w:hyperlink>
            <w:r w:rsidRPr="001E7DC2">
              <w:rPr>
                <w:spacing w:val="-2"/>
              </w:rPr>
              <w:t xml:space="preserve">, </w:t>
            </w:r>
            <w:hyperlink r:id="rId12">
              <w:r w:rsidRPr="001E7DC2">
                <w:rPr>
                  <w:rStyle w:val="Hyperlink"/>
                  <w:spacing w:val="-2"/>
                </w:rPr>
                <w:t>CWG-FHR-21/25</w:t>
              </w:r>
            </w:hyperlink>
            <w:r w:rsidRPr="001E7DC2">
              <w:rPr>
                <w:spacing w:val="-2"/>
              </w:rPr>
              <w:t xml:space="preserve">; </w:t>
            </w:r>
            <w:hyperlink r:id="rId13" w:history="1">
              <w:r w:rsidRPr="001E7DC2">
                <w:rPr>
                  <w:rStyle w:val="Hyperlink"/>
                  <w:spacing w:val="-2"/>
                </w:rPr>
                <w:t>Présentation faite lors de la séance d'information sur l'élaboration d'une procédure de sélection des pays hôtes</w:t>
              </w:r>
            </w:hyperlink>
            <w:r w:rsidRPr="001E7DC2">
              <w:rPr>
                <w:spacing w:val="-2"/>
              </w:rPr>
              <w:t xml:space="preserve">; </w:t>
            </w:r>
            <w:r w:rsidR="00C77FD9" w:rsidRPr="001E7DC2">
              <w:rPr>
                <w:spacing w:val="-2"/>
              </w:rPr>
              <w:t xml:space="preserve">Document </w:t>
            </w:r>
            <w:hyperlink r:id="rId14" w:history="1">
              <w:r w:rsidRPr="001E7DC2">
                <w:rPr>
                  <w:rStyle w:val="Hyperlink"/>
                  <w:spacing w:val="-2"/>
                </w:rPr>
                <w:t>CWG-FHR-22/9</w:t>
              </w:r>
            </w:hyperlink>
          </w:p>
        </w:tc>
      </w:tr>
    </w:tbl>
    <w:p w14:paraId="7351ABCB" w14:textId="77777777" w:rsidR="00A51849" w:rsidRPr="00A015A5" w:rsidRDefault="00A51849">
      <w:pPr>
        <w:tabs>
          <w:tab w:val="clear" w:pos="567"/>
          <w:tab w:val="clear" w:pos="1134"/>
          <w:tab w:val="clear" w:pos="1701"/>
          <w:tab w:val="clear" w:pos="2268"/>
          <w:tab w:val="clear" w:pos="2835"/>
        </w:tabs>
        <w:overflowPunct/>
        <w:autoSpaceDE/>
        <w:autoSpaceDN/>
        <w:adjustRightInd/>
        <w:spacing w:before="0"/>
        <w:textAlignment w:val="auto"/>
      </w:pPr>
      <w:r w:rsidRPr="00A015A5">
        <w:br w:type="page"/>
      </w:r>
    </w:p>
    <w:p w14:paraId="6188FAFB" w14:textId="77777777" w:rsidR="006619BC" w:rsidRPr="00A015A5" w:rsidRDefault="006619BC" w:rsidP="00C77FD9">
      <w:pPr>
        <w:pStyle w:val="Headingb"/>
      </w:pPr>
      <w:r w:rsidRPr="00A015A5">
        <w:lastRenderedPageBreak/>
        <w:t>Rappel</w:t>
      </w:r>
    </w:p>
    <w:p w14:paraId="5F114A12" w14:textId="6933D4BB" w:rsidR="006619BC" w:rsidRPr="002E3F3F" w:rsidRDefault="006619BC" w:rsidP="001E7DC2">
      <w:pPr>
        <w:jc w:val="both"/>
        <w:rPr>
          <w:spacing w:val="-3"/>
        </w:rPr>
      </w:pPr>
      <w:r w:rsidRPr="002E3F3F">
        <w:rPr>
          <w:spacing w:val="-3"/>
        </w:rPr>
        <w:t xml:space="preserve">Suite à la présentation du Document </w:t>
      </w:r>
      <w:hyperlink r:id="rId15">
        <w:r w:rsidRPr="002E3F3F">
          <w:rPr>
            <w:rStyle w:val="Hyperlink"/>
            <w:spacing w:val="-3"/>
          </w:rPr>
          <w:t>C25/101</w:t>
        </w:r>
      </w:hyperlink>
      <w:r w:rsidRPr="002E3F3F">
        <w:rPr>
          <w:spacing w:val="-3"/>
        </w:rPr>
        <w:t xml:space="preserve"> relatif au lieu de la Conférence mondiale des radiocommunications de 2027, le Conseil a demandé au secrétariat d'élaborer une procédure de sélection des pays qui accueilleront les futures conférences de l'UIT. Le</w:t>
      </w:r>
      <w:r w:rsidR="00374CB6" w:rsidRPr="002E3F3F">
        <w:rPr>
          <w:spacing w:val="-3"/>
        </w:rPr>
        <w:t> </w:t>
      </w:r>
      <w:r w:rsidRPr="002E3F3F">
        <w:rPr>
          <w:spacing w:val="-3"/>
        </w:rPr>
        <w:t xml:space="preserve">Document </w:t>
      </w:r>
      <w:hyperlink r:id="rId16">
        <w:r w:rsidRPr="002E3F3F">
          <w:rPr>
            <w:rStyle w:val="Hyperlink"/>
            <w:spacing w:val="-3"/>
          </w:rPr>
          <w:t>CWG-FHR-21/7</w:t>
        </w:r>
      </w:hyperlink>
      <w:r w:rsidRPr="002E3F3F">
        <w:rPr>
          <w:spacing w:val="-3"/>
        </w:rPr>
        <w:t xml:space="preserve"> donne un aperçu de la pratique suivie actuellement pour sélectionner les pays accueillant les conférences et assemblées tenues hors du siège de l'Union. À la demande de la Présidente du Groupe de travail du Conseil sur les ressources financières et les ressources humaines (GTC-FHR), une séance d'information virtuelle a eu lieu le 30 octobre 2025, lors de laquelle a été appuyée la création d'un </w:t>
      </w:r>
      <w:hyperlink r:id="rId17" w:anchor="/fr" w:history="1">
        <w:r w:rsidRPr="002E3F3F">
          <w:rPr>
            <w:rStyle w:val="Hyperlink"/>
            <w:rFonts w:eastAsia="Times New Roman" w:cs="Times New Roman"/>
            <w:spacing w:val="-3"/>
            <w:szCs w:val="20"/>
          </w:rPr>
          <w:t>prototype de portail web sur les pays hôtes</w:t>
        </w:r>
      </w:hyperlink>
      <w:r w:rsidRPr="002E3F3F">
        <w:rPr>
          <w:spacing w:val="-3"/>
        </w:rPr>
        <w:t xml:space="preserve"> donnant accès, depuis une seule et même page, à toutes les informations pertinentes concernant l'accueil des conférences et assemblées. Le GTC-FHR a demandé au secrétariat de présenter, à la session de 2026 du Conseil, un point sur cette question, ainsi qu'une procédure de sélection avec un calendrier et les coûts génériques, compte tenu des discussions tenues précédemment sur ce sujet.</w:t>
      </w:r>
    </w:p>
    <w:p w14:paraId="35537B0B" w14:textId="77777777" w:rsidR="006619BC" w:rsidRPr="00A015A5" w:rsidRDefault="006619BC" w:rsidP="00C77FD9">
      <w:pPr>
        <w:pStyle w:val="Headingb"/>
        <w:rPr>
          <w:rFonts w:eastAsiaTheme="minorEastAsia"/>
        </w:rPr>
      </w:pPr>
      <w:r w:rsidRPr="00A015A5">
        <w:rPr>
          <w:rFonts w:eastAsiaTheme="minorEastAsia"/>
        </w:rPr>
        <w:t>Résumé des discussions tenues jusqu'à présent</w:t>
      </w:r>
    </w:p>
    <w:p w14:paraId="5EA41B0D" w14:textId="77777777" w:rsidR="006619BC" w:rsidRPr="00A015A5" w:rsidRDefault="006619BC" w:rsidP="006619BC">
      <w:pPr>
        <w:pStyle w:val="Headingi"/>
        <w:rPr>
          <w:rFonts w:eastAsiaTheme="minorEastAsia"/>
        </w:rPr>
      </w:pPr>
      <w:r w:rsidRPr="00A015A5">
        <w:rPr>
          <w:rFonts w:eastAsiaTheme="minorEastAsia"/>
        </w:rPr>
        <w:t>21ème réunion du GTC-FHR (septembre 2025)</w:t>
      </w:r>
    </w:p>
    <w:p w14:paraId="58AEBB8E" w14:textId="7B6E836F" w:rsidR="006619BC" w:rsidRPr="00A015A5" w:rsidRDefault="006619BC" w:rsidP="001E7DC2">
      <w:pPr>
        <w:jc w:val="both"/>
        <w:rPr>
          <w:rFonts w:eastAsiaTheme="minorEastAsia"/>
        </w:rPr>
      </w:pPr>
      <w:r w:rsidRPr="00A015A5">
        <w:rPr>
          <w:rFonts w:eastAsiaTheme="minorEastAsia"/>
        </w:rPr>
        <w:t xml:space="preserve">Le </w:t>
      </w:r>
      <w:r w:rsidRPr="00A015A5">
        <w:rPr>
          <w:rFonts w:eastAsiaTheme="minorEastAsia"/>
          <w:b/>
          <w:bCs/>
        </w:rPr>
        <w:t xml:space="preserve">Document </w:t>
      </w:r>
      <w:hyperlink r:id="rId18">
        <w:r w:rsidRPr="00A015A5">
          <w:rPr>
            <w:rStyle w:val="Hyperlink"/>
            <w:rFonts w:asciiTheme="minorHAnsi" w:eastAsiaTheme="minorEastAsia" w:hAnsiTheme="minorHAnsi"/>
            <w:b/>
            <w:bCs/>
          </w:rPr>
          <w:t>CWG-FHR-21/15</w:t>
        </w:r>
      </w:hyperlink>
      <w:r w:rsidRPr="00A015A5">
        <w:rPr>
          <w:rFonts w:eastAsiaTheme="minorEastAsia"/>
        </w:rPr>
        <w:t>, soumis par l'Inde, contient des propositions de critères d'évaluation des candidatures, notamment la disponibilité du site, l'infrastructure, la capacité d'hébergement, la connectivité et le niveau de disponibilité de l'Internet et des TIC. Les États Membres satisfaisant à ces critères pourraient soumettre leur candidature en vue d'accueillir une conférence. Si le Conseil reçoit plusieurs candidatures satisfaisant à ces critères, le principe de "premier arrivé, premier servi" serait appliqué. Les dates et le lieu de la conférence devraient être fixés au moins cinq ans avant l'ouverture de la conférence.</w:t>
      </w:r>
    </w:p>
    <w:p w14:paraId="425E1DC3" w14:textId="7E3DEB4F" w:rsidR="006619BC" w:rsidRPr="00A015A5" w:rsidRDefault="006619BC" w:rsidP="001E7DC2">
      <w:pPr>
        <w:jc w:val="both"/>
        <w:rPr>
          <w:rFonts w:eastAsiaTheme="minorEastAsia"/>
        </w:rPr>
      </w:pPr>
      <w:r w:rsidRPr="00A015A5">
        <w:rPr>
          <w:rFonts w:eastAsiaTheme="minorEastAsia"/>
        </w:rPr>
        <w:t xml:space="preserve">Dans le </w:t>
      </w:r>
      <w:r w:rsidRPr="00A015A5">
        <w:rPr>
          <w:rFonts w:eastAsiaTheme="minorEastAsia"/>
          <w:b/>
          <w:bCs/>
        </w:rPr>
        <w:t xml:space="preserve">Document </w:t>
      </w:r>
      <w:hyperlink r:id="rId19" w:tgtFrame="_blank" w:history="1">
        <w:r w:rsidRPr="00A015A5">
          <w:rPr>
            <w:rStyle w:val="Hyperlink"/>
            <w:rFonts w:asciiTheme="minorHAnsi" w:eastAsiaTheme="minorEastAsia" w:hAnsiTheme="minorHAnsi"/>
            <w:b/>
            <w:bCs/>
          </w:rPr>
          <w:t>CWG-FHR-21/17</w:t>
        </w:r>
      </w:hyperlink>
      <w:r w:rsidRPr="00A015A5">
        <w:rPr>
          <w:rFonts w:eastAsiaTheme="minorEastAsia"/>
        </w:rPr>
        <w:t>, soumis par la Chine, il est proposé d'apporter les améliorations ci-après au processus existant en matière de sélection des pays hôtes:</w:t>
      </w:r>
    </w:p>
    <w:p w14:paraId="2FA8A040" w14:textId="5198104B" w:rsidR="006619BC" w:rsidRPr="00A015A5" w:rsidRDefault="006619BC" w:rsidP="001E7DC2">
      <w:pPr>
        <w:pStyle w:val="enumlev1"/>
        <w:jc w:val="both"/>
        <w:rPr>
          <w:lang w:eastAsia="en-GB"/>
        </w:rPr>
      </w:pPr>
      <w:r w:rsidRPr="00A015A5">
        <w:rPr>
          <w:lang w:eastAsia="en-GB"/>
        </w:rPr>
        <w:t>–</w:t>
      </w:r>
      <w:r w:rsidRPr="00A015A5">
        <w:rPr>
          <w:lang w:eastAsia="en-GB"/>
        </w:rPr>
        <w:tab/>
        <w:t>Il convient de normaliser la procédure de soumission des candidatures et d'accroître sa transparence en utilisant le cadre réglementaire existant</w:t>
      </w:r>
      <w:r w:rsidR="00C77FD9" w:rsidRPr="00A015A5">
        <w:rPr>
          <w:lang w:eastAsia="en-GB"/>
        </w:rPr>
        <w:t>.</w:t>
      </w:r>
    </w:p>
    <w:p w14:paraId="73188BFE" w14:textId="7FC32B15" w:rsidR="006619BC" w:rsidRPr="00A015A5" w:rsidRDefault="006619BC" w:rsidP="001E7DC2">
      <w:pPr>
        <w:pStyle w:val="enumlev1"/>
        <w:jc w:val="both"/>
        <w:rPr>
          <w:lang w:eastAsia="en-GB"/>
        </w:rPr>
      </w:pPr>
      <w:r w:rsidRPr="00A015A5">
        <w:rPr>
          <w:lang w:eastAsia="en-GB"/>
        </w:rPr>
        <w:t>–</w:t>
      </w:r>
      <w:r w:rsidRPr="00A015A5">
        <w:rPr>
          <w:lang w:eastAsia="en-GB"/>
        </w:rPr>
        <w:tab/>
        <w:t>Le département organisant la conférence devrait fixer la date limite de soumission des candidatures</w:t>
      </w:r>
      <w:r w:rsidR="00C77FD9" w:rsidRPr="00A015A5">
        <w:rPr>
          <w:lang w:eastAsia="en-GB"/>
        </w:rPr>
        <w:t>.</w:t>
      </w:r>
    </w:p>
    <w:p w14:paraId="0FBF79D3" w14:textId="4DE460D5" w:rsidR="006619BC" w:rsidRPr="00A015A5" w:rsidRDefault="006619BC" w:rsidP="001E7DC2">
      <w:pPr>
        <w:pStyle w:val="enumlev1"/>
        <w:jc w:val="both"/>
        <w:rPr>
          <w:lang w:eastAsia="en-GB"/>
        </w:rPr>
      </w:pPr>
      <w:r w:rsidRPr="00A015A5">
        <w:rPr>
          <w:lang w:eastAsia="en-GB"/>
        </w:rPr>
        <w:t>–</w:t>
      </w:r>
      <w:r w:rsidRPr="00A015A5">
        <w:rPr>
          <w:lang w:eastAsia="en-GB"/>
        </w:rPr>
        <w:tab/>
        <w:t>Les candidatures en vue d'accueillir une conférence devraient être soumises par écrit dans une lettre officielle adressée au Secrétaire général ou dans une contribution officielle soumise à la Conférence de plénipotentiaires ou au Conseil</w:t>
      </w:r>
      <w:r w:rsidR="00C77FD9" w:rsidRPr="00A015A5">
        <w:rPr>
          <w:lang w:eastAsia="en-GB"/>
        </w:rPr>
        <w:t>.</w:t>
      </w:r>
    </w:p>
    <w:p w14:paraId="3FB15284" w14:textId="28BD341E" w:rsidR="006619BC" w:rsidRPr="00A015A5" w:rsidRDefault="006619BC" w:rsidP="001E7DC2">
      <w:pPr>
        <w:pStyle w:val="enumlev1"/>
        <w:jc w:val="both"/>
        <w:rPr>
          <w:lang w:eastAsia="en-GB"/>
        </w:rPr>
      </w:pPr>
      <w:r w:rsidRPr="00A015A5">
        <w:rPr>
          <w:lang w:eastAsia="en-GB"/>
        </w:rPr>
        <w:t>–</w:t>
      </w:r>
      <w:r w:rsidRPr="00A015A5">
        <w:rPr>
          <w:lang w:eastAsia="en-GB"/>
        </w:rPr>
        <w:tab/>
        <w:t>Le Secrétaire général devrait informer tous les États Membres de la réception d'une candidature en publiant une lettre circulaire dans un délai de cinq jours ouvrables à</w:t>
      </w:r>
      <w:r w:rsidR="00374CB6" w:rsidRPr="00A015A5">
        <w:rPr>
          <w:lang w:eastAsia="en-GB"/>
        </w:rPr>
        <w:t> </w:t>
      </w:r>
      <w:r w:rsidRPr="00A015A5">
        <w:rPr>
          <w:lang w:eastAsia="en-GB"/>
        </w:rPr>
        <w:t>compter de la réception de la lettre officielle ou en publiant sans délai la candidature si celle-ci est soumise au moyen d'une contribution.</w:t>
      </w:r>
    </w:p>
    <w:p w14:paraId="10B77B01" w14:textId="77777777" w:rsidR="006619BC" w:rsidRPr="00A015A5" w:rsidRDefault="006619BC" w:rsidP="001E7DC2">
      <w:pPr>
        <w:pStyle w:val="enumlev1"/>
        <w:jc w:val="both"/>
        <w:rPr>
          <w:lang w:eastAsia="en-GB"/>
        </w:rPr>
      </w:pPr>
      <w:r w:rsidRPr="00A015A5">
        <w:rPr>
          <w:lang w:eastAsia="en-GB"/>
        </w:rPr>
        <w:t>–</w:t>
      </w:r>
      <w:r w:rsidRPr="00A015A5">
        <w:rPr>
          <w:lang w:eastAsia="en-GB"/>
        </w:rPr>
        <w:tab/>
        <w:t>Le département organisant la conférence devrait définir les premières exigences minimales à satisfaire pour pouvoir accueillir une conférence et effectuer une visite sur place afin d'évaluer le lieu proposé avant que la candidature soit examinée en bonne et due forme.</w:t>
      </w:r>
    </w:p>
    <w:p w14:paraId="69F6A22A" w14:textId="6E9B5F14" w:rsidR="006619BC" w:rsidRPr="002E3F3F" w:rsidRDefault="006619BC" w:rsidP="001E7DC2">
      <w:pPr>
        <w:jc w:val="both"/>
        <w:rPr>
          <w:rFonts w:eastAsiaTheme="minorEastAsia"/>
          <w:spacing w:val="-2"/>
        </w:rPr>
      </w:pPr>
      <w:r w:rsidRPr="002E3F3F">
        <w:rPr>
          <w:rFonts w:eastAsiaTheme="minorEastAsia"/>
          <w:spacing w:val="-2"/>
        </w:rPr>
        <w:t xml:space="preserve">Dans le </w:t>
      </w:r>
      <w:r w:rsidRPr="002E3F3F">
        <w:rPr>
          <w:rFonts w:eastAsiaTheme="minorEastAsia"/>
          <w:b/>
          <w:bCs/>
          <w:spacing w:val="-2"/>
        </w:rPr>
        <w:t xml:space="preserve">Document </w:t>
      </w:r>
      <w:hyperlink r:id="rId20" w:tgtFrame="_blank" w:history="1">
        <w:r w:rsidRPr="002E3F3F">
          <w:rPr>
            <w:rStyle w:val="Hyperlink"/>
            <w:rFonts w:asciiTheme="minorHAnsi" w:eastAsiaTheme="minorEastAsia" w:hAnsiTheme="minorHAnsi"/>
            <w:b/>
            <w:bCs/>
            <w:spacing w:val="-2"/>
          </w:rPr>
          <w:t>CWG-FHR-21/23</w:t>
        </w:r>
      </w:hyperlink>
      <w:r w:rsidRPr="002E3F3F">
        <w:rPr>
          <w:rFonts w:eastAsiaTheme="minorEastAsia"/>
          <w:spacing w:val="-2"/>
        </w:rPr>
        <w:t>, soumis par les États-Unis, il est proposé que l'UIT mène un processus d'appel à candidatures pour l'organisation des conférences et assemblées moyennant la publication d'une demande de propositions, présentant les éléments clés tels que les produits attendus et les spécifications, les conditions relatives au paiement et les obligations financières.</w:t>
      </w:r>
    </w:p>
    <w:p w14:paraId="35B80611" w14:textId="702BB191" w:rsidR="006619BC" w:rsidRPr="00A015A5" w:rsidRDefault="006619BC" w:rsidP="001E7DC2">
      <w:pPr>
        <w:jc w:val="both"/>
        <w:rPr>
          <w:rFonts w:eastAsiaTheme="minorEastAsia"/>
        </w:rPr>
      </w:pPr>
      <w:r w:rsidRPr="00A015A5">
        <w:rPr>
          <w:rFonts w:eastAsiaTheme="minorEastAsia"/>
        </w:rPr>
        <w:lastRenderedPageBreak/>
        <w:t>Les participants à la réunion du GTC-FHR sont convenus de la nécessité de garantir un processus impartial, une représentation géographique équitable et des exigences minimales claires pour l'organisation des conférences et assemblées, de normaliser la procédure afin d'accroître la transparence et d'encourager une participation plus large des États Membres, y</w:t>
      </w:r>
      <w:r w:rsidR="00A07BFC" w:rsidRPr="00A015A5">
        <w:rPr>
          <w:rFonts w:eastAsiaTheme="minorEastAsia"/>
        </w:rPr>
        <w:t> </w:t>
      </w:r>
      <w:r w:rsidRPr="00A015A5">
        <w:rPr>
          <w:rFonts w:eastAsiaTheme="minorEastAsia"/>
        </w:rPr>
        <w:t>compris en s'efforçant de réduire la charge financière pour les pays hôtes. Le calendrier pour la sélection des pays hôtes devrait tenir compte des cycles budgétaires des différentes administrations et laisser un délai suffisant pour la préparation, certains délégués proposant un délai de trois ou quatre ans avant l'ouverture d'une conférence.</w:t>
      </w:r>
    </w:p>
    <w:p w14:paraId="6FCD87B9" w14:textId="77777777" w:rsidR="006619BC" w:rsidRPr="00A015A5" w:rsidRDefault="006619BC" w:rsidP="006619BC">
      <w:pPr>
        <w:pStyle w:val="Headingi"/>
        <w:rPr>
          <w:rFonts w:eastAsiaTheme="minorEastAsia"/>
        </w:rPr>
      </w:pPr>
      <w:r w:rsidRPr="00A015A5">
        <w:rPr>
          <w:rFonts w:eastAsiaTheme="minorEastAsia"/>
        </w:rPr>
        <w:t>Séance d'information (30 octobre 2025)</w:t>
      </w:r>
    </w:p>
    <w:p w14:paraId="3ADCC456" w14:textId="77777777" w:rsidR="006619BC" w:rsidRPr="00A015A5" w:rsidRDefault="006619BC" w:rsidP="001E7DC2">
      <w:pPr>
        <w:jc w:val="both"/>
      </w:pPr>
      <w:r w:rsidRPr="00A015A5">
        <w:t>Le secrétariat a présenté une proposition visant à créer un portail web sur les pays hôtes permettant d'accéder aux documents et aux renseignements pertinents relatifs à l'accueil des conférences et assemblées de l'UIT. Les participants à la séance d'information ont appuyé la création d'un tel portail web et ont demandé qu'un lien vers un prototype de page soit mis à disposition à la prochaine réunion du GTC-FHR. De plus, les participants ont discuté des informations supplémentaires qu'il conviendrait de publier sur ce portail, de la nécessité ou non de définir une procédure formelle supplémentaire et, le cas échéant, du calendrier qu'il conviendrait de fixer et des modalités de sélection parmi plusieurs candidatures officielles.</w:t>
      </w:r>
    </w:p>
    <w:p w14:paraId="4264E219" w14:textId="77777777" w:rsidR="006619BC" w:rsidRPr="00A015A5" w:rsidRDefault="006619BC" w:rsidP="006619BC">
      <w:pPr>
        <w:pStyle w:val="Headingi"/>
        <w:rPr>
          <w:rFonts w:eastAsiaTheme="minorEastAsia" w:cstheme="minorBidi"/>
          <w:i w:val="0"/>
          <w:iCs/>
        </w:rPr>
      </w:pPr>
      <w:r w:rsidRPr="00A015A5">
        <w:rPr>
          <w:rFonts w:eastAsiaTheme="minorEastAsia" w:cstheme="minorBidi"/>
          <w:iCs/>
        </w:rPr>
        <w:t>22ème réunion du GTC-FHR (janvier 2026)</w:t>
      </w:r>
    </w:p>
    <w:p w14:paraId="33429E2B" w14:textId="5747F96A" w:rsidR="006619BC" w:rsidRPr="00A015A5" w:rsidRDefault="006619BC" w:rsidP="001E7DC2">
      <w:pPr>
        <w:jc w:val="both"/>
        <w:rPr>
          <w:rFonts w:eastAsiaTheme="minorEastAsia"/>
        </w:rPr>
      </w:pPr>
      <w:r w:rsidRPr="00A015A5">
        <w:rPr>
          <w:rFonts w:eastAsiaTheme="minorEastAsia"/>
        </w:rPr>
        <w:t>Les participants à la réunion du GTC-FHR ont accueilli avec satisfaction le portail web proposé, mais ont demandé que soit définie une procédure de sélection des pays hôtes fixant un calendrier, un créneau pour la soumission des candidatures ainsi qu'une procédure et des délais formels pour procéder au choix entre plusieurs candidatures et communiquer des informations aux candidats qui n'ont pas été choisis. Les discussions ont également porté sur le respect du principe de rotation géographique, les invitations à organiser des réceptions, la publication de toutes les candidatures reçues sur le portail et la présentation des coûts génériques liés à l'accueil des conférence chaque fois que cela est possible.</w:t>
      </w:r>
    </w:p>
    <w:p w14:paraId="1DBA9D3B" w14:textId="77777777" w:rsidR="006619BC" w:rsidRPr="00A015A5" w:rsidRDefault="006619BC" w:rsidP="00C77FD9">
      <w:pPr>
        <w:pStyle w:val="Headingb"/>
      </w:pPr>
      <w:r w:rsidRPr="00A015A5">
        <w:t>Champ d'application</w:t>
      </w:r>
    </w:p>
    <w:p w14:paraId="1B2EB076" w14:textId="7F384D84" w:rsidR="006619BC" w:rsidRPr="00A015A5" w:rsidRDefault="006619BC" w:rsidP="002E3F3F">
      <w:pPr>
        <w:jc w:val="both"/>
      </w:pPr>
      <w:r w:rsidRPr="00A015A5">
        <w:t>Le présent document s'applique aux conférences et assemblées de l'UIT (PP, CMR, AR, AMNT, AMNT), qui se tiennent par défaut au siège de l'UIT à Genève, mais peuvent être organisées hors de Genève si le gouvernement d'un État Membre propose d'accueillir l'une de ces conférences ou assemblées et accepte de prendre à sa charge les dépenses supplémentaires que cela occasionne.</w:t>
      </w:r>
    </w:p>
    <w:p w14:paraId="6934520B" w14:textId="77777777" w:rsidR="006619BC" w:rsidRPr="00A015A5" w:rsidRDefault="006619BC" w:rsidP="002E3F3F">
      <w:pPr>
        <w:jc w:val="both"/>
      </w:pPr>
      <w:r w:rsidRPr="00A015A5">
        <w:t>En ce qui concerne le Conseil, le numéro 51 (article 4) de la Convention dispose que le Conseil se réunit une fois par an en session ordinaire au siège de l'Union. Le Conseil est chargé de planifier, à chaque session ordinaire, ses trois prochaines sessions ordinaires (Résolution 77 (Rév. Bucarest, 2022) de la PP).</w:t>
      </w:r>
    </w:p>
    <w:p w14:paraId="173C4C29" w14:textId="77777777" w:rsidR="006619BC" w:rsidRPr="00A015A5" w:rsidRDefault="006619BC" w:rsidP="00C77FD9">
      <w:pPr>
        <w:pStyle w:val="Headingb"/>
      </w:pPr>
      <w:r w:rsidRPr="00A015A5">
        <w:t>Proposition de procédure de sélection des pays hôtes</w:t>
      </w:r>
    </w:p>
    <w:p w14:paraId="7F428467" w14:textId="77777777" w:rsidR="006619BC" w:rsidRPr="00A015A5" w:rsidRDefault="006619BC" w:rsidP="00C77FD9">
      <w:pPr>
        <w:pStyle w:val="Heading1"/>
        <w:rPr>
          <w:rFonts w:eastAsiaTheme="minorEastAsia"/>
        </w:rPr>
      </w:pPr>
      <w:r w:rsidRPr="00A015A5">
        <w:rPr>
          <w:rFonts w:eastAsiaTheme="minorEastAsia"/>
        </w:rPr>
        <w:t>1</w:t>
      </w:r>
      <w:r w:rsidRPr="00A015A5">
        <w:rPr>
          <w:rFonts w:eastAsiaTheme="minorEastAsia"/>
        </w:rPr>
        <w:tab/>
        <w:t>Détermination de la période et de l'année où se tiendra la conférence ou l'assemblée</w:t>
      </w:r>
    </w:p>
    <w:p w14:paraId="35DE5682" w14:textId="77777777" w:rsidR="006619BC" w:rsidRPr="00A015A5" w:rsidRDefault="006619BC" w:rsidP="002E3F3F">
      <w:pPr>
        <w:jc w:val="both"/>
        <w:rPr>
          <w:rFonts w:eastAsiaTheme="minorEastAsia"/>
        </w:rPr>
      </w:pPr>
      <w:r w:rsidRPr="00A015A5">
        <w:rPr>
          <w:rFonts w:eastAsiaTheme="minorEastAsia"/>
        </w:rPr>
        <w:t xml:space="preserve">À chaque Conférence de plénipotentiaires, le secrétariat publie la liste des conférences et assemblées qui auront lieu au cours des huit années suivantes, en précisant les périodes </w:t>
      </w:r>
      <w:r w:rsidRPr="00A015A5">
        <w:rPr>
          <w:rFonts w:eastAsiaTheme="minorEastAsia"/>
        </w:rPr>
        <w:lastRenderedPageBreak/>
        <w:t>auxquelles elles doivent avoir lieu et en donnant des informations détaillées sur les dates ou les pays hôtes si elles sont disponibles (Résolution 77).</w:t>
      </w:r>
    </w:p>
    <w:p w14:paraId="2DA99311" w14:textId="77777777" w:rsidR="006619BC" w:rsidRPr="00A015A5" w:rsidRDefault="006619BC" w:rsidP="00374CB6">
      <w:pPr>
        <w:pStyle w:val="Heading1"/>
        <w:rPr>
          <w:rFonts w:eastAsiaTheme="minorEastAsia"/>
        </w:rPr>
      </w:pPr>
      <w:r w:rsidRPr="00A015A5">
        <w:rPr>
          <w:rFonts w:eastAsiaTheme="minorEastAsia"/>
        </w:rPr>
        <w:t>2</w:t>
      </w:r>
      <w:r w:rsidRPr="00A015A5">
        <w:rPr>
          <w:rFonts w:eastAsiaTheme="minorEastAsia"/>
        </w:rPr>
        <w:tab/>
        <w:t>Publication d'une lettre circulaire invitant de futurs pays hôtes à soumettre des propositions</w:t>
      </w:r>
    </w:p>
    <w:p w14:paraId="5D7BC4D9" w14:textId="77777777" w:rsidR="006619BC" w:rsidRPr="00A015A5" w:rsidRDefault="006619BC" w:rsidP="002E3F3F">
      <w:pPr>
        <w:jc w:val="both"/>
        <w:rPr>
          <w:rFonts w:eastAsiaTheme="minorEastAsia"/>
        </w:rPr>
      </w:pPr>
      <w:r w:rsidRPr="00A015A5">
        <w:rPr>
          <w:rFonts w:eastAsiaTheme="minorEastAsia"/>
        </w:rPr>
        <w:t>Le secrétariat publie, quatre (4) ans avant la conférence ou l'assemblée, une lettre circulaire comprenant les éléments suivants:</w:t>
      </w:r>
    </w:p>
    <w:p w14:paraId="703B9238" w14:textId="0547F8ED" w:rsidR="006619BC" w:rsidRPr="00A015A5" w:rsidRDefault="006619BC" w:rsidP="002E3F3F">
      <w:pPr>
        <w:pStyle w:val="enumlev1"/>
        <w:jc w:val="both"/>
        <w:rPr>
          <w:rFonts w:eastAsiaTheme="minorEastAsia"/>
        </w:rPr>
      </w:pPr>
      <w:r w:rsidRPr="00A015A5">
        <w:rPr>
          <w:rFonts w:eastAsiaTheme="minorEastAsia"/>
        </w:rPr>
        <w:t>2.1</w:t>
      </w:r>
      <w:r w:rsidRPr="00A015A5">
        <w:rPr>
          <w:rFonts w:eastAsiaTheme="minorEastAsia"/>
        </w:rPr>
        <w:tab/>
      </w:r>
      <w:r w:rsidRPr="00A015A5">
        <w:rPr>
          <w:rFonts w:eastAsiaTheme="minorEastAsia"/>
          <w:b/>
          <w:bCs/>
        </w:rPr>
        <w:t>Informations générales sur la conférence et principales exigences fondées sur le modèle d'accord de pays hôte</w:t>
      </w:r>
      <w:r w:rsidRPr="00A015A5">
        <w:rPr>
          <w:rFonts w:eastAsiaTheme="minorEastAsia"/>
        </w:rPr>
        <w:t xml:space="preserve"> et ses annexes comprenant les besoins financiers, ainsi que les besoins concernant le lieu et les infrastructures, la connectivité et les services techniques, la sécurité et la sûreté, les capacités d'hébergement, les facilités d'accès, les services médicaux, la confirmation de la facilité d'obtention des visas et de l'existence d'arrangements douaniers et la conformité aux règlements de l'UIT, y</w:t>
      </w:r>
      <w:r w:rsidR="00374CB6" w:rsidRPr="00A015A5">
        <w:rPr>
          <w:rFonts w:eastAsiaTheme="minorEastAsia"/>
        </w:rPr>
        <w:t> </w:t>
      </w:r>
      <w:r w:rsidRPr="00A015A5">
        <w:rPr>
          <w:rFonts w:eastAsiaTheme="minorEastAsia"/>
        </w:rPr>
        <w:t>compris le respect de la Convention de 1947 sur les privilèges et immunités des institutions spécialisées.</w:t>
      </w:r>
    </w:p>
    <w:p w14:paraId="386562EF" w14:textId="77777777" w:rsidR="006619BC" w:rsidRPr="00A015A5" w:rsidRDefault="006619BC" w:rsidP="00374CB6">
      <w:pPr>
        <w:pStyle w:val="enumlev1"/>
        <w:rPr>
          <w:rFonts w:eastAsiaTheme="minorEastAsia"/>
        </w:rPr>
      </w:pPr>
      <w:r w:rsidRPr="00A015A5">
        <w:rPr>
          <w:rFonts w:eastAsiaTheme="minorEastAsia"/>
        </w:rPr>
        <w:t>2.2</w:t>
      </w:r>
      <w:r w:rsidRPr="00A015A5">
        <w:rPr>
          <w:rFonts w:eastAsiaTheme="minorEastAsia"/>
        </w:rPr>
        <w:tab/>
      </w:r>
      <w:r w:rsidRPr="00A015A5">
        <w:rPr>
          <w:rFonts w:eastAsiaTheme="minorEastAsia"/>
          <w:b/>
          <w:bCs/>
        </w:rPr>
        <w:t>Délais de soumission pour les trois principales étapes:</w:t>
      </w:r>
    </w:p>
    <w:p w14:paraId="24913694" w14:textId="77777777" w:rsidR="006619BC" w:rsidRPr="00A015A5" w:rsidRDefault="006619BC" w:rsidP="002E3F3F">
      <w:pPr>
        <w:pStyle w:val="enumlev2"/>
        <w:jc w:val="both"/>
        <w:rPr>
          <w:rFonts w:eastAsiaTheme="minorEastAsia"/>
        </w:rPr>
      </w:pPr>
      <w:r w:rsidRPr="00A015A5">
        <w:rPr>
          <w:rFonts w:eastAsiaTheme="minorEastAsia"/>
        </w:rPr>
        <w:t>–</w:t>
      </w:r>
      <w:r w:rsidRPr="00A015A5">
        <w:rPr>
          <w:rFonts w:eastAsiaTheme="minorEastAsia"/>
        </w:rPr>
        <w:tab/>
      </w:r>
      <w:r w:rsidRPr="00A015A5">
        <w:rPr>
          <w:rFonts w:eastAsiaTheme="minorEastAsia"/>
          <w:b/>
          <w:bCs/>
        </w:rPr>
        <w:t>Manifestation d'intérêt</w:t>
      </w:r>
      <w:r w:rsidRPr="00A015A5">
        <w:rPr>
          <w:rFonts w:eastAsiaTheme="minorEastAsia"/>
        </w:rPr>
        <w:t xml:space="preserve"> des États Membres intéressés pour permettre des consultations avec le secrétariat dans un délai de six à huit semaines à compter de la publication de la lettre circulaire. Les États Membres intéressés soumettent une manifestation d'intérêt officielle avec des éléments exposant leurs motivations par l'intermédiaire de leur administration. Le secrétariat leur transmet le modèle d'accord de pays hôte et fournit au besoin des précisions sur le budget et les installations.</w:t>
      </w:r>
    </w:p>
    <w:p w14:paraId="71E797BD" w14:textId="77777777" w:rsidR="006619BC" w:rsidRPr="00A015A5" w:rsidRDefault="006619BC" w:rsidP="002E3F3F">
      <w:pPr>
        <w:pStyle w:val="enumlev2"/>
        <w:jc w:val="both"/>
        <w:rPr>
          <w:rFonts w:eastAsiaTheme="minorEastAsia"/>
        </w:rPr>
      </w:pPr>
      <w:r w:rsidRPr="00A015A5">
        <w:rPr>
          <w:lang w:eastAsia="en-GB"/>
        </w:rPr>
        <w:t>–</w:t>
      </w:r>
      <w:r w:rsidRPr="00A015A5">
        <w:tab/>
      </w:r>
      <w:r w:rsidRPr="00A015A5">
        <w:rPr>
          <w:rFonts w:asciiTheme="minorHAnsi" w:eastAsiaTheme="minorEastAsia" w:hAnsiTheme="minorHAnsi" w:cstheme="minorBidi"/>
          <w:b/>
          <w:bCs/>
        </w:rPr>
        <w:t>Soumission des propositions formelles</w:t>
      </w:r>
      <w:r w:rsidRPr="00A015A5">
        <w:rPr>
          <w:rFonts w:asciiTheme="minorHAnsi" w:eastAsiaTheme="minorEastAsia" w:hAnsiTheme="minorHAnsi" w:cstheme="minorBidi"/>
        </w:rPr>
        <w:t xml:space="preserve"> d'ici à (fin de l'année calendaire). </w:t>
      </w:r>
      <w:r w:rsidRPr="00A015A5">
        <w:rPr>
          <w:rFonts w:eastAsiaTheme="minorEastAsia"/>
        </w:rPr>
        <w:t>Les États Membres intéressés soumettent une offre formelle par l'intermédiaire de leur administration ou de leur mission permanente. Cette offre devrait comprendre une lettre d'intention officielle indiquant l'engagement du gouvernement à appuyer la conférence ou l'assemblée, des renseignements sur les installations telles que le lieu de la conférence, les hébergements, les transports et la sécurité, conformément à l'accord de pays hôte pertinent le plus récent, et des garanties financières pour couvrir les coûts liés à la conférence.</w:t>
      </w:r>
    </w:p>
    <w:p w14:paraId="5CB534E8" w14:textId="18529ADE" w:rsidR="006619BC" w:rsidRPr="00A015A5" w:rsidRDefault="006619BC" w:rsidP="002E3F3F">
      <w:pPr>
        <w:pStyle w:val="enumlev2"/>
        <w:jc w:val="both"/>
      </w:pPr>
      <w:r w:rsidRPr="00A015A5">
        <w:rPr>
          <w:lang w:eastAsia="en-GB"/>
        </w:rPr>
        <w:t>–</w:t>
      </w:r>
      <w:r w:rsidRPr="00A015A5">
        <w:tab/>
        <w:t>Les propositions formelles seront publiées sur le portail web sur les pays hôtes dans un délai de 12 jours après la date limite de soumission des propositions formelles. Les propositions soumises d'une manière autre que selon cette procédure seront publiées sur le portail à leur réception assorties d'un avertissement correspondant.</w:t>
      </w:r>
    </w:p>
    <w:p w14:paraId="2EBB7CE0" w14:textId="0B46A06A" w:rsidR="006619BC" w:rsidRPr="00A015A5" w:rsidRDefault="006619BC" w:rsidP="00CD3105">
      <w:pPr>
        <w:pStyle w:val="Heading1"/>
        <w:spacing w:before="240"/>
        <w:rPr>
          <w:rFonts w:eastAsiaTheme="minorEastAsia"/>
        </w:rPr>
      </w:pPr>
      <w:r w:rsidRPr="00A015A5">
        <w:rPr>
          <w:rFonts w:eastAsiaTheme="minorEastAsia"/>
        </w:rPr>
        <w:t>3</w:t>
      </w:r>
      <w:r w:rsidRPr="00A015A5">
        <w:rPr>
          <w:rFonts w:eastAsiaTheme="minorEastAsia"/>
        </w:rPr>
        <w:tab/>
        <w:t>Examen et rapport</w:t>
      </w:r>
    </w:p>
    <w:p w14:paraId="69B279FC" w14:textId="6512DDD5" w:rsidR="006619BC" w:rsidRPr="00A015A5" w:rsidRDefault="006619BC" w:rsidP="002E3F3F">
      <w:pPr>
        <w:jc w:val="both"/>
        <w:rPr>
          <w:rFonts w:eastAsiaTheme="minorEastAsia"/>
        </w:rPr>
      </w:pPr>
      <w:r w:rsidRPr="00A015A5">
        <w:rPr>
          <w:rFonts w:eastAsiaTheme="minorEastAsia"/>
        </w:rPr>
        <w:t>Une fois passée la date limite de soumission, le secrétariat examine toutes les propositions formelles afin de déterminer si le pays hôte potentiel satisfait aux exigences minimales pour pouvoir accueillir la conférence, et remplit un tableau d'évaluation. Le secrétariat pourra effectuer une première visite sur place ou demander des informations supplémentaires aux pays candidats si besoin est, les pays candidats pouvant ajuster ou retirer une proposition pendant ce processus. Le secrétariat soumet les propositions des pays hôtes avec le rapport d'examen, reposant sur le tableau d'évaluation, à la PP ou au Conseil à sa session suivante au moins trois (3) ans avant le début de la conférence.</w:t>
      </w:r>
    </w:p>
    <w:p w14:paraId="7EFEA5DD" w14:textId="77777777" w:rsidR="006619BC" w:rsidRPr="00A015A5" w:rsidRDefault="006619BC" w:rsidP="002E3F3F">
      <w:pPr>
        <w:jc w:val="both"/>
        <w:rPr>
          <w:rFonts w:eastAsiaTheme="minorEastAsia"/>
        </w:rPr>
      </w:pPr>
      <w:r w:rsidRPr="00A015A5">
        <w:rPr>
          <w:rFonts w:eastAsiaTheme="minorEastAsia"/>
        </w:rPr>
        <w:lastRenderedPageBreak/>
        <w:t>Les offres formelles qui ne satisfont pas à toutes les exigences pour pouvoir accueillir la conférence seront indiquées dans le rapport d'examen. Les éléments détaillés complets de l'évaluation pourront être transmis à l'hôte potentiel ou à tout hôte potentiel qui ne satisfait pas aux exigences, sur demande adressée au secrétariat.</w:t>
      </w:r>
    </w:p>
    <w:p w14:paraId="0A2E1004" w14:textId="77777777" w:rsidR="006619BC" w:rsidRPr="00A015A5" w:rsidRDefault="006619BC" w:rsidP="00374CB6">
      <w:pPr>
        <w:pStyle w:val="Heading1"/>
        <w:rPr>
          <w:rFonts w:eastAsiaTheme="minorEastAsia"/>
        </w:rPr>
      </w:pPr>
      <w:r w:rsidRPr="00A015A5">
        <w:rPr>
          <w:rFonts w:eastAsiaTheme="minorEastAsia"/>
        </w:rPr>
        <w:t>4</w:t>
      </w:r>
      <w:r w:rsidRPr="00A015A5">
        <w:rPr>
          <w:rFonts w:eastAsiaTheme="minorEastAsia"/>
        </w:rPr>
        <w:tab/>
        <w:t>Sélection du pays hôte</w:t>
      </w:r>
    </w:p>
    <w:p w14:paraId="24291F54" w14:textId="5FB0954B" w:rsidR="006619BC" w:rsidRPr="00A015A5" w:rsidRDefault="006619BC" w:rsidP="002E3F3F">
      <w:pPr>
        <w:jc w:val="both"/>
        <w:rPr>
          <w:rFonts w:eastAsiaTheme="minorEastAsia"/>
        </w:rPr>
      </w:pPr>
      <w:r w:rsidRPr="00A015A5">
        <w:rPr>
          <w:rFonts w:eastAsiaTheme="minorEastAsia"/>
        </w:rPr>
        <w:t>La PP ou le Conseil choisit le pays hôte en se fondant sur le rapport d'examen et compte tenu du principe de rotation géographique lorsque cela est possible. Si le choix est fait au Conseil, l'accord de la majorité des États Membres de l'Union doit être obtenu au moyen d'une consultation par correspondance menée par voie de lettre circulaire. Le nom du pays hôte choisi est annoncé dans une version révisée de la Résolution 77 (si le choix est fait à</w:t>
      </w:r>
      <w:r w:rsidR="00356C5E" w:rsidRPr="00A015A5">
        <w:rPr>
          <w:rFonts w:eastAsiaTheme="minorEastAsia"/>
        </w:rPr>
        <w:t> </w:t>
      </w:r>
      <w:r w:rsidRPr="00A015A5">
        <w:rPr>
          <w:rFonts w:eastAsiaTheme="minorEastAsia"/>
        </w:rPr>
        <w:t>la</w:t>
      </w:r>
      <w:r w:rsidR="00356C5E" w:rsidRPr="00A015A5">
        <w:rPr>
          <w:rFonts w:eastAsiaTheme="minorEastAsia"/>
        </w:rPr>
        <w:t> </w:t>
      </w:r>
      <w:r w:rsidRPr="00A015A5">
        <w:rPr>
          <w:rFonts w:eastAsiaTheme="minorEastAsia"/>
        </w:rPr>
        <w:t>PP) ou dans une Décision du Conseil et, après confirmation de l'accord de la majorité des États Membres, par lettre circulaire (si le choix est fait lors d'une session du Conseil). Le</w:t>
      </w:r>
      <w:r w:rsidR="00576F23" w:rsidRPr="00A015A5">
        <w:rPr>
          <w:rFonts w:eastAsiaTheme="minorEastAsia"/>
        </w:rPr>
        <w:t> </w:t>
      </w:r>
      <w:r w:rsidRPr="00A015A5">
        <w:rPr>
          <w:rFonts w:eastAsiaTheme="minorEastAsia"/>
        </w:rPr>
        <w:t>document pertinent est ensuite publié sur le portail web.</w:t>
      </w:r>
    </w:p>
    <w:p w14:paraId="58A3A3FE" w14:textId="2F84B3F6" w:rsidR="006619BC" w:rsidRPr="00A015A5" w:rsidRDefault="006619BC" w:rsidP="00CD3105">
      <w:pPr>
        <w:pStyle w:val="Heading1"/>
        <w:spacing w:before="240"/>
        <w:rPr>
          <w:rFonts w:eastAsiaTheme="minorEastAsia"/>
        </w:rPr>
      </w:pPr>
      <w:r w:rsidRPr="00A015A5">
        <w:rPr>
          <w:rFonts w:eastAsiaTheme="minorEastAsia"/>
        </w:rPr>
        <w:t>5</w:t>
      </w:r>
      <w:r w:rsidRPr="00A015A5">
        <w:rPr>
          <w:rFonts w:eastAsiaTheme="minorEastAsia"/>
        </w:rPr>
        <w:tab/>
        <w:t>Établissement de la version finale de l'accord de pays hôte</w:t>
      </w:r>
    </w:p>
    <w:p w14:paraId="18D7363F" w14:textId="77777777" w:rsidR="006619BC" w:rsidRPr="002E3F3F" w:rsidRDefault="006619BC" w:rsidP="002E3F3F">
      <w:pPr>
        <w:jc w:val="both"/>
        <w:rPr>
          <w:rFonts w:eastAsiaTheme="minorEastAsia"/>
          <w:spacing w:val="-2"/>
        </w:rPr>
      </w:pPr>
      <w:r w:rsidRPr="002E3F3F">
        <w:rPr>
          <w:rFonts w:eastAsiaTheme="minorEastAsia"/>
          <w:spacing w:val="-2"/>
        </w:rPr>
        <w:t>Le projet d'accord de pays hôte est communiqué au gouvernement invitant de préférence deux (2) ans avant la date proposée pour la conférence. Un comité conjoint d'organisation comprenant des représentants du secrétariat et du pays hôte est créé et se réunit régulièrement afin de s'assurer que le plan du site est défini conformément aux exigences et que les besoins informatiques sont satisfaits, de planifier les stratégies concernant la sécurité, le protocole et les médias et la communication et d'établir la version finale de l'accord de pays hôte.</w:t>
      </w:r>
    </w:p>
    <w:p w14:paraId="1348C2BD" w14:textId="77777777" w:rsidR="006619BC" w:rsidRPr="00A015A5" w:rsidRDefault="006619BC" w:rsidP="00374CB6">
      <w:pPr>
        <w:pStyle w:val="Heading1"/>
        <w:rPr>
          <w:rFonts w:eastAsiaTheme="minorEastAsia"/>
        </w:rPr>
      </w:pPr>
      <w:r w:rsidRPr="00A015A5">
        <w:rPr>
          <w:rFonts w:eastAsiaTheme="minorEastAsia"/>
        </w:rPr>
        <w:t>6</w:t>
      </w:r>
      <w:r w:rsidRPr="00A015A5">
        <w:rPr>
          <w:rFonts w:eastAsiaTheme="minorEastAsia"/>
        </w:rPr>
        <w:tab/>
        <w:t>Signature de l'accord de pays hôte</w:t>
      </w:r>
    </w:p>
    <w:p w14:paraId="69639ACF" w14:textId="77777777" w:rsidR="006619BC" w:rsidRPr="00A015A5" w:rsidRDefault="006619BC" w:rsidP="002E3F3F">
      <w:pPr>
        <w:jc w:val="both"/>
        <w:rPr>
          <w:rFonts w:eastAsiaTheme="minorEastAsia"/>
        </w:rPr>
      </w:pPr>
      <w:r w:rsidRPr="00A015A5">
        <w:rPr>
          <w:rFonts w:eastAsiaTheme="minorEastAsia"/>
        </w:rPr>
        <w:t>L'accord de pays hôte est signé par l'UIT et le pays hôte de préférence un an avant le début de la conférence. L'accord de pays hôte final signé est publié sous la forme d'un document de conférence au plus tard à la PP ou à la session du Conseil précédant le début de la conférence. L'accord de pays hôte signé est également publié sur le portail web sur les pays hôtes.</w:t>
      </w:r>
    </w:p>
    <w:p w14:paraId="2D36E259" w14:textId="77777777" w:rsidR="006619BC" w:rsidRPr="00A015A5" w:rsidRDefault="006619BC" w:rsidP="00374CB6">
      <w:pPr>
        <w:pStyle w:val="Headingb"/>
        <w:rPr>
          <w:rFonts w:eastAsiaTheme="minorEastAsia"/>
        </w:rPr>
      </w:pPr>
      <w:r w:rsidRPr="00A015A5">
        <w:rPr>
          <w:rFonts w:eastAsiaTheme="minorEastAsia"/>
        </w:rPr>
        <w:t>Coûts génériques de l'accueil de la conférence</w:t>
      </w:r>
    </w:p>
    <w:p w14:paraId="2D96406F" w14:textId="77777777" w:rsidR="006619BC" w:rsidRPr="00A015A5" w:rsidRDefault="006619BC" w:rsidP="006619BC">
      <w:pPr>
        <w:pStyle w:val="Headingi"/>
        <w:rPr>
          <w:rFonts w:eastAsiaTheme="minorEastAsia"/>
        </w:rPr>
      </w:pPr>
      <w:r w:rsidRPr="00A015A5">
        <w:rPr>
          <w:rFonts w:eastAsiaTheme="minorEastAsia"/>
        </w:rPr>
        <w:t>Coûts primaires</w:t>
      </w:r>
    </w:p>
    <w:p w14:paraId="78329C77" w14:textId="77777777" w:rsidR="006619BC" w:rsidRPr="00A015A5" w:rsidRDefault="006619BC" w:rsidP="002E3F3F">
      <w:pPr>
        <w:jc w:val="both"/>
        <w:rPr>
          <w:rFonts w:eastAsiaTheme="minorEastAsia"/>
        </w:rPr>
      </w:pPr>
      <w:r w:rsidRPr="00A015A5">
        <w:rPr>
          <w:rFonts w:eastAsiaTheme="minorEastAsia"/>
        </w:rPr>
        <w:t>Les coûts primaires liés à l'accueil d'une conférence ou d'une assemblée sont pris en charge par le pays hôte lui-même et comprennent la location des installations de conférence, l'infrastructure, les transports, le recrutement du personnel local et tous les besoins supplémentaires décrits dans l'accord de pays hôte, y compris dans ses annexes. Ces coûts pourront varier considérablement en fonction de la manifestation concernée, dans la mesure où ils dépendent du pays hôte et du lieu choisi, de l'organisation, des effectifs et des fournisseurs de services, et pourront être comptabilisés de manière différente par les administrations des États Membres.</w:t>
      </w:r>
    </w:p>
    <w:p w14:paraId="48A97FA2" w14:textId="77777777" w:rsidR="006619BC" w:rsidRPr="00A015A5" w:rsidRDefault="006619BC" w:rsidP="006619BC">
      <w:pPr>
        <w:pStyle w:val="Headingi"/>
        <w:rPr>
          <w:rFonts w:eastAsiaTheme="minorEastAsia"/>
        </w:rPr>
      </w:pPr>
      <w:r w:rsidRPr="00A015A5">
        <w:rPr>
          <w:rFonts w:eastAsiaTheme="minorEastAsia"/>
        </w:rPr>
        <w:t>Besoins financiers directs de l'UIT</w:t>
      </w:r>
    </w:p>
    <w:p w14:paraId="2992542D" w14:textId="77777777" w:rsidR="006619BC" w:rsidRPr="00A015A5" w:rsidRDefault="006619BC" w:rsidP="002E3F3F">
      <w:pPr>
        <w:jc w:val="both"/>
        <w:rPr>
          <w:rFonts w:eastAsiaTheme="minorEastAsia"/>
        </w:rPr>
      </w:pPr>
      <w:r w:rsidRPr="00A015A5">
        <w:rPr>
          <w:rFonts w:eastAsiaTheme="minorEastAsia"/>
        </w:rPr>
        <w:t>En outre, l'Annexe 1 de l'accord de pays hôte indique les besoins financiers directs de l'UIT liés à l'accueil d'une conférence ou d'une assemblée, qui représentent les coûts supplémentaires pour l'UIT par rapport à la tenue d'une manifestation à Genève que le pays hôte doit rembourser à l'UIT conformément à la Résolution 5 (Kyoto, 1994) de la PP.</w:t>
      </w:r>
    </w:p>
    <w:p w14:paraId="6DB41285" w14:textId="4E872DF7" w:rsidR="006619BC" w:rsidRPr="00A015A5" w:rsidRDefault="006619BC" w:rsidP="002E3F3F">
      <w:pPr>
        <w:jc w:val="both"/>
        <w:rPr>
          <w:rFonts w:eastAsiaTheme="minorEastAsia"/>
        </w:rPr>
      </w:pPr>
      <w:r w:rsidRPr="00A015A5">
        <w:rPr>
          <w:rFonts w:eastAsiaTheme="minorEastAsia"/>
        </w:rPr>
        <w:lastRenderedPageBreak/>
        <w:t>Ces coûts concernent les frais de voyage et indemnités journalières de subsistance pour le personnel de l'UIT et varient considérablement en fonction de l'ampleur et de la nature de la conférence ou assemblée en question, de la distance par rapport à Genève, ainsi que du coût des billets d'avion et de l'hébergement dans la ville accueillant la conférence ou assemblée. Les dépenses supplémentaires sont liées au transport et à l'expédition des équipements et du matériel, ainsi que la provision pour divers et imprévus.</w:t>
      </w:r>
    </w:p>
    <w:p w14:paraId="30375FCB" w14:textId="463AE98A" w:rsidR="006619BC" w:rsidRPr="00A015A5" w:rsidRDefault="006619BC" w:rsidP="002E3F3F">
      <w:pPr>
        <w:spacing w:after="120"/>
        <w:jc w:val="both"/>
        <w:rPr>
          <w:rFonts w:eastAsiaTheme="minorEastAsia"/>
        </w:rPr>
      </w:pPr>
      <w:r w:rsidRPr="00A015A5">
        <w:rPr>
          <w:rFonts w:eastAsiaTheme="minorEastAsia"/>
        </w:rPr>
        <w:t>À titre indicatif, les dépenses remboursables de l'UIT prises en charge par le pays hôte conformément à la Résolution 5 (Kyoto, 1994) de la PP, d'après les derniers accords de pays</w:t>
      </w:r>
      <w:r w:rsidR="00356C5E" w:rsidRPr="00A015A5">
        <w:rPr>
          <w:rFonts w:eastAsiaTheme="minorEastAsia"/>
        </w:rPr>
        <w:t> </w:t>
      </w:r>
      <w:r w:rsidRPr="00A015A5">
        <w:rPr>
          <w:rFonts w:eastAsiaTheme="minorEastAsia"/>
        </w:rPr>
        <w:t>hôtes signés pour chaque conférence ou assemblée, sont présentées dans le tableau ci</w:t>
      </w:r>
      <w:r w:rsidR="00356C5E" w:rsidRPr="00A015A5">
        <w:rPr>
          <w:rFonts w:eastAsiaTheme="minorEastAsia"/>
        </w:rPr>
        <w:noBreakHyphen/>
      </w:r>
      <w:r w:rsidRPr="00A015A5">
        <w:rPr>
          <w:rFonts w:eastAsiaTheme="minorEastAsia"/>
        </w:rPr>
        <w:t>dessous.</w:t>
      </w:r>
    </w:p>
    <w:tbl>
      <w:tblPr>
        <w:tblStyle w:val="TableGrid"/>
        <w:tblW w:w="9198" w:type="dxa"/>
        <w:tblLook w:val="04A0" w:firstRow="1" w:lastRow="0" w:firstColumn="1" w:lastColumn="0" w:noHBand="0" w:noVBand="1"/>
      </w:tblPr>
      <w:tblGrid>
        <w:gridCol w:w="2830"/>
        <w:gridCol w:w="2977"/>
        <w:gridCol w:w="3391"/>
      </w:tblGrid>
      <w:tr w:rsidR="006619BC" w:rsidRPr="00A015A5" w14:paraId="1F6CE362" w14:textId="77777777" w:rsidTr="00B70563">
        <w:tc>
          <w:tcPr>
            <w:tcW w:w="2830" w:type="dxa"/>
            <w:vAlign w:val="center"/>
          </w:tcPr>
          <w:p w14:paraId="02D5BE41" w14:textId="77777777" w:rsidR="006619BC" w:rsidRPr="00A015A5" w:rsidRDefault="006619BC" w:rsidP="00B70563">
            <w:pPr>
              <w:pStyle w:val="Tablehead"/>
              <w:rPr>
                <w:rFonts w:asciiTheme="minorHAnsi" w:eastAsiaTheme="minorEastAsia" w:hAnsiTheme="minorHAnsi"/>
                <w:bCs/>
              </w:rPr>
            </w:pPr>
            <w:r w:rsidRPr="00A015A5">
              <w:t>Conférence/assemblée</w:t>
            </w:r>
          </w:p>
        </w:tc>
        <w:tc>
          <w:tcPr>
            <w:tcW w:w="2977" w:type="dxa"/>
            <w:vAlign w:val="center"/>
          </w:tcPr>
          <w:p w14:paraId="5CF0852D" w14:textId="77777777" w:rsidR="006619BC" w:rsidRPr="00A015A5" w:rsidRDefault="006619BC" w:rsidP="00B70563">
            <w:pPr>
              <w:pStyle w:val="Tablehead"/>
              <w:rPr>
                <w:rFonts w:asciiTheme="minorHAnsi" w:eastAsiaTheme="minorEastAsia" w:hAnsiTheme="minorHAnsi"/>
                <w:bCs/>
              </w:rPr>
            </w:pPr>
            <w:r w:rsidRPr="00A015A5">
              <w:t>Pays hôte et date</w:t>
            </w:r>
          </w:p>
        </w:tc>
        <w:tc>
          <w:tcPr>
            <w:tcW w:w="3391" w:type="dxa"/>
            <w:vAlign w:val="center"/>
          </w:tcPr>
          <w:p w14:paraId="1231E6B8" w14:textId="77777777" w:rsidR="006619BC" w:rsidRPr="00A015A5" w:rsidRDefault="006619BC" w:rsidP="00B70563">
            <w:pPr>
              <w:pStyle w:val="Tablehead"/>
              <w:rPr>
                <w:rFonts w:asciiTheme="minorHAnsi" w:eastAsiaTheme="minorEastAsia" w:hAnsiTheme="minorHAnsi"/>
                <w:bCs/>
              </w:rPr>
            </w:pPr>
            <w:r w:rsidRPr="00A015A5">
              <w:t>Dépenses supplémentaires en</w:t>
            </w:r>
            <w:r w:rsidRPr="00A015A5">
              <w:rPr>
                <w:rFonts w:asciiTheme="minorHAnsi" w:eastAsiaTheme="minorEastAsia" w:hAnsiTheme="minorHAnsi"/>
                <w:bCs/>
              </w:rPr>
              <w:t xml:space="preserve"> CHF conformément à la Résolution 5 (Kyoto, 1994) de la PP</w:t>
            </w:r>
          </w:p>
        </w:tc>
      </w:tr>
      <w:tr w:rsidR="006619BC" w:rsidRPr="00A015A5" w14:paraId="2923BCE3" w14:textId="77777777" w:rsidTr="00B70563">
        <w:tc>
          <w:tcPr>
            <w:tcW w:w="2830" w:type="dxa"/>
          </w:tcPr>
          <w:p w14:paraId="2F5BE578" w14:textId="77777777" w:rsidR="006619BC" w:rsidRPr="00A015A5" w:rsidRDefault="006619BC" w:rsidP="00374CB6">
            <w:pPr>
              <w:pStyle w:val="Tabletext"/>
              <w:jc w:val="center"/>
            </w:pPr>
            <w:r w:rsidRPr="00A015A5">
              <w:t>CMDT</w:t>
            </w:r>
          </w:p>
        </w:tc>
        <w:tc>
          <w:tcPr>
            <w:tcW w:w="2977" w:type="dxa"/>
          </w:tcPr>
          <w:p w14:paraId="737EEF47" w14:textId="77777777" w:rsidR="006619BC" w:rsidRPr="00A015A5" w:rsidRDefault="006619BC" w:rsidP="00374CB6">
            <w:pPr>
              <w:pStyle w:val="Tabletext"/>
              <w:jc w:val="center"/>
            </w:pPr>
            <w:r w:rsidRPr="00A015A5">
              <w:t>Azerbaïdjan, 2025</w:t>
            </w:r>
          </w:p>
        </w:tc>
        <w:tc>
          <w:tcPr>
            <w:tcW w:w="3391" w:type="dxa"/>
          </w:tcPr>
          <w:p w14:paraId="67AE69F5" w14:textId="77777777" w:rsidR="006619BC" w:rsidRPr="00A015A5" w:rsidRDefault="006619BC" w:rsidP="00374CB6">
            <w:pPr>
              <w:pStyle w:val="Tabletext"/>
              <w:jc w:val="center"/>
            </w:pPr>
            <w:r w:rsidRPr="00A015A5">
              <w:t>1 099 000</w:t>
            </w:r>
          </w:p>
        </w:tc>
      </w:tr>
      <w:tr w:rsidR="006619BC" w:rsidRPr="00A015A5" w14:paraId="6AB4C0BA" w14:textId="77777777" w:rsidTr="00B70563">
        <w:tc>
          <w:tcPr>
            <w:tcW w:w="2830" w:type="dxa"/>
          </w:tcPr>
          <w:p w14:paraId="5B1224FC" w14:textId="77777777" w:rsidR="006619BC" w:rsidRPr="00A015A5" w:rsidRDefault="006619BC" w:rsidP="00374CB6">
            <w:pPr>
              <w:pStyle w:val="Tabletext"/>
              <w:jc w:val="center"/>
            </w:pPr>
            <w:r w:rsidRPr="00A015A5">
              <w:t>AMNT</w:t>
            </w:r>
          </w:p>
        </w:tc>
        <w:tc>
          <w:tcPr>
            <w:tcW w:w="2977" w:type="dxa"/>
          </w:tcPr>
          <w:p w14:paraId="6221AD30" w14:textId="77777777" w:rsidR="006619BC" w:rsidRPr="00A015A5" w:rsidRDefault="006619BC" w:rsidP="00374CB6">
            <w:pPr>
              <w:pStyle w:val="Tabletext"/>
              <w:jc w:val="center"/>
            </w:pPr>
            <w:r w:rsidRPr="00A015A5">
              <w:t>Inde, 2024</w:t>
            </w:r>
          </w:p>
        </w:tc>
        <w:tc>
          <w:tcPr>
            <w:tcW w:w="3391" w:type="dxa"/>
          </w:tcPr>
          <w:p w14:paraId="40FDFBE1" w14:textId="77777777" w:rsidR="006619BC" w:rsidRPr="00A015A5" w:rsidRDefault="006619BC" w:rsidP="00374CB6">
            <w:pPr>
              <w:pStyle w:val="Tabletext"/>
              <w:jc w:val="center"/>
            </w:pPr>
            <w:r w:rsidRPr="00A015A5">
              <w:t>995 000</w:t>
            </w:r>
          </w:p>
        </w:tc>
      </w:tr>
      <w:tr w:rsidR="006619BC" w:rsidRPr="00A015A5" w14:paraId="4122C26A" w14:textId="77777777" w:rsidTr="00B70563">
        <w:tc>
          <w:tcPr>
            <w:tcW w:w="2830" w:type="dxa"/>
          </w:tcPr>
          <w:p w14:paraId="33527F2E" w14:textId="77777777" w:rsidR="006619BC" w:rsidRPr="00A015A5" w:rsidRDefault="006619BC" w:rsidP="00374CB6">
            <w:pPr>
              <w:pStyle w:val="Tabletext"/>
              <w:jc w:val="center"/>
            </w:pPr>
            <w:r w:rsidRPr="00A015A5">
              <w:t>CMR</w:t>
            </w:r>
          </w:p>
        </w:tc>
        <w:tc>
          <w:tcPr>
            <w:tcW w:w="2977" w:type="dxa"/>
          </w:tcPr>
          <w:p w14:paraId="7EE5D8DB" w14:textId="77777777" w:rsidR="006619BC" w:rsidRPr="00A015A5" w:rsidRDefault="006619BC" w:rsidP="00374CB6">
            <w:pPr>
              <w:pStyle w:val="Tabletext"/>
              <w:jc w:val="center"/>
            </w:pPr>
            <w:r w:rsidRPr="00A015A5">
              <w:t>Émirats arabes unis, 2023</w:t>
            </w:r>
          </w:p>
        </w:tc>
        <w:tc>
          <w:tcPr>
            <w:tcW w:w="3391" w:type="dxa"/>
          </w:tcPr>
          <w:p w14:paraId="52BD3EE5" w14:textId="77777777" w:rsidR="006619BC" w:rsidRPr="00A015A5" w:rsidRDefault="006619BC" w:rsidP="00374CB6">
            <w:pPr>
              <w:pStyle w:val="Tabletext"/>
              <w:jc w:val="center"/>
            </w:pPr>
            <w:r w:rsidRPr="00A015A5">
              <w:t>3 587 000</w:t>
            </w:r>
          </w:p>
        </w:tc>
      </w:tr>
      <w:tr w:rsidR="006619BC" w:rsidRPr="00A015A5" w14:paraId="29A71BB5" w14:textId="77777777" w:rsidTr="00B70563">
        <w:tc>
          <w:tcPr>
            <w:tcW w:w="2830" w:type="dxa"/>
          </w:tcPr>
          <w:p w14:paraId="6D893392" w14:textId="77777777" w:rsidR="006619BC" w:rsidRPr="00A015A5" w:rsidRDefault="006619BC" w:rsidP="00374CB6">
            <w:pPr>
              <w:pStyle w:val="Tabletext"/>
              <w:jc w:val="center"/>
            </w:pPr>
            <w:r w:rsidRPr="00A015A5">
              <w:t>PP</w:t>
            </w:r>
          </w:p>
        </w:tc>
        <w:tc>
          <w:tcPr>
            <w:tcW w:w="2977" w:type="dxa"/>
          </w:tcPr>
          <w:p w14:paraId="438C6ACA" w14:textId="77777777" w:rsidR="006619BC" w:rsidRPr="00A015A5" w:rsidRDefault="006619BC" w:rsidP="00374CB6">
            <w:pPr>
              <w:pStyle w:val="Tabletext"/>
              <w:jc w:val="center"/>
            </w:pPr>
            <w:r w:rsidRPr="00A015A5">
              <w:t>Roumanie, 2022</w:t>
            </w:r>
          </w:p>
        </w:tc>
        <w:tc>
          <w:tcPr>
            <w:tcW w:w="3391" w:type="dxa"/>
          </w:tcPr>
          <w:p w14:paraId="7CE99FDF" w14:textId="77777777" w:rsidR="006619BC" w:rsidRPr="00A015A5" w:rsidRDefault="006619BC" w:rsidP="00374CB6">
            <w:pPr>
              <w:pStyle w:val="Tabletext"/>
              <w:jc w:val="center"/>
            </w:pPr>
            <w:r w:rsidRPr="00A015A5">
              <w:t>1 271 700</w:t>
            </w:r>
          </w:p>
        </w:tc>
      </w:tr>
    </w:tbl>
    <w:p w14:paraId="42A9CC32" w14:textId="77777777" w:rsidR="002E3F3F" w:rsidRDefault="002E3F3F" w:rsidP="002E3F3F">
      <w:pPr>
        <w:pStyle w:val="Tablefin"/>
      </w:pPr>
    </w:p>
    <w:p w14:paraId="1F4F4611" w14:textId="3F01C9DC" w:rsidR="006619BC" w:rsidRPr="00A015A5" w:rsidRDefault="006619BC" w:rsidP="002E3F3F">
      <w:pPr>
        <w:jc w:val="both"/>
        <w:rPr>
          <w:rFonts w:eastAsiaTheme="minorEastAsia"/>
        </w:rPr>
      </w:pPr>
      <w:r w:rsidRPr="00A015A5">
        <w:rPr>
          <w:rFonts w:eastAsiaTheme="minorEastAsia"/>
        </w:rPr>
        <w:t xml:space="preserve">Le secrétariat met actuellement tout en œuvre pour réduire autant que faire se peut la charge financière pour les pays hôtes (Documents </w:t>
      </w:r>
      <w:hyperlink r:id="rId21">
        <w:r w:rsidRPr="00A015A5">
          <w:rPr>
            <w:rStyle w:val="Hyperlink"/>
          </w:rPr>
          <w:t>C25/95</w:t>
        </w:r>
      </w:hyperlink>
      <w:r w:rsidRPr="00A015A5">
        <w:t xml:space="preserve">, </w:t>
      </w:r>
      <w:hyperlink r:id="rId22">
        <w:r w:rsidRPr="00A015A5">
          <w:rPr>
            <w:rStyle w:val="Hyperlink"/>
            <w:rFonts w:asciiTheme="minorHAnsi" w:eastAsiaTheme="minorEastAsia" w:hAnsiTheme="minorHAnsi"/>
          </w:rPr>
          <w:t>CWG-FHR-21/8</w:t>
        </w:r>
      </w:hyperlink>
      <w:r w:rsidRPr="00A015A5">
        <w:rPr>
          <w:rFonts w:eastAsiaTheme="minorEastAsia"/>
        </w:rPr>
        <w:t xml:space="preserve"> </w:t>
      </w:r>
      <w:r w:rsidR="00576F23" w:rsidRPr="00A015A5">
        <w:rPr>
          <w:rFonts w:eastAsiaTheme="minorEastAsia"/>
        </w:rPr>
        <w:t>et</w:t>
      </w:r>
      <w:r w:rsidR="00B70563" w:rsidRPr="00A015A5">
        <w:rPr>
          <w:rFonts w:eastAsiaTheme="minorEastAsia"/>
        </w:rPr>
        <w:t> </w:t>
      </w:r>
      <w:hyperlink r:id="rId23">
        <w:r w:rsidRPr="00A015A5">
          <w:rPr>
            <w:rStyle w:val="Hyperlink"/>
            <w:rFonts w:asciiTheme="minorHAnsi" w:eastAsiaTheme="minorEastAsia" w:hAnsiTheme="minorHAnsi"/>
          </w:rPr>
          <w:t>CWG</w:t>
        </w:r>
        <w:r w:rsidR="00374CB6" w:rsidRPr="00A015A5">
          <w:rPr>
            <w:rStyle w:val="Hyperlink"/>
            <w:rFonts w:asciiTheme="minorHAnsi" w:eastAsiaTheme="minorEastAsia" w:hAnsiTheme="minorHAnsi"/>
          </w:rPr>
          <w:noBreakHyphen/>
        </w:r>
        <w:r w:rsidRPr="00A015A5">
          <w:rPr>
            <w:rStyle w:val="Hyperlink"/>
            <w:rFonts w:asciiTheme="minorHAnsi" w:eastAsiaTheme="minorEastAsia" w:hAnsiTheme="minorHAnsi"/>
          </w:rPr>
          <w:t>FHR</w:t>
        </w:r>
        <w:r w:rsidR="00374CB6" w:rsidRPr="00A015A5">
          <w:rPr>
            <w:rStyle w:val="Hyperlink"/>
            <w:rFonts w:asciiTheme="minorHAnsi" w:eastAsiaTheme="minorEastAsia" w:hAnsiTheme="minorHAnsi"/>
          </w:rPr>
          <w:noBreakHyphen/>
        </w:r>
        <w:r w:rsidRPr="00A015A5">
          <w:rPr>
            <w:rStyle w:val="Hyperlink"/>
            <w:rFonts w:asciiTheme="minorHAnsi" w:eastAsiaTheme="minorEastAsia" w:hAnsiTheme="minorHAnsi"/>
          </w:rPr>
          <w:t>22/19</w:t>
        </w:r>
      </w:hyperlink>
      <w:r w:rsidRPr="00A015A5">
        <w:rPr>
          <w:rFonts w:eastAsiaTheme="minorEastAsia"/>
        </w:rPr>
        <w:t>).</w:t>
      </w:r>
    </w:p>
    <w:p w14:paraId="3F3FB897" w14:textId="77777777" w:rsidR="006619BC" w:rsidRPr="00A015A5" w:rsidRDefault="006619BC" w:rsidP="00374CB6">
      <w:pPr>
        <w:pStyle w:val="Headingb"/>
      </w:pPr>
      <w:r w:rsidRPr="00A015A5">
        <w:t>Portail web</w:t>
      </w:r>
    </w:p>
    <w:p w14:paraId="0A995E76" w14:textId="18135809" w:rsidR="006619BC" w:rsidRPr="00A015A5" w:rsidRDefault="006619BC" w:rsidP="002E3F3F">
      <w:pPr>
        <w:jc w:val="both"/>
        <w:rPr>
          <w:rFonts w:eastAsiaTheme="minorEastAsia"/>
        </w:rPr>
      </w:pPr>
      <w:r w:rsidRPr="00A015A5">
        <w:rPr>
          <w:rFonts w:eastAsiaTheme="minorEastAsia"/>
        </w:rPr>
        <w:t xml:space="preserve">Le </w:t>
      </w:r>
      <w:hyperlink r:id="rId24" w:anchor="/fr">
        <w:r w:rsidRPr="00A015A5">
          <w:rPr>
            <w:rStyle w:val="Hyperlink"/>
            <w:rFonts w:asciiTheme="minorHAnsi" w:eastAsiaTheme="minorEastAsia" w:hAnsiTheme="minorHAnsi"/>
          </w:rPr>
          <w:t>portail web</w:t>
        </w:r>
      </w:hyperlink>
      <w:r w:rsidRPr="00A015A5">
        <w:rPr>
          <w:rFonts w:eastAsiaTheme="minorEastAsia"/>
        </w:rPr>
        <w:t xml:space="preserve"> sera mis à disposition sur la page du Conseil et actualisé avec les informations pertinentes concernant les manifestations à venir, l'accord de pays hôte le plus récent signé pour chaque conférence et les propositions formelles qui seront reçues selon cette procédure, ainsi que les propositions qui pourraient être reçues après la date limite assorties d'un avertissement correspondant.</w:t>
      </w:r>
    </w:p>
    <w:p w14:paraId="38C99408" w14:textId="009E5247" w:rsidR="006619BC" w:rsidRPr="00A015A5" w:rsidRDefault="006619BC" w:rsidP="00374CB6">
      <w:pPr>
        <w:pStyle w:val="Headingb"/>
      </w:pPr>
      <w:r w:rsidRPr="00A015A5">
        <w:t>Mise en œuvre</w:t>
      </w:r>
    </w:p>
    <w:p w14:paraId="2840D578" w14:textId="77777777" w:rsidR="006619BC" w:rsidRPr="00A015A5" w:rsidRDefault="006619BC" w:rsidP="002E3F3F">
      <w:pPr>
        <w:jc w:val="both"/>
        <w:rPr>
          <w:rFonts w:eastAsiaTheme="minorEastAsia"/>
        </w:rPr>
      </w:pPr>
      <w:r w:rsidRPr="00A015A5">
        <w:rPr>
          <w:rFonts w:eastAsiaTheme="minorEastAsia"/>
        </w:rPr>
        <w:t>Si le cadre de sélection proposé est approuvé, la procédure complète ainsi que le calendrier et les documents correspondants seront également publiés sur le portail web. Compte tenu des échéances prévues selon cette procédure, il est proposé que le cadre de sélection présenté ci-dessus soit mis en œuvre pour les conférences tenues à compter de 2031.</w:t>
      </w:r>
    </w:p>
    <w:p w14:paraId="5A4A18E9" w14:textId="77777777" w:rsidR="006619BC" w:rsidRPr="00A015A5" w:rsidRDefault="006619BC" w:rsidP="002E3F3F">
      <w:pPr>
        <w:jc w:val="both"/>
        <w:rPr>
          <w:rFonts w:eastAsiaTheme="minorEastAsia"/>
        </w:rPr>
      </w:pPr>
      <w:r w:rsidRPr="00A015A5">
        <w:rPr>
          <w:rFonts w:eastAsiaTheme="minorEastAsia"/>
        </w:rPr>
        <w:t>Pour les manifestations se tenant avant 2031, la pratique actuelle sera suivie et toutes les manifestations d'intérêt seront publiées sur le portail web.</w:t>
      </w:r>
    </w:p>
    <w:p w14:paraId="67AA84F3" w14:textId="77777777" w:rsidR="006619BC" w:rsidRPr="00A015A5" w:rsidRDefault="006619BC" w:rsidP="00374CB6">
      <w:pPr>
        <w:pStyle w:val="Headingb"/>
      </w:pPr>
      <w:r w:rsidRPr="00A015A5">
        <w:t>Informations complémentaires</w:t>
      </w:r>
    </w:p>
    <w:p w14:paraId="563D4933" w14:textId="6C312149" w:rsidR="006A11AE" w:rsidRPr="00A015A5" w:rsidRDefault="006619BC" w:rsidP="002E3F3F">
      <w:pPr>
        <w:jc w:val="both"/>
      </w:pPr>
      <w:r w:rsidRPr="00A015A5">
        <w:rPr>
          <w:rFonts w:eastAsiaTheme="minorEastAsia"/>
        </w:rPr>
        <w:t xml:space="preserve">On trouvera dans le Document </w:t>
      </w:r>
      <w:hyperlink r:id="rId25" w:history="1">
        <w:r w:rsidRPr="00A015A5">
          <w:rPr>
            <w:rStyle w:val="Hyperlink"/>
            <w:rFonts w:asciiTheme="minorHAnsi" w:eastAsiaTheme="minorEastAsia" w:hAnsiTheme="minorHAnsi"/>
          </w:rPr>
          <w:t>C26/INF/4</w:t>
        </w:r>
      </w:hyperlink>
      <w:r w:rsidRPr="00A015A5">
        <w:rPr>
          <w:rFonts w:eastAsiaTheme="minorEastAsia"/>
        </w:rPr>
        <w:t xml:space="preserve"> des renseignements supplémentaires à l'appui de la présente proposition, ainsi que les différentes échéances de la procédure de sélection présentées dans un tableau pour une conférence prévue en 2031 (Annexe A), un tableau comparatif de besoins indicatifs par conférence ou assemblée sur la base des annexes de l'accord de pays hôte le plus récent signé pour les différentes conférences (Annexe B) et un</w:t>
      </w:r>
      <w:r w:rsidR="00356C5E" w:rsidRPr="00A015A5">
        <w:rPr>
          <w:rFonts w:eastAsiaTheme="minorEastAsia"/>
        </w:rPr>
        <w:t> </w:t>
      </w:r>
      <w:r w:rsidRPr="00A015A5">
        <w:rPr>
          <w:rFonts w:eastAsiaTheme="minorEastAsia"/>
        </w:rPr>
        <w:t>exemple de tableau d'évaluation (Annexe C).</w:t>
      </w:r>
    </w:p>
    <w:p w14:paraId="082E102F" w14:textId="77777777" w:rsidR="00897553" w:rsidRPr="00A015A5" w:rsidRDefault="006A11AE" w:rsidP="002D2336">
      <w:pPr>
        <w:jc w:val="center"/>
      </w:pPr>
      <w:r w:rsidRPr="00A015A5">
        <w:t>______________</w:t>
      </w:r>
    </w:p>
    <w:sectPr w:rsidR="00897553" w:rsidRPr="00A015A5" w:rsidSect="00D72F49">
      <w:headerReference w:type="even" r:id="rId26"/>
      <w:footerReference w:type="even" r:id="rId27"/>
      <w:footerReference w:type="default" r:id="rId28"/>
      <w:headerReference w:type="first" r:id="rId29"/>
      <w:footerReference w:type="first" r:id="rId3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F7F8" w14:textId="77777777" w:rsidR="001C6DF4" w:rsidRDefault="001C6DF4">
      <w:r>
        <w:separator/>
      </w:r>
    </w:p>
  </w:endnote>
  <w:endnote w:type="continuationSeparator" w:id="0">
    <w:p w14:paraId="0BF15EDF" w14:textId="77777777" w:rsidR="001C6DF4" w:rsidRDefault="001C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35C9" w14:textId="40C31279" w:rsidR="00732045" w:rsidRDefault="00A015A5">
    <w:pPr>
      <w:pStyle w:val="Footer"/>
    </w:pPr>
    <w:fldSimple w:instr=" FILENAME \p \* MERGEFORMAT ">
      <w:r w:rsidR="001C6DF4">
        <w:t>Document1</w:t>
      </w:r>
    </w:fldSimple>
    <w:r w:rsidR="00732045">
      <w:tab/>
    </w:r>
    <w:r w:rsidR="002F1B76">
      <w:fldChar w:fldCharType="begin"/>
    </w:r>
    <w:r w:rsidR="00732045">
      <w:instrText xml:space="preserve"> savedate \@ dd.MM.yy </w:instrText>
    </w:r>
    <w:r w:rsidR="002F1B76">
      <w:fldChar w:fldCharType="separate"/>
    </w:r>
    <w:r w:rsidR="0018754C">
      <w:t>07.04.26</w:t>
    </w:r>
    <w:r w:rsidR="002F1B76">
      <w:fldChar w:fldCharType="end"/>
    </w:r>
    <w:r w:rsidR="00732045">
      <w:tab/>
    </w:r>
    <w:r w:rsidR="002F1B76">
      <w:fldChar w:fldCharType="begin"/>
    </w:r>
    <w:r w:rsidR="00732045">
      <w:instrText xml:space="preserve"> printdate \@ dd.MM.yy </w:instrText>
    </w:r>
    <w:r w:rsidR="002F1B76">
      <w:fldChar w:fldCharType="separate"/>
    </w:r>
    <w:r w:rsidR="001C6DF4">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D18BF47" w14:textId="77777777" w:rsidTr="00E31DCE">
      <w:trPr>
        <w:jc w:val="center"/>
      </w:trPr>
      <w:tc>
        <w:tcPr>
          <w:tcW w:w="1803" w:type="dxa"/>
          <w:vAlign w:val="center"/>
        </w:tcPr>
        <w:p w14:paraId="2B7EBBB2" w14:textId="0ADA361D" w:rsidR="00A51849" w:rsidRDefault="006619BC" w:rsidP="00A51849">
          <w:pPr>
            <w:pStyle w:val="Header"/>
            <w:jc w:val="left"/>
            <w:rPr>
              <w:noProof/>
            </w:rPr>
          </w:pPr>
          <w:r>
            <w:rPr>
              <w:noProof/>
            </w:rPr>
            <w:t>2600700</w:t>
          </w:r>
        </w:p>
      </w:tc>
      <w:tc>
        <w:tcPr>
          <w:tcW w:w="8261" w:type="dxa"/>
        </w:tcPr>
        <w:p w14:paraId="37F35536" w14:textId="5FCCCA0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6619BC">
            <w:rPr>
              <w:bCs/>
            </w:rPr>
            <w:t>70</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96EC54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DBE9FB0" w14:textId="77777777" w:rsidTr="00E31DCE">
      <w:trPr>
        <w:jc w:val="center"/>
      </w:trPr>
      <w:tc>
        <w:tcPr>
          <w:tcW w:w="1803" w:type="dxa"/>
          <w:vAlign w:val="center"/>
        </w:tcPr>
        <w:p w14:paraId="1227CF46"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1C477E22" w14:textId="6778404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56C5E">
            <w:rPr>
              <w:bCs/>
            </w:rPr>
            <w:t>70</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5010BC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4F1C" w14:textId="77777777" w:rsidR="001C6DF4" w:rsidRDefault="001C6DF4">
      <w:r>
        <w:t>____________________</w:t>
      </w:r>
    </w:p>
  </w:footnote>
  <w:footnote w:type="continuationSeparator" w:id="0">
    <w:p w14:paraId="3EA0CC08" w14:textId="77777777" w:rsidR="001C6DF4" w:rsidRDefault="001C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7B3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78DCDF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8BFB"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F4"/>
    <w:rsid w:val="00076A2C"/>
    <w:rsid w:val="000D0D0A"/>
    <w:rsid w:val="00103163"/>
    <w:rsid w:val="00106B19"/>
    <w:rsid w:val="001133EF"/>
    <w:rsid w:val="00115D93"/>
    <w:rsid w:val="001247A8"/>
    <w:rsid w:val="001342E0"/>
    <w:rsid w:val="001370B2"/>
    <w:rsid w:val="001378C0"/>
    <w:rsid w:val="001658F9"/>
    <w:rsid w:val="0018694A"/>
    <w:rsid w:val="0018754C"/>
    <w:rsid w:val="0019129B"/>
    <w:rsid w:val="001A3287"/>
    <w:rsid w:val="001A6508"/>
    <w:rsid w:val="001C6DF4"/>
    <w:rsid w:val="001D4C31"/>
    <w:rsid w:val="001E4D21"/>
    <w:rsid w:val="001E7DC2"/>
    <w:rsid w:val="00207CD1"/>
    <w:rsid w:val="00226657"/>
    <w:rsid w:val="002477A2"/>
    <w:rsid w:val="00263A51"/>
    <w:rsid w:val="00267E02"/>
    <w:rsid w:val="00271321"/>
    <w:rsid w:val="00277DEA"/>
    <w:rsid w:val="002A5D44"/>
    <w:rsid w:val="002C3F32"/>
    <w:rsid w:val="002C4E3D"/>
    <w:rsid w:val="002D2336"/>
    <w:rsid w:val="002E0BC4"/>
    <w:rsid w:val="002E3F3F"/>
    <w:rsid w:val="002F1B76"/>
    <w:rsid w:val="0033568E"/>
    <w:rsid w:val="00355FF5"/>
    <w:rsid w:val="00356C5E"/>
    <w:rsid w:val="00361350"/>
    <w:rsid w:val="00374CB6"/>
    <w:rsid w:val="003C3FAE"/>
    <w:rsid w:val="004038CB"/>
    <w:rsid w:val="0040546F"/>
    <w:rsid w:val="00414D87"/>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76F23"/>
    <w:rsid w:val="005B01A6"/>
    <w:rsid w:val="005B1938"/>
    <w:rsid w:val="005C3890"/>
    <w:rsid w:val="005F7BFE"/>
    <w:rsid w:val="00600017"/>
    <w:rsid w:val="00602682"/>
    <w:rsid w:val="006235CA"/>
    <w:rsid w:val="0062366E"/>
    <w:rsid w:val="006619BC"/>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70816"/>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5A5"/>
    <w:rsid w:val="00A01F4F"/>
    <w:rsid w:val="00A07BFC"/>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70563"/>
    <w:rsid w:val="00BB38C1"/>
    <w:rsid w:val="00BB4545"/>
    <w:rsid w:val="00BD5873"/>
    <w:rsid w:val="00BF4B60"/>
    <w:rsid w:val="00C049D7"/>
    <w:rsid w:val="00C04BE3"/>
    <w:rsid w:val="00C25D29"/>
    <w:rsid w:val="00C2625E"/>
    <w:rsid w:val="00C27A7C"/>
    <w:rsid w:val="00C42437"/>
    <w:rsid w:val="00C77FD9"/>
    <w:rsid w:val="00CA08ED"/>
    <w:rsid w:val="00CC6EAA"/>
    <w:rsid w:val="00CD3105"/>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806E4"/>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CC97A"/>
  <w15:docId w15:val="{BF541296-2884-4E86-9A26-9F53BFC8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Tabletext"/>
    <w:rsid w:val="006619BC"/>
    <w:pPr>
      <w:tabs>
        <w:tab w:val="clear" w:pos="284"/>
        <w:tab w:val="clear" w:pos="567"/>
        <w:tab w:val="clear" w:pos="851"/>
      </w:tabs>
      <w:spacing w:before="0" w:after="0"/>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WGFHR21-C-0007/fr" TargetMode="External"/><Relationship Id="rId13" Type="http://schemas.openxmlformats.org/officeDocument/2006/relationships/hyperlink" Target="https://www.itu.int/en/council/ties/Documents/2025/Selection-process-infosession_cwg-fhr-30-October-2025.pptx" TargetMode="External"/><Relationship Id="rId18" Type="http://schemas.openxmlformats.org/officeDocument/2006/relationships/hyperlink" Target="https://www.itu.int/md/S25-CWGFHR21-C-0015/f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tu.int/md/S25-CL-C-0095/fr" TargetMode="External"/><Relationship Id="rId7" Type="http://schemas.openxmlformats.org/officeDocument/2006/relationships/hyperlink" Target="https://www.itu.int/en/council/cwg-fhr/Pages/default.aspx" TargetMode="External"/><Relationship Id="rId12" Type="http://schemas.openxmlformats.org/officeDocument/2006/relationships/hyperlink" Target="https://www.itu.int/md/S25-CWGFHR21-C-0025/fr" TargetMode="External"/><Relationship Id="rId17" Type="http://schemas.openxmlformats.org/officeDocument/2006/relationships/hyperlink" Target="https://council.itu.int/2026/en/resources/hosting-an-itu-conference/" TargetMode="External"/><Relationship Id="rId25" Type="http://schemas.openxmlformats.org/officeDocument/2006/relationships/hyperlink" Target="https://www.itu.int/md/S26-CL-INF-0004/fr" TargetMode="External"/><Relationship Id="rId2" Type="http://schemas.openxmlformats.org/officeDocument/2006/relationships/styles" Target="styles.xml"/><Relationship Id="rId16" Type="http://schemas.openxmlformats.org/officeDocument/2006/relationships/hyperlink" Target="https://www.itu.int/md/S25-CWGFHR21-C-0007/fr" TargetMode="External"/><Relationship Id="rId20" Type="http://schemas.openxmlformats.org/officeDocument/2006/relationships/hyperlink" Target="https://www.itu.int/md/S25-CWGFHR21-C-0023/f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WGFHR21-C-0023/fr" TargetMode="External"/><Relationship Id="rId24" Type="http://schemas.openxmlformats.org/officeDocument/2006/relationships/hyperlink" Target="https://council.itu.int/2026/en/resources/hosting-an-itu-conferen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md/S25-CL-C-0101/fr" TargetMode="External"/><Relationship Id="rId23" Type="http://schemas.openxmlformats.org/officeDocument/2006/relationships/hyperlink" Target="https://www.itu.int/md/S26-CWGFHR22-C-0019/fr" TargetMode="External"/><Relationship Id="rId28" Type="http://schemas.openxmlformats.org/officeDocument/2006/relationships/footer" Target="footer2.xml"/><Relationship Id="rId10" Type="http://schemas.openxmlformats.org/officeDocument/2006/relationships/hyperlink" Target="https://www.itu.int/md/S25-CWGFHR21-C-0017/fr" TargetMode="External"/><Relationship Id="rId19" Type="http://schemas.openxmlformats.org/officeDocument/2006/relationships/hyperlink" Target="https://www.itu.int/md/S25-CWGFHR21-C-0017/f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u.int/md/S25-CWGFHR21-C-0015/fr" TargetMode="External"/><Relationship Id="rId14" Type="http://schemas.openxmlformats.org/officeDocument/2006/relationships/hyperlink" Target="https://www.itu.int/md/S26-CWGFHR22-C-0009/fr" TargetMode="External"/><Relationship Id="rId22" Type="http://schemas.openxmlformats.org/officeDocument/2006/relationships/hyperlink" Target="https://www.itu.int/md/S25-CWGFHR21-C-0008/fr"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6</TotalTime>
  <Pages>6</Pages>
  <Words>2621</Words>
  <Characters>15903</Characters>
  <Application>Microsoft Office Word</Application>
  <DocSecurity>0</DocSecurity>
  <Lines>283</Lines>
  <Paragraphs>110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18414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cadre pour la sélection des pays hôtes des conférences et assemblées de l'UIT</dc:title>
  <dc:subject>Conseil 2026 de l'UIT</dc:subject>
  <cp:keywords>C26; C2026; Council 2026; PP26</cp:keywords>
  <dc:description/>
  <cp:lastPrinted>2000-07-18T08:55:00Z</cp:lastPrinted>
  <dcterms:created xsi:type="dcterms:W3CDTF">2026-04-07T15:20:00Z</dcterms:created>
  <dcterms:modified xsi:type="dcterms:W3CDTF">2026-04-07T15:26:00Z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