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E31246" w14:paraId="27019F64" w14:textId="77777777" w:rsidTr="18225E4A">
        <w:trPr>
          <w:cantSplit/>
          <w:trHeight w:val="23"/>
        </w:trPr>
        <w:tc>
          <w:tcPr>
            <w:tcW w:w="3969" w:type="dxa"/>
            <w:vMerge w:val="restart"/>
            <w:tcMar>
              <w:left w:w="0" w:type="dxa"/>
            </w:tcMar>
          </w:tcPr>
          <w:p w14:paraId="61645E1B" w14:textId="3AFA98C0" w:rsidR="00AD3606" w:rsidRPr="00E31246"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31246">
              <w:rPr>
                <w:b/>
              </w:rPr>
              <w:t xml:space="preserve">Agenda item: </w:t>
            </w:r>
            <w:r w:rsidR="003C10AA" w:rsidRPr="00E31246">
              <w:rPr>
                <w:b/>
              </w:rPr>
              <w:t>ADM 3</w:t>
            </w:r>
          </w:p>
        </w:tc>
        <w:tc>
          <w:tcPr>
            <w:tcW w:w="5245" w:type="dxa"/>
          </w:tcPr>
          <w:p w14:paraId="627B15D6" w14:textId="7DCF94F3" w:rsidR="00AD3606" w:rsidRPr="00E31246" w:rsidRDefault="00AD3606" w:rsidP="4E9D7D01">
            <w:pPr>
              <w:tabs>
                <w:tab w:val="left" w:pos="851"/>
              </w:tabs>
              <w:spacing w:before="0" w:line="240" w:lineRule="atLeast"/>
              <w:jc w:val="right"/>
              <w:rPr>
                <w:b/>
                <w:bCs/>
              </w:rPr>
            </w:pPr>
            <w:r w:rsidRPr="00E31246">
              <w:rPr>
                <w:b/>
                <w:bCs/>
              </w:rPr>
              <w:t xml:space="preserve">Document </w:t>
            </w:r>
            <w:proofErr w:type="spellStart"/>
            <w:r w:rsidRPr="00E31246">
              <w:rPr>
                <w:b/>
                <w:bCs/>
              </w:rPr>
              <w:t>C2</w:t>
            </w:r>
            <w:r w:rsidR="00DE532B" w:rsidRPr="00E31246">
              <w:rPr>
                <w:b/>
                <w:bCs/>
              </w:rPr>
              <w:t>6</w:t>
            </w:r>
            <w:proofErr w:type="spellEnd"/>
            <w:r w:rsidRPr="00E31246">
              <w:rPr>
                <w:b/>
                <w:bCs/>
              </w:rPr>
              <w:t>/</w:t>
            </w:r>
            <w:r w:rsidR="1C4D8DBF" w:rsidRPr="00E31246">
              <w:rPr>
                <w:b/>
                <w:bCs/>
              </w:rPr>
              <w:t>70</w:t>
            </w:r>
            <w:r w:rsidRPr="00E31246">
              <w:rPr>
                <w:b/>
                <w:bCs/>
              </w:rPr>
              <w:t>-E</w:t>
            </w:r>
          </w:p>
        </w:tc>
      </w:tr>
      <w:tr w:rsidR="00AD3606" w:rsidRPr="00E31246" w14:paraId="65AB0567" w14:textId="77777777" w:rsidTr="18225E4A">
        <w:trPr>
          <w:cantSplit/>
        </w:trPr>
        <w:tc>
          <w:tcPr>
            <w:tcW w:w="3969" w:type="dxa"/>
            <w:vMerge/>
          </w:tcPr>
          <w:p w14:paraId="044C8158" w14:textId="77777777" w:rsidR="00AD3606" w:rsidRPr="00E31246"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7DC0D7B" w:rsidR="00AD3606" w:rsidRPr="00E31246" w:rsidRDefault="00F16EA9" w:rsidP="00954C49">
            <w:pPr>
              <w:tabs>
                <w:tab w:val="left" w:pos="851"/>
              </w:tabs>
              <w:spacing w:before="0"/>
              <w:jc w:val="right"/>
              <w:rPr>
                <w:b/>
              </w:rPr>
            </w:pPr>
            <w:r w:rsidRPr="00E31246">
              <w:rPr>
                <w:b/>
              </w:rPr>
              <w:t>27</w:t>
            </w:r>
            <w:r w:rsidR="003C10AA" w:rsidRPr="00E31246">
              <w:rPr>
                <w:b/>
              </w:rPr>
              <w:t xml:space="preserve"> March 2026</w:t>
            </w:r>
          </w:p>
        </w:tc>
      </w:tr>
      <w:tr w:rsidR="00AD3606" w:rsidRPr="00E31246" w14:paraId="2FF439A4" w14:textId="77777777" w:rsidTr="18225E4A">
        <w:trPr>
          <w:cantSplit/>
          <w:trHeight w:val="23"/>
        </w:trPr>
        <w:tc>
          <w:tcPr>
            <w:tcW w:w="3969" w:type="dxa"/>
            <w:vMerge/>
          </w:tcPr>
          <w:p w14:paraId="6CFB30F5" w14:textId="77777777" w:rsidR="00AD3606" w:rsidRPr="00E31246"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E31246" w:rsidRDefault="00AD3606" w:rsidP="00954C49">
            <w:pPr>
              <w:tabs>
                <w:tab w:val="left" w:pos="851"/>
              </w:tabs>
              <w:spacing w:before="0" w:line="240" w:lineRule="atLeast"/>
              <w:jc w:val="right"/>
              <w:rPr>
                <w:b/>
              </w:rPr>
            </w:pPr>
            <w:r w:rsidRPr="00E31246">
              <w:rPr>
                <w:b/>
              </w:rPr>
              <w:t>Original: English</w:t>
            </w:r>
          </w:p>
        </w:tc>
      </w:tr>
      <w:tr w:rsidR="00472BAD" w:rsidRPr="00E31246" w14:paraId="6693A6D9" w14:textId="77777777" w:rsidTr="18225E4A">
        <w:trPr>
          <w:cantSplit/>
          <w:trHeight w:val="23"/>
        </w:trPr>
        <w:tc>
          <w:tcPr>
            <w:tcW w:w="3969" w:type="dxa"/>
          </w:tcPr>
          <w:p w14:paraId="47541C46" w14:textId="77777777" w:rsidR="00472BAD" w:rsidRPr="00E31246" w:rsidRDefault="00472BAD" w:rsidP="00954C49">
            <w:pPr>
              <w:tabs>
                <w:tab w:val="left" w:pos="851"/>
              </w:tabs>
              <w:spacing w:line="240" w:lineRule="atLeast"/>
              <w:rPr>
                <w:b/>
              </w:rPr>
            </w:pPr>
          </w:p>
        </w:tc>
        <w:tc>
          <w:tcPr>
            <w:tcW w:w="5245" w:type="dxa"/>
          </w:tcPr>
          <w:p w14:paraId="00CD7F27" w14:textId="77777777" w:rsidR="00472BAD" w:rsidRPr="00E31246" w:rsidRDefault="00472BAD" w:rsidP="00954C49">
            <w:pPr>
              <w:tabs>
                <w:tab w:val="left" w:pos="851"/>
              </w:tabs>
              <w:spacing w:before="0" w:line="240" w:lineRule="atLeast"/>
              <w:jc w:val="right"/>
              <w:rPr>
                <w:b/>
              </w:rPr>
            </w:pPr>
          </w:p>
        </w:tc>
      </w:tr>
      <w:tr w:rsidR="00AD3606" w:rsidRPr="00E31246" w14:paraId="21388443" w14:textId="77777777" w:rsidTr="18225E4A">
        <w:trPr>
          <w:cantSplit/>
        </w:trPr>
        <w:tc>
          <w:tcPr>
            <w:tcW w:w="9214" w:type="dxa"/>
            <w:gridSpan w:val="2"/>
            <w:tcMar>
              <w:left w:w="0" w:type="dxa"/>
            </w:tcMar>
          </w:tcPr>
          <w:p w14:paraId="4974CF10" w14:textId="77777777" w:rsidR="00AD3606" w:rsidRPr="00E31246" w:rsidRDefault="00AD3606" w:rsidP="00954C49">
            <w:pPr>
              <w:pStyle w:val="Source"/>
              <w:framePr w:hSpace="0" w:wrap="auto" w:vAnchor="margin" w:hAnchor="text" w:yAlign="inline"/>
            </w:pPr>
            <w:bookmarkStart w:id="8" w:name="dsource" w:colFirst="0" w:colLast="0"/>
            <w:bookmarkEnd w:id="7"/>
            <w:r w:rsidRPr="00E31246">
              <w:t>Report by the Secretary-General</w:t>
            </w:r>
          </w:p>
        </w:tc>
      </w:tr>
      <w:tr w:rsidR="00AD3606" w:rsidRPr="00E31246" w14:paraId="2008114E" w14:textId="77777777" w:rsidTr="00A819D4">
        <w:trPr>
          <w:cantSplit/>
        </w:trPr>
        <w:tc>
          <w:tcPr>
            <w:tcW w:w="9214" w:type="dxa"/>
            <w:gridSpan w:val="2"/>
            <w:tcBorders>
              <w:bottom w:val="single" w:sz="4" w:space="0" w:color="auto"/>
            </w:tcBorders>
            <w:tcMar>
              <w:left w:w="0" w:type="dxa"/>
            </w:tcMar>
          </w:tcPr>
          <w:p w14:paraId="1036C3F4" w14:textId="0BD5EEBA" w:rsidR="00AD3606" w:rsidRPr="00E31246" w:rsidRDefault="00A3769D" w:rsidP="00954C49">
            <w:pPr>
              <w:pStyle w:val="Subtitle"/>
              <w:framePr w:hSpace="0" w:wrap="auto" w:hAnchor="text" w:xAlign="left" w:yAlign="inline"/>
            </w:pPr>
            <w:bookmarkStart w:id="9" w:name="dtitle1" w:colFirst="0" w:colLast="0"/>
            <w:bookmarkEnd w:id="8"/>
            <w:r w:rsidRPr="00E31246">
              <w:t>PROPOSED FRAMEWORK FOR A SELECTION PROCESS FOR HOST COUNTRIES OF ITU CONFERENCES AND ASSEMBLIES</w:t>
            </w:r>
          </w:p>
        </w:tc>
      </w:tr>
      <w:tr w:rsidR="00AD3606" w:rsidRPr="00E31246" w14:paraId="58526C68" w14:textId="77777777" w:rsidTr="00A819D4">
        <w:trPr>
          <w:cantSplit/>
        </w:trPr>
        <w:tc>
          <w:tcPr>
            <w:tcW w:w="9214" w:type="dxa"/>
            <w:gridSpan w:val="2"/>
            <w:tcBorders>
              <w:top w:val="single" w:sz="4" w:space="0" w:color="auto"/>
              <w:bottom w:val="single" w:sz="4" w:space="0" w:color="auto"/>
            </w:tcBorders>
            <w:tcMar>
              <w:left w:w="0" w:type="dxa"/>
            </w:tcMar>
          </w:tcPr>
          <w:p w14:paraId="708C9082" w14:textId="2B5CDE90" w:rsidR="00AD3606" w:rsidRPr="00E31246" w:rsidRDefault="00F16BAB" w:rsidP="00954C49">
            <w:pPr>
              <w:spacing w:before="160"/>
              <w:rPr>
                <w:b/>
                <w:bCs/>
                <w:sz w:val="26"/>
                <w:szCs w:val="26"/>
              </w:rPr>
            </w:pPr>
            <w:r w:rsidRPr="00E31246">
              <w:rPr>
                <w:b/>
                <w:bCs/>
                <w:sz w:val="26"/>
                <w:szCs w:val="26"/>
              </w:rPr>
              <w:t>Purpose</w:t>
            </w:r>
          </w:p>
          <w:p w14:paraId="1AB7708F" w14:textId="7C2B70A2" w:rsidR="00340F0E" w:rsidRPr="00E31246" w:rsidRDefault="00340F0E" w:rsidP="00A3769D">
            <w:pPr>
              <w:jc w:val="both"/>
              <w:rPr>
                <w:spacing w:val="-2"/>
                <w:highlight w:val="yellow"/>
              </w:rPr>
            </w:pPr>
            <w:r w:rsidRPr="00E31246">
              <w:rPr>
                <w:spacing w:val="-2"/>
              </w:rPr>
              <w:t xml:space="preserve">This document outlines a proposed process for the selection of host countries for ITU conferences and assemblies, as requested by the Council Working Group on financial and human resources in January 2026. It follows discussions at </w:t>
            </w:r>
            <w:r w:rsidR="0001256A" w:rsidRPr="00E31246">
              <w:rPr>
                <w:spacing w:val="-2"/>
              </w:rPr>
              <w:t xml:space="preserve">the </w:t>
            </w:r>
            <w:r w:rsidRPr="00E31246">
              <w:rPr>
                <w:spacing w:val="-2"/>
              </w:rPr>
              <w:t>Council in its June 2025 session and at the 21</w:t>
            </w:r>
            <w:r w:rsidRPr="00E31246">
              <w:rPr>
                <w:spacing w:val="-2"/>
                <w:vertAlign w:val="superscript"/>
              </w:rPr>
              <w:t>st</w:t>
            </w:r>
            <w:r w:rsidRPr="00E31246">
              <w:rPr>
                <w:spacing w:val="-2"/>
              </w:rPr>
              <w:t xml:space="preserve"> meeting of the Council Working Group on financial and human resources in</w:t>
            </w:r>
            <w:r w:rsidR="00141682" w:rsidRPr="00E31246">
              <w:rPr>
                <w:spacing w:val="-2"/>
              </w:rPr>
              <w:t xml:space="preserve"> </w:t>
            </w:r>
            <w:r w:rsidRPr="00E31246">
              <w:rPr>
                <w:spacing w:val="-2"/>
              </w:rPr>
              <w:t>September 2025, as well as the output of the information session on this issue held on 30</w:t>
            </w:r>
            <w:r w:rsidR="00141682" w:rsidRPr="00E31246">
              <w:rPr>
                <w:spacing w:val="-2"/>
              </w:rPr>
              <w:t xml:space="preserve"> </w:t>
            </w:r>
            <w:r w:rsidRPr="00E31246">
              <w:rPr>
                <w:spacing w:val="-2"/>
              </w:rPr>
              <w:t>October 2025.</w:t>
            </w:r>
          </w:p>
          <w:p w14:paraId="5D3228C6" w14:textId="49959E6E" w:rsidR="00AD3606" w:rsidRPr="00E31246" w:rsidRDefault="00AD3606" w:rsidP="00954C49">
            <w:pPr>
              <w:spacing w:before="160"/>
              <w:rPr>
                <w:b/>
                <w:bCs/>
                <w:sz w:val="26"/>
                <w:szCs w:val="26"/>
              </w:rPr>
            </w:pPr>
            <w:r w:rsidRPr="00E31246">
              <w:rPr>
                <w:b/>
                <w:bCs/>
                <w:sz w:val="26"/>
                <w:szCs w:val="26"/>
              </w:rPr>
              <w:t>Action required</w:t>
            </w:r>
            <w:r w:rsidR="00F16BAB" w:rsidRPr="00E31246">
              <w:rPr>
                <w:b/>
                <w:bCs/>
                <w:sz w:val="26"/>
                <w:szCs w:val="26"/>
              </w:rPr>
              <w:t xml:space="preserve"> by the Council</w:t>
            </w:r>
          </w:p>
          <w:p w14:paraId="68530E97" w14:textId="56D3AA81" w:rsidR="00722551" w:rsidRPr="00E31246" w:rsidRDefault="00555F24" w:rsidP="00954C49">
            <w:r w:rsidRPr="00E31246">
              <w:t xml:space="preserve">The Council is invited to </w:t>
            </w:r>
            <w:r w:rsidRPr="00E31246">
              <w:rPr>
                <w:b/>
                <w:bCs/>
              </w:rPr>
              <w:t>consider</w:t>
            </w:r>
            <w:r w:rsidRPr="00E31246">
              <w:t xml:space="preserve"> this document.</w:t>
            </w:r>
          </w:p>
          <w:p w14:paraId="5563AED1" w14:textId="77777777" w:rsidR="00722551" w:rsidRPr="00E31246" w:rsidRDefault="00722551" w:rsidP="00954C49">
            <w:pPr>
              <w:spacing w:before="160"/>
              <w:rPr>
                <w:b/>
                <w:bCs/>
                <w:sz w:val="26"/>
                <w:szCs w:val="26"/>
              </w:rPr>
            </w:pPr>
            <w:r w:rsidRPr="00E31246">
              <w:rPr>
                <w:b/>
                <w:bCs/>
                <w:sz w:val="26"/>
                <w:szCs w:val="26"/>
              </w:rPr>
              <w:t>Relevant link</w:t>
            </w:r>
            <w:r w:rsidR="00176F47" w:rsidRPr="00E31246">
              <w:rPr>
                <w:b/>
                <w:bCs/>
                <w:sz w:val="26"/>
                <w:szCs w:val="26"/>
              </w:rPr>
              <w:t>(s)</w:t>
            </w:r>
            <w:r w:rsidRPr="00E31246">
              <w:rPr>
                <w:b/>
                <w:bCs/>
                <w:sz w:val="26"/>
                <w:szCs w:val="26"/>
              </w:rPr>
              <w:t xml:space="preserve"> with the Strategic Plan</w:t>
            </w:r>
          </w:p>
          <w:p w14:paraId="6C365A58" w14:textId="7B5DF057" w:rsidR="00722551" w:rsidRPr="00E31246" w:rsidRDefault="00FC6659" w:rsidP="00954C49">
            <w:r w:rsidRPr="00E31246">
              <w:t>Convening platforms</w:t>
            </w:r>
            <w:r w:rsidR="008B7D2A" w:rsidRPr="00E31246">
              <w:t>.</w:t>
            </w:r>
          </w:p>
          <w:p w14:paraId="7C34DAAD" w14:textId="77777777" w:rsidR="00722551" w:rsidRPr="00E31246" w:rsidRDefault="00722551" w:rsidP="00954C49">
            <w:pPr>
              <w:spacing w:before="160"/>
              <w:rPr>
                <w:b/>
                <w:bCs/>
                <w:sz w:val="26"/>
                <w:szCs w:val="26"/>
              </w:rPr>
            </w:pPr>
            <w:r w:rsidRPr="00E31246">
              <w:rPr>
                <w:b/>
                <w:bCs/>
                <w:sz w:val="26"/>
                <w:szCs w:val="26"/>
              </w:rPr>
              <w:t>Financial implications</w:t>
            </w:r>
          </w:p>
          <w:p w14:paraId="12B610AB" w14:textId="74A539FA" w:rsidR="00453079" w:rsidRPr="00E31246" w:rsidRDefault="3BDDEEC6" w:rsidP="00954C49">
            <w:pPr>
              <w:spacing w:before="160"/>
            </w:pPr>
            <w:r w:rsidRPr="00E31246">
              <w:t>N/A</w:t>
            </w:r>
          </w:p>
          <w:p w14:paraId="6DAA204C" w14:textId="77777777" w:rsidR="00C0458D" w:rsidRPr="00E31246" w:rsidRDefault="00C0458D" w:rsidP="00954C49">
            <w:r w:rsidRPr="00E31246">
              <w:t>_______________</w:t>
            </w:r>
          </w:p>
          <w:p w14:paraId="32A5FBF2" w14:textId="77777777" w:rsidR="00AD3606" w:rsidRPr="00E31246" w:rsidRDefault="00AD3606" w:rsidP="00954C49">
            <w:pPr>
              <w:spacing w:before="160"/>
              <w:rPr>
                <w:b/>
                <w:bCs/>
                <w:sz w:val="26"/>
                <w:szCs w:val="26"/>
              </w:rPr>
            </w:pPr>
            <w:r w:rsidRPr="00E31246">
              <w:rPr>
                <w:b/>
                <w:bCs/>
                <w:sz w:val="26"/>
                <w:szCs w:val="26"/>
              </w:rPr>
              <w:t>References</w:t>
            </w:r>
          </w:p>
          <w:p w14:paraId="24BF41F7" w14:textId="136278D6" w:rsidR="00AD3606" w:rsidRPr="00E31246" w:rsidRDefault="00CD46EE" w:rsidP="00954C49">
            <w:pPr>
              <w:spacing w:after="160"/>
              <w:rPr>
                <w:i/>
                <w:iCs/>
                <w:spacing w:val="-2"/>
                <w:sz w:val="22"/>
                <w:szCs w:val="22"/>
              </w:rPr>
            </w:pPr>
            <w:hyperlink r:id="rId11">
              <w:r w:rsidRPr="00E31246">
                <w:rPr>
                  <w:rStyle w:val="Hyperlink"/>
                  <w:i/>
                  <w:iCs/>
                  <w:spacing w:val="-2"/>
                  <w:sz w:val="22"/>
                  <w:szCs w:val="22"/>
                </w:rPr>
                <w:t>CWG-FHR website</w:t>
              </w:r>
            </w:hyperlink>
            <w:r w:rsidRPr="00E31246">
              <w:rPr>
                <w:i/>
                <w:iCs/>
                <w:spacing w:val="-2"/>
                <w:sz w:val="22"/>
                <w:szCs w:val="22"/>
              </w:rPr>
              <w:t xml:space="preserve">; Documents </w:t>
            </w:r>
            <w:hyperlink r:id="rId12">
              <w:r w:rsidRPr="00E31246">
                <w:rPr>
                  <w:rStyle w:val="Hyperlink"/>
                  <w:i/>
                  <w:iCs/>
                  <w:spacing w:val="-2"/>
                  <w:sz w:val="22"/>
                  <w:szCs w:val="22"/>
                </w:rPr>
                <w:t>CWG-FHR-21/7</w:t>
              </w:r>
            </w:hyperlink>
            <w:r w:rsidRPr="00E31246">
              <w:rPr>
                <w:i/>
                <w:iCs/>
                <w:spacing w:val="-2"/>
                <w:sz w:val="22"/>
                <w:szCs w:val="22"/>
              </w:rPr>
              <w:t xml:space="preserve">, </w:t>
            </w:r>
            <w:hyperlink r:id="rId13">
              <w:r w:rsidRPr="00E31246">
                <w:rPr>
                  <w:rStyle w:val="Hyperlink"/>
                  <w:i/>
                  <w:iCs/>
                  <w:spacing w:val="-2"/>
                  <w:sz w:val="22"/>
                  <w:szCs w:val="22"/>
                </w:rPr>
                <w:t>CWG-FHR-21/15</w:t>
              </w:r>
            </w:hyperlink>
            <w:r w:rsidRPr="00E31246">
              <w:rPr>
                <w:i/>
                <w:iCs/>
                <w:spacing w:val="-2"/>
                <w:sz w:val="22"/>
                <w:szCs w:val="22"/>
              </w:rPr>
              <w:t xml:space="preserve">, </w:t>
            </w:r>
            <w:hyperlink r:id="rId14">
              <w:r w:rsidRPr="00E31246">
                <w:rPr>
                  <w:rStyle w:val="Hyperlink"/>
                  <w:i/>
                  <w:iCs/>
                  <w:spacing w:val="-2"/>
                  <w:sz w:val="22"/>
                  <w:szCs w:val="22"/>
                </w:rPr>
                <w:t>CWG-FHR-21/17</w:t>
              </w:r>
            </w:hyperlink>
            <w:r w:rsidRPr="00E31246">
              <w:rPr>
                <w:i/>
                <w:iCs/>
                <w:spacing w:val="-2"/>
                <w:sz w:val="22"/>
                <w:szCs w:val="22"/>
              </w:rPr>
              <w:t xml:space="preserve">, </w:t>
            </w:r>
            <w:hyperlink r:id="rId15">
              <w:r w:rsidRPr="00E31246">
                <w:rPr>
                  <w:rStyle w:val="Hyperlink"/>
                  <w:i/>
                  <w:iCs/>
                  <w:spacing w:val="-2"/>
                  <w:sz w:val="22"/>
                  <w:szCs w:val="22"/>
                </w:rPr>
                <w:t>CWG-FHR-21/23</w:t>
              </w:r>
            </w:hyperlink>
            <w:r w:rsidRPr="00E31246">
              <w:rPr>
                <w:i/>
                <w:iCs/>
                <w:spacing w:val="-2"/>
                <w:sz w:val="22"/>
                <w:szCs w:val="22"/>
              </w:rPr>
              <w:t xml:space="preserve">, </w:t>
            </w:r>
            <w:hyperlink r:id="rId16">
              <w:r w:rsidRPr="00E31246">
                <w:rPr>
                  <w:rStyle w:val="Hyperlink"/>
                  <w:i/>
                  <w:iCs/>
                  <w:spacing w:val="-2"/>
                  <w:sz w:val="22"/>
                  <w:szCs w:val="22"/>
                </w:rPr>
                <w:t>CWG-FHR-21/25</w:t>
              </w:r>
            </w:hyperlink>
            <w:r w:rsidRPr="00E31246">
              <w:rPr>
                <w:i/>
                <w:iCs/>
                <w:spacing w:val="-2"/>
                <w:sz w:val="22"/>
                <w:szCs w:val="22"/>
              </w:rPr>
              <w:t xml:space="preserve">; </w:t>
            </w:r>
            <w:hyperlink r:id="rId17" w:history="1">
              <w:r w:rsidRPr="00E31246">
                <w:rPr>
                  <w:rStyle w:val="Hyperlink"/>
                  <w:i/>
                  <w:iCs/>
                  <w:spacing w:val="-2"/>
                  <w:sz w:val="22"/>
                  <w:szCs w:val="22"/>
                </w:rPr>
                <w:t>Presentation from Information Session on selection process for host countries</w:t>
              </w:r>
            </w:hyperlink>
            <w:r w:rsidR="00466A49" w:rsidRPr="00E31246">
              <w:rPr>
                <w:i/>
                <w:iCs/>
                <w:spacing w:val="-2"/>
                <w:sz w:val="22"/>
                <w:szCs w:val="22"/>
              </w:rPr>
              <w:t xml:space="preserve">; </w:t>
            </w:r>
            <w:r w:rsidR="00EC128A" w:rsidRPr="00E31246">
              <w:rPr>
                <w:i/>
                <w:iCs/>
                <w:spacing w:val="-2"/>
                <w:sz w:val="22"/>
                <w:szCs w:val="22"/>
              </w:rPr>
              <w:br/>
            </w:r>
            <w:hyperlink r:id="rId18" w:history="1">
              <w:r w:rsidR="00466A49" w:rsidRPr="00E31246">
                <w:rPr>
                  <w:rStyle w:val="Hyperlink"/>
                  <w:i/>
                  <w:iCs/>
                  <w:spacing w:val="-2"/>
                  <w:sz w:val="22"/>
                  <w:szCs w:val="22"/>
                </w:rPr>
                <w:t>CWG-FHR-22/9</w:t>
              </w:r>
            </w:hyperlink>
          </w:p>
        </w:tc>
      </w:tr>
    </w:tbl>
    <w:p w14:paraId="6D15BD27" w14:textId="77777777" w:rsidR="00E227F3" w:rsidRPr="00E3124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E3124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31246">
        <w:br w:type="page"/>
      </w:r>
    </w:p>
    <w:bookmarkEnd w:id="5"/>
    <w:bookmarkEnd w:id="10"/>
    <w:p w14:paraId="3E054C4B" w14:textId="77777777" w:rsidR="00061231" w:rsidRPr="00E31246" w:rsidRDefault="00061231" w:rsidP="00EC128A">
      <w:pPr>
        <w:pStyle w:val="Headingb"/>
      </w:pPr>
      <w:r w:rsidRPr="00E31246">
        <w:lastRenderedPageBreak/>
        <w:t>Background</w:t>
      </w:r>
    </w:p>
    <w:p w14:paraId="517C1D3A" w14:textId="0FBBDFC1" w:rsidR="007A3FCD" w:rsidRPr="00E31246" w:rsidRDefault="00061231" w:rsidP="00EC128A">
      <w:pPr>
        <w:jc w:val="both"/>
        <w:rPr>
          <w:rFonts w:asciiTheme="minorHAnsi" w:eastAsiaTheme="minorEastAsia" w:hAnsiTheme="minorHAnsi" w:cstheme="minorBidi"/>
        </w:rPr>
      </w:pPr>
      <w:r w:rsidRPr="00E31246">
        <w:t xml:space="preserve">Following the presentation of Document </w:t>
      </w:r>
      <w:hyperlink r:id="rId19">
        <w:proofErr w:type="spellStart"/>
        <w:r w:rsidRPr="00E31246">
          <w:rPr>
            <w:rStyle w:val="Hyperlink"/>
          </w:rPr>
          <w:t>C25</w:t>
        </w:r>
        <w:proofErr w:type="spellEnd"/>
        <w:r w:rsidRPr="00E31246">
          <w:rPr>
            <w:rStyle w:val="Hyperlink"/>
          </w:rPr>
          <w:t>/101</w:t>
        </w:r>
      </w:hyperlink>
      <w:r w:rsidRPr="00E31246">
        <w:t xml:space="preserve"> on the location of the World Radiocommunication Conference 2027, the Council requested the secretariat to develop a selection process for hosting future ITU conferences. Document </w:t>
      </w:r>
      <w:hyperlink r:id="rId20">
        <w:r w:rsidRPr="00E31246">
          <w:rPr>
            <w:rStyle w:val="Hyperlink"/>
          </w:rPr>
          <w:t>CWG-FHR-21/7</w:t>
        </w:r>
      </w:hyperlink>
      <w:r w:rsidRPr="00E31246">
        <w:t xml:space="preserve"> provided an overview of current practice in the selection of host countries for conferences and assemblies held outside the seat of the Union. </w:t>
      </w:r>
      <w:r w:rsidR="00F25355" w:rsidRPr="00E31246">
        <w:t>A</w:t>
      </w:r>
      <w:r w:rsidRPr="00E31246">
        <w:t xml:space="preserve"> virtual information session</w:t>
      </w:r>
      <w:r w:rsidR="00F25355" w:rsidRPr="00E31246">
        <w:t>, requested by the Chair of CWG</w:t>
      </w:r>
      <w:r w:rsidR="009D6D2D" w:rsidRPr="00E31246">
        <w:t>-</w:t>
      </w:r>
      <w:r w:rsidR="00F25355" w:rsidRPr="00E31246">
        <w:t>FHR, was held</w:t>
      </w:r>
      <w:r w:rsidRPr="00E31246">
        <w:t xml:space="preserve"> </w:t>
      </w:r>
      <w:r w:rsidR="00F25355" w:rsidRPr="00E31246">
        <w:t xml:space="preserve">on 30 October 2025 and supported </w:t>
      </w:r>
      <w:r w:rsidRPr="00E31246">
        <w:rPr>
          <w:rFonts w:asciiTheme="minorHAnsi" w:eastAsiaTheme="minorEastAsia" w:hAnsiTheme="minorHAnsi" w:cstheme="minorBidi"/>
        </w:rPr>
        <w:t>the creation of a</w:t>
      </w:r>
      <w:r w:rsidR="000A2CD8" w:rsidRPr="00E31246">
        <w:rPr>
          <w:rFonts w:asciiTheme="minorHAnsi" w:eastAsiaTheme="minorEastAsia" w:hAnsiTheme="minorHAnsi" w:cstheme="minorBidi"/>
        </w:rPr>
        <w:t xml:space="preserve"> </w:t>
      </w:r>
      <w:hyperlink r:id="rId21" w:history="1">
        <w:r w:rsidR="000A2CD8" w:rsidRPr="00E31246">
          <w:rPr>
            <w:rStyle w:val="Hyperlink"/>
            <w:rFonts w:asciiTheme="minorHAnsi" w:eastAsiaTheme="minorEastAsia" w:hAnsiTheme="minorHAnsi" w:cstheme="minorBidi"/>
          </w:rPr>
          <w:t>prototype</w:t>
        </w:r>
        <w:r w:rsidRPr="00E31246">
          <w:rPr>
            <w:rStyle w:val="Hyperlink"/>
            <w:rFonts w:asciiTheme="minorHAnsi" w:eastAsiaTheme="minorEastAsia" w:hAnsiTheme="minorHAnsi" w:cstheme="minorBidi"/>
          </w:rPr>
          <w:t xml:space="preserve"> host country web portal</w:t>
        </w:r>
      </w:hyperlink>
      <w:r w:rsidRPr="00E31246">
        <w:rPr>
          <w:rFonts w:asciiTheme="minorHAnsi" w:eastAsiaTheme="minorEastAsia" w:hAnsiTheme="minorHAnsi" w:cstheme="minorBidi"/>
        </w:rPr>
        <w:t xml:space="preserve"> </w:t>
      </w:r>
      <w:r w:rsidR="000A2CD8" w:rsidRPr="00E31246">
        <w:rPr>
          <w:rFonts w:asciiTheme="minorHAnsi" w:eastAsiaTheme="minorEastAsia" w:hAnsiTheme="minorHAnsi" w:cstheme="minorBidi"/>
        </w:rPr>
        <w:t>providing access in one location to all relevant materials on hosting conferences and assemblies.</w:t>
      </w:r>
      <w:r w:rsidR="00F25355" w:rsidRPr="00E31246">
        <w:rPr>
          <w:rFonts w:asciiTheme="minorHAnsi" w:eastAsiaTheme="minorEastAsia" w:hAnsiTheme="minorHAnsi" w:cstheme="minorBidi"/>
        </w:rPr>
        <w:t xml:space="preserve"> </w:t>
      </w:r>
      <w:r w:rsidR="005704C9" w:rsidRPr="00E31246">
        <w:rPr>
          <w:rFonts w:asciiTheme="minorHAnsi" w:eastAsiaTheme="minorEastAsia" w:hAnsiTheme="minorHAnsi" w:cstheme="minorBidi"/>
        </w:rPr>
        <w:t>The CWG</w:t>
      </w:r>
      <w:r w:rsidR="009D6D2D" w:rsidRPr="00E31246">
        <w:rPr>
          <w:rFonts w:asciiTheme="minorHAnsi" w:eastAsiaTheme="minorEastAsia" w:hAnsiTheme="minorHAnsi" w:cstheme="minorBidi"/>
        </w:rPr>
        <w:t>-</w:t>
      </w:r>
      <w:r w:rsidR="005704C9" w:rsidRPr="00E31246">
        <w:rPr>
          <w:rFonts w:asciiTheme="minorHAnsi" w:eastAsiaTheme="minorEastAsia" w:hAnsiTheme="minorHAnsi" w:cstheme="minorBidi"/>
        </w:rPr>
        <w:t xml:space="preserve">FHR requested that the secretariat provide an update to Council 2026 </w:t>
      </w:r>
      <w:r w:rsidR="00F352B4" w:rsidRPr="00E31246">
        <w:rPr>
          <w:rFonts w:asciiTheme="minorHAnsi" w:eastAsiaTheme="minorEastAsia" w:hAnsiTheme="minorHAnsi" w:cstheme="minorBidi"/>
        </w:rPr>
        <w:t>with</w:t>
      </w:r>
      <w:r w:rsidR="005704C9" w:rsidRPr="00E31246">
        <w:rPr>
          <w:rFonts w:asciiTheme="minorHAnsi" w:eastAsiaTheme="minorEastAsia" w:hAnsiTheme="minorHAnsi" w:cstheme="minorBidi"/>
        </w:rPr>
        <w:t xml:space="preserve"> a selection process including timeline and generic costs, taking into consideration all earlier discussions on this topic.</w:t>
      </w:r>
    </w:p>
    <w:p w14:paraId="43D17EAC" w14:textId="77777777" w:rsidR="00646DB0" w:rsidRPr="00E31246" w:rsidRDefault="00322C7F" w:rsidP="00EC128A">
      <w:pPr>
        <w:pStyle w:val="Headingb"/>
        <w:rPr>
          <w:rFonts w:eastAsiaTheme="minorEastAsia"/>
        </w:rPr>
      </w:pPr>
      <w:r w:rsidRPr="00E31246">
        <w:rPr>
          <w:rFonts w:eastAsiaTheme="minorEastAsia"/>
        </w:rPr>
        <w:t xml:space="preserve">Summary of </w:t>
      </w:r>
      <w:r w:rsidR="00F50B7C" w:rsidRPr="00E31246">
        <w:rPr>
          <w:rFonts w:eastAsiaTheme="minorEastAsia"/>
        </w:rPr>
        <w:t xml:space="preserve">discussions </w:t>
      </w:r>
      <w:r w:rsidR="00646DB0" w:rsidRPr="00E31246">
        <w:rPr>
          <w:rFonts w:eastAsiaTheme="minorEastAsia"/>
        </w:rPr>
        <w:t>to date</w:t>
      </w:r>
    </w:p>
    <w:p w14:paraId="19FD6A6A" w14:textId="27D86757" w:rsidR="00322C7F" w:rsidRPr="00E31246" w:rsidRDefault="00F50B7C" w:rsidP="00EC128A">
      <w:pPr>
        <w:pStyle w:val="Headingi"/>
        <w:rPr>
          <w:rFonts w:eastAsiaTheme="minorEastAsia"/>
        </w:rPr>
      </w:pPr>
      <w:r w:rsidRPr="00E31246">
        <w:rPr>
          <w:rFonts w:eastAsiaTheme="minorEastAsia"/>
        </w:rPr>
        <w:t>21</w:t>
      </w:r>
      <w:r w:rsidRPr="00E31246">
        <w:rPr>
          <w:rFonts w:eastAsiaTheme="minorEastAsia"/>
          <w:vertAlign w:val="superscript"/>
        </w:rPr>
        <w:t>st</w:t>
      </w:r>
      <w:r w:rsidRPr="00E31246">
        <w:rPr>
          <w:rFonts w:eastAsiaTheme="minorEastAsia"/>
        </w:rPr>
        <w:t xml:space="preserve"> session of CWG-FHR</w:t>
      </w:r>
      <w:r w:rsidR="006A5402" w:rsidRPr="00E31246">
        <w:rPr>
          <w:rFonts w:eastAsiaTheme="minorEastAsia"/>
        </w:rPr>
        <w:t>,</w:t>
      </w:r>
      <w:r w:rsidR="00646DB0" w:rsidRPr="00E31246">
        <w:rPr>
          <w:rFonts w:eastAsiaTheme="minorEastAsia"/>
        </w:rPr>
        <w:t xml:space="preserve"> September 2025</w:t>
      </w:r>
    </w:p>
    <w:p w14:paraId="1AF9FB73" w14:textId="38708E57" w:rsidR="00F50B7C" w:rsidRPr="00E31246" w:rsidRDefault="00F50B7C" w:rsidP="18225E4A">
      <w:pPr>
        <w:jc w:val="both"/>
        <w:rPr>
          <w:rFonts w:asciiTheme="minorHAnsi" w:eastAsiaTheme="minorEastAsia" w:hAnsiTheme="minorHAnsi" w:cstheme="minorBidi"/>
        </w:rPr>
      </w:pPr>
      <w:r w:rsidRPr="00E31246">
        <w:rPr>
          <w:rFonts w:asciiTheme="minorHAnsi" w:eastAsiaTheme="minorEastAsia" w:hAnsiTheme="minorHAnsi" w:cstheme="minorBidi"/>
          <w:b/>
          <w:bCs/>
        </w:rPr>
        <w:t>Document</w:t>
      </w:r>
      <w:r w:rsidR="00141682" w:rsidRPr="00E31246">
        <w:rPr>
          <w:rFonts w:asciiTheme="minorHAnsi" w:eastAsiaTheme="minorEastAsia" w:hAnsiTheme="minorHAnsi" w:cstheme="minorBidi"/>
          <w:b/>
          <w:bCs/>
        </w:rPr>
        <w:t xml:space="preserve"> </w:t>
      </w:r>
      <w:hyperlink r:id="rId22">
        <w:r w:rsidRPr="00E31246">
          <w:rPr>
            <w:rStyle w:val="Hyperlink"/>
            <w:rFonts w:asciiTheme="minorHAnsi" w:eastAsiaTheme="minorEastAsia" w:hAnsiTheme="minorHAnsi" w:cstheme="minorBidi"/>
            <w:b/>
            <w:bCs/>
          </w:rPr>
          <w:t>CWG-FHR-21/15</w:t>
        </w:r>
      </w:hyperlink>
      <w:r w:rsidRPr="00E31246">
        <w:rPr>
          <w:rFonts w:asciiTheme="minorHAnsi" w:eastAsiaTheme="minorEastAsia" w:hAnsiTheme="minorHAnsi" w:cstheme="minorBidi"/>
        </w:rPr>
        <w:t>,</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submitted</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by India, proposed benchmarks for host country candidature including the availability of the venue, infrastructure, accommodation capacity, connectivity and Internet and ICT readiness. Member States meeting these benchmarks may</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submit</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bids to host; if multiple qualified bids are received by the Council, the first-come, first-served principle would apply. The conference date and location should be fixed at least five years in advance of the opening of the conference.</w:t>
      </w:r>
      <w:r w:rsidR="00141682" w:rsidRPr="00E31246">
        <w:rPr>
          <w:rFonts w:asciiTheme="minorHAnsi" w:eastAsiaTheme="minorEastAsia" w:hAnsiTheme="minorHAnsi" w:cstheme="minorBidi"/>
        </w:rPr>
        <w:t xml:space="preserve"> </w:t>
      </w:r>
    </w:p>
    <w:p w14:paraId="69922370" w14:textId="431A57F4" w:rsidR="00F50B7C" w:rsidRPr="00E31246" w:rsidRDefault="00F50B7C" w:rsidP="00F50B7C">
      <w:pPr>
        <w:jc w:val="both"/>
        <w:rPr>
          <w:rFonts w:asciiTheme="minorHAnsi" w:eastAsiaTheme="minorEastAsia" w:hAnsiTheme="minorHAnsi" w:cstheme="minorBidi"/>
        </w:rPr>
      </w:pPr>
      <w:r w:rsidRPr="00E31246">
        <w:rPr>
          <w:rFonts w:asciiTheme="minorHAnsi" w:eastAsiaTheme="minorEastAsia" w:hAnsiTheme="minorHAnsi" w:cstheme="minorBidi"/>
          <w:b/>
          <w:bCs/>
        </w:rPr>
        <w:t>Document</w:t>
      </w:r>
      <w:r w:rsidR="00141682" w:rsidRPr="00E31246">
        <w:rPr>
          <w:rFonts w:asciiTheme="minorHAnsi" w:eastAsiaTheme="minorEastAsia" w:hAnsiTheme="minorHAnsi" w:cstheme="minorBidi"/>
          <w:b/>
          <w:bCs/>
        </w:rPr>
        <w:t xml:space="preserve"> </w:t>
      </w:r>
      <w:hyperlink r:id="rId23" w:tgtFrame="_blank" w:history="1">
        <w:r w:rsidRPr="00E31246">
          <w:rPr>
            <w:rStyle w:val="Hyperlink"/>
            <w:rFonts w:asciiTheme="minorHAnsi" w:eastAsiaTheme="minorEastAsia" w:hAnsiTheme="minorHAnsi" w:cstheme="minorBidi"/>
            <w:b/>
            <w:bCs/>
          </w:rPr>
          <w:t>CWG-FHR-21/17</w:t>
        </w:r>
      </w:hyperlink>
      <w:r w:rsidRPr="00E31246">
        <w:rPr>
          <w:rFonts w:asciiTheme="minorHAnsi" w:eastAsiaTheme="minorEastAsia" w:hAnsiTheme="minorHAnsi" w:cstheme="minorBidi"/>
        </w:rPr>
        <w:t>,</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submitted</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by China, proposed that the existing process to select host countries should be improved by:</w:t>
      </w:r>
      <w:r w:rsidR="00141682" w:rsidRPr="00E31246">
        <w:rPr>
          <w:rFonts w:asciiTheme="minorHAnsi" w:eastAsiaTheme="minorEastAsia" w:hAnsiTheme="minorHAnsi" w:cstheme="minorBidi"/>
        </w:rPr>
        <w:t xml:space="preserve"> </w:t>
      </w:r>
    </w:p>
    <w:p w14:paraId="6496399F" w14:textId="24FB3037" w:rsidR="00F94D75" w:rsidRPr="00E31246" w:rsidRDefault="00141682" w:rsidP="00141682">
      <w:pPr>
        <w:pStyle w:val="enumlev1"/>
        <w:jc w:val="both"/>
        <w:rPr>
          <w:lang w:eastAsia="en-GB"/>
        </w:rPr>
      </w:pPr>
      <w:r w:rsidRPr="00E31246">
        <w:rPr>
          <w:lang w:eastAsia="en-GB"/>
        </w:rPr>
        <w:t>–</w:t>
      </w:r>
      <w:r w:rsidRPr="00E31246">
        <w:rPr>
          <w:lang w:eastAsia="en-GB"/>
        </w:rPr>
        <w:tab/>
      </w:r>
      <w:r w:rsidR="00F50B7C" w:rsidRPr="00E31246">
        <w:rPr>
          <w:lang w:eastAsia="en-GB"/>
        </w:rPr>
        <w:t>Enhancing standardization and transparency of the bidding process using the existing regulatory framework</w:t>
      </w:r>
    </w:p>
    <w:p w14:paraId="4076EDDB" w14:textId="19998BEB" w:rsidR="00F50B7C" w:rsidRPr="00E31246" w:rsidRDefault="00141682" w:rsidP="00141682">
      <w:pPr>
        <w:pStyle w:val="enumlev1"/>
        <w:jc w:val="both"/>
        <w:rPr>
          <w:lang w:eastAsia="en-GB"/>
        </w:rPr>
      </w:pPr>
      <w:r w:rsidRPr="00E31246">
        <w:rPr>
          <w:lang w:eastAsia="en-GB"/>
        </w:rPr>
        <w:t>–</w:t>
      </w:r>
      <w:r w:rsidRPr="00E31246">
        <w:rPr>
          <w:lang w:eastAsia="en-GB"/>
        </w:rPr>
        <w:tab/>
      </w:r>
      <w:r w:rsidR="00F50B7C" w:rsidRPr="00E31246">
        <w:rPr>
          <w:lang w:eastAsia="en-GB"/>
        </w:rPr>
        <w:t>The relevant department organizing the conference should specify the deadlines for submission of invitations</w:t>
      </w:r>
      <w:r w:rsidRPr="00E31246">
        <w:rPr>
          <w:lang w:eastAsia="en-GB"/>
        </w:rPr>
        <w:t xml:space="preserve"> </w:t>
      </w:r>
    </w:p>
    <w:p w14:paraId="2D8FB9FC" w14:textId="3BC0EFC5" w:rsidR="00F50B7C" w:rsidRPr="00E31246" w:rsidRDefault="00141682" w:rsidP="00141682">
      <w:pPr>
        <w:pStyle w:val="enumlev1"/>
        <w:jc w:val="both"/>
        <w:rPr>
          <w:lang w:eastAsia="en-GB"/>
        </w:rPr>
      </w:pPr>
      <w:r w:rsidRPr="00E31246">
        <w:rPr>
          <w:lang w:eastAsia="en-GB"/>
        </w:rPr>
        <w:t>–</w:t>
      </w:r>
      <w:r w:rsidRPr="00E31246">
        <w:rPr>
          <w:lang w:eastAsia="en-GB"/>
        </w:rPr>
        <w:tab/>
      </w:r>
      <w:r w:rsidR="00F50B7C" w:rsidRPr="00E31246">
        <w:rPr>
          <w:lang w:eastAsia="en-GB"/>
        </w:rPr>
        <w:t>Invitations to host should be</w:t>
      </w:r>
      <w:r w:rsidRPr="00E31246">
        <w:rPr>
          <w:lang w:eastAsia="en-GB"/>
        </w:rPr>
        <w:t xml:space="preserve"> </w:t>
      </w:r>
      <w:r w:rsidR="00F50B7C" w:rsidRPr="00E31246">
        <w:rPr>
          <w:lang w:eastAsia="en-GB"/>
        </w:rPr>
        <w:t>submitted</w:t>
      </w:r>
      <w:r w:rsidRPr="00E31246">
        <w:rPr>
          <w:lang w:eastAsia="en-GB"/>
        </w:rPr>
        <w:t xml:space="preserve"> </w:t>
      </w:r>
      <w:r w:rsidR="00F50B7C" w:rsidRPr="00E31246">
        <w:rPr>
          <w:lang w:eastAsia="en-GB"/>
        </w:rPr>
        <w:t>in written format via an official letter to the Secretary-General or official contribution to PP or Council</w:t>
      </w:r>
      <w:r w:rsidRPr="00E31246">
        <w:rPr>
          <w:lang w:eastAsia="en-GB"/>
        </w:rPr>
        <w:t xml:space="preserve"> </w:t>
      </w:r>
    </w:p>
    <w:p w14:paraId="7DDEC0B3" w14:textId="0A0D9B5A" w:rsidR="00F50B7C" w:rsidRPr="00E31246" w:rsidRDefault="00141682" w:rsidP="00141682">
      <w:pPr>
        <w:pStyle w:val="enumlev1"/>
        <w:jc w:val="both"/>
        <w:rPr>
          <w:lang w:eastAsia="en-GB"/>
        </w:rPr>
      </w:pPr>
      <w:r w:rsidRPr="00E31246">
        <w:rPr>
          <w:lang w:eastAsia="en-GB"/>
        </w:rPr>
        <w:t>–</w:t>
      </w:r>
      <w:r w:rsidRPr="00E31246">
        <w:rPr>
          <w:lang w:eastAsia="en-GB"/>
        </w:rPr>
        <w:tab/>
      </w:r>
      <w:r w:rsidR="00F50B7C" w:rsidRPr="00E31246">
        <w:rPr>
          <w:lang w:eastAsia="en-GB"/>
        </w:rPr>
        <w:t>The Secretary-General should notify all Member States of a bid by publishing a circular letter within five working days of receiving the official letter or by promptly publishing the invitation if</w:t>
      </w:r>
      <w:r w:rsidRPr="00E31246">
        <w:rPr>
          <w:lang w:eastAsia="en-GB"/>
        </w:rPr>
        <w:t xml:space="preserve"> </w:t>
      </w:r>
      <w:r w:rsidR="00F50B7C" w:rsidRPr="00E31246">
        <w:rPr>
          <w:lang w:eastAsia="en-GB"/>
        </w:rPr>
        <w:t>submitted</w:t>
      </w:r>
      <w:r w:rsidRPr="00E31246">
        <w:rPr>
          <w:lang w:eastAsia="en-GB"/>
        </w:rPr>
        <w:t xml:space="preserve"> </w:t>
      </w:r>
      <w:r w:rsidR="00F50B7C" w:rsidRPr="00E31246">
        <w:rPr>
          <w:lang w:eastAsia="en-GB"/>
        </w:rPr>
        <w:t>as a contribution</w:t>
      </w:r>
    </w:p>
    <w:p w14:paraId="63729267" w14:textId="3BBE5E01" w:rsidR="00F94D75" w:rsidRPr="00E31246" w:rsidRDefault="00141682" w:rsidP="00141682">
      <w:pPr>
        <w:pStyle w:val="enumlev1"/>
        <w:jc w:val="both"/>
        <w:rPr>
          <w:rFonts w:eastAsiaTheme="minorEastAsia"/>
        </w:rPr>
      </w:pPr>
      <w:r w:rsidRPr="00E31246">
        <w:rPr>
          <w:lang w:eastAsia="en-GB"/>
        </w:rPr>
        <w:t>–</w:t>
      </w:r>
      <w:r w:rsidRPr="00E31246">
        <w:rPr>
          <w:lang w:eastAsia="en-GB"/>
        </w:rPr>
        <w:tab/>
      </w:r>
      <w:r w:rsidR="00F94D75" w:rsidRPr="00E31246">
        <w:rPr>
          <w:lang w:eastAsia="en-GB"/>
        </w:rPr>
        <w:t>The relevant department organizing the conference should establish preliminary minimum requirements</w:t>
      </w:r>
      <w:r w:rsidR="00F94D75" w:rsidRPr="00E31246">
        <w:rPr>
          <w:rFonts w:eastAsiaTheme="minorEastAsia"/>
        </w:rPr>
        <w:t xml:space="preserve"> for hosting and should conduct a site visit to assess the proposed venue before the meeting formally reviewed the invitation.</w:t>
      </w:r>
    </w:p>
    <w:p w14:paraId="61297F6C" w14:textId="49BFAAD2" w:rsidR="00F50B7C" w:rsidRPr="00E31246" w:rsidRDefault="00F50B7C" w:rsidP="00EC128A">
      <w:pPr>
        <w:jc w:val="both"/>
        <w:rPr>
          <w:rFonts w:asciiTheme="minorHAnsi" w:eastAsiaTheme="minorEastAsia" w:hAnsiTheme="minorHAnsi" w:cstheme="minorBidi"/>
        </w:rPr>
      </w:pPr>
      <w:r w:rsidRPr="00E31246">
        <w:rPr>
          <w:rFonts w:asciiTheme="minorHAnsi" w:eastAsiaTheme="minorEastAsia" w:hAnsiTheme="minorHAnsi" w:cstheme="minorBidi"/>
          <w:b/>
          <w:bCs/>
        </w:rPr>
        <w:t>Document</w:t>
      </w:r>
      <w:r w:rsidR="00141682" w:rsidRPr="00E31246">
        <w:rPr>
          <w:rFonts w:asciiTheme="minorHAnsi" w:eastAsiaTheme="minorEastAsia" w:hAnsiTheme="minorHAnsi" w:cstheme="minorBidi"/>
          <w:b/>
          <w:bCs/>
        </w:rPr>
        <w:t xml:space="preserve"> </w:t>
      </w:r>
      <w:hyperlink r:id="rId24" w:tgtFrame="_blank" w:history="1">
        <w:r w:rsidRPr="00E31246">
          <w:rPr>
            <w:rStyle w:val="Hyperlink"/>
            <w:rFonts w:asciiTheme="minorHAnsi" w:eastAsiaTheme="minorEastAsia" w:hAnsiTheme="minorHAnsi" w:cstheme="minorBidi"/>
            <w:b/>
            <w:bCs/>
          </w:rPr>
          <w:t>CWG-FHR-21/23</w:t>
        </w:r>
      </w:hyperlink>
      <w:r w:rsidRPr="00E31246">
        <w:rPr>
          <w:rFonts w:asciiTheme="minorHAnsi" w:eastAsiaTheme="minorEastAsia" w:hAnsiTheme="minorHAnsi" w:cstheme="minorBidi"/>
        </w:rPr>
        <w:t>,</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submitted</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by the United States, proposed that the ITU conduct a bidding process for hosting conferences and assemblies via a request for proposals covering key elements such as deliverables and specifications, payment</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terms</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and financial obligations.</w:t>
      </w:r>
      <w:r w:rsidR="00141682" w:rsidRPr="00E31246">
        <w:rPr>
          <w:rFonts w:asciiTheme="minorHAnsi" w:eastAsiaTheme="minorEastAsia" w:hAnsiTheme="minorHAnsi" w:cstheme="minorBidi"/>
        </w:rPr>
        <w:t xml:space="preserve"> </w:t>
      </w:r>
    </w:p>
    <w:p w14:paraId="71C26124" w14:textId="72B94F98" w:rsidR="00F50B7C" w:rsidRPr="00E31246" w:rsidRDefault="00F50B7C" w:rsidP="00EC128A">
      <w:pPr>
        <w:jc w:val="both"/>
        <w:rPr>
          <w:rFonts w:asciiTheme="minorHAnsi" w:eastAsiaTheme="minorEastAsia" w:hAnsiTheme="minorHAnsi" w:cstheme="minorBidi"/>
        </w:rPr>
      </w:pPr>
      <w:r w:rsidRPr="00E31246">
        <w:rPr>
          <w:rFonts w:asciiTheme="minorHAnsi" w:eastAsiaTheme="minorEastAsia" w:hAnsiTheme="minorHAnsi" w:cstheme="minorBidi"/>
        </w:rPr>
        <w:t>CWG-FHR agreed on the need to ensure fairness,</w:t>
      </w:r>
      <w:r w:rsidR="00C567AF"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equitable</w:t>
      </w:r>
      <w:r w:rsidR="00C567AF"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geographical representation and clear</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minimum</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requirements for hosting conferences and assemblies; to standardize the process to increase transparency; and to encourage broader participation from Member States, including through efforts to reduce the financial burdens on host countries. The timelines for</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selection</w:t>
      </w:r>
      <w:r w:rsidR="00141682"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of host countries should</w:t>
      </w:r>
      <w:r w:rsidR="00C567AF" w:rsidRPr="00E31246">
        <w:rPr>
          <w:rFonts w:asciiTheme="minorHAnsi" w:eastAsiaTheme="minorEastAsia" w:hAnsiTheme="minorHAnsi" w:cstheme="minorBidi"/>
        </w:rPr>
        <w:t xml:space="preserve"> </w:t>
      </w:r>
      <w:proofErr w:type="gramStart"/>
      <w:r w:rsidRPr="00E31246">
        <w:rPr>
          <w:rFonts w:asciiTheme="minorHAnsi" w:eastAsiaTheme="minorEastAsia" w:hAnsiTheme="minorHAnsi" w:cstheme="minorBidi"/>
        </w:rPr>
        <w:t>take into account</w:t>
      </w:r>
      <w:proofErr w:type="gramEnd"/>
      <w:r w:rsidR="00C567AF" w:rsidRPr="00E31246">
        <w:rPr>
          <w:rFonts w:asciiTheme="minorHAnsi" w:eastAsiaTheme="minorEastAsia" w:hAnsiTheme="minorHAnsi" w:cstheme="minorBidi"/>
        </w:rPr>
        <w:t xml:space="preserve"> </w:t>
      </w:r>
      <w:r w:rsidRPr="00E31246">
        <w:rPr>
          <w:rFonts w:asciiTheme="minorHAnsi" w:eastAsiaTheme="minorEastAsia" w:hAnsiTheme="minorHAnsi" w:cstheme="minorBidi"/>
        </w:rPr>
        <w:t xml:space="preserve">budgetary cycles in different administrations and allow sufficient time for preparation, with some delegates proposing </w:t>
      </w:r>
      <w:r w:rsidR="00646DB0" w:rsidRPr="00E31246">
        <w:rPr>
          <w:rFonts w:asciiTheme="minorHAnsi" w:eastAsiaTheme="minorEastAsia" w:hAnsiTheme="minorHAnsi" w:cstheme="minorBidi"/>
        </w:rPr>
        <w:t xml:space="preserve">a </w:t>
      </w:r>
      <w:r w:rsidRPr="00E31246">
        <w:rPr>
          <w:rFonts w:asciiTheme="minorHAnsi" w:eastAsiaTheme="minorEastAsia" w:hAnsiTheme="minorHAnsi" w:cstheme="minorBidi"/>
        </w:rPr>
        <w:t>period of three to four years before the opening of a conference.</w:t>
      </w:r>
      <w:r w:rsidR="00141682" w:rsidRPr="00E31246">
        <w:rPr>
          <w:rFonts w:asciiTheme="minorHAnsi" w:eastAsiaTheme="minorEastAsia" w:hAnsiTheme="minorHAnsi" w:cstheme="minorBidi"/>
        </w:rPr>
        <w:t xml:space="preserve"> </w:t>
      </w:r>
    </w:p>
    <w:p w14:paraId="50F0380E" w14:textId="34014947" w:rsidR="00322C7F" w:rsidRPr="00E31246" w:rsidRDefault="00646DB0" w:rsidP="00141682">
      <w:pPr>
        <w:pStyle w:val="Headingi"/>
        <w:rPr>
          <w:rFonts w:eastAsiaTheme="minorEastAsia"/>
        </w:rPr>
      </w:pPr>
      <w:r w:rsidRPr="00E31246">
        <w:rPr>
          <w:rFonts w:eastAsiaTheme="minorEastAsia"/>
        </w:rPr>
        <w:lastRenderedPageBreak/>
        <w:t>Information session</w:t>
      </w:r>
      <w:r w:rsidR="006A5402" w:rsidRPr="00E31246">
        <w:rPr>
          <w:rFonts w:eastAsiaTheme="minorEastAsia"/>
        </w:rPr>
        <w:t>,</w:t>
      </w:r>
      <w:r w:rsidRPr="00E31246">
        <w:rPr>
          <w:rFonts w:eastAsiaTheme="minorEastAsia"/>
        </w:rPr>
        <w:t xml:space="preserve"> 30 October 2025</w:t>
      </w:r>
    </w:p>
    <w:p w14:paraId="59FAB631" w14:textId="5C1C652B" w:rsidR="00D8624C" w:rsidRPr="00E31246" w:rsidRDefault="0081094C" w:rsidP="00EC128A">
      <w:pPr>
        <w:jc w:val="both"/>
        <w:rPr>
          <w:rFonts w:asciiTheme="minorHAnsi" w:eastAsiaTheme="minorEastAsia" w:hAnsiTheme="minorHAnsi" w:cstheme="minorBidi"/>
          <w:b/>
          <w:bCs/>
        </w:rPr>
      </w:pPr>
      <w:r w:rsidRPr="00E31246">
        <w:t>T</w:t>
      </w:r>
      <w:r w:rsidR="00D8624C" w:rsidRPr="00E31246">
        <w:t>he secretariat presented a proposal to create</w:t>
      </w:r>
      <w:r w:rsidRPr="00E31246">
        <w:t xml:space="preserve"> </w:t>
      </w:r>
      <w:r w:rsidR="00D8624C" w:rsidRPr="00E31246">
        <w:t xml:space="preserve">a host country web portal providing access to relevant documents and information on hosting ITU conferences and assemblies. </w:t>
      </w:r>
      <w:r w:rsidR="00D8624C" w:rsidRPr="00E31246">
        <w:rPr>
          <w:rFonts w:asciiTheme="minorHAnsi" w:eastAsiaTheme="minorEastAsia" w:hAnsiTheme="minorHAnsi" w:cstheme="minorBidi"/>
        </w:rPr>
        <w:t>The information session supported the creation of a host country web portal and asked for a link to a prototype page to be made available to the next session of CWG-FHR</w:t>
      </w:r>
      <w:r w:rsidR="00D8624C" w:rsidRPr="00E31246">
        <w:rPr>
          <w:rFonts w:asciiTheme="minorHAnsi" w:eastAsiaTheme="minorEastAsia" w:hAnsiTheme="minorHAnsi" w:cstheme="minorBidi"/>
          <w:szCs w:val="24"/>
        </w:rPr>
        <w:t>. Further considerations included what additional information should be made available on the portal; whether an additional formal process would be necessary; and if so, what timelines should be established and how the selection between multiple formal invitations should be addressed.</w:t>
      </w:r>
    </w:p>
    <w:p w14:paraId="415252E7" w14:textId="3064E603" w:rsidR="00235512" w:rsidRPr="00E31246" w:rsidRDefault="00646DB0" w:rsidP="00141682">
      <w:pPr>
        <w:pStyle w:val="Headingi"/>
        <w:rPr>
          <w:rFonts w:eastAsiaTheme="minorEastAsia" w:cstheme="minorBidi"/>
          <w:i w:val="0"/>
          <w:iCs/>
        </w:rPr>
      </w:pPr>
      <w:r w:rsidRPr="00E31246">
        <w:rPr>
          <w:rFonts w:eastAsiaTheme="minorEastAsia" w:cstheme="minorBidi"/>
          <w:iCs/>
        </w:rPr>
        <w:t>22</w:t>
      </w:r>
      <w:r w:rsidRPr="00E31246">
        <w:rPr>
          <w:rFonts w:eastAsiaTheme="minorEastAsia" w:cstheme="minorBidi"/>
          <w:iCs/>
          <w:vertAlign w:val="superscript"/>
        </w:rPr>
        <w:t>nd</w:t>
      </w:r>
      <w:r w:rsidRPr="00E31246">
        <w:rPr>
          <w:rFonts w:eastAsiaTheme="minorEastAsia" w:cstheme="minorBidi"/>
          <w:iCs/>
        </w:rPr>
        <w:t xml:space="preserve"> session of </w:t>
      </w:r>
      <w:r w:rsidRPr="00E31246">
        <w:rPr>
          <w:rFonts w:eastAsiaTheme="minorEastAsia"/>
        </w:rPr>
        <w:t>CWG</w:t>
      </w:r>
      <w:r w:rsidRPr="00E31246">
        <w:rPr>
          <w:rFonts w:eastAsiaTheme="minorEastAsia" w:cstheme="minorBidi"/>
          <w:iCs/>
        </w:rPr>
        <w:t>-FHR</w:t>
      </w:r>
      <w:r w:rsidR="006A5402" w:rsidRPr="00E31246">
        <w:rPr>
          <w:rFonts w:eastAsiaTheme="minorEastAsia" w:cstheme="minorBidi"/>
          <w:iCs/>
        </w:rPr>
        <w:t>,</w:t>
      </w:r>
      <w:r w:rsidRPr="00E31246">
        <w:rPr>
          <w:rFonts w:eastAsiaTheme="minorEastAsia" w:cstheme="minorBidi"/>
          <w:iCs/>
        </w:rPr>
        <w:t xml:space="preserve"> January 2026</w:t>
      </w:r>
    </w:p>
    <w:p w14:paraId="7AE68576" w14:textId="6F50262C" w:rsidR="457226CE" w:rsidRPr="00E31246" w:rsidRDefault="00235512" w:rsidP="00EC128A">
      <w:pPr>
        <w:jc w:val="both"/>
      </w:pPr>
      <w:r w:rsidRPr="00E31246">
        <w:rPr>
          <w:rFonts w:asciiTheme="minorHAnsi" w:eastAsiaTheme="minorEastAsia" w:hAnsiTheme="minorHAnsi" w:cstheme="minorBidi"/>
        </w:rPr>
        <w:t xml:space="preserve">CWG-FHR </w:t>
      </w:r>
      <w:r w:rsidR="001A2873" w:rsidRPr="00E31246">
        <w:rPr>
          <w:rFonts w:asciiTheme="minorHAnsi" w:eastAsiaTheme="minorEastAsia" w:hAnsiTheme="minorHAnsi" w:cstheme="minorBidi"/>
        </w:rPr>
        <w:t xml:space="preserve">welcomed the proposed web portal but requested the development of a </w:t>
      </w:r>
      <w:r w:rsidR="00775AFC" w:rsidRPr="00E31246">
        <w:rPr>
          <w:rFonts w:asciiTheme="minorHAnsi" w:eastAsiaTheme="minorEastAsia" w:hAnsiTheme="minorHAnsi" w:cstheme="minorBidi"/>
        </w:rPr>
        <w:t>selection process for host countries with a timeline, a window for host country bids, and a formal process and deadlines for selecting between multiple bids as well as providing feedback to unsuccessful candidates.</w:t>
      </w:r>
      <w:r w:rsidR="72EBB230" w:rsidRPr="00E31246">
        <w:rPr>
          <w:rFonts w:asciiTheme="minorHAnsi" w:eastAsiaTheme="minorEastAsia" w:hAnsiTheme="minorHAnsi" w:cstheme="minorBidi"/>
        </w:rPr>
        <w:t xml:space="preserve"> </w:t>
      </w:r>
      <w:r w:rsidR="43638BDD" w:rsidRPr="00E31246">
        <w:t xml:space="preserve">Other considerations included respecting the principle of geographic rotation, invitations to host social events, </w:t>
      </w:r>
      <w:r w:rsidR="00887CAD" w:rsidRPr="00E31246">
        <w:t xml:space="preserve">inclusion of </w:t>
      </w:r>
      <w:r w:rsidR="43638BDD" w:rsidRPr="00E31246">
        <w:t xml:space="preserve">all host country invitations received </w:t>
      </w:r>
      <w:r w:rsidR="00887CAD" w:rsidRPr="00E31246">
        <w:t>on</w:t>
      </w:r>
      <w:r w:rsidR="43638BDD" w:rsidRPr="00E31246">
        <w:t xml:space="preserve"> the portal, and presenting generic costs of hosting wherever possible.</w:t>
      </w:r>
    </w:p>
    <w:p w14:paraId="5A53F3FF" w14:textId="77777777" w:rsidR="0048437D" w:rsidRPr="00E31246" w:rsidRDefault="0048437D" w:rsidP="00E74482">
      <w:pPr>
        <w:pStyle w:val="Headingb"/>
      </w:pPr>
      <w:r w:rsidRPr="00E31246">
        <w:t>Scope</w:t>
      </w:r>
    </w:p>
    <w:p w14:paraId="61C4530E" w14:textId="31C6E356" w:rsidR="0048437D" w:rsidRPr="00E31246" w:rsidRDefault="0048437D" w:rsidP="00EC128A">
      <w:pPr>
        <w:jc w:val="both"/>
      </w:pPr>
      <w:r w:rsidRPr="00E31246">
        <w:t xml:space="preserve">The scope of this document includes ITU conferences and assemblies (PP, WRC, RA, WTSA, WTDC), which are held by default at ITU </w:t>
      </w:r>
      <w:r w:rsidRPr="00E31246">
        <w:rPr>
          <w:rFonts w:asciiTheme="minorHAnsi" w:eastAsiaTheme="minorEastAsia" w:hAnsiTheme="minorHAnsi" w:cstheme="minorBidi"/>
        </w:rPr>
        <w:t>headquarters</w:t>
      </w:r>
      <w:r w:rsidRPr="00E31246">
        <w:t xml:space="preserve"> in Geneva but may be held away from Geneva if a Member State government offers to host and agrees to defray additional expenditure involved. </w:t>
      </w:r>
    </w:p>
    <w:p w14:paraId="0CD217C4" w14:textId="0AF7F52B" w:rsidR="00D4459B" w:rsidRPr="00E31246" w:rsidRDefault="0048437D" w:rsidP="00EC128A">
      <w:pPr>
        <w:jc w:val="both"/>
        <w:rPr>
          <w:spacing w:val="-2"/>
        </w:rPr>
      </w:pPr>
      <w:r w:rsidRPr="00E31246">
        <w:rPr>
          <w:spacing w:val="-2"/>
        </w:rPr>
        <w:t xml:space="preserve">In the case of the Council, </w:t>
      </w:r>
      <w:r w:rsidR="0449E607" w:rsidRPr="00E31246">
        <w:rPr>
          <w:spacing w:val="-2"/>
        </w:rPr>
        <w:t xml:space="preserve">No. 51, </w:t>
      </w:r>
      <w:r w:rsidRPr="00E31246">
        <w:rPr>
          <w:spacing w:val="-2"/>
        </w:rPr>
        <w:t>Article 4 of the Convention mandates that an ordinary session of the Council shall be held annually at the seat of the Union. The Council is instructed at each</w:t>
      </w:r>
      <w:r w:rsidR="00AF6D3B" w:rsidRPr="00E31246">
        <w:rPr>
          <w:spacing w:val="-2"/>
        </w:rPr>
        <w:t xml:space="preserve"> </w:t>
      </w:r>
      <w:r w:rsidRPr="00E31246">
        <w:rPr>
          <w:spacing w:val="-2"/>
        </w:rPr>
        <w:t xml:space="preserve">ordinary session to schedule its </w:t>
      </w:r>
      <w:r w:rsidRPr="00E31246">
        <w:rPr>
          <w:rFonts w:asciiTheme="minorHAnsi" w:eastAsiaTheme="minorEastAsia" w:hAnsiTheme="minorHAnsi" w:cstheme="minorBidi"/>
          <w:spacing w:val="-2"/>
        </w:rPr>
        <w:t>next</w:t>
      </w:r>
      <w:r w:rsidRPr="00E31246">
        <w:rPr>
          <w:spacing w:val="-2"/>
        </w:rPr>
        <w:t xml:space="preserve"> three ordinary sessions (Res</w:t>
      </w:r>
      <w:r w:rsidR="00AF6D3B" w:rsidRPr="00E31246">
        <w:rPr>
          <w:spacing w:val="-2"/>
        </w:rPr>
        <w:t>.</w:t>
      </w:r>
      <w:r w:rsidRPr="00E31246">
        <w:rPr>
          <w:spacing w:val="-2"/>
        </w:rPr>
        <w:t xml:space="preserve"> 77 </w:t>
      </w:r>
      <w:r w:rsidR="00AF6D3B" w:rsidRPr="00E31246">
        <w:rPr>
          <w:spacing w:val="-2"/>
        </w:rPr>
        <w:t>(</w:t>
      </w:r>
      <w:r w:rsidRPr="00E31246">
        <w:rPr>
          <w:spacing w:val="-2"/>
        </w:rPr>
        <w:t>Rev.</w:t>
      </w:r>
      <w:r w:rsidR="00AF6D3B" w:rsidRPr="00E31246">
        <w:rPr>
          <w:spacing w:val="-2"/>
        </w:rPr>
        <w:t> </w:t>
      </w:r>
      <w:r w:rsidRPr="00E31246">
        <w:rPr>
          <w:spacing w:val="-2"/>
        </w:rPr>
        <w:t>Bucharest, 2022)</w:t>
      </w:r>
      <w:r w:rsidR="00AF6D3B" w:rsidRPr="00E31246">
        <w:rPr>
          <w:spacing w:val="-2"/>
        </w:rPr>
        <w:t>)</w:t>
      </w:r>
      <w:r w:rsidRPr="00E31246">
        <w:rPr>
          <w:spacing w:val="-2"/>
        </w:rPr>
        <w:t>.</w:t>
      </w:r>
    </w:p>
    <w:p w14:paraId="3CC87961" w14:textId="79956E13" w:rsidR="000553A4" w:rsidRPr="00E31246" w:rsidRDefault="000553A4" w:rsidP="00AF6D3B">
      <w:pPr>
        <w:pStyle w:val="Headingb"/>
      </w:pPr>
      <w:r w:rsidRPr="00E31246">
        <w:t xml:space="preserve">Proposed </w:t>
      </w:r>
      <w:r w:rsidR="00161CFE" w:rsidRPr="00E31246">
        <w:t xml:space="preserve">selection </w:t>
      </w:r>
      <w:r w:rsidR="00526AA9" w:rsidRPr="00E31246">
        <w:t xml:space="preserve">process </w:t>
      </w:r>
      <w:r w:rsidR="00BE7D33" w:rsidRPr="00E31246">
        <w:t xml:space="preserve">for </w:t>
      </w:r>
      <w:r w:rsidR="009829A3" w:rsidRPr="00E31246">
        <w:t>host countries</w:t>
      </w:r>
    </w:p>
    <w:p w14:paraId="71E541AC" w14:textId="54DD134E" w:rsidR="000553A4" w:rsidRPr="00E31246" w:rsidRDefault="003C10AA" w:rsidP="001174EB">
      <w:pPr>
        <w:pStyle w:val="Headingb"/>
        <w:rPr>
          <w:rFonts w:eastAsiaTheme="minorEastAsia"/>
        </w:rPr>
      </w:pPr>
      <w:r w:rsidRPr="00E31246">
        <w:rPr>
          <w:rFonts w:eastAsiaTheme="minorEastAsia"/>
        </w:rPr>
        <w:t>1</w:t>
      </w:r>
      <w:r w:rsidRPr="00E31246">
        <w:rPr>
          <w:rFonts w:eastAsiaTheme="minorEastAsia"/>
        </w:rPr>
        <w:tab/>
      </w:r>
      <w:r w:rsidR="00526AA9" w:rsidRPr="00E31246">
        <w:rPr>
          <w:rFonts w:eastAsiaTheme="minorEastAsia"/>
        </w:rPr>
        <w:t>Set period and year of conference or assembly</w:t>
      </w:r>
    </w:p>
    <w:p w14:paraId="64A0BE13" w14:textId="548FF2D7" w:rsidR="00526AA9" w:rsidRPr="00E31246" w:rsidRDefault="00526AA9" w:rsidP="00EC128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The secretariat publishes at each Plenipotentiary the list of conferences and assemblies to be held in following eight years, specifying the periods in which they are to </w:t>
      </w:r>
      <w:r w:rsidR="00482B06" w:rsidRPr="00E31246">
        <w:rPr>
          <w:rFonts w:asciiTheme="minorHAnsi" w:eastAsiaTheme="minorEastAsia" w:hAnsiTheme="minorHAnsi" w:cstheme="minorBidi"/>
        </w:rPr>
        <w:t xml:space="preserve">be </w:t>
      </w:r>
      <w:r w:rsidRPr="00E31246">
        <w:rPr>
          <w:rFonts w:asciiTheme="minorHAnsi" w:eastAsiaTheme="minorEastAsia" w:hAnsiTheme="minorHAnsi" w:cstheme="minorBidi"/>
        </w:rPr>
        <w:t>held and detailed information on dates or hosts if available (Resolution 77).</w:t>
      </w:r>
    </w:p>
    <w:p w14:paraId="2CD22E8B" w14:textId="537FC965" w:rsidR="00414467" w:rsidRPr="00E31246" w:rsidRDefault="003C10AA" w:rsidP="001174EB">
      <w:pPr>
        <w:pStyle w:val="Headingb"/>
        <w:rPr>
          <w:rFonts w:eastAsiaTheme="minorEastAsia"/>
        </w:rPr>
      </w:pPr>
      <w:r w:rsidRPr="00E31246">
        <w:rPr>
          <w:rFonts w:eastAsiaTheme="minorEastAsia"/>
        </w:rPr>
        <w:t>2</w:t>
      </w:r>
      <w:r w:rsidRPr="00E31246">
        <w:rPr>
          <w:rFonts w:eastAsiaTheme="minorEastAsia"/>
        </w:rPr>
        <w:tab/>
      </w:r>
      <w:r w:rsidR="00414467" w:rsidRPr="00E31246">
        <w:rPr>
          <w:rFonts w:eastAsiaTheme="minorEastAsia"/>
        </w:rPr>
        <w:t xml:space="preserve">Publish </w:t>
      </w:r>
      <w:r w:rsidR="001174EB" w:rsidRPr="00E31246">
        <w:rPr>
          <w:rFonts w:eastAsiaTheme="minorEastAsia"/>
        </w:rPr>
        <w:t xml:space="preserve">circular letter </w:t>
      </w:r>
      <w:r w:rsidR="00414467" w:rsidRPr="00E31246">
        <w:rPr>
          <w:rFonts w:eastAsiaTheme="minorEastAsia"/>
        </w:rPr>
        <w:t>calling for proposals for future hosts</w:t>
      </w:r>
    </w:p>
    <w:p w14:paraId="50B3E29A" w14:textId="23DEA187" w:rsidR="00414467" w:rsidRPr="00E31246" w:rsidRDefault="00414467" w:rsidP="00AF6D3B">
      <w:pPr>
        <w:jc w:val="both"/>
        <w:rPr>
          <w:rFonts w:eastAsiaTheme="minorEastAsia"/>
        </w:rPr>
      </w:pPr>
      <w:r w:rsidRPr="00E31246">
        <w:rPr>
          <w:rFonts w:eastAsiaTheme="minorEastAsia"/>
        </w:rPr>
        <w:t>The secretariat publishes a Circular Letter in four (4) years before the conference or assembly including:</w:t>
      </w:r>
    </w:p>
    <w:p w14:paraId="2D30772B" w14:textId="0258D787" w:rsidR="00414467" w:rsidRPr="00E31246" w:rsidRDefault="003C10AA" w:rsidP="00AF6D3B">
      <w:pPr>
        <w:pStyle w:val="enumlev1"/>
        <w:jc w:val="both"/>
        <w:rPr>
          <w:rFonts w:eastAsiaTheme="minorEastAsia"/>
        </w:rPr>
      </w:pPr>
      <w:r w:rsidRPr="00E31246">
        <w:rPr>
          <w:rFonts w:eastAsiaTheme="minorEastAsia"/>
        </w:rPr>
        <w:t>2.1</w:t>
      </w:r>
      <w:r w:rsidRPr="00E31246">
        <w:rPr>
          <w:rFonts w:eastAsiaTheme="minorEastAsia"/>
        </w:rPr>
        <w:tab/>
      </w:r>
      <w:r w:rsidR="00414467" w:rsidRPr="00E31246">
        <w:rPr>
          <w:rFonts w:eastAsiaTheme="minorEastAsia"/>
          <w:b/>
          <w:bCs/>
        </w:rPr>
        <w:t>General Conference information and main requirements based on model host country</w:t>
      </w:r>
      <w:r w:rsidR="00414467" w:rsidRPr="00E31246">
        <w:rPr>
          <w:rFonts w:eastAsiaTheme="minorEastAsia"/>
        </w:rPr>
        <w:t xml:space="preserve"> agreement and its annexes including financial requirements, venue and infrastructure, connectivity and technical services, security and safety, accommodation capacity, ease of access, medical facilities, confirmation of visa facilitation and customs arrangements, and compliance with ITU regulations, including adherence to 1947 Convention on Privileges and Immunities.</w:t>
      </w:r>
    </w:p>
    <w:p w14:paraId="7AB73300" w14:textId="63E937C1" w:rsidR="00414467" w:rsidRPr="00E31246" w:rsidRDefault="003C10AA" w:rsidP="001174EB">
      <w:pPr>
        <w:pStyle w:val="enumlev1"/>
        <w:keepNext/>
        <w:jc w:val="both"/>
        <w:rPr>
          <w:rFonts w:eastAsiaTheme="minorEastAsia"/>
        </w:rPr>
      </w:pPr>
      <w:r w:rsidRPr="00E31246">
        <w:rPr>
          <w:rFonts w:eastAsiaTheme="minorEastAsia"/>
        </w:rPr>
        <w:t>2.2</w:t>
      </w:r>
      <w:r w:rsidRPr="00E31246">
        <w:rPr>
          <w:rFonts w:eastAsiaTheme="minorEastAsia"/>
        </w:rPr>
        <w:tab/>
      </w:r>
      <w:r w:rsidR="00414467" w:rsidRPr="00E31246">
        <w:rPr>
          <w:rFonts w:eastAsiaTheme="minorEastAsia"/>
          <w:b/>
        </w:rPr>
        <w:t>Submission deadlines for three key steps:</w:t>
      </w:r>
    </w:p>
    <w:p w14:paraId="369AFDC9" w14:textId="612C7619" w:rsidR="00414467" w:rsidRPr="00E31246" w:rsidRDefault="001174EB" w:rsidP="18225E4A">
      <w:pPr>
        <w:pStyle w:val="enumlev2"/>
        <w:jc w:val="both"/>
        <w:rPr>
          <w:rFonts w:eastAsiaTheme="minorEastAsia"/>
        </w:rPr>
      </w:pPr>
      <w:r w:rsidRPr="00E31246">
        <w:rPr>
          <w:rFonts w:eastAsiaTheme="minorEastAsia"/>
        </w:rPr>
        <w:t>–</w:t>
      </w:r>
      <w:r w:rsidRPr="00E31246">
        <w:rPr>
          <w:rFonts w:eastAsiaTheme="minorEastAsia"/>
        </w:rPr>
        <w:tab/>
      </w:r>
      <w:r w:rsidR="00414467" w:rsidRPr="00E31246">
        <w:rPr>
          <w:rFonts w:eastAsiaTheme="minorEastAsia"/>
          <w:b/>
          <w:bCs/>
        </w:rPr>
        <w:t>Expressions of interest</w:t>
      </w:r>
      <w:r w:rsidR="00414467" w:rsidRPr="00E31246">
        <w:rPr>
          <w:rFonts w:eastAsiaTheme="minorEastAsia"/>
        </w:rPr>
        <w:t xml:space="preserve"> from potential Member States to enable consultation with the secretariat over a six to eight-week period from the publication of the Circular Letter. Interested Member States submit official expressions of interest with </w:t>
      </w:r>
      <w:r w:rsidR="00414467" w:rsidRPr="00E31246">
        <w:rPr>
          <w:rFonts w:eastAsiaTheme="minorEastAsia"/>
        </w:rPr>
        <w:lastRenderedPageBreak/>
        <w:t xml:space="preserve">supporting rationale through their administration. The secretariat shares </w:t>
      </w:r>
      <w:r w:rsidR="5F4F2AC7" w:rsidRPr="00E31246">
        <w:rPr>
          <w:rFonts w:eastAsiaTheme="minorEastAsia"/>
        </w:rPr>
        <w:t xml:space="preserve">with them </w:t>
      </w:r>
      <w:r w:rsidR="00414467" w:rsidRPr="00E31246">
        <w:rPr>
          <w:rFonts w:eastAsiaTheme="minorEastAsia"/>
        </w:rPr>
        <w:t>a model Host Country Agreement (HCA) and provides clarification on budget and facilities as necessary.</w:t>
      </w:r>
    </w:p>
    <w:p w14:paraId="48CA09DF" w14:textId="7E9BBF4A" w:rsidR="00414467" w:rsidRPr="00E31246" w:rsidRDefault="001174EB" w:rsidP="18225E4A">
      <w:pPr>
        <w:pStyle w:val="enumlev2"/>
        <w:jc w:val="both"/>
        <w:rPr>
          <w:rFonts w:asciiTheme="minorHAnsi" w:eastAsiaTheme="minorEastAsia" w:hAnsiTheme="minorHAnsi" w:cstheme="minorBidi"/>
        </w:rPr>
      </w:pPr>
      <w:r w:rsidRPr="00E31246">
        <w:rPr>
          <w:lang w:eastAsia="en-GB"/>
        </w:rPr>
        <w:t>–</w:t>
      </w:r>
      <w:r w:rsidRPr="00E31246">
        <w:tab/>
      </w:r>
      <w:r w:rsidR="00414467" w:rsidRPr="00E31246">
        <w:rPr>
          <w:rFonts w:asciiTheme="minorHAnsi" w:eastAsiaTheme="minorEastAsia" w:hAnsiTheme="minorHAnsi" w:cstheme="minorBidi"/>
          <w:b/>
          <w:bCs/>
        </w:rPr>
        <w:t>Submission of formal proposals</w:t>
      </w:r>
      <w:r w:rsidR="00414467" w:rsidRPr="00E31246">
        <w:rPr>
          <w:rFonts w:asciiTheme="minorHAnsi" w:eastAsiaTheme="minorEastAsia" w:hAnsiTheme="minorHAnsi" w:cstheme="minorBidi"/>
        </w:rPr>
        <w:t xml:space="preserve"> by (the end of the calendar year). Interested Member States submit a formal offer through their administration or </w:t>
      </w:r>
      <w:r w:rsidR="092995DC" w:rsidRPr="00E31246">
        <w:rPr>
          <w:rFonts w:asciiTheme="minorHAnsi" w:eastAsiaTheme="minorEastAsia" w:hAnsiTheme="minorHAnsi" w:cstheme="minorBidi"/>
        </w:rPr>
        <w:t xml:space="preserve">permanent </w:t>
      </w:r>
      <w:r w:rsidR="00414467" w:rsidRPr="00E31246">
        <w:rPr>
          <w:rFonts w:asciiTheme="minorHAnsi" w:eastAsiaTheme="minorEastAsia" w:hAnsiTheme="minorHAnsi" w:cstheme="minorBidi"/>
        </w:rPr>
        <w:t xml:space="preserve">mission. The offer should include a formal letter of intent with government commitment to support the conference or assembly; details on facilities such as conference venues, </w:t>
      </w:r>
      <w:r w:rsidR="00414467" w:rsidRPr="00E31246">
        <w:rPr>
          <w:rFonts w:eastAsiaTheme="minorEastAsia"/>
        </w:rPr>
        <w:t>accommodation</w:t>
      </w:r>
      <w:r w:rsidR="00414467" w:rsidRPr="00E31246">
        <w:rPr>
          <w:rFonts w:asciiTheme="minorHAnsi" w:eastAsiaTheme="minorEastAsia" w:hAnsiTheme="minorHAnsi" w:cstheme="minorBidi"/>
        </w:rPr>
        <w:t>, transportation and security, in line with the latest relevant host country agreement; and financial guarantees to cover the conference costs.</w:t>
      </w:r>
    </w:p>
    <w:p w14:paraId="4209B757" w14:textId="252E3236" w:rsidR="00414467" w:rsidRPr="00E31246" w:rsidRDefault="001174EB" w:rsidP="18225E4A">
      <w:pPr>
        <w:pStyle w:val="enumlev2"/>
        <w:jc w:val="both"/>
        <w:rPr>
          <w:rFonts w:asciiTheme="minorHAnsi" w:eastAsiaTheme="minorEastAsia" w:hAnsiTheme="minorHAnsi" w:cstheme="minorBidi"/>
        </w:rPr>
      </w:pPr>
      <w:r w:rsidRPr="00E31246">
        <w:rPr>
          <w:lang w:eastAsia="en-GB"/>
        </w:rPr>
        <w:t>–</w:t>
      </w:r>
      <w:r w:rsidRPr="00E31246">
        <w:tab/>
      </w:r>
      <w:r w:rsidR="46144A31" w:rsidRPr="00E31246">
        <w:rPr>
          <w:rFonts w:asciiTheme="minorHAnsi" w:eastAsiaTheme="minorEastAsia" w:hAnsiTheme="minorHAnsi" w:cstheme="minorBidi"/>
        </w:rPr>
        <w:t>F</w:t>
      </w:r>
      <w:r w:rsidR="00414467" w:rsidRPr="00E31246">
        <w:rPr>
          <w:rFonts w:asciiTheme="minorHAnsi" w:eastAsiaTheme="minorEastAsia" w:hAnsiTheme="minorHAnsi" w:cstheme="minorBidi"/>
        </w:rPr>
        <w:t xml:space="preserve">ormal proposals will be posted on the Host Country Web Portal within 12 days of the </w:t>
      </w:r>
      <w:r w:rsidR="00414467" w:rsidRPr="00E31246">
        <w:rPr>
          <w:rFonts w:eastAsiaTheme="minorEastAsia"/>
        </w:rPr>
        <w:t>deadline</w:t>
      </w:r>
      <w:r w:rsidR="00414467" w:rsidRPr="00E31246">
        <w:rPr>
          <w:rFonts w:asciiTheme="minorHAnsi" w:eastAsiaTheme="minorEastAsia" w:hAnsiTheme="minorHAnsi" w:cstheme="minorBidi"/>
        </w:rPr>
        <w:t xml:space="preserve"> for submission of formal proposals. Any proposals submitted outside this process will be published on the portal upon receipt with a disclaimer to that effect.</w:t>
      </w:r>
    </w:p>
    <w:p w14:paraId="2BB3F579" w14:textId="6E1177B0" w:rsidR="00714EC6" w:rsidRPr="00E31246" w:rsidRDefault="003C10AA" w:rsidP="001174EB">
      <w:pPr>
        <w:pStyle w:val="Headingb"/>
        <w:rPr>
          <w:rFonts w:eastAsiaTheme="minorEastAsia"/>
        </w:rPr>
      </w:pPr>
      <w:r w:rsidRPr="00E31246">
        <w:rPr>
          <w:rFonts w:eastAsiaTheme="minorEastAsia"/>
        </w:rPr>
        <w:t>3</w:t>
      </w:r>
      <w:r w:rsidRPr="00E31246">
        <w:rPr>
          <w:rFonts w:eastAsiaTheme="minorEastAsia"/>
        </w:rPr>
        <w:tab/>
      </w:r>
      <w:r w:rsidR="00714EC6" w:rsidRPr="00E31246">
        <w:rPr>
          <w:rFonts w:eastAsiaTheme="minorEastAsia"/>
        </w:rPr>
        <w:t>Due diligence</w:t>
      </w:r>
      <w:r w:rsidR="00F54357" w:rsidRPr="00E31246">
        <w:rPr>
          <w:rFonts w:eastAsiaTheme="minorEastAsia"/>
        </w:rPr>
        <w:t xml:space="preserve"> and </w:t>
      </w:r>
      <w:r w:rsidR="002E6045" w:rsidRPr="00E31246">
        <w:rPr>
          <w:rFonts w:eastAsiaTheme="minorEastAsia"/>
        </w:rPr>
        <w:t>report</w:t>
      </w:r>
    </w:p>
    <w:p w14:paraId="3D829A69" w14:textId="56DDD6F9" w:rsidR="00F54357" w:rsidRPr="00E31246" w:rsidRDefault="002A1315" w:rsidP="18225E4A">
      <w:pPr>
        <w:jc w:val="both"/>
        <w:rPr>
          <w:rFonts w:eastAsiaTheme="minorEastAsia"/>
        </w:rPr>
      </w:pPr>
      <w:r w:rsidRPr="00E31246">
        <w:rPr>
          <w:rFonts w:eastAsiaTheme="minorEastAsia"/>
        </w:rPr>
        <w:t xml:space="preserve">Following the deadline for </w:t>
      </w:r>
      <w:r w:rsidR="00BE17D2" w:rsidRPr="00E31246">
        <w:rPr>
          <w:rFonts w:eastAsiaTheme="minorEastAsia"/>
        </w:rPr>
        <w:t>submission</w:t>
      </w:r>
      <w:r w:rsidR="1C4BCF4F" w:rsidRPr="00E31246">
        <w:rPr>
          <w:rFonts w:eastAsiaTheme="minorEastAsia"/>
        </w:rPr>
        <w:t xml:space="preserve"> of formal proposals</w:t>
      </w:r>
      <w:r w:rsidRPr="00E31246">
        <w:rPr>
          <w:rFonts w:eastAsiaTheme="minorEastAsia"/>
        </w:rPr>
        <w:t xml:space="preserve">, </w:t>
      </w:r>
      <w:r w:rsidR="00BE17D2" w:rsidRPr="00E31246">
        <w:rPr>
          <w:rFonts w:eastAsiaTheme="minorEastAsia"/>
        </w:rPr>
        <w:t>t</w:t>
      </w:r>
      <w:r w:rsidR="00714EC6" w:rsidRPr="00E31246">
        <w:rPr>
          <w:rFonts w:eastAsiaTheme="minorEastAsia"/>
        </w:rPr>
        <w:t xml:space="preserve">he secretariat reviews all formal proposals to </w:t>
      </w:r>
      <w:r w:rsidR="00BE17D2" w:rsidRPr="00E31246">
        <w:rPr>
          <w:rFonts w:eastAsiaTheme="minorEastAsia"/>
        </w:rPr>
        <w:t xml:space="preserve">establish whether </w:t>
      </w:r>
      <w:r w:rsidR="000B12BC" w:rsidRPr="00E31246">
        <w:rPr>
          <w:rFonts w:eastAsiaTheme="minorEastAsia"/>
        </w:rPr>
        <w:t>the minimum</w:t>
      </w:r>
      <w:r w:rsidR="00714EC6" w:rsidRPr="00E31246">
        <w:rPr>
          <w:rFonts w:eastAsiaTheme="minorEastAsia"/>
        </w:rPr>
        <w:t xml:space="preserve"> requirements</w:t>
      </w:r>
      <w:r w:rsidR="000B12BC" w:rsidRPr="00E31246">
        <w:rPr>
          <w:rFonts w:eastAsiaTheme="minorEastAsia"/>
        </w:rPr>
        <w:t xml:space="preserve"> </w:t>
      </w:r>
      <w:r w:rsidR="6552B0D0" w:rsidRPr="00E31246">
        <w:rPr>
          <w:rFonts w:eastAsiaTheme="minorEastAsia"/>
        </w:rPr>
        <w:t xml:space="preserve">of hosting </w:t>
      </w:r>
      <w:r w:rsidR="00714EC6" w:rsidRPr="00E31246">
        <w:rPr>
          <w:rFonts w:eastAsiaTheme="minorEastAsia"/>
        </w:rPr>
        <w:t>a</w:t>
      </w:r>
      <w:r w:rsidR="7045106A" w:rsidRPr="00E31246">
        <w:rPr>
          <w:rFonts w:eastAsiaTheme="minorEastAsia"/>
        </w:rPr>
        <w:t>re met by the potential host country</w:t>
      </w:r>
      <w:r w:rsidR="60D94BC8" w:rsidRPr="00E31246">
        <w:rPr>
          <w:rFonts w:eastAsiaTheme="minorEastAsia"/>
        </w:rPr>
        <w:t xml:space="preserve"> and completes a</w:t>
      </w:r>
      <w:r w:rsidR="006D19AC" w:rsidRPr="00E31246">
        <w:rPr>
          <w:rFonts w:eastAsiaTheme="minorEastAsia"/>
        </w:rPr>
        <w:t xml:space="preserve">n assessment </w:t>
      </w:r>
      <w:r w:rsidR="60D94BC8" w:rsidRPr="00E31246">
        <w:rPr>
          <w:rFonts w:eastAsiaTheme="minorEastAsia"/>
        </w:rPr>
        <w:t xml:space="preserve">table. The secretariat may conduct an initial site visit or request </w:t>
      </w:r>
      <w:r w:rsidR="60D94BC8" w:rsidRPr="00E31246">
        <w:rPr>
          <w:rFonts w:asciiTheme="minorHAnsi" w:eastAsiaTheme="minorEastAsia" w:hAnsiTheme="minorHAnsi" w:cstheme="minorBidi"/>
        </w:rPr>
        <w:t>additional</w:t>
      </w:r>
      <w:r w:rsidR="60D94BC8" w:rsidRPr="00E31246">
        <w:rPr>
          <w:rFonts w:eastAsiaTheme="minorEastAsia"/>
        </w:rPr>
        <w:t xml:space="preserve"> information from the candidate countries if necessary</w:t>
      </w:r>
      <w:r w:rsidR="0062752D" w:rsidRPr="00E31246">
        <w:rPr>
          <w:rFonts w:eastAsiaTheme="minorEastAsia"/>
        </w:rPr>
        <w:t>, during which process a candidate host may adjust or withdraw a proposal</w:t>
      </w:r>
      <w:r w:rsidR="60D94BC8" w:rsidRPr="00E31246">
        <w:rPr>
          <w:rFonts w:eastAsiaTheme="minorEastAsia"/>
        </w:rPr>
        <w:t xml:space="preserve">. </w:t>
      </w:r>
      <w:r w:rsidR="3E07A645" w:rsidRPr="00E31246">
        <w:rPr>
          <w:rFonts w:eastAsiaTheme="minorEastAsia"/>
        </w:rPr>
        <w:t xml:space="preserve">The secretariat submits the host country proposals with the due diligence report, based on the </w:t>
      </w:r>
      <w:r w:rsidR="006D19AC" w:rsidRPr="00E31246">
        <w:rPr>
          <w:rFonts w:eastAsiaTheme="minorEastAsia"/>
        </w:rPr>
        <w:t>assessment</w:t>
      </w:r>
      <w:r w:rsidR="3E07A645" w:rsidRPr="00E31246">
        <w:rPr>
          <w:rFonts w:eastAsiaTheme="minorEastAsia"/>
        </w:rPr>
        <w:t xml:space="preserve"> table, to the PP or the next session of the Council at least three (3) years before the start of the con</w:t>
      </w:r>
      <w:r w:rsidR="5408A96B" w:rsidRPr="00E31246">
        <w:rPr>
          <w:rFonts w:eastAsiaTheme="minorEastAsia"/>
        </w:rPr>
        <w:t xml:space="preserve">ference. </w:t>
      </w:r>
    </w:p>
    <w:p w14:paraId="56B505FF" w14:textId="0D70C50C" w:rsidR="00F54357" w:rsidRPr="00E31246" w:rsidRDefault="5408A96B" w:rsidP="18225E4A">
      <w:pPr>
        <w:jc w:val="both"/>
        <w:rPr>
          <w:rFonts w:eastAsiaTheme="minorEastAsia"/>
        </w:rPr>
      </w:pPr>
      <w:r w:rsidRPr="00E31246">
        <w:rPr>
          <w:rFonts w:eastAsiaTheme="minorEastAsia"/>
        </w:rPr>
        <w:t>A</w:t>
      </w:r>
      <w:r w:rsidR="00F54357" w:rsidRPr="00E31246">
        <w:rPr>
          <w:rFonts w:eastAsiaTheme="minorEastAsia"/>
        </w:rPr>
        <w:t xml:space="preserve">ny formal </w:t>
      </w:r>
      <w:r w:rsidR="00F54357" w:rsidRPr="00E31246">
        <w:rPr>
          <w:rFonts w:asciiTheme="minorHAnsi" w:eastAsiaTheme="minorEastAsia" w:hAnsiTheme="minorHAnsi" w:cstheme="minorBidi"/>
        </w:rPr>
        <w:t>offer</w:t>
      </w:r>
      <w:r w:rsidR="00F54357" w:rsidRPr="00E31246">
        <w:rPr>
          <w:rFonts w:eastAsiaTheme="minorEastAsia"/>
        </w:rPr>
        <w:t xml:space="preserve"> which does not meet all the requirements of the hosting will be i</w:t>
      </w:r>
      <w:r w:rsidR="0257AB5A" w:rsidRPr="00E31246">
        <w:rPr>
          <w:rFonts w:eastAsiaTheme="minorEastAsia"/>
        </w:rPr>
        <w:t>ndicated</w:t>
      </w:r>
      <w:r w:rsidR="00F54357" w:rsidRPr="00E31246">
        <w:rPr>
          <w:rFonts w:eastAsiaTheme="minorEastAsia"/>
        </w:rPr>
        <w:t xml:space="preserve"> in th</w:t>
      </w:r>
      <w:r w:rsidR="03F95EDA" w:rsidRPr="00E31246">
        <w:rPr>
          <w:rFonts w:eastAsiaTheme="minorEastAsia"/>
        </w:rPr>
        <w:t xml:space="preserve">e due diligence report. </w:t>
      </w:r>
      <w:r w:rsidR="00F54357" w:rsidRPr="00E31246">
        <w:rPr>
          <w:rFonts w:eastAsiaTheme="minorEastAsia"/>
        </w:rPr>
        <w:t xml:space="preserve">The full </w:t>
      </w:r>
      <w:r w:rsidR="70E79743" w:rsidRPr="00E31246">
        <w:rPr>
          <w:rFonts w:eastAsiaTheme="minorEastAsia"/>
        </w:rPr>
        <w:t>de</w:t>
      </w:r>
      <w:r w:rsidR="00F54357" w:rsidRPr="00E31246">
        <w:rPr>
          <w:rFonts w:eastAsiaTheme="minorEastAsia"/>
        </w:rPr>
        <w:t xml:space="preserve">tails of the </w:t>
      </w:r>
      <w:r w:rsidR="000020DA" w:rsidRPr="00E31246">
        <w:rPr>
          <w:rFonts w:eastAsiaTheme="minorEastAsia"/>
        </w:rPr>
        <w:t>assessment</w:t>
      </w:r>
      <w:r w:rsidR="00F54357" w:rsidRPr="00E31246">
        <w:rPr>
          <w:rFonts w:eastAsiaTheme="minorEastAsia"/>
        </w:rPr>
        <w:t xml:space="preserve"> may be provided to the potential host or to any potential host</w:t>
      </w:r>
      <w:r w:rsidR="1F4D5A3F" w:rsidRPr="00E31246">
        <w:rPr>
          <w:rFonts w:eastAsiaTheme="minorEastAsia"/>
        </w:rPr>
        <w:t>,</w:t>
      </w:r>
      <w:r w:rsidR="00F54357" w:rsidRPr="00E31246">
        <w:rPr>
          <w:rFonts w:eastAsiaTheme="minorEastAsia"/>
        </w:rPr>
        <w:t xml:space="preserve"> which does not meet the requirements</w:t>
      </w:r>
      <w:r w:rsidR="1B7D527E" w:rsidRPr="00E31246">
        <w:rPr>
          <w:rFonts w:eastAsiaTheme="minorEastAsia"/>
        </w:rPr>
        <w:t>,</w:t>
      </w:r>
      <w:r w:rsidR="00F54357" w:rsidRPr="00E31246">
        <w:rPr>
          <w:rFonts w:eastAsiaTheme="minorEastAsia"/>
        </w:rPr>
        <w:t xml:space="preserve"> upon request to the secretariat.</w:t>
      </w:r>
    </w:p>
    <w:p w14:paraId="246E747D" w14:textId="6A0667B0" w:rsidR="00124F06" w:rsidRPr="00E31246" w:rsidRDefault="003C10AA" w:rsidP="001174EB">
      <w:pPr>
        <w:pStyle w:val="Headingb"/>
        <w:rPr>
          <w:rFonts w:eastAsiaTheme="minorEastAsia"/>
        </w:rPr>
      </w:pPr>
      <w:r w:rsidRPr="00E31246">
        <w:rPr>
          <w:rFonts w:eastAsiaTheme="minorEastAsia"/>
        </w:rPr>
        <w:t>4</w:t>
      </w:r>
      <w:r w:rsidRPr="00E31246">
        <w:rPr>
          <w:rFonts w:eastAsiaTheme="minorEastAsia"/>
        </w:rPr>
        <w:tab/>
      </w:r>
      <w:r w:rsidR="00124F06" w:rsidRPr="00E31246">
        <w:rPr>
          <w:rFonts w:eastAsiaTheme="minorEastAsia"/>
        </w:rPr>
        <w:t>Selection of the host country</w:t>
      </w:r>
    </w:p>
    <w:p w14:paraId="5F11FD72" w14:textId="78490DF7" w:rsidR="00827AB1" w:rsidRPr="00E31246" w:rsidRDefault="002E6693" w:rsidP="00783E62">
      <w:pPr>
        <w:spacing w:line="259" w:lineRule="auto"/>
        <w:jc w:val="both"/>
        <w:rPr>
          <w:rFonts w:asciiTheme="minorHAnsi" w:eastAsiaTheme="minorEastAsia" w:hAnsiTheme="minorHAnsi" w:cstheme="minorBidi"/>
        </w:rPr>
      </w:pPr>
      <w:r w:rsidRPr="00E31246">
        <w:rPr>
          <w:rFonts w:asciiTheme="minorHAnsi" w:eastAsiaTheme="minorEastAsia" w:hAnsiTheme="minorHAnsi" w:cstheme="minorBidi"/>
        </w:rPr>
        <w:t>The</w:t>
      </w:r>
      <w:r w:rsidR="00124F06" w:rsidRPr="00E31246">
        <w:rPr>
          <w:rFonts w:asciiTheme="minorHAnsi" w:eastAsiaTheme="minorEastAsia" w:hAnsiTheme="minorHAnsi" w:cstheme="minorBidi"/>
        </w:rPr>
        <w:t xml:space="preserve"> </w:t>
      </w:r>
      <w:r w:rsidR="004961EF" w:rsidRPr="00E31246">
        <w:rPr>
          <w:rFonts w:asciiTheme="minorHAnsi" w:eastAsiaTheme="minorEastAsia" w:hAnsiTheme="minorHAnsi" w:cstheme="minorBidi"/>
        </w:rPr>
        <w:t>PP</w:t>
      </w:r>
      <w:r w:rsidR="00512A3D" w:rsidRPr="00E31246">
        <w:rPr>
          <w:rFonts w:asciiTheme="minorHAnsi" w:eastAsiaTheme="minorEastAsia" w:hAnsiTheme="minorHAnsi" w:cstheme="minorBidi"/>
        </w:rPr>
        <w:t xml:space="preserve"> or the Council </w:t>
      </w:r>
      <w:r w:rsidRPr="00E31246">
        <w:rPr>
          <w:rFonts w:asciiTheme="minorHAnsi" w:eastAsiaTheme="minorEastAsia" w:hAnsiTheme="minorHAnsi" w:cstheme="minorBidi"/>
        </w:rPr>
        <w:t>selects</w:t>
      </w:r>
      <w:r w:rsidR="002A45ED" w:rsidRPr="00E31246">
        <w:rPr>
          <w:rFonts w:asciiTheme="minorHAnsi" w:eastAsiaTheme="minorEastAsia" w:hAnsiTheme="minorHAnsi" w:cstheme="minorBidi"/>
        </w:rPr>
        <w:t xml:space="preserve"> the host country </w:t>
      </w:r>
      <w:r w:rsidR="00512A3D" w:rsidRPr="00E31246">
        <w:rPr>
          <w:rFonts w:asciiTheme="minorHAnsi" w:eastAsiaTheme="minorEastAsia" w:hAnsiTheme="minorHAnsi" w:cstheme="minorBidi"/>
        </w:rPr>
        <w:t>based on the due diligence report</w:t>
      </w:r>
      <w:r w:rsidR="00FB37B2" w:rsidRPr="00E31246">
        <w:rPr>
          <w:rFonts w:asciiTheme="minorHAnsi" w:eastAsiaTheme="minorEastAsia" w:hAnsiTheme="minorHAnsi" w:cstheme="minorBidi"/>
        </w:rPr>
        <w:t xml:space="preserve"> and</w:t>
      </w:r>
      <w:r w:rsidR="00512A3D" w:rsidRPr="00E31246">
        <w:rPr>
          <w:rFonts w:asciiTheme="minorHAnsi" w:eastAsiaTheme="minorEastAsia" w:hAnsiTheme="minorHAnsi" w:cstheme="minorBidi"/>
        </w:rPr>
        <w:t xml:space="preserve"> </w:t>
      </w:r>
      <w:proofErr w:type="gramStart"/>
      <w:r w:rsidR="00512A3D" w:rsidRPr="00E31246">
        <w:rPr>
          <w:rFonts w:asciiTheme="minorHAnsi" w:eastAsiaTheme="minorEastAsia" w:hAnsiTheme="minorHAnsi" w:cstheme="minorBidi"/>
        </w:rPr>
        <w:t>taking into account</w:t>
      </w:r>
      <w:proofErr w:type="gramEnd"/>
      <w:r w:rsidR="00512A3D" w:rsidRPr="00E31246">
        <w:rPr>
          <w:rFonts w:asciiTheme="minorHAnsi" w:eastAsiaTheme="minorEastAsia" w:hAnsiTheme="minorHAnsi" w:cstheme="minorBidi"/>
        </w:rPr>
        <w:t xml:space="preserve"> the principle of geographic rotation where possible. If </w:t>
      </w:r>
      <w:r w:rsidR="00B564F1" w:rsidRPr="00E31246">
        <w:rPr>
          <w:rFonts w:asciiTheme="minorHAnsi" w:eastAsiaTheme="minorEastAsia" w:hAnsiTheme="minorHAnsi" w:cstheme="minorBidi"/>
        </w:rPr>
        <w:t xml:space="preserve">the </w:t>
      </w:r>
      <w:r w:rsidR="00512A3D" w:rsidRPr="00E31246">
        <w:rPr>
          <w:rFonts w:asciiTheme="minorHAnsi" w:eastAsiaTheme="minorEastAsia" w:hAnsiTheme="minorHAnsi" w:cstheme="minorBidi"/>
        </w:rPr>
        <w:t xml:space="preserve">Council </w:t>
      </w:r>
      <w:r w:rsidR="00171D16" w:rsidRPr="00E31246">
        <w:rPr>
          <w:rFonts w:asciiTheme="minorHAnsi" w:eastAsiaTheme="minorEastAsia" w:hAnsiTheme="minorHAnsi" w:cstheme="minorBidi"/>
        </w:rPr>
        <w:t xml:space="preserve">makes the selection, the </w:t>
      </w:r>
      <w:r w:rsidR="00827AB1" w:rsidRPr="00E31246">
        <w:rPr>
          <w:rFonts w:asciiTheme="minorHAnsi" w:eastAsiaTheme="minorEastAsia" w:hAnsiTheme="minorHAnsi" w:cstheme="minorBidi"/>
        </w:rPr>
        <w:t xml:space="preserve">agreement of </w:t>
      </w:r>
      <w:proofErr w:type="gramStart"/>
      <w:r w:rsidR="00827AB1" w:rsidRPr="00E31246">
        <w:rPr>
          <w:rFonts w:asciiTheme="minorHAnsi" w:eastAsiaTheme="minorEastAsia" w:hAnsiTheme="minorHAnsi" w:cstheme="minorBidi"/>
        </w:rPr>
        <w:t>the majority of</w:t>
      </w:r>
      <w:proofErr w:type="gramEnd"/>
      <w:r w:rsidR="00827AB1" w:rsidRPr="00E31246">
        <w:rPr>
          <w:rFonts w:asciiTheme="minorHAnsi" w:eastAsiaTheme="minorEastAsia" w:hAnsiTheme="minorHAnsi" w:cstheme="minorBidi"/>
        </w:rPr>
        <w:t xml:space="preserve"> the Member States of the Union is requested by correspondence </w:t>
      </w:r>
      <w:r w:rsidR="010982A7" w:rsidRPr="00E31246">
        <w:rPr>
          <w:rFonts w:asciiTheme="minorHAnsi" w:eastAsiaTheme="minorEastAsia" w:hAnsiTheme="minorHAnsi" w:cstheme="minorBidi"/>
        </w:rPr>
        <w:t>through the</w:t>
      </w:r>
      <w:r w:rsidR="00827AB1" w:rsidRPr="00E31246">
        <w:rPr>
          <w:rFonts w:asciiTheme="minorHAnsi" w:eastAsiaTheme="minorEastAsia" w:hAnsiTheme="minorHAnsi" w:cstheme="minorBidi"/>
        </w:rPr>
        <w:t xml:space="preserve"> Circular Letter. The </w:t>
      </w:r>
      <w:r w:rsidR="000C6A18" w:rsidRPr="00E31246">
        <w:rPr>
          <w:rFonts w:asciiTheme="minorHAnsi" w:eastAsiaTheme="minorEastAsia" w:hAnsiTheme="minorHAnsi" w:cstheme="minorBidi"/>
        </w:rPr>
        <w:t xml:space="preserve">selected host is </w:t>
      </w:r>
      <w:r w:rsidR="002534AB" w:rsidRPr="00E31246">
        <w:rPr>
          <w:rFonts w:asciiTheme="minorHAnsi" w:eastAsiaTheme="minorEastAsia" w:hAnsiTheme="minorHAnsi" w:cstheme="minorBidi"/>
        </w:rPr>
        <w:t xml:space="preserve">announced </w:t>
      </w:r>
      <w:r w:rsidR="00EA185D" w:rsidRPr="00E31246">
        <w:rPr>
          <w:rFonts w:asciiTheme="minorHAnsi" w:eastAsiaTheme="minorEastAsia" w:hAnsiTheme="minorHAnsi" w:cstheme="minorBidi"/>
        </w:rPr>
        <w:t>in a revision of Resolution 77 (</w:t>
      </w:r>
      <w:r w:rsidR="00DD664A" w:rsidRPr="00E31246">
        <w:rPr>
          <w:rFonts w:asciiTheme="minorHAnsi" w:eastAsiaTheme="minorEastAsia" w:hAnsiTheme="minorHAnsi" w:cstheme="minorBidi"/>
        </w:rPr>
        <w:t>if</w:t>
      </w:r>
      <w:r w:rsidR="00EA185D" w:rsidRPr="00E31246">
        <w:rPr>
          <w:rFonts w:asciiTheme="minorHAnsi" w:eastAsiaTheme="minorEastAsia" w:hAnsiTheme="minorHAnsi" w:cstheme="minorBidi"/>
        </w:rPr>
        <w:t xml:space="preserve"> at PP) or via Council Decision</w:t>
      </w:r>
      <w:r w:rsidR="00AE391A" w:rsidRPr="00E31246">
        <w:rPr>
          <w:rFonts w:asciiTheme="minorHAnsi" w:eastAsiaTheme="minorEastAsia" w:hAnsiTheme="minorHAnsi" w:cstheme="minorBidi"/>
        </w:rPr>
        <w:t xml:space="preserve"> and, following confirmation from </w:t>
      </w:r>
      <w:proofErr w:type="gramStart"/>
      <w:r w:rsidR="00AE391A" w:rsidRPr="00E31246">
        <w:rPr>
          <w:rFonts w:asciiTheme="minorHAnsi" w:eastAsiaTheme="minorEastAsia" w:hAnsiTheme="minorHAnsi" w:cstheme="minorBidi"/>
        </w:rPr>
        <w:t>the majority of</w:t>
      </w:r>
      <w:proofErr w:type="gramEnd"/>
      <w:r w:rsidR="00AE391A" w:rsidRPr="00E31246">
        <w:rPr>
          <w:rFonts w:asciiTheme="minorHAnsi" w:eastAsiaTheme="minorEastAsia" w:hAnsiTheme="minorHAnsi" w:cstheme="minorBidi"/>
        </w:rPr>
        <w:t xml:space="preserve"> member states, </w:t>
      </w:r>
      <w:r w:rsidR="00134D89" w:rsidRPr="00E31246">
        <w:rPr>
          <w:rFonts w:asciiTheme="minorHAnsi" w:eastAsiaTheme="minorEastAsia" w:hAnsiTheme="minorHAnsi" w:cstheme="minorBidi"/>
        </w:rPr>
        <w:t>b</w:t>
      </w:r>
      <w:r w:rsidR="00A02F88" w:rsidRPr="00E31246">
        <w:rPr>
          <w:rFonts w:asciiTheme="minorHAnsi" w:eastAsiaTheme="minorEastAsia" w:hAnsiTheme="minorHAnsi" w:cstheme="minorBidi"/>
        </w:rPr>
        <w:t>y</w:t>
      </w:r>
      <w:r w:rsidR="00AB5F61" w:rsidRPr="00E31246">
        <w:rPr>
          <w:rFonts w:asciiTheme="minorHAnsi" w:eastAsiaTheme="minorEastAsia" w:hAnsiTheme="minorHAnsi" w:cstheme="minorBidi"/>
        </w:rPr>
        <w:t xml:space="preserve"> Circular Letter</w:t>
      </w:r>
      <w:r w:rsidR="00AE391A" w:rsidRPr="00E31246">
        <w:rPr>
          <w:rFonts w:asciiTheme="minorHAnsi" w:eastAsiaTheme="minorEastAsia" w:hAnsiTheme="minorHAnsi" w:cstheme="minorBidi"/>
        </w:rPr>
        <w:t xml:space="preserve"> (if at Council). The</w:t>
      </w:r>
      <w:r w:rsidR="00AB5F61" w:rsidRPr="00E31246">
        <w:rPr>
          <w:rFonts w:asciiTheme="minorHAnsi" w:eastAsiaTheme="minorEastAsia" w:hAnsiTheme="minorHAnsi" w:cstheme="minorBidi"/>
        </w:rPr>
        <w:t xml:space="preserve"> relevant document is </w:t>
      </w:r>
      <w:r w:rsidR="00AE391A" w:rsidRPr="00E31246">
        <w:rPr>
          <w:rFonts w:asciiTheme="minorHAnsi" w:eastAsiaTheme="minorEastAsia" w:hAnsiTheme="minorHAnsi" w:cstheme="minorBidi"/>
        </w:rPr>
        <w:t xml:space="preserve">then </w:t>
      </w:r>
      <w:r w:rsidR="00AB5F61" w:rsidRPr="00E31246">
        <w:rPr>
          <w:rFonts w:asciiTheme="minorHAnsi" w:eastAsiaTheme="minorEastAsia" w:hAnsiTheme="minorHAnsi" w:cstheme="minorBidi"/>
        </w:rPr>
        <w:t>posted on the web portal.</w:t>
      </w:r>
    </w:p>
    <w:p w14:paraId="1B27EF78" w14:textId="50E32A9A" w:rsidR="000553A4" w:rsidRPr="00E31246" w:rsidRDefault="003C10AA" w:rsidP="001174EB">
      <w:pPr>
        <w:pStyle w:val="Headingb"/>
        <w:rPr>
          <w:rFonts w:eastAsiaTheme="minorEastAsia"/>
        </w:rPr>
      </w:pPr>
      <w:r w:rsidRPr="00E31246">
        <w:rPr>
          <w:rFonts w:eastAsiaTheme="minorEastAsia"/>
        </w:rPr>
        <w:t>5</w:t>
      </w:r>
      <w:r w:rsidRPr="00E31246">
        <w:rPr>
          <w:rFonts w:eastAsiaTheme="minorEastAsia"/>
        </w:rPr>
        <w:tab/>
      </w:r>
      <w:r w:rsidR="000C6A18" w:rsidRPr="00E31246">
        <w:rPr>
          <w:rFonts w:eastAsiaTheme="minorEastAsia"/>
        </w:rPr>
        <w:t>Finalization of the host country agreement</w:t>
      </w:r>
    </w:p>
    <w:p w14:paraId="661A952D" w14:textId="07275304" w:rsidR="000553A4" w:rsidRPr="00E31246" w:rsidRDefault="000C6A18" w:rsidP="00EC128A">
      <w:pPr>
        <w:jc w:val="both"/>
        <w:rPr>
          <w:rFonts w:asciiTheme="minorHAnsi" w:eastAsiaTheme="minorEastAsia" w:hAnsiTheme="minorHAnsi" w:cstheme="minorBidi"/>
        </w:rPr>
      </w:pPr>
      <w:r w:rsidRPr="00E31246">
        <w:rPr>
          <w:rFonts w:asciiTheme="minorHAnsi" w:eastAsiaTheme="minorEastAsia" w:hAnsiTheme="minorHAnsi" w:cstheme="minorBidi"/>
        </w:rPr>
        <w:t>The d</w:t>
      </w:r>
      <w:r w:rsidR="000553A4" w:rsidRPr="00E31246">
        <w:rPr>
          <w:rFonts w:asciiTheme="minorHAnsi" w:eastAsiaTheme="minorEastAsia" w:hAnsiTheme="minorHAnsi" w:cstheme="minorBidi"/>
        </w:rPr>
        <w:t xml:space="preserve">raft host country agreement </w:t>
      </w:r>
      <w:r w:rsidRPr="00E31246">
        <w:rPr>
          <w:rFonts w:asciiTheme="minorHAnsi" w:eastAsiaTheme="minorEastAsia" w:hAnsiTheme="minorHAnsi" w:cstheme="minorBidi"/>
        </w:rPr>
        <w:t>is</w:t>
      </w:r>
      <w:r w:rsidR="000553A4" w:rsidRPr="00E31246">
        <w:rPr>
          <w:rFonts w:asciiTheme="minorHAnsi" w:eastAsiaTheme="minorEastAsia" w:hAnsiTheme="minorHAnsi" w:cstheme="minorBidi"/>
        </w:rPr>
        <w:t xml:space="preserve"> shared with inviting</w:t>
      </w:r>
      <w:r w:rsidR="008726C3" w:rsidRPr="00E31246">
        <w:rPr>
          <w:rFonts w:asciiTheme="minorHAnsi" w:eastAsiaTheme="minorEastAsia" w:hAnsiTheme="minorHAnsi" w:cstheme="minorBidi"/>
        </w:rPr>
        <w:t xml:space="preserve"> </w:t>
      </w:r>
      <w:r w:rsidR="000553A4" w:rsidRPr="00E31246">
        <w:rPr>
          <w:rFonts w:asciiTheme="minorHAnsi" w:eastAsiaTheme="minorEastAsia" w:hAnsiTheme="minorHAnsi" w:cstheme="minorBidi"/>
        </w:rPr>
        <w:t xml:space="preserve">government </w:t>
      </w:r>
      <w:r w:rsidR="00FD01A5" w:rsidRPr="00E31246">
        <w:rPr>
          <w:rFonts w:asciiTheme="minorHAnsi" w:eastAsiaTheme="minorEastAsia" w:hAnsiTheme="minorHAnsi" w:cstheme="minorBidi"/>
        </w:rPr>
        <w:t>preferably</w:t>
      </w:r>
      <w:r w:rsidR="000553A4" w:rsidRPr="00E31246">
        <w:rPr>
          <w:rFonts w:asciiTheme="minorHAnsi" w:eastAsiaTheme="minorEastAsia" w:hAnsiTheme="minorHAnsi" w:cstheme="minorBidi"/>
        </w:rPr>
        <w:t xml:space="preserve"> two (2) years before the proposed date of the conference.</w:t>
      </w:r>
      <w:r w:rsidRPr="00E31246">
        <w:rPr>
          <w:rFonts w:asciiTheme="minorHAnsi" w:eastAsiaTheme="minorEastAsia" w:hAnsiTheme="minorHAnsi" w:cstheme="minorBidi"/>
        </w:rPr>
        <w:t xml:space="preserve"> A joint organizing committee comprising the secretariat and the host is established and meets regular to ensure the venue plan is defined according to requirements and IT requirements are met; to plan security, protocol and media and communications strategies; and to finalize the HCA. </w:t>
      </w:r>
    </w:p>
    <w:p w14:paraId="52FD2B02" w14:textId="719A209C" w:rsidR="20FACAE8" w:rsidRPr="00E31246" w:rsidRDefault="003C10AA" w:rsidP="005C2116">
      <w:pPr>
        <w:pStyle w:val="Headingb"/>
        <w:rPr>
          <w:rFonts w:eastAsiaTheme="minorEastAsia"/>
        </w:rPr>
      </w:pPr>
      <w:r w:rsidRPr="00E31246">
        <w:rPr>
          <w:rFonts w:eastAsiaTheme="minorEastAsia"/>
        </w:rPr>
        <w:lastRenderedPageBreak/>
        <w:t>6</w:t>
      </w:r>
      <w:r w:rsidRPr="00E31246">
        <w:rPr>
          <w:rFonts w:eastAsiaTheme="minorEastAsia"/>
        </w:rPr>
        <w:tab/>
      </w:r>
      <w:r w:rsidR="20FACAE8" w:rsidRPr="00E31246">
        <w:rPr>
          <w:rFonts w:eastAsiaTheme="minorEastAsia"/>
        </w:rPr>
        <w:t>Signature of the host country agreement</w:t>
      </w:r>
    </w:p>
    <w:p w14:paraId="2E0D95DB" w14:textId="66DF9EA3" w:rsidR="000553A4" w:rsidRPr="00E31246" w:rsidRDefault="00DC0A73" w:rsidP="00EC128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The HCA is signed by ITU and the host country preferably one year before the start of the conference. </w:t>
      </w:r>
      <w:r w:rsidR="009243CD" w:rsidRPr="00E31246">
        <w:rPr>
          <w:rFonts w:asciiTheme="minorHAnsi" w:eastAsiaTheme="minorEastAsia" w:hAnsiTheme="minorHAnsi" w:cstheme="minorBidi"/>
        </w:rPr>
        <w:t xml:space="preserve">The final signed HCA is published as </w:t>
      </w:r>
      <w:r w:rsidR="00B608A1" w:rsidRPr="00E31246">
        <w:rPr>
          <w:rFonts w:asciiTheme="minorHAnsi" w:eastAsiaTheme="minorEastAsia" w:hAnsiTheme="minorHAnsi" w:cstheme="minorBidi"/>
        </w:rPr>
        <w:t>a</w:t>
      </w:r>
      <w:r w:rsidR="009243CD" w:rsidRPr="00E31246">
        <w:rPr>
          <w:rFonts w:asciiTheme="minorHAnsi" w:eastAsiaTheme="minorEastAsia" w:hAnsiTheme="minorHAnsi" w:cstheme="minorBidi"/>
        </w:rPr>
        <w:t xml:space="preserve"> conference document at the latest at the PP or Council preceding the start of the conference. The signed HCA is also made available on the Host Country Web Portal.</w:t>
      </w:r>
    </w:p>
    <w:p w14:paraId="7437FE8C" w14:textId="0B803069" w:rsidR="008C7F3F" w:rsidRPr="00E31246" w:rsidRDefault="008C7F3F" w:rsidP="002343A9">
      <w:pPr>
        <w:pStyle w:val="Headingb"/>
        <w:rPr>
          <w:rFonts w:eastAsiaTheme="minorEastAsia"/>
        </w:rPr>
      </w:pPr>
      <w:r w:rsidRPr="00E31246">
        <w:rPr>
          <w:rFonts w:eastAsiaTheme="minorEastAsia"/>
        </w:rPr>
        <w:t>Generic cost of hosting</w:t>
      </w:r>
    </w:p>
    <w:p w14:paraId="2332FFDB" w14:textId="77777777" w:rsidR="001D26AF" w:rsidRPr="00E31246" w:rsidRDefault="001D26AF" w:rsidP="008726C3">
      <w:pPr>
        <w:pStyle w:val="Headingi"/>
        <w:rPr>
          <w:rFonts w:eastAsiaTheme="minorEastAsia"/>
        </w:rPr>
      </w:pPr>
      <w:r w:rsidRPr="00E31246">
        <w:rPr>
          <w:rFonts w:eastAsiaTheme="minorEastAsia"/>
        </w:rPr>
        <w:t>Primary costs</w:t>
      </w:r>
    </w:p>
    <w:p w14:paraId="768E46E7" w14:textId="4B21906C" w:rsidR="001D26AF" w:rsidRPr="00E31246" w:rsidRDefault="001D26AF" w:rsidP="18225E4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The primary costs of hosting a conference or assembly are managed by the host country itself and include conference facilities rental, infrastructure, transport, local staffing, and all additional requirements outlined in the </w:t>
      </w:r>
      <w:r w:rsidR="26C170E4" w:rsidRPr="00E31246">
        <w:rPr>
          <w:rFonts w:asciiTheme="minorHAnsi" w:eastAsiaTheme="minorEastAsia" w:hAnsiTheme="minorHAnsi" w:cstheme="minorBidi"/>
        </w:rPr>
        <w:t xml:space="preserve">HCA, including its </w:t>
      </w:r>
      <w:r w:rsidRPr="00E31246">
        <w:rPr>
          <w:rFonts w:asciiTheme="minorHAnsi" w:eastAsiaTheme="minorEastAsia" w:hAnsiTheme="minorHAnsi" w:cstheme="minorBidi"/>
        </w:rPr>
        <w:t>annexes. This cost may vary considerably dependent on the specific event, as it is contingent upon the host country and its venue, organization, staffing, and service providers, and may be differently accounted for by each Member State administration.</w:t>
      </w:r>
    </w:p>
    <w:p w14:paraId="27AF5AA0" w14:textId="118140C2" w:rsidR="00DD17B4" w:rsidRPr="00E31246" w:rsidRDefault="00DD17B4" w:rsidP="18225E4A">
      <w:pPr>
        <w:pStyle w:val="Headingi"/>
        <w:rPr>
          <w:rFonts w:eastAsiaTheme="minorEastAsia"/>
        </w:rPr>
      </w:pPr>
      <w:r w:rsidRPr="00E31246">
        <w:rPr>
          <w:rFonts w:eastAsiaTheme="minorEastAsia"/>
        </w:rPr>
        <w:t xml:space="preserve">Direct </w:t>
      </w:r>
      <w:r w:rsidR="025845AC" w:rsidRPr="00E31246">
        <w:rPr>
          <w:rFonts w:eastAsiaTheme="minorEastAsia"/>
        </w:rPr>
        <w:t xml:space="preserve">ITU </w:t>
      </w:r>
      <w:r w:rsidRPr="00E31246">
        <w:rPr>
          <w:rFonts w:eastAsiaTheme="minorEastAsia"/>
        </w:rPr>
        <w:t>financial requirements</w:t>
      </w:r>
    </w:p>
    <w:p w14:paraId="5E0AF35F" w14:textId="0F481911" w:rsidR="0032170E" w:rsidRPr="00E31246" w:rsidRDefault="0003671A" w:rsidP="18225E4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In addition, </w:t>
      </w:r>
      <w:r w:rsidR="1C9785BC" w:rsidRPr="00E31246">
        <w:rPr>
          <w:rFonts w:asciiTheme="minorHAnsi" w:eastAsiaTheme="minorEastAsia" w:hAnsiTheme="minorHAnsi" w:cstheme="minorBidi"/>
        </w:rPr>
        <w:t xml:space="preserve">Annex 1 of the HCA details the direct </w:t>
      </w:r>
      <w:r w:rsidR="31CADCDF" w:rsidRPr="00E31246">
        <w:rPr>
          <w:rFonts w:asciiTheme="minorHAnsi" w:eastAsiaTheme="minorEastAsia" w:hAnsiTheme="minorHAnsi" w:cstheme="minorBidi"/>
        </w:rPr>
        <w:t xml:space="preserve">ITU </w:t>
      </w:r>
      <w:r w:rsidR="1C9785BC" w:rsidRPr="00E31246">
        <w:rPr>
          <w:rFonts w:asciiTheme="minorHAnsi" w:eastAsiaTheme="minorEastAsia" w:hAnsiTheme="minorHAnsi" w:cstheme="minorBidi"/>
        </w:rPr>
        <w:t>financial requirements of</w:t>
      </w:r>
      <w:r w:rsidR="007B26BD" w:rsidRPr="00E31246">
        <w:rPr>
          <w:rFonts w:asciiTheme="minorHAnsi" w:eastAsiaTheme="minorEastAsia" w:hAnsiTheme="minorHAnsi" w:cstheme="minorBidi"/>
        </w:rPr>
        <w:t xml:space="preserve"> hosting a conference or assembly</w:t>
      </w:r>
      <w:r w:rsidR="663AADD7" w:rsidRPr="00E31246">
        <w:rPr>
          <w:rFonts w:asciiTheme="minorHAnsi" w:eastAsiaTheme="minorEastAsia" w:hAnsiTheme="minorHAnsi" w:cstheme="minorBidi"/>
        </w:rPr>
        <w:t>, representing ITU’s additional costs of holding an event in Geneva,</w:t>
      </w:r>
      <w:r w:rsidR="7D81E1A6" w:rsidRPr="00E31246">
        <w:rPr>
          <w:rFonts w:asciiTheme="minorHAnsi" w:eastAsiaTheme="minorEastAsia" w:hAnsiTheme="minorHAnsi" w:cstheme="minorBidi"/>
        </w:rPr>
        <w:t xml:space="preserve"> </w:t>
      </w:r>
      <w:r w:rsidR="18862523" w:rsidRPr="00E31246">
        <w:rPr>
          <w:rFonts w:asciiTheme="minorHAnsi" w:eastAsiaTheme="minorEastAsia" w:hAnsiTheme="minorHAnsi" w:cstheme="minorBidi"/>
        </w:rPr>
        <w:t>that the host is expected to reimburse the ITU</w:t>
      </w:r>
      <w:r w:rsidR="28E11074" w:rsidRPr="00E31246">
        <w:rPr>
          <w:rFonts w:asciiTheme="minorHAnsi" w:eastAsiaTheme="minorEastAsia" w:hAnsiTheme="minorHAnsi" w:cstheme="minorBidi"/>
        </w:rPr>
        <w:t xml:space="preserve"> under PP Resolution 5 (Kyoto, 1994)</w:t>
      </w:r>
      <w:r w:rsidR="18862523" w:rsidRPr="00E31246">
        <w:rPr>
          <w:rFonts w:asciiTheme="minorHAnsi" w:eastAsiaTheme="minorEastAsia" w:hAnsiTheme="minorHAnsi" w:cstheme="minorBidi"/>
        </w:rPr>
        <w:t xml:space="preserve">. </w:t>
      </w:r>
    </w:p>
    <w:p w14:paraId="3CF38F3F" w14:textId="69EFCB51" w:rsidR="0032170E" w:rsidRPr="00E31246" w:rsidRDefault="714E837A" w:rsidP="00EC128A">
      <w:pPr>
        <w:jc w:val="both"/>
        <w:rPr>
          <w:rFonts w:asciiTheme="minorHAnsi" w:eastAsiaTheme="minorEastAsia" w:hAnsiTheme="minorHAnsi" w:cstheme="minorBidi"/>
        </w:rPr>
      </w:pPr>
      <w:r w:rsidRPr="00E31246">
        <w:rPr>
          <w:rFonts w:asciiTheme="minorHAnsi" w:eastAsiaTheme="minorEastAsia" w:hAnsiTheme="minorHAnsi" w:cstheme="minorBidi"/>
        </w:rPr>
        <w:t>These costs</w:t>
      </w:r>
      <w:r w:rsidR="00405698" w:rsidRPr="00E31246">
        <w:rPr>
          <w:rFonts w:asciiTheme="minorHAnsi" w:eastAsiaTheme="minorEastAsia" w:hAnsiTheme="minorHAnsi" w:cstheme="minorBidi"/>
        </w:rPr>
        <w:t xml:space="preserve"> relate</w:t>
      </w:r>
      <w:r w:rsidR="004671E5" w:rsidRPr="00E31246">
        <w:rPr>
          <w:rFonts w:asciiTheme="minorHAnsi" w:eastAsiaTheme="minorEastAsia" w:hAnsiTheme="minorHAnsi" w:cstheme="minorBidi"/>
        </w:rPr>
        <w:t xml:space="preserve"> to ITU staff travel and daily subsistence allowance</w:t>
      </w:r>
      <w:r w:rsidR="5FDBC8C8" w:rsidRPr="00E31246">
        <w:rPr>
          <w:rFonts w:asciiTheme="minorHAnsi" w:eastAsiaTheme="minorEastAsia" w:hAnsiTheme="minorHAnsi" w:cstheme="minorBidi"/>
        </w:rPr>
        <w:t xml:space="preserve"> and vary</w:t>
      </w:r>
      <w:r w:rsidR="004671E5" w:rsidRPr="00E31246">
        <w:rPr>
          <w:rFonts w:asciiTheme="minorHAnsi" w:eastAsiaTheme="minorEastAsia" w:hAnsiTheme="minorHAnsi" w:cstheme="minorBidi"/>
        </w:rPr>
        <w:t xml:space="preserve"> considerably dependent on the size and nature of the specific conference or assembly, the distance from Geneva and the cost of </w:t>
      </w:r>
      <w:r w:rsidR="00F54357" w:rsidRPr="00E31246">
        <w:rPr>
          <w:rFonts w:asciiTheme="minorHAnsi" w:eastAsiaTheme="minorEastAsia" w:hAnsiTheme="minorHAnsi" w:cstheme="minorBidi"/>
        </w:rPr>
        <w:t xml:space="preserve">airfare, and </w:t>
      </w:r>
      <w:r w:rsidR="004671E5" w:rsidRPr="00E31246">
        <w:rPr>
          <w:rFonts w:asciiTheme="minorHAnsi" w:eastAsiaTheme="minorEastAsia" w:hAnsiTheme="minorHAnsi" w:cstheme="minorBidi"/>
        </w:rPr>
        <w:t>accommodation within the host city.</w:t>
      </w:r>
      <w:r w:rsidR="00760CF7" w:rsidRPr="00E31246">
        <w:rPr>
          <w:rFonts w:asciiTheme="minorHAnsi" w:eastAsiaTheme="minorEastAsia" w:hAnsiTheme="minorHAnsi" w:cstheme="minorBidi"/>
        </w:rPr>
        <w:t xml:space="preserve"> Additional </w:t>
      </w:r>
      <w:r w:rsidR="0008582F" w:rsidRPr="00E31246">
        <w:rPr>
          <w:rFonts w:asciiTheme="minorHAnsi" w:eastAsiaTheme="minorEastAsia" w:hAnsiTheme="minorHAnsi" w:cstheme="minorBidi"/>
        </w:rPr>
        <w:t>expenses</w:t>
      </w:r>
      <w:r w:rsidR="00760CF7" w:rsidRPr="00E31246">
        <w:rPr>
          <w:rFonts w:asciiTheme="minorHAnsi" w:eastAsiaTheme="minorEastAsia" w:hAnsiTheme="minorHAnsi" w:cstheme="minorBidi"/>
        </w:rPr>
        <w:t xml:space="preserve"> are related to the </w:t>
      </w:r>
      <w:r w:rsidR="0008582F" w:rsidRPr="00E31246">
        <w:rPr>
          <w:rFonts w:asciiTheme="minorHAnsi" w:eastAsiaTheme="minorEastAsia" w:hAnsiTheme="minorHAnsi" w:cstheme="minorBidi"/>
        </w:rPr>
        <w:t>transport and dispatch of equipment and materials</w:t>
      </w:r>
      <w:r w:rsidR="55ED06AF" w:rsidRPr="00E31246">
        <w:rPr>
          <w:rFonts w:asciiTheme="minorHAnsi" w:eastAsiaTheme="minorEastAsia" w:hAnsiTheme="minorHAnsi" w:cstheme="minorBidi"/>
        </w:rPr>
        <w:t xml:space="preserve">, </w:t>
      </w:r>
      <w:r w:rsidR="001E043E" w:rsidRPr="00E31246">
        <w:rPr>
          <w:rFonts w:asciiTheme="minorHAnsi" w:eastAsiaTheme="minorEastAsia" w:hAnsiTheme="minorHAnsi" w:cstheme="minorBidi"/>
        </w:rPr>
        <w:t>a</w:t>
      </w:r>
      <w:r w:rsidR="328CCD0B" w:rsidRPr="00E31246">
        <w:rPr>
          <w:rFonts w:asciiTheme="minorHAnsi" w:eastAsiaTheme="minorEastAsia" w:hAnsiTheme="minorHAnsi" w:cstheme="minorBidi"/>
        </w:rPr>
        <w:t>s well as</w:t>
      </w:r>
      <w:r w:rsidR="001E043E" w:rsidRPr="00E31246">
        <w:rPr>
          <w:rFonts w:asciiTheme="minorHAnsi" w:eastAsiaTheme="minorEastAsia" w:hAnsiTheme="minorHAnsi" w:cstheme="minorBidi"/>
        </w:rPr>
        <w:t xml:space="preserve"> </w:t>
      </w:r>
      <w:r w:rsidR="006A625A" w:rsidRPr="00E31246">
        <w:rPr>
          <w:rFonts w:asciiTheme="minorHAnsi" w:eastAsiaTheme="minorEastAsia" w:hAnsiTheme="minorHAnsi" w:cstheme="minorBidi"/>
        </w:rPr>
        <w:t xml:space="preserve">provision for </w:t>
      </w:r>
      <w:r w:rsidR="001E043E" w:rsidRPr="00E31246">
        <w:rPr>
          <w:rFonts w:asciiTheme="minorHAnsi" w:eastAsiaTheme="minorEastAsia" w:hAnsiTheme="minorHAnsi" w:cstheme="minorBidi"/>
        </w:rPr>
        <w:t>miscellaneous expenses.</w:t>
      </w:r>
    </w:p>
    <w:p w14:paraId="20092405" w14:textId="15454EE5" w:rsidR="00585FAC" w:rsidRPr="00E31246" w:rsidRDefault="004671E5" w:rsidP="00EC128A">
      <w:pPr>
        <w:jc w:val="both"/>
        <w:rPr>
          <w:rFonts w:asciiTheme="minorHAnsi" w:eastAsiaTheme="minorEastAsia" w:hAnsiTheme="minorHAnsi" w:cstheme="minorBidi"/>
        </w:rPr>
      </w:pPr>
      <w:r w:rsidRPr="00E31246">
        <w:rPr>
          <w:rFonts w:asciiTheme="minorHAnsi" w:eastAsiaTheme="minorEastAsia" w:hAnsiTheme="minorHAnsi" w:cstheme="minorBidi"/>
        </w:rPr>
        <w:t>As an indication</w:t>
      </w:r>
      <w:r w:rsidR="00405698" w:rsidRPr="00E31246">
        <w:rPr>
          <w:rFonts w:asciiTheme="minorHAnsi" w:eastAsiaTheme="minorEastAsia" w:hAnsiTheme="minorHAnsi" w:cstheme="minorBidi"/>
        </w:rPr>
        <w:t xml:space="preserve"> of</w:t>
      </w:r>
      <w:r w:rsidR="113E95A3" w:rsidRPr="00E31246">
        <w:rPr>
          <w:rFonts w:asciiTheme="minorHAnsi" w:eastAsiaTheme="minorEastAsia" w:hAnsiTheme="minorHAnsi" w:cstheme="minorBidi"/>
        </w:rPr>
        <w:t xml:space="preserve"> the</w:t>
      </w:r>
      <w:r w:rsidR="00405698" w:rsidRPr="00E31246">
        <w:rPr>
          <w:rFonts w:asciiTheme="minorHAnsi" w:eastAsiaTheme="minorEastAsia" w:hAnsiTheme="minorHAnsi" w:cstheme="minorBidi"/>
        </w:rPr>
        <w:t xml:space="preserve"> </w:t>
      </w:r>
      <w:r w:rsidR="00D04B96" w:rsidRPr="00E31246">
        <w:rPr>
          <w:rFonts w:asciiTheme="minorHAnsi" w:eastAsiaTheme="minorEastAsia" w:hAnsiTheme="minorHAnsi" w:cstheme="minorBidi"/>
        </w:rPr>
        <w:t>extent of th</w:t>
      </w:r>
      <w:r w:rsidR="005D49D3" w:rsidRPr="00E31246">
        <w:rPr>
          <w:rFonts w:asciiTheme="minorHAnsi" w:eastAsiaTheme="minorEastAsia" w:hAnsiTheme="minorHAnsi" w:cstheme="minorBidi"/>
        </w:rPr>
        <w:t>is cost, the</w:t>
      </w:r>
      <w:r w:rsidR="00405698" w:rsidRPr="00E31246">
        <w:rPr>
          <w:rFonts w:asciiTheme="minorHAnsi" w:eastAsiaTheme="minorEastAsia" w:hAnsiTheme="minorHAnsi" w:cstheme="minorBidi"/>
        </w:rPr>
        <w:t xml:space="preserve"> </w:t>
      </w:r>
      <w:r w:rsidR="2E1795AD" w:rsidRPr="00E31246">
        <w:rPr>
          <w:rFonts w:asciiTheme="minorHAnsi" w:eastAsiaTheme="minorEastAsia" w:hAnsiTheme="minorHAnsi" w:cstheme="minorBidi"/>
        </w:rPr>
        <w:t xml:space="preserve">ITU’s reimbursable </w:t>
      </w:r>
      <w:r w:rsidR="00405698" w:rsidRPr="00E31246">
        <w:rPr>
          <w:rFonts w:asciiTheme="minorHAnsi" w:eastAsiaTheme="minorEastAsia" w:hAnsiTheme="minorHAnsi" w:cstheme="minorBidi"/>
        </w:rPr>
        <w:t>expenses borne by the host country under Resolution 5 (Kyoto, 1994)</w:t>
      </w:r>
      <w:r w:rsidR="7A2ABC4D" w:rsidRPr="00E31246">
        <w:rPr>
          <w:rFonts w:asciiTheme="minorHAnsi" w:eastAsiaTheme="minorEastAsia" w:hAnsiTheme="minorHAnsi" w:cstheme="minorBidi"/>
        </w:rPr>
        <w:t>,</w:t>
      </w:r>
      <w:r w:rsidR="00405698" w:rsidRPr="00E31246">
        <w:rPr>
          <w:rFonts w:asciiTheme="minorHAnsi" w:eastAsiaTheme="minorEastAsia" w:hAnsiTheme="minorHAnsi" w:cstheme="minorBidi"/>
        </w:rPr>
        <w:t xml:space="preserve"> </w:t>
      </w:r>
      <w:r w:rsidR="7A2ABC4D" w:rsidRPr="00E31246">
        <w:rPr>
          <w:rFonts w:asciiTheme="minorHAnsi" w:eastAsiaTheme="minorEastAsia" w:hAnsiTheme="minorHAnsi" w:cstheme="minorBidi"/>
        </w:rPr>
        <w:t>as per</w:t>
      </w:r>
      <w:r w:rsidR="00405698" w:rsidRPr="00E31246">
        <w:rPr>
          <w:rFonts w:asciiTheme="minorHAnsi" w:eastAsiaTheme="minorEastAsia" w:hAnsiTheme="minorHAnsi" w:cstheme="minorBidi"/>
        </w:rPr>
        <w:t xml:space="preserve"> the most recent signed HCA</w:t>
      </w:r>
      <w:r w:rsidR="005D49D3" w:rsidRPr="00E31246">
        <w:rPr>
          <w:rFonts w:asciiTheme="minorHAnsi" w:eastAsiaTheme="minorEastAsia" w:hAnsiTheme="minorHAnsi" w:cstheme="minorBidi"/>
        </w:rPr>
        <w:t xml:space="preserve"> of each conference or assembly</w:t>
      </w:r>
      <w:r w:rsidR="3796C1C7" w:rsidRPr="00E31246">
        <w:rPr>
          <w:rFonts w:asciiTheme="minorHAnsi" w:eastAsiaTheme="minorEastAsia" w:hAnsiTheme="minorHAnsi" w:cstheme="minorBidi"/>
        </w:rPr>
        <w:t>,</w:t>
      </w:r>
      <w:r w:rsidR="00405698" w:rsidRPr="00E31246">
        <w:rPr>
          <w:rFonts w:asciiTheme="minorHAnsi" w:eastAsiaTheme="minorEastAsia" w:hAnsiTheme="minorHAnsi" w:cstheme="minorBidi"/>
        </w:rPr>
        <w:t xml:space="preserve"> are set out in the table below. </w:t>
      </w:r>
    </w:p>
    <w:p w14:paraId="35884E51" w14:textId="77777777" w:rsidR="005C2116" w:rsidRPr="00E31246" w:rsidRDefault="005C2116" w:rsidP="005C2116">
      <w:pPr>
        <w:spacing w:before="0"/>
        <w:jc w:val="both"/>
        <w:rPr>
          <w:rFonts w:asciiTheme="minorHAnsi" w:eastAsiaTheme="minorEastAsia" w:hAnsiTheme="minorHAnsi" w:cstheme="minorBidi"/>
        </w:rPr>
      </w:pPr>
    </w:p>
    <w:tbl>
      <w:tblPr>
        <w:tblStyle w:val="TableGrid"/>
        <w:tblW w:w="9198" w:type="dxa"/>
        <w:tblLook w:val="04A0" w:firstRow="1" w:lastRow="0" w:firstColumn="1" w:lastColumn="0" w:noHBand="0" w:noVBand="1"/>
      </w:tblPr>
      <w:tblGrid>
        <w:gridCol w:w="2505"/>
        <w:gridCol w:w="3030"/>
        <w:gridCol w:w="3663"/>
      </w:tblGrid>
      <w:tr w:rsidR="00585FAC" w:rsidRPr="00E31246" w14:paraId="79ADE1C8" w14:textId="77777777" w:rsidTr="66ADCF2B">
        <w:tc>
          <w:tcPr>
            <w:tcW w:w="2505" w:type="dxa"/>
          </w:tcPr>
          <w:p w14:paraId="13BF0890" w14:textId="2050D59A" w:rsidR="00585FAC" w:rsidRPr="00E31246" w:rsidRDefault="00585FAC" w:rsidP="005C2116">
            <w:pPr>
              <w:pStyle w:val="Tablehead"/>
              <w:rPr>
                <w:rFonts w:asciiTheme="minorHAnsi" w:eastAsiaTheme="minorEastAsia" w:hAnsiTheme="minorHAnsi"/>
                <w:bCs/>
              </w:rPr>
            </w:pPr>
            <w:r w:rsidRPr="00E31246">
              <w:t>Conference/assembly</w:t>
            </w:r>
          </w:p>
        </w:tc>
        <w:tc>
          <w:tcPr>
            <w:tcW w:w="3030" w:type="dxa"/>
          </w:tcPr>
          <w:p w14:paraId="22B84632" w14:textId="2CE79BEB" w:rsidR="00585FAC" w:rsidRPr="00E31246" w:rsidRDefault="00585FAC" w:rsidP="005C2116">
            <w:pPr>
              <w:pStyle w:val="Tablehead"/>
              <w:rPr>
                <w:rFonts w:asciiTheme="minorHAnsi" w:eastAsiaTheme="minorEastAsia" w:hAnsiTheme="minorHAnsi"/>
                <w:bCs/>
              </w:rPr>
            </w:pPr>
            <w:r w:rsidRPr="00E31246">
              <w:t>Host and date</w:t>
            </w:r>
          </w:p>
        </w:tc>
        <w:tc>
          <w:tcPr>
            <w:tcW w:w="3663" w:type="dxa"/>
          </w:tcPr>
          <w:p w14:paraId="1269A364" w14:textId="3153F506" w:rsidR="00585FAC" w:rsidRPr="00E31246" w:rsidRDefault="00D3393A" w:rsidP="005C2116">
            <w:pPr>
              <w:pStyle w:val="Tablehead"/>
              <w:rPr>
                <w:rFonts w:asciiTheme="minorHAnsi" w:eastAsiaTheme="minorEastAsia" w:hAnsiTheme="minorHAnsi"/>
                <w:bCs/>
              </w:rPr>
            </w:pPr>
            <w:r w:rsidRPr="00E31246">
              <w:t xml:space="preserve">Additional expenses </w:t>
            </w:r>
            <w:r w:rsidR="009A0DE8" w:rsidRPr="00E31246">
              <w:rPr>
                <w:rFonts w:asciiTheme="minorHAnsi" w:eastAsiaTheme="minorEastAsia" w:hAnsiTheme="minorHAnsi"/>
                <w:bCs/>
              </w:rPr>
              <w:t xml:space="preserve">in CHF </w:t>
            </w:r>
            <w:r w:rsidRPr="00E31246">
              <w:rPr>
                <w:rFonts w:asciiTheme="minorHAnsi" w:eastAsiaTheme="minorEastAsia" w:hAnsiTheme="minorHAnsi"/>
                <w:bCs/>
              </w:rPr>
              <w:t>under Resolution 5 (Kyoto, 1994)</w:t>
            </w:r>
            <w:r w:rsidR="009A0DE8" w:rsidRPr="00E31246">
              <w:rPr>
                <w:rFonts w:asciiTheme="minorHAnsi" w:eastAsiaTheme="minorEastAsia" w:hAnsiTheme="minorHAnsi"/>
                <w:bCs/>
              </w:rPr>
              <w:t xml:space="preserve"> </w:t>
            </w:r>
          </w:p>
        </w:tc>
      </w:tr>
      <w:tr w:rsidR="00585FAC" w:rsidRPr="00E31246" w14:paraId="67B9D68A" w14:textId="77777777" w:rsidTr="66ADCF2B">
        <w:tc>
          <w:tcPr>
            <w:tcW w:w="2505" w:type="dxa"/>
          </w:tcPr>
          <w:p w14:paraId="79249008" w14:textId="6375A6FD" w:rsidR="00585FAC" w:rsidRPr="00E31246" w:rsidRDefault="00585FAC" w:rsidP="005C2116">
            <w:pPr>
              <w:pStyle w:val="Tabletext"/>
              <w:jc w:val="center"/>
              <w:rPr>
                <w:rFonts w:asciiTheme="minorHAnsi" w:eastAsiaTheme="minorEastAsia" w:hAnsiTheme="minorHAnsi"/>
              </w:rPr>
            </w:pPr>
            <w:r w:rsidRPr="00E31246">
              <w:rPr>
                <w:rFonts w:asciiTheme="minorHAnsi" w:eastAsiaTheme="minorEastAsia" w:hAnsiTheme="minorHAnsi"/>
              </w:rPr>
              <w:t>WTDC</w:t>
            </w:r>
          </w:p>
        </w:tc>
        <w:tc>
          <w:tcPr>
            <w:tcW w:w="3030" w:type="dxa"/>
          </w:tcPr>
          <w:p w14:paraId="0AB67FD1" w14:textId="702EDE13" w:rsidR="00585FAC" w:rsidRPr="00E31246" w:rsidRDefault="009A0DE8" w:rsidP="00141682">
            <w:pPr>
              <w:pStyle w:val="Tabletext"/>
              <w:rPr>
                <w:rFonts w:asciiTheme="minorHAnsi" w:eastAsiaTheme="minorEastAsia" w:hAnsiTheme="minorHAnsi"/>
              </w:rPr>
            </w:pPr>
            <w:r w:rsidRPr="00E31246">
              <w:rPr>
                <w:rFonts w:asciiTheme="minorHAnsi" w:eastAsiaTheme="minorEastAsia" w:hAnsiTheme="minorHAnsi"/>
              </w:rPr>
              <w:t>Azerbaijan</w:t>
            </w:r>
            <w:r w:rsidR="00D3393A" w:rsidRPr="00E31246">
              <w:rPr>
                <w:rFonts w:asciiTheme="minorHAnsi" w:eastAsiaTheme="minorEastAsia" w:hAnsiTheme="minorHAnsi"/>
              </w:rPr>
              <w:t xml:space="preserve">, </w:t>
            </w:r>
            <w:r w:rsidR="00585FAC" w:rsidRPr="00E31246">
              <w:rPr>
                <w:rFonts w:asciiTheme="minorHAnsi" w:eastAsiaTheme="minorEastAsia" w:hAnsiTheme="minorHAnsi"/>
              </w:rPr>
              <w:t>2025</w:t>
            </w:r>
          </w:p>
        </w:tc>
        <w:tc>
          <w:tcPr>
            <w:tcW w:w="3663" w:type="dxa"/>
          </w:tcPr>
          <w:p w14:paraId="1652209D" w14:textId="7CEBBDE7" w:rsidR="00585FAC" w:rsidRPr="00E31246" w:rsidRDefault="009A0DE8" w:rsidP="005C2116">
            <w:pPr>
              <w:pStyle w:val="Tabletext"/>
              <w:ind w:right="1134"/>
              <w:jc w:val="right"/>
              <w:rPr>
                <w:rFonts w:asciiTheme="minorHAnsi" w:eastAsiaTheme="minorEastAsia" w:hAnsiTheme="minorHAnsi"/>
              </w:rPr>
            </w:pPr>
            <w:r w:rsidRPr="00E31246">
              <w:rPr>
                <w:rFonts w:asciiTheme="minorHAnsi" w:eastAsiaTheme="minorEastAsia" w:hAnsiTheme="minorHAnsi"/>
              </w:rPr>
              <w:t>1 099 000</w:t>
            </w:r>
          </w:p>
        </w:tc>
      </w:tr>
      <w:tr w:rsidR="00585FAC" w:rsidRPr="00E31246" w14:paraId="108DD218" w14:textId="77777777" w:rsidTr="66ADCF2B">
        <w:tc>
          <w:tcPr>
            <w:tcW w:w="2505" w:type="dxa"/>
          </w:tcPr>
          <w:p w14:paraId="5F684C1D" w14:textId="6B88E910" w:rsidR="00585FAC" w:rsidRPr="00E31246" w:rsidRDefault="006A625A" w:rsidP="005C2116">
            <w:pPr>
              <w:pStyle w:val="Tabletext"/>
              <w:jc w:val="center"/>
              <w:rPr>
                <w:rFonts w:asciiTheme="minorHAnsi" w:eastAsiaTheme="minorEastAsia" w:hAnsiTheme="minorHAnsi"/>
              </w:rPr>
            </w:pPr>
            <w:r w:rsidRPr="00E31246">
              <w:rPr>
                <w:rFonts w:asciiTheme="minorHAnsi" w:eastAsiaTheme="minorEastAsia" w:hAnsiTheme="minorHAnsi"/>
              </w:rPr>
              <w:t>WTSA</w:t>
            </w:r>
          </w:p>
        </w:tc>
        <w:tc>
          <w:tcPr>
            <w:tcW w:w="3030" w:type="dxa"/>
          </w:tcPr>
          <w:p w14:paraId="3F3CE886" w14:textId="65440CD4" w:rsidR="00585FAC" w:rsidRPr="00E31246" w:rsidRDefault="006A625A" w:rsidP="00141682">
            <w:pPr>
              <w:pStyle w:val="Tabletext"/>
              <w:rPr>
                <w:rFonts w:asciiTheme="minorHAnsi" w:eastAsiaTheme="minorEastAsia" w:hAnsiTheme="minorHAnsi"/>
              </w:rPr>
            </w:pPr>
            <w:r w:rsidRPr="00E31246">
              <w:rPr>
                <w:rFonts w:asciiTheme="minorHAnsi" w:eastAsiaTheme="minorEastAsia" w:hAnsiTheme="minorHAnsi"/>
              </w:rPr>
              <w:t>India, 2024</w:t>
            </w:r>
          </w:p>
        </w:tc>
        <w:tc>
          <w:tcPr>
            <w:tcW w:w="3663" w:type="dxa"/>
          </w:tcPr>
          <w:p w14:paraId="1EB13D6A" w14:textId="2F4522A1" w:rsidR="00585FAC" w:rsidRPr="00E31246" w:rsidRDefault="0047157F" w:rsidP="005C2116">
            <w:pPr>
              <w:pStyle w:val="Tabletext"/>
              <w:ind w:right="1134"/>
              <w:jc w:val="right"/>
              <w:rPr>
                <w:rFonts w:asciiTheme="minorHAnsi" w:eastAsiaTheme="minorEastAsia" w:hAnsiTheme="minorHAnsi"/>
              </w:rPr>
            </w:pPr>
            <w:r w:rsidRPr="00E31246">
              <w:rPr>
                <w:rFonts w:asciiTheme="minorHAnsi" w:eastAsiaTheme="minorEastAsia" w:hAnsiTheme="minorHAnsi"/>
              </w:rPr>
              <w:t>995</w:t>
            </w:r>
            <w:r w:rsidR="006A625A" w:rsidRPr="00E31246">
              <w:rPr>
                <w:rFonts w:asciiTheme="minorHAnsi" w:eastAsiaTheme="minorEastAsia" w:hAnsiTheme="minorHAnsi"/>
              </w:rPr>
              <w:t xml:space="preserve"> 0</w:t>
            </w:r>
            <w:r w:rsidRPr="00E31246">
              <w:rPr>
                <w:rFonts w:asciiTheme="minorHAnsi" w:eastAsiaTheme="minorEastAsia" w:hAnsiTheme="minorHAnsi"/>
              </w:rPr>
              <w:t>00</w:t>
            </w:r>
          </w:p>
        </w:tc>
      </w:tr>
      <w:tr w:rsidR="00585FAC" w:rsidRPr="00E31246" w14:paraId="439B2587" w14:textId="77777777" w:rsidTr="66ADCF2B">
        <w:tc>
          <w:tcPr>
            <w:tcW w:w="2505" w:type="dxa"/>
          </w:tcPr>
          <w:p w14:paraId="2BC19A3E" w14:textId="7470687D" w:rsidR="00585FAC" w:rsidRPr="00E31246" w:rsidRDefault="006A625A" w:rsidP="005C2116">
            <w:pPr>
              <w:pStyle w:val="Tabletext"/>
              <w:jc w:val="center"/>
              <w:rPr>
                <w:rFonts w:asciiTheme="minorHAnsi" w:eastAsiaTheme="minorEastAsia" w:hAnsiTheme="minorHAnsi"/>
              </w:rPr>
            </w:pPr>
            <w:r w:rsidRPr="00E31246">
              <w:rPr>
                <w:rFonts w:asciiTheme="minorHAnsi" w:eastAsiaTheme="minorEastAsia" w:hAnsiTheme="minorHAnsi"/>
              </w:rPr>
              <w:t>WRC</w:t>
            </w:r>
          </w:p>
        </w:tc>
        <w:tc>
          <w:tcPr>
            <w:tcW w:w="3030" w:type="dxa"/>
          </w:tcPr>
          <w:p w14:paraId="3D4706DA" w14:textId="38B31798" w:rsidR="00585FAC" w:rsidRPr="00E31246" w:rsidRDefault="000A696A" w:rsidP="00141682">
            <w:pPr>
              <w:pStyle w:val="Tabletext"/>
              <w:rPr>
                <w:rFonts w:asciiTheme="minorHAnsi" w:eastAsiaTheme="minorEastAsia" w:hAnsiTheme="minorHAnsi"/>
              </w:rPr>
            </w:pPr>
            <w:r w:rsidRPr="00E31246">
              <w:rPr>
                <w:rFonts w:asciiTheme="minorHAnsi" w:eastAsiaTheme="minorEastAsia" w:hAnsiTheme="minorHAnsi"/>
              </w:rPr>
              <w:t>United Arab Emirates</w:t>
            </w:r>
            <w:r w:rsidR="006A625A" w:rsidRPr="00E31246">
              <w:rPr>
                <w:rFonts w:asciiTheme="minorHAnsi" w:eastAsiaTheme="minorEastAsia" w:hAnsiTheme="minorHAnsi"/>
              </w:rPr>
              <w:t>, 2023</w:t>
            </w:r>
          </w:p>
        </w:tc>
        <w:tc>
          <w:tcPr>
            <w:tcW w:w="3663" w:type="dxa"/>
          </w:tcPr>
          <w:p w14:paraId="68DEBA3A" w14:textId="7E2A98D5" w:rsidR="00585FAC" w:rsidRPr="00E31246" w:rsidRDefault="000A696A" w:rsidP="005C2116">
            <w:pPr>
              <w:pStyle w:val="Tabletext"/>
              <w:ind w:right="1134"/>
              <w:jc w:val="right"/>
              <w:rPr>
                <w:rFonts w:asciiTheme="minorHAnsi" w:eastAsiaTheme="minorEastAsia" w:hAnsiTheme="minorHAnsi"/>
              </w:rPr>
            </w:pPr>
            <w:r w:rsidRPr="00E31246">
              <w:t>3 587 000</w:t>
            </w:r>
          </w:p>
        </w:tc>
      </w:tr>
      <w:tr w:rsidR="00585FAC" w:rsidRPr="00E31246" w14:paraId="1E79675B" w14:textId="77777777" w:rsidTr="66ADCF2B">
        <w:tc>
          <w:tcPr>
            <w:tcW w:w="2505" w:type="dxa"/>
          </w:tcPr>
          <w:p w14:paraId="31FB7972" w14:textId="30AC201A" w:rsidR="00585FAC" w:rsidRPr="00E31246" w:rsidRDefault="006A625A" w:rsidP="005C2116">
            <w:pPr>
              <w:pStyle w:val="Tabletext"/>
              <w:jc w:val="center"/>
              <w:rPr>
                <w:rFonts w:asciiTheme="minorHAnsi" w:eastAsiaTheme="minorEastAsia" w:hAnsiTheme="minorHAnsi"/>
              </w:rPr>
            </w:pPr>
            <w:r w:rsidRPr="00E31246">
              <w:rPr>
                <w:rFonts w:asciiTheme="minorHAnsi" w:eastAsiaTheme="minorEastAsia" w:hAnsiTheme="minorHAnsi"/>
              </w:rPr>
              <w:t>PP</w:t>
            </w:r>
          </w:p>
        </w:tc>
        <w:tc>
          <w:tcPr>
            <w:tcW w:w="3030" w:type="dxa"/>
          </w:tcPr>
          <w:p w14:paraId="176ED63F" w14:textId="3C57B1FB" w:rsidR="00585FAC" w:rsidRPr="00E31246" w:rsidRDefault="006A625A" w:rsidP="00141682">
            <w:pPr>
              <w:pStyle w:val="Tabletext"/>
              <w:rPr>
                <w:rFonts w:asciiTheme="minorHAnsi" w:eastAsiaTheme="minorEastAsia" w:hAnsiTheme="minorHAnsi"/>
              </w:rPr>
            </w:pPr>
            <w:r w:rsidRPr="00E31246">
              <w:rPr>
                <w:rFonts w:asciiTheme="minorHAnsi" w:eastAsiaTheme="minorEastAsia" w:hAnsiTheme="minorHAnsi"/>
              </w:rPr>
              <w:t>Romania, 2022</w:t>
            </w:r>
          </w:p>
        </w:tc>
        <w:tc>
          <w:tcPr>
            <w:tcW w:w="3663" w:type="dxa"/>
          </w:tcPr>
          <w:p w14:paraId="121DDB79" w14:textId="002C280B" w:rsidR="00585FAC" w:rsidRPr="00E31246" w:rsidRDefault="004426DB" w:rsidP="005C2116">
            <w:pPr>
              <w:pStyle w:val="Tabletext"/>
              <w:ind w:right="1134"/>
              <w:jc w:val="right"/>
              <w:rPr>
                <w:rFonts w:asciiTheme="minorHAnsi" w:eastAsiaTheme="minorEastAsia" w:hAnsiTheme="minorHAnsi"/>
              </w:rPr>
            </w:pPr>
            <w:r w:rsidRPr="00E31246">
              <w:rPr>
                <w:rFonts w:asciiTheme="minorHAnsi" w:eastAsiaTheme="minorEastAsia" w:hAnsiTheme="minorHAnsi"/>
              </w:rPr>
              <w:t>1 271</w:t>
            </w:r>
            <w:r w:rsidR="00750937" w:rsidRPr="00E31246">
              <w:rPr>
                <w:rFonts w:asciiTheme="minorHAnsi" w:eastAsiaTheme="minorEastAsia" w:hAnsiTheme="minorHAnsi"/>
              </w:rPr>
              <w:t xml:space="preserve"> </w:t>
            </w:r>
            <w:r w:rsidRPr="00E31246">
              <w:rPr>
                <w:rFonts w:asciiTheme="minorHAnsi" w:eastAsiaTheme="minorEastAsia" w:hAnsiTheme="minorHAnsi"/>
              </w:rPr>
              <w:t>700</w:t>
            </w:r>
          </w:p>
        </w:tc>
      </w:tr>
    </w:tbl>
    <w:p w14:paraId="049C0625" w14:textId="77777777" w:rsidR="005C2116" w:rsidRPr="00E31246" w:rsidRDefault="005C2116" w:rsidP="005C2116">
      <w:pPr>
        <w:pStyle w:val="Tablefin"/>
      </w:pPr>
    </w:p>
    <w:p w14:paraId="74936228" w14:textId="49315523" w:rsidR="004671E5" w:rsidRPr="00E31246" w:rsidRDefault="004671E5" w:rsidP="00EC128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The secretariat is fully committed to </w:t>
      </w:r>
      <w:r w:rsidR="00750937" w:rsidRPr="00E31246">
        <w:rPr>
          <w:rFonts w:asciiTheme="minorHAnsi" w:eastAsiaTheme="minorEastAsia" w:hAnsiTheme="minorHAnsi" w:cstheme="minorBidi"/>
        </w:rPr>
        <w:t>ongoing efforts to reduce</w:t>
      </w:r>
      <w:r w:rsidRPr="00E31246">
        <w:rPr>
          <w:rFonts w:asciiTheme="minorHAnsi" w:eastAsiaTheme="minorEastAsia" w:hAnsiTheme="minorHAnsi" w:cstheme="minorBidi"/>
        </w:rPr>
        <w:t xml:space="preserve"> the cost burden on host countries to the extent possible (Documents </w:t>
      </w:r>
      <w:hyperlink r:id="rId25">
        <w:proofErr w:type="spellStart"/>
        <w:r w:rsidR="00EF44A4" w:rsidRPr="00E31246">
          <w:rPr>
            <w:rStyle w:val="Hyperlink"/>
          </w:rPr>
          <w:t>C25</w:t>
        </w:r>
        <w:proofErr w:type="spellEnd"/>
        <w:r w:rsidR="00EF44A4" w:rsidRPr="00E31246">
          <w:rPr>
            <w:rStyle w:val="Hyperlink"/>
          </w:rPr>
          <w:t>/95</w:t>
        </w:r>
      </w:hyperlink>
      <w:r w:rsidR="00EF44A4" w:rsidRPr="00E31246">
        <w:t xml:space="preserve">, </w:t>
      </w:r>
      <w:hyperlink r:id="rId26">
        <w:r w:rsidRPr="00E31246">
          <w:rPr>
            <w:rStyle w:val="Hyperlink"/>
            <w:rFonts w:asciiTheme="minorHAnsi" w:eastAsiaTheme="minorEastAsia" w:hAnsiTheme="minorHAnsi" w:cstheme="minorBidi"/>
          </w:rPr>
          <w:t>CWG</w:t>
        </w:r>
        <w:r w:rsidR="00B4713F" w:rsidRPr="00E31246">
          <w:rPr>
            <w:rStyle w:val="Hyperlink"/>
            <w:rFonts w:asciiTheme="minorHAnsi" w:eastAsiaTheme="minorEastAsia" w:hAnsiTheme="minorHAnsi" w:cstheme="minorBidi"/>
          </w:rPr>
          <w:t>-</w:t>
        </w:r>
        <w:r w:rsidRPr="00E31246">
          <w:rPr>
            <w:rStyle w:val="Hyperlink"/>
            <w:rFonts w:asciiTheme="minorHAnsi" w:eastAsiaTheme="minorEastAsia" w:hAnsiTheme="minorHAnsi" w:cstheme="minorBidi"/>
          </w:rPr>
          <w:t>FHR</w:t>
        </w:r>
        <w:r w:rsidR="005712B0" w:rsidRPr="00E31246">
          <w:rPr>
            <w:rStyle w:val="Hyperlink"/>
            <w:rFonts w:asciiTheme="minorHAnsi" w:eastAsiaTheme="minorEastAsia" w:hAnsiTheme="minorHAnsi" w:cstheme="minorBidi"/>
          </w:rPr>
          <w:t>-21/</w:t>
        </w:r>
        <w:r w:rsidR="0010488A" w:rsidRPr="00E31246">
          <w:rPr>
            <w:rStyle w:val="Hyperlink"/>
            <w:rFonts w:asciiTheme="minorHAnsi" w:eastAsiaTheme="minorEastAsia" w:hAnsiTheme="minorHAnsi" w:cstheme="minorBidi"/>
          </w:rPr>
          <w:t>8</w:t>
        </w:r>
      </w:hyperlink>
      <w:r w:rsidRPr="00E31246">
        <w:rPr>
          <w:rFonts w:asciiTheme="minorHAnsi" w:eastAsiaTheme="minorEastAsia" w:hAnsiTheme="minorHAnsi" w:cstheme="minorBidi"/>
        </w:rPr>
        <w:t xml:space="preserve"> and </w:t>
      </w:r>
      <w:hyperlink r:id="rId27">
        <w:r w:rsidRPr="00E31246">
          <w:rPr>
            <w:rStyle w:val="Hyperlink"/>
            <w:rFonts w:asciiTheme="minorHAnsi" w:eastAsiaTheme="minorEastAsia" w:hAnsiTheme="minorHAnsi" w:cstheme="minorBidi"/>
          </w:rPr>
          <w:t>CWG</w:t>
        </w:r>
        <w:r w:rsidR="00B4713F" w:rsidRPr="00E31246">
          <w:rPr>
            <w:rStyle w:val="Hyperlink"/>
            <w:rFonts w:asciiTheme="minorHAnsi" w:eastAsiaTheme="minorEastAsia" w:hAnsiTheme="minorHAnsi" w:cstheme="minorBidi"/>
          </w:rPr>
          <w:t>-</w:t>
        </w:r>
        <w:r w:rsidRPr="00E31246">
          <w:rPr>
            <w:rStyle w:val="Hyperlink"/>
            <w:rFonts w:asciiTheme="minorHAnsi" w:eastAsiaTheme="minorEastAsia" w:hAnsiTheme="minorHAnsi" w:cstheme="minorBidi"/>
          </w:rPr>
          <w:t>FHR</w:t>
        </w:r>
        <w:r w:rsidR="00B4713F" w:rsidRPr="00E31246">
          <w:rPr>
            <w:rStyle w:val="Hyperlink"/>
            <w:rFonts w:asciiTheme="minorHAnsi" w:eastAsiaTheme="minorEastAsia" w:hAnsiTheme="minorHAnsi" w:cstheme="minorBidi"/>
          </w:rPr>
          <w:t>-22/19</w:t>
        </w:r>
      </w:hyperlink>
      <w:r w:rsidRPr="00E31246">
        <w:rPr>
          <w:rFonts w:asciiTheme="minorHAnsi" w:eastAsiaTheme="minorEastAsia" w:hAnsiTheme="minorHAnsi" w:cstheme="minorBidi"/>
        </w:rPr>
        <w:t>).</w:t>
      </w:r>
    </w:p>
    <w:p w14:paraId="63FC12CE" w14:textId="77777777" w:rsidR="00DB3B05" w:rsidRPr="00E31246" w:rsidRDefault="00DB3B05" w:rsidP="0006771C">
      <w:pPr>
        <w:pStyle w:val="Headingb"/>
      </w:pPr>
      <w:r w:rsidRPr="00E31246">
        <w:t>Web portal</w:t>
      </w:r>
    </w:p>
    <w:p w14:paraId="586A4B71" w14:textId="7A22E81B" w:rsidR="00DB3B05" w:rsidRPr="00E31246" w:rsidRDefault="00DB3B05" w:rsidP="00EC128A">
      <w:pPr>
        <w:jc w:val="both"/>
        <w:rPr>
          <w:rStyle w:val="CommentReference"/>
          <w:rFonts w:asciiTheme="minorHAnsi" w:eastAsiaTheme="minorEastAsia" w:hAnsiTheme="minorHAnsi" w:cstheme="minorBidi"/>
          <w:sz w:val="24"/>
          <w:szCs w:val="24"/>
        </w:rPr>
      </w:pPr>
      <w:r w:rsidRPr="00E31246">
        <w:rPr>
          <w:rFonts w:asciiTheme="minorHAnsi" w:eastAsiaTheme="minorEastAsia" w:hAnsiTheme="minorHAnsi" w:cstheme="minorBidi"/>
        </w:rPr>
        <w:t xml:space="preserve">The </w:t>
      </w:r>
      <w:hyperlink r:id="rId28">
        <w:r w:rsidRPr="00E31246">
          <w:rPr>
            <w:rStyle w:val="Hyperlink"/>
            <w:rFonts w:asciiTheme="minorHAnsi" w:eastAsiaTheme="minorEastAsia" w:hAnsiTheme="minorHAnsi" w:cstheme="minorBidi"/>
          </w:rPr>
          <w:t>web portal</w:t>
        </w:r>
      </w:hyperlink>
      <w:r w:rsidRPr="00E31246">
        <w:rPr>
          <w:rFonts w:asciiTheme="minorHAnsi" w:eastAsiaTheme="minorEastAsia" w:hAnsiTheme="minorHAnsi" w:cstheme="minorBidi"/>
        </w:rPr>
        <w:t xml:space="preserve"> will be </w:t>
      </w:r>
      <w:r w:rsidR="02338A40" w:rsidRPr="00E31246">
        <w:rPr>
          <w:rFonts w:asciiTheme="minorHAnsi" w:eastAsiaTheme="minorEastAsia" w:hAnsiTheme="minorHAnsi" w:cstheme="minorBidi"/>
        </w:rPr>
        <w:t xml:space="preserve">made available </w:t>
      </w:r>
      <w:r w:rsidRPr="00E31246">
        <w:rPr>
          <w:rFonts w:asciiTheme="minorHAnsi" w:eastAsiaTheme="minorEastAsia" w:hAnsiTheme="minorHAnsi" w:cstheme="minorBidi"/>
        </w:rPr>
        <w:t>on the Council page  and will be updated with relevant information on upcoming events, the latest signed HCA for each conference, and any formal proposals received in lin</w:t>
      </w:r>
      <w:r w:rsidR="00B03EFE" w:rsidRPr="00E31246">
        <w:rPr>
          <w:rFonts w:asciiTheme="minorHAnsi" w:eastAsiaTheme="minorEastAsia" w:hAnsiTheme="minorHAnsi" w:cstheme="minorBidi"/>
        </w:rPr>
        <w:t>e</w:t>
      </w:r>
      <w:r w:rsidR="296A755A" w:rsidRPr="00E31246">
        <w:rPr>
          <w:rFonts w:asciiTheme="minorHAnsi" w:eastAsiaTheme="minorEastAsia" w:hAnsiTheme="minorHAnsi" w:cstheme="minorBidi"/>
        </w:rPr>
        <w:t xml:space="preserve"> </w:t>
      </w:r>
      <w:r w:rsidR="00B03EFE" w:rsidRPr="00E31246">
        <w:rPr>
          <w:rFonts w:asciiTheme="minorHAnsi" w:eastAsiaTheme="minorEastAsia" w:hAnsiTheme="minorHAnsi" w:cstheme="minorBidi"/>
        </w:rPr>
        <w:t xml:space="preserve">with this process </w:t>
      </w:r>
      <w:r w:rsidR="6FAB63FF" w:rsidRPr="00E31246">
        <w:rPr>
          <w:rFonts w:asciiTheme="minorHAnsi" w:eastAsiaTheme="minorEastAsia" w:hAnsiTheme="minorHAnsi" w:cstheme="minorBidi"/>
        </w:rPr>
        <w:t>as well as any received past t</w:t>
      </w:r>
      <w:r w:rsidR="4BD02E24" w:rsidRPr="00E31246">
        <w:rPr>
          <w:rFonts w:asciiTheme="minorHAnsi" w:eastAsiaTheme="minorEastAsia" w:hAnsiTheme="minorHAnsi" w:cstheme="minorBidi"/>
        </w:rPr>
        <w:t>h</w:t>
      </w:r>
      <w:r w:rsidR="6FAB63FF" w:rsidRPr="00E31246">
        <w:rPr>
          <w:rFonts w:asciiTheme="minorHAnsi" w:eastAsiaTheme="minorEastAsia" w:hAnsiTheme="minorHAnsi" w:cstheme="minorBidi"/>
        </w:rPr>
        <w:t>e deadline with a disclaimer to that effect.</w:t>
      </w:r>
      <w:r w:rsidRPr="00E31246">
        <w:rPr>
          <w:rFonts w:asciiTheme="minorHAnsi" w:eastAsiaTheme="minorEastAsia" w:hAnsiTheme="minorHAnsi" w:cstheme="minorBidi"/>
        </w:rPr>
        <w:t xml:space="preserve"> </w:t>
      </w:r>
      <w:r w:rsidR="478F14C3" w:rsidRPr="00E31246">
        <w:rPr>
          <w:rStyle w:val="CommentReference"/>
          <w:rFonts w:asciiTheme="minorHAnsi" w:eastAsiaTheme="minorEastAsia" w:hAnsiTheme="minorHAnsi" w:cstheme="minorBidi"/>
          <w:sz w:val="24"/>
          <w:szCs w:val="24"/>
        </w:rPr>
        <w:t>.</w:t>
      </w:r>
    </w:p>
    <w:p w14:paraId="3CE3B938" w14:textId="663F4010" w:rsidR="00745E94" w:rsidRPr="00E31246" w:rsidRDefault="00745E94" w:rsidP="0006771C">
      <w:pPr>
        <w:pStyle w:val="Headingb"/>
      </w:pPr>
      <w:r w:rsidRPr="00E31246">
        <w:lastRenderedPageBreak/>
        <w:t>Implementation</w:t>
      </w:r>
    </w:p>
    <w:p w14:paraId="7045D50F" w14:textId="79D55179" w:rsidR="00745E94" w:rsidRPr="00E31246" w:rsidRDefault="006E7CC1" w:rsidP="00EC128A">
      <w:pPr>
        <w:jc w:val="both"/>
        <w:rPr>
          <w:rFonts w:asciiTheme="minorHAnsi" w:eastAsiaTheme="minorEastAsia" w:hAnsiTheme="minorHAnsi" w:cstheme="minorBidi"/>
        </w:rPr>
      </w:pPr>
      <w:proofErr w:type="gramStart"/>
      <w:r w:rsidRPr="00E31246">
        <w:rPr>
          <w:rFonts w:asciiTheme="minorHAnsi" w:eastAsiaTheme="minorEastAsia" w:hAnsiTheme="minorHAnsi" w:cstheme="minorBidi"/>
        </w:rPr>
        <w:t>If</w:t>
      </w:r>
      <w:r w:rsidR="18E442EE" w:rsidRPr="00E31246">
        <w:rPr>
          <w:rFonts w:asciiTheme="minorHAnsi" w:eastAsiaTheme="minorEastAsia" w:hAnsiTheme="minorHAnsi" w:cstheme="minorBidi"/>
        </w:rPr>
        <w:t xml:space="preserve"> and when</w:t>
      </w:r>
      <w:proofErr w:type="gramEnd"/>
      <w:r w:rsidRPr="00E31246">
        <w:rPr>
          <w:rFonts w:asciiTheme="minorHAnsi" w:eastAsiaTheme="minorEastAsia" w:hAnsiTheme="minorHAnsi" w:cstheme="minorBidi"/>
        </w:rPr>
        <w:t xml:space="preserve"> the proposed framework for selection is approved, the </w:t>
      </w:r>
      <w:r w:rsidR="16EE0605" w:rsidRPr="00E31246">
        <w:rPr>
          <w:rFonts w:asciiTheme="minorHAnsi" w:eastAsiaTheme="minorEastAsia" w:hAnsiTheme="minorHAnsi" w:cstheme="minorBidi"/>
        </w:rPr>
        <w:t>full process with timeline and supporting documents will also be included on the web portal</w:t>
      </w:r>
      <w:r w:rsidR="003F0DDA" w:rsidRPr="00E31246">
        <w:rPr>
          <w:rFonts w:asciiTheme="minorHAnsi" w:eastAsiaTheme="minorEastAsia" w:hAnsiTheme="minorHAnsi" w:cstheme="minorBidi"/>
        </w:rPr>
        <w:t xml:space="preserve">. Given the timelines involved in the process, it is proposed that the framework for selection outlined above be </w:t>
      </w:r>
      <w:r w:rsidR="007C167B" w:rsidRPr="00E31246">
        <w:rPr>
          <w:rFonts w:asciiTheme="minorHAnsi" w:eastAsiaTheme="minorEastAsia" w:hAnsiTheme="minorHAnsi" w:cstheme="minorBidi"/>
        </w:rPr>
        <w:t>implemente</w:t>
      </w:r>
      <w:r w:rsidR="003F0DDA" w:rsidRPr="00E31246">
        <w:rPr>
          <w:rFonts w:asciiTheme="minorHAnsi" w:eastAsiaTheme="minorEastAsia" w:hAnsiTheme="minorHAnsi" w:cstheme="minorBidi"/>
        </w:rPr>
        <w:t xml:space="preserve">d for conferences </w:t>
      </w:r>
      <w:r w:rsidR="007C167B" w:rsidRPr="00E31246">
        <w:rPr>
          <w:rFonts w:asciiTheme="minorHAnsi" w:eastAsiaTheme="minorEastAsia" w:hAnsiTheme="minorHAnsi" w:cstheme="minorBidi"/>
        </w:rPr>
        <w:t>to be held as of 2031.</w:t>
      </w:r>
      <w:r w:rsidR="00745E94" w:rsidRPr="00E31246">
        <w:rPr>
          <w:rFonts w:asciiTheme="minorHAnsi" w:eastAsiaTheme="minorEastAsia" w:hAnsiTheme="minorHAnsi" w:cstheme="minorBidi"/>
        </w:rPr>
        <w:t xml:space="preserve"> </w:t>
      </w:r>
    </w:p>
    <w:p w14:paraId="05A8EEF4" w14:textId="796C11F5" w:rsidR="00745E94" w:rsidRPr="00E31246" w:rsidRDefault="00D7270E" w:rsidP="00EC128A">
      <w:pPr>
        <w:jc w:val="both"/>
        <w:rPr>
          <w:rFonts w:asciiTheme="minorHAnsi" w:eastAsiaTheme="minorEastAsia" w:hAnsiTheme="minorHAnsi" w:cstheme="minorBidi"/>
        </w:rPr>
      </w:pPr>
      <w:r w:rsidRPr="00E31246">
        <w:rPr>
          <w:rFonts w:asciiTheme="minorHAnsi" w:eastAsiaTheme="minorEastAsia" w:hAnsiTheme="minorHAnsi" w:cstheme="minorBidi"/>
        </w:rPr>
        <w:t xml:space="preserve">For events prior to 2031 </w:t>
      </w:r>
      <w:r w:rsidR="00094618" w:rsidRPr="00E31246">
        <w:rPr>
          <w:rFonts w:asciiTheme="minorHAnsi" w:eastAsiaTheme="minorEastAsia" w:hAnsiTheme="minorHAnsi" w:cstheme="minorBidi"/>
        </w:rPr>
        <w:t xml:space="preserve">current practice </w:t>
      </w:r>
      <w:r w:rsidRPr="00E31246">
        <w:rPr>
          <w:rFonts w:asciiTheme="minorHAnsi" w:eastAsiaTheme="minorEastAsia" w:hAnsiTheme="minorHAnsi" w:cstheme="minorBidi"/>
        </w:rPr>
        <w:t>will apply</w:t>
      </w:r>
      <w:r w:rsidR="00A77A27" w:rsidRPr="00E31246">
        <w:rPr>
          <w:rFonts w:asciiTheme="minorHAnsi" w:eastAsiaTheme="minorEastAsia" w:hAnsiTheme="minorHAnsi" w:cstheme="minorBidi"/>
        </w:rPr>
        <w:t>,</w:t>
      </w:r>
      <w:r w:rsidRPr="00E31246">
        <w:rPr>
          <w:rFonts w:asciiTheme="minorHAnsi" w:eastAsiaTheme="minorEastAsia" w:hAnsiTheme="minorHAnsi" w:cstheme="minorBidi"/>
        </w:rPr>
        <w:t xml:space="preserve"> with all expressions of interest published on the web portal. </w:t>
      </w:r>
    </w:p>
    <w:p w14:paraId="00EB45E8" w14:textId="5DCF0DA9" w:rsidR="00971BA4" w:rsidRPr="00E31246" w:rsidRDefault="00C51A74" w:rsidP="0006771C">
      <w:pPr>
        <w:pStyle w:val="Headingb"/>
      </w:pPr>
      <w:r w:rsidRPr="00E31246">
        <w:t>Supporting information</w:t>
      </w:r>
    </w:p>
    <w:p w14:paraId="132483B6" w14:textId="79F451D6" w:rsidR="00C51A74" w:rsidRPr="00E31246" w:rsidRDefault="00C51A74" w:rsidP="00EC128A">
      <w:pPr>
        <w:jc w:val="both"/>
        <w:rPr>
          <w:rFonts w:eastAsia="Calibri" w:cs="Calibri"/>
          <w:szCs w:val="24"/>
        </w:rPr>
      </w:pPr>
      <w:r w:rsidRPr="00E31246">
        <w:rPr>
          <w:rFonts w:asciiTheme="minorHAnsi" w:eastAsiaTheme="minorEastAsia" w:hAnsiTheme="minorHAnsi" w:cstheme="minorBidi"/>
        </w:rPr>
        <w:t xml:space="preserve">Document </w:t>
      </w:r>
      <w:hyperlink r:id="rId29" w:history="1">
        <w:proofErr w:type="spellStart"/>
        <w:r w:rsidR="00141682" w:rsidRPr="00E31246">
          <w:rPr>
            <w:rStyle w:val="Hyperlink"/>
            <w:rFonts w:asciiTheme="minorHAnsi" w:eastAsiaTheme="minorEastAsia" w:hAnsiTheme="minorHAnsi" w:cstheme="minorBidi"/>
          </w:rPr>
          <w:t>C26</w:t>
        </w:r>
        <w:proofErr w:type="spellEnd"/>
        <w:r w:rsidR="00141682" w:rsidRPr="00E31246">
          <w:rPr>
            <w:rStyle w:val="Hyperlink"/>
            <w:rFonts w:asciiTheme="minorHAnsi" w:eastAsiaTheme="minorEastAsia" w:hAnsiTheme="minorHAnsi" w:cstheme="minorBidi"/>
          </w:rPr>
          <w:t>/INF/4</w:t>
        </w:r>
      </w:hyperlink>
      <w:r w:rsidRPr="00E31246">
        <w:rPr>
          <w:rFonts w:asciiTheme="minorHAnsi" w:eastAsiaTheme="minorEastAsia" w:hAnsiTheme="minorHAnsi" w:cstheme="minorBidi"/>
        </w:rPr>
        <w:t xml:space="preserve"> provides</w:t>
      </w:r>
      <w:r w:rsidR="7B528230" w:rsidRPr="00E31246">
        <w:rPr>
          <w:rFonts w:asciiTheme="minorHAnsi" w:eastAsiaTheme="minorEastAsia" w:hAnsiTheme="minorHAnsi" w:cstheme="minorBidi"/>
        </w:rPr>
        <w:t xml:space="preserve"> </w:t>
      </w:r>
      <w:r w:rsidR="7B528230" w:rsidRPr="00E31246">
        <w:rPr>
          <w:rFonts w:eastAsia="Calibri" w:cs="Calibri"/>
          <w:szCs w:val="24"/>
        </w:rPr>
        <w:t>additional information in support of this proposal and includes a timeline for the selection process in table format based on a conference planned for 2031 (Annex A); a comparative table of indicative requirements per conference or assembly based on the annexes of the latest signed Host Country Agreement of the respective conference (Annex B); and an example of an assessment table (Annex C).</w:t>
      </w:r>
    </w:p>
    <w:p w14:paraId="5BB83ED5" w14:textId="77777777" w:rsidR="0073236A" w:rsidRPr="00E31246" w:rsidRDefault="0073236A" w:rsidP="00EC128A">
      <w:pPr>
        <w:jc w:val="both"/>
        <w:rPr>
          <w:rFonts w:eastAsia="Calibri" w:cs="Calibri"/>
          <w:szCs w:val="24"/>
        </w:rPr>
      </w:pPr>
    </w:p>
    <w:p w14:paraId="08836C93" w14:textId="77777777" w:rsidR="00C51A74" w:rsidRPr="00E31246" w:rsidRDefault="00C51A74" w:rsidP="00235512">
      <w:pPr>
        <w:jc w:val="both"/>
        <w:rPr>
          <w:rFonts w:asciiTheme="minorHAnsi" w:eastAsiaTheme="minorEastAsia" w:hAnsiTheme="minorHAnsi" w:cstheme="minorBidi"/>
        </w:rPr>
      </w:pPr>
    </w:p>
    <w:p w14:paraId="217A20CD" w14:textId="6FD7CCD0" w:rsidR="00EE7A6D" w:rsidRPr="00E31246" w:rsidRDefault="007A3FCD" w:rsidP="007A3FCD">
      <w:pPr>
        <w:jc w:val="center"/>
      </w:pPr>
      <w:r w:rsidRPr="00E31246">
        <w:t>______________</w:t>
      </w:r>
    </w:p>
    <w:sectPr w:rsidR="00EE7A6D" w:rsidRPr="00E31246"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0A24" w14:textId="77777777" w:rsidR="00BD10E8" w:rsidRDefault="00BD10E8">
      <w:r>
        <w:separator/>
      </w:r>
    </w:p>
  </w:endnote>
  <w:endnote w:type="continuationSeparator" w:id="0">
    <w:p w14:paraId="4C137B9C" w14:textId="77777777" w:rsidR="00BD10E8" w:rsidRDefault="00BD10E8">
      <w:r>
        <w:continuationSeparator/>
      </w:r>
    </w:p>
  </w:endnote>
  <w:endnote w:type="continuationNotice" w:id="1">
    <w:p w14:paraId="39F498C8" w14:textId="77777777" w:rsidR="00BD10E8" w:rsidRDefault="00BD10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4E9D7D01">
      <w:trPr>
        <w:jc w:val="center"/>
      </w:trPr>
      <w:tc>
        <w:tcPr>
          <w:tcW w:w="1803" w:type="dxa"/>
          <w:vAlign w:val="center"/>
        </w:tcPr>
        <w:p w14:paraId="6595CA0F" w14:textId="03159C60" w:rsidR="00EE49E8" w:rsidRDefault="00EE49E8" w:rsidP="00EE49E8">
          <w:pPr>
            <w:pStyle w:val="Header"/>
            <w:jc w:val="left"/>
            <w:rPr>
              <w:noProof/>
            </w:rPr>
          </w:pPr>
        </w:p>
      </w:tc>
      <w:tc>
        <w:tcPr>
          <w:tcW w:w="8261" w:type="dxa"/>
        </w:tcPr>
        <w:p w14:paraId="3E7590DE" w14:textId="18F64BB3" w:rsidR="00EE49E8" w:rsidRPr="00E06FD5" w:rsidRDefault="00EE49E8" w:rsidP="4E9D7D01">
          <w:pPr>
            <w:pStyle w:val="Header"/>
            <w:tabs>
              <w:tab w:val="left" w:pos="6731"/>
              <w:tab w:val="right" w:pos="8505"/>
              <w:tab w:val="right" w:pos="9639"/>
            </w:tabs>
            <w:jc w:val="left"/>
            <w:rPr>
              <w:rFonts w:ascii="Arial" w:hAnsi="Arial" w:cs="Arial"/>
              <w:b/>
              <w:bCs/>
            </w:rPr>
          </w:pPr>
          <w:r>
            <w:rPr>
              <w:bCs/>
            </w:rPr>
            <w:tab/>
          </w:r>
          <w:proofErr w:type="spellStart"/>
          <w:r w:rsidR="4E9D7D01" w:rsidRPr="4E9D7D01">
            <w:t>C26</w:t>
          </w:r>
          <w:proofErr w:type="spellEnd"/>
          <w:r w:rsidR="4E9D7D01" w:rsidRPr="4E9D7D01">
            <w:t>/70-E</w:t>
          </w:r>
          <w:r>
            <w:rPr>
              <w:bCs/>
            </w:rPr>
            <w:tab/>
          </w:r>
          <w:r w:rsidRPr="4E9D7D01">
            <w:fldChar w:fldCharType="begin"/>
          </w:r>
          <w:r>
            <w:instrText>PAGE</w:instrText>
          </w:r>
          <w:r w:rsidRPr="4E9D7D01">
            <w:fldChar w:fldCharType="separate"/>
          </w:r>
          <w:r w:rsidR="4E9D7D01">
            <w:t>1</w:t>
          </w:r>
          <w:r w:rsidRPr="4E9D7D01">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4E9D7D0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0AC6B547" w:rsidR="00EE49E8" w:rsidRPr="00E06FD5" w:rsidRDefault="00EE49E8" w:rsidP="4E9D7D01">
          <w:pPr>
            <w:pStyle w:val="Header"/>
            <w:tabs>
              <w:tab w:val="left" w:pos="6731"/>
              <w:tab w:val="right" w:pos="8505"/>
              <w:tab w:val="right" w:pos="9639"/>
            </w:tabs>
            <w:jc w:val="left"/>
            <w:rPr>
              <w:rFonts w:ascii="Arial" w:hAnsi="Arial" w:cs="Arial"/>
              <w:b/>
              <w:bCs/>
            </w:rPr>
          </w:pPr>
          <w:r>
            <w:rPr>
              <w:bCs/>
            </w:rPr>
            <w:tab/>
          </w:r>
          <w:proofErr w:type="spellStart"/>
          <w:r w:rsidR="4E9D7D01" w:rsidRPr="4E9D7D01">
            <w:t>C26</w:t>
          </w:r>
          <w:proofErr w:type="spellEnd"/>
          <w:r w:rsidR="4E9D7D01" w:rsidRPr="4E9D7D01">
            <w:t>/70</w:t>
          </w:r>
          <w:r w:rsidR="00EC128A">
            <w:t>-</w:t>
          </w:r>
          <w:r w:rsidR="4E9D7D01" w:rsidRPr="4E9D7D01">
            <w:t>E</w:t>
          </w:r>
          <w:r>
            <w:rPr>
              <w:bCs/>
            </w:rPr>
            <w:tab/>
          </w:r>
          <w:r w:rsidRPr="4E9D7D01">
            <w:fldChar w:fldCharType="begin"/>
          </w:r>
          <w:r>
            <w:instrText>PAGE</w:instrText>
          </w:r>
          <w:r w:rsidRPr="4E9D7D01">
            <w:fldChar w:fldCharType="separate"/>
          </w:r>
          <w:r w:rsidR="4E9D7D01">
            <w:t>1</w:t>
          </w:r>
          <w:r w:rsidRPr="4E9D7D01">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8793" w14:textId="77777777" w:rsidR="00BD10E8" w:rsidRDefault="00BD10E8">
      <w:r>
        <w:t>____________________</w:t>
      </w:r>
    </w:p>
  </w:footnote>
  <w:footnote w:type="continuationSeparator" w:id="0">
    <w:p w14:paraId="1E9B2B14" w14:textId="77777777" w:rsidR="00BD10E8" w:rsidRDefault="00BD10E8">
      <w:r>
        <w:continuationSeparator/>
      </w:r>
    </w:p>
  </w:footnote>
  <w:footnote w:type="continuationNotice" w:id="1">
    <w:p w14:paraId="73B98B34" w14:textId="77777777" w:rsidR="00BD10E8" w:rsidRDefault="00BD10E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5802"/>
        </w:tabs>
        <w:ind w:left="5802" w:hanging="360"/>
      </w:pPr>
      <w:rPr>
        <w:rFonts w:ascii="Symbol" w:hAnsi="Symbol" w:hint="default"/>
      </w:rPr>
    </w:lvl>
  </w:abstractNum>
  <w:abstractNum w:abstractNumId="1" w15:restartNumberingAfterBreak="0">
    <w:nsid w:val="03DE1203"/>
    <w:multiLevelType w:val="multilevel"/>
    <w:tmpl w:val="4E76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05F73"/>
    <w:multiLevelType w:val="multilevel"/>
    <w:tmpl w:val="9462FB36"/>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08A002BC"/>
    <w:multiLevelType w:val="multilevel"/>
    <w:tmpl w:val="3BA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777BA"/>
    <w:multiLevelType w:val="multilevel"/>
    <w:tmpl w:val="EE3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31DAD"/>
    <w:multiLevelType w:val="multilevel"/>
    <w:tmpl w:val="58728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35031"/>
    <w:multiLevelType w:val="multilevel"/>
    <w:tmpl w:val="54F25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81315A"/>
    <w:multiLevelType w:val="multilevel"/>
    <w:tmpl w:val="272E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97376"/>
    <w:multiLevelType w:val="hybridMultilevel"/>
    <w:tmpl w:val="A85A35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D3C4F7A"/>
    <w:multiLevelType w:val="hybridMultilevel"/>
    <w:tmpl w:val="90E62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50BDE"/>
    <w:multiLevelType w:val="multilevel"/>
    <w:tmpl w:val="0D4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03DF3"/>
    <w:multiLevelType w:val="multilevel"/>
    <w:tmpl w:val="AFC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7491A"/>
    <w:multiLevelType w:val="hybridMultilevel"/>
    <w:tmpl w:val="55C627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4104405"/>
    <w:multiLevelType w:val="multilevel"/>
    <w:tmpl w:val="5BFC4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171A8"/>
    <w:multiLevelType w:val="hybridMultilevel"/>
    <w:tmpl w:val="F77A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400C6"/>
    <w:multiLevelType w:val="multilevel"/>
    <w:tmpl w:val="A66E7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9E71C0"/>
    <w:multiLevelType w:val="multilevel"/>
    <w:tmpl w:val="C7689BD0"/>
    <w:lvl w:ilvl="0">
      <w:start w:val="1"/>
      <w:numFmt w:val="bullet"/>
      <w:lvlText w:val=""/>
      <w:lvlJc w:val="left"/>
      <w:pPr>
        <w:tabs>
          <w:tab w:val="num" w:pos="948"/>
        </w:tabs>
        <w:ind w:left="948" w:hanging="360"/>
      </w:pPr>
      <w:rPr>
        <w:rFonts w:ascii="Symbol" w:hAnsi="Symbol" w:hint="default"/>
      </w:rPr>
    </w:lvl>
    <w:lvl w:ilvl="1">
      <w:start w:val="1"/>
      <w:numFmt w:val="lowerLetter"/>
      <w:lvlText w:val="%2)"/>
      <w:lvlJc w:val="left"/>
      <w:pPr>
        <w:ind w:left="1668" w:hanging="360"/>
      </w:pPr>
      <w:rPr>
        <w:rFonts w:hint="default"/>
      </w:rPr>
    </w:lvl>
    <w:lvl w:ilvl="2" w:tentative="1">
      <w:start w:val="1"/>
      <w:numFmt w:val="decimal"/>
      <w:lvlText w:val="%3."/>
      <w:lvlJc w:val="left"/>
      <w:pPr>
        <w:tabs>
          <w:tab w:val="num" w:pos="2388"/>
        </w:tabs>
        <w:ind w:left="2388" w:hanging="360"/>
      </w:pPr>
    </w:lvl>
    <w:lvl w:ilvl="3" w:tentative="1">
      <w:start w:val="1"/>
      <w:numFmt w:val="decimal"/>
      <w:lvlText w:val="%4."/>
      <w:lvlJc w:val="left"/>
      <w:pPr>
        <w:tabs>
          <w:tab w:val="num" w:pos="3108"/>
        </w:tabs>
        <w:ind w:left="3108" w:hanging="360"/>
      </w:pPr>
    </w:lvl>
    <w:lvl w:ilvl="4" w:tentative="1">
      <w:start w:val="1"/>
      <w:numFmt w:val="decimal"/>
      <w:lvlText w:val="%5."/>
      <w:lvlJc w:val="left"/>
      <w:pPr>
        <w:tabs>
          <w:tab w:val="num" w:pos="3828"/>
        </w:tabs>
        <w:ind w:left="3828" w:hanging="360"/>
      </w:pPr>
    </w:lvl>
    <w:lvl w:ilvl="5" w:tentative="1">
      <w:start w:val="1"/>
      <w:numFmt w:val="decimal"/>
      <w:lvlText w:val="%6."/>
      <w:lvlJc w:val="left"/>
      <w:pPr>
        <w:tabs>
          <w:tab w:val="num" w:pos="4548"/>
        </w:tabs>
        <w:ind w:left="4548" w:hanging="360"/>
      </w:pPr>
    </w:lvl>
    <w:lvl w:ilvl="6" w:tentative="1">
      <w:start w:val="1"/>
      <w:numFmt w:val="decimal"/>
      <w:lvlText w:val="%7."/>
      <w:lvlJc w:val="left"/>
      <w:pPr>
        <w:tabs>
          <w:tab w:val="num" w:pos="5268"/>
        </w:tabs>
        <w:ind w:left="5268" w:hanging="360"/>
      </w:pPr>
    </w:lvl>
    <w:lvl w:ilvl="7" w:tentative="1">
      <w:start w:val="1"/>
      <w:numFmt w:val="decimal"/>
      <w:lvlText w:val="%8."/>
      <w:lvlJc w:val="left"/>
      <w:pPr>
        <w:tabs>
          <w:tab w:val="num" w:pos="5988"/>
        </w:tabs>
        <w:ind w:left="5988" w:hanging="360"/>
      </w:pPr>
    </w:lvl>
    <w:lvl w:ilvl="8" w:tentative="1">
      <w:start w:val="1"/>
      <w:numFmt w:val="decimal"/>
      <w:lvlText w:val="%9."/>
      <w:lvlJc w:val="left"/>
      <w:pPr>
        <w:tabs>
          <w:tab w:val="num" w:pos="6708"/>
        </w:tabs>
        <w:ind w:left="6708" w:hanging="360"/>
      </w:pPr>
    </w:lvl>
  </w:abstractNum>
  <w:abstractNum w:abstractNumId="17" w15:restartNumberingAfterBreak="0">
    <w:nsid w:val="33FF6F64"/>
    <w:multiLevelType w:val="multilevel"/>
    <w:tmpl w:val="574EB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69B0B9E"/>
    <w:multiLevelType w:val="hybridMultilevel"/>
    <w:tmpl w:val="A208B6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A852FC4"/>
    <w:multiLevelType w:val="multilevel"/>
    <w:tmpl w:val="68EA4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971BC8"/>
    <w:multiLevelType w:val="hybridMultilevel"/>
    <w:tmpl w:val="D9CCE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F26A9"/>
    <w:multiLevelType w:val="hybridMultilevel"/>
    <w:tmpl w:val="AAC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035AF4"/>
    <w:multiLevelType w:val="multilevel"/>
    <w:tmpl w:val="0F4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8E24FA"/>
    <w:multiLevelType w:val="multilevel"/>
    <w:tmpl w:val="65F6E8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F333C"/>
    <w:multiLevelType w:val="multilevel"/>
    <w:tmpl w:val="63E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9C3A09"/>
    <w:multiLevelType w:val="multilevel"/>
    <w:tmpl w:val="542A6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EA16D6"/>
    <w:multiLevelType w:val="multilevel"/>
    <w:tmpl w:val="80EE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C90790"/>
    <w:multiLevelType w:val="multilevel"/>
    <w:tmpl w:val="115A169A"/>
    <w:lvl w:ilvl="0">
      <w:start w:val="1"/>
      <w:numFmt w:val="decimal"/>
      <w:lvlText w:val="%1."/>
      <w:lvlJc w:val="left"/>
      <w:pPr>
        <w:ind w:left="927" w:hanging="360"/>
      </w:pPr>
      <w:rPr>
        <w:b/>
        <w:bCs/>
      </w:rPr>
    </w:lvl>
    <w:lvl w:ilvl="1">
      <w:start w:val="1"/>
      <w:numFmt w:val="decimal"/>
      <w:lvlText w:val="%1.%2."/>
      <w:lvlJc w:val="left"/>
      <w:pPr>
        <w:ind w:left="1359" w:hanging="432"/>
      </w:pPr>
      <w:rPr>
        <w:b/>
        <w:bCs/>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8" w15:restartNumberingAfterBreak="0">
    <w:nsid w:val="4E4B6565"/>
    <w:multiLevelType w:val="multilevel"/>
    <w:tmpl w:val="49DA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B720B3"/>
    <w:multiLevelType w:val="hybridMultilevel"/>
    <w:tmpl w:val="3044F13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65E42FE9"/>
    <w:multiLevelType w:val="multilevel"/>
    <w:tmpl w:val="590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FF53C0"/>
    <w:multiLevelType w:val="hybridMultilevel"/>
    <w:tmpl w:val="572A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950DC"/>
    <w:multiLevelType w:val="multilevel"/>
    <w:tmpl w:val="BFD26608"/>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3" w15:restartNumberingAfterBreak="0">
    <w:nsid w:val="6BED658C"/>
    <w:multiLevelType w:val="hybridMultilevel"/>
    <w:tmpl w:val="FFFFFFFF"/>
    <w:lvl w:ilvl="0" w:tplc="BBC2AB62">
      <w:start w:val="1"/>
      <w:numFmt w:val="bullet"/>
      <w:lvlText w:val="-"/>
      <w:lvlJc w:val="left"/>
      <w:pPr>
        <w:ind w:left="720" w:hanging="360"/>
      </w:pPr>
      <w:rPr>
        <w:rFonts w:ascii="Aptos" w:hAnsi="Aptos" w:hint="default"/>
      </w:rPr>
    </w:lvl>
    <w:lvl w:ilvl="1" w:tplc="72583716">
      <w:start w:val="1"/>
      <w:numFmt w:val="bullet"/>
      <w:lvlText w:val="o"/>
      <w:lvlJc w:val="left"/>
      <w:pPr>
        <w:ind w:left="1440" w:hanging="360"/>
      </w:pPr>
      <w:rPr>
        <w:rFonts w:ascii="Courier New" w:hAnsi="Courier New" w:hint="default"/>
      </w:rPr>
    </w:lvl>
    <w:lvl w:ilvl="2" w:tplc="9DDC98F2">
      <w:start w:val="1"/>
      <w:numFmt w:val="bullet"/>
      <w:lvlText w:val=""/>
      <w:lvlJc w:val="left"/>
      <w:pPr>
        <w:ind w:left="2160" w:hanging="360"/>
      </w:pPr>
      <w:rPr>
        <w:rFonts w:ascii="Wingdings" w:hAnsi="Wingdings" w:hint="default"/>
      </w:rPr>
    </w:lvl>
    <w:lvl w:ilvl="3" w:tplc="054EC9C2">
      <w:start w:val="1"/>
      <w:numFmt w:val="bullet"/>
      <w:lvlText w:val=""/>
      <w:lvlJc w:val="left"/>
      <w:pPr>
        <w:ind w:left="2880" w:hanging="360"/>
      </w:pPr>
      <w:rPr>
        <w:rFonts w:ascii="Symbol" w:hAnsi="Symbol" w:hint="default"/>
      </w:rPr>
    </w:lvl>
    <w:lvl w:ilvl="4" w:tplc="C970631C">
      <w:start w:val="1"/>
      <w:numFmt w:val="bullet"/>
      <w:lvlText w:val="o"/>
      <w:lvlJc w:val="left"/>
      <w:pPr>
        <w:ind w:left="3600" w:hanging="360"/>
      </w:pPr>
      <w:rPr>
        <w:rFonts w:ascii="Courier New" w:hAnsi="Courier New" w:hint="default"/>
      </w:rPr>
    </w:lvl>
    <w:lvl w:ilvl="5" w:tplc="8F809D56">
      <w:start w:val="1"/>
      <w:numFmt w:val="bullet"/>
      <w:lvlText w:val=""/>
      <w:lvlJc w:val="left"/>
      <w:pPr>
        <w:ind w:left="4320" w:hanging="360"/>
      </w:pPr>
      <w:rPr>
        <w:rFonts w:ascii="Wingdings" w:hAnsi="Wingdings" w:hint="default"/>
      </w:rPr>
    </w:lvl>
    <w:lvl w:ilvl="6" w:tplc="89E80FDA">
      <w:start w:val="1"/>
      <w:numFmt w:val="bullet"/>
      <w:lvlText w:val=""/>
      <w:lvlJc w:val="left"/>
      <w:pPr>
        <w:ind w:left="5040" w:hanging="360"/>
      </w:pPr>
      <w:rPr>
        <w:rFonts w:ascii="Symbol" w:hAnsi="Symbol" w:hint="default"/>
      </w:rPr>
    </w:lvl>
    <w:lvl w:ilvl="7" w:tplc="84E862CC">
      <w:start w:val="1"/>
      <w:numFmt w:val="bullet"/>
      <w:lvlText w:val="o"/>
      <w:lvlJc w:val="left"/>
      <w:pPr>
        <w:ind w:left="5760" w:hanging="360"/>
      </w:pPr>
      <w:rPr>
        <w:rFonts w:ascii="Courier New" w:hAnsi="Courier New" w:hint="default"/>
      </w:rPr>
    </w:lvl>
    <w:lvl w:ilvl="8" w:tplc="C046BBB0">
      <w:start w:val="1"/>
      <w:numFmt w:val="bullet"/>
      <w:lvlText w:val=""/>
      <w:lvlJc w:val="left"/>
      <w:pPr>
        <w:ind w:left="6480" w:hanging="360"/>
      </w:pPr>
      <w:rPr>
        <w:rFonts w:ascii="Wingdings" w:hAnsi="Wingdings" w:hint="default"/>
      </w:rPr>
    </w:lvl>
  </w:abstractNum>
  <w:abstractNum w:abstractNumId="34" w15:restartNumberingAfterBreak="0">
    <w:nsid w:val="6C3E4FED"/>
    <w:multiLevelType w:val="multilevel"/>
    <w:tmpl w:val="07EAD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68B0D01"/>
    <w:multiLevelType w:val="multilevel"/>
    <w:tmpl w:val="201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362C67"/>
    <w:multiLevelType w:val="multilevel"/>
    <w:tmpl w:val="6C6CC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0"/>
  </w:num>
  <w:num w:numId="2" w16cid:durableId="175996127">
    <w:abstractNumId w:val="9"/>
  </w:num>
  <w:num w:numId="3" w16cid:durableId="846672191">
    <w:abstractNumId w:val="26"/>
  </w:num>
  <w:num w:numId="4" w16cid:durableId="51975259">
    <w:abstractNumId w:val="35"/>
  </w:num>
  <w:num w:numId="5" w16cid:durableId="29301039">
    <w:abstractNumId w:val="3"/>
  </w:num>
  <w:num w:numId="6" w16cid:durableId="1583949356">
    <w:abstractNumId w:val="24"/>
  </w:num>
  <w:num w:numId="7" w16cid:durableId="2093042462">
    <w:abstractNumId w:val="11"/>
  </w:num>
  <w:num w:numId="8" w16cid:durableId="2079588488">
    <w:abstractNumId w:val="27"/>
  </w:num>
  <w:num w:numId="9" w16cid:durableId="1839810047">
    <w:abstractNumId w:val="5"/>
  </w:num>
  <w:num w:numId="10" w16cid:durableId="13728842">
    <w:abstractNumId w:val="7"/>
  </w:num>
  <w:num w:numId="11" w16cid:durableId="1437095000">
    <w:abstractNumId w:val="32"/>
  </w:num>
  <w:num w:numId="12" w16cid:durableId="1859732379">
    <w:abstractNumId w:val="1"/>
  </w:num>
  <w:num w:numId="13" w16cid:durableId="2057778639">
    <w:abstractNumId w:val="28"/>
  </w:num>
  <w:num w:numId="14" w16cid:durableId="573049489">
    <w:abstractNumId w:val="36"/>
  </w:num>
  <w:num w:numId="15" w16cid:durableId="1845780742">
    <w:abstractNumId w:val="4"/>
  </w:num>
  <w:num w:numId="16" w16cid:durableId="651638704">
    <w:abstractNumId w:val="30"/>
  </w:num>
  <w:num w:numId="17" w16cid:durableId="217012311">
    <w:abstractNumId w:val="10"/>
  </w:num>
  <w:num w:numId="18" w16cid:durableId="1260404450">
    <w:abstractNumId w:val="22"/>
  </w:num>
  <w:num w:numId="19" w16cid:durableId="1181968108">
    <w:abstractNumId w:val="13"/>
  </w:num>
  <w:num w:numId="20" w16cid:durableId="444084508">
    <w:abstractNumId w:val="25"/>
  </w:num>
  <w:num w:numId="21" w16cid:durableId="1342246293">
    <w:abstractNumId w:val="15"/>
  </w:num>
  <w:num w:numId="22" w16cid:durableId="1206408207">
    <w:abstractNumId w:val="19"/>
  </w:num>
  <w:num w:numId="23" w16cid:durableId="14238923">
    <w:abstractNumId w:val="6"/>
  </w:num>
  <w:num w:numId="24" w16cid:durableId="841315977">
    <w:abstractNumId w:val="34"/>
  </w:num>
  <w:num w:numId="25" w16cid:durableId="1417365793">
    <w:abstractNumId w:val="17"/>
  </w:num>
  <w:num w:numId="26" w16cid:durableId="2144076175">
    <w:abstractNumId w:val="23"/>
  </w:num>
  <w:num w:numId="27" w16cid:durableId="655036591">
    <w:abstractNumId w:val="16"/>
  </w:num>
  <w:num w:numId="28" w16cid:durableId="949779567">
    <w:abstractNumId w:val="2"/>
  </w:num>
  <w:num w:numId="29" w16cid:durableId="1307710174">
    <w:abstractNumId w:val="33"/>
  </w:num>
  <w:num w:numId="30" w16cid:durableId="422185838">
    <w:abstractNumId w:val="8"/>
  </w:num>
  <w:num w:numId="31" w16cid:durableId="784537966">
    <w:abstractNumId w:val="21"/>
  </w:num>
  <w:num w:numId="32" w16cid:durableId="581988538">
    <w:abstractNumId w:val="31"/>
  </w:num>
  <w:num w:numId="33" w16cid:durableId="1479419827">
    <w:abstractNumId w:val="20"/>
  </w:num>
  <w:num w:numId="34" w16cid:durableId="582421448">
    <w:abstractNumId w:val="18"/>
  </w:num>
  <w:num w:numId="35" w16cid:durableId="778069159">
    <w:abstractNumId w:val="12"/>
  </w:num>
  <w:num w:numId="36" w16cid:durableId="1922332030">
    <w:abstractNumId w:val="14"/>
  </w:num>
  <w:num w:numId="37" w16cid:durableId="1895576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36B"/>
    <w:rsid w:val="000008E7"/>
    <w:rsid w:val="000020DA"/>
    <w:rsid w:val="000054B9"/>
    <w:rsid w:val="0001197E"/>
    <w:rsid w:val="0001256A"/>
    <w:rsid w:val="00013827"/>
    <w:rsid w:val="000210D4"/>
    <w:rsid w:val="0002530D"/>
    <w:rsid w:val="0003671A"/>
    <w:rsid w:val="00037D33"/>
    <w:rsid w:val="00043D89"/>
    <w:rsid w:val="00043F65"/>
    <w:rsid w:val="00047A77"/>
    <w:rsid w:val="000553A4"/>
    <w:rsid w:val="00055438"/>
    <w:rsid w:val="0006007D"/>
    <w:rsid w:val="00061231"/>
    <w:rsid w:val="00062AE1"/>
    <w:rsid w:val="00062D4F"/>
    <w:rsid w:val="00063016"/>
    <w:rsid w:val="00066795"/>
    <w:rsid w:val="0006771C"/>
    <w:rsid w:val="00074065"/>
    <w:rsid w:val="0007659F"/>
    <w:rsid w:val="00076AF6"/>
    <w:rsid w:val="000809D3"/>
    <w:rsid w:val="00080C6B"/>
    <w:rsid w:val="0008582F"/>
    <w:rsid w:val="00085CF2"/>
    <w:rsid w:val="00086816"/>
    <w:rsid w:val="00086AC2"/>
    <w:rsid w:val="00094618"/>
    <w:rsid w:val="00095C30"/>
    <w:rsid w:val="000A095B"/>
    <w:rsid w:val="000A0DFC"/>
    <w:rsid w:val="000A2750"/>
    <w:rsid w:val="000A2CD8"/>
    <w:rsid w:val="000A696A"/>
    <w:rsid w:val="000A723B"/>
    <w:rsid w:val="000B040E"/>
    <w:rsid w:val="000B12BC"/>
    <w:rsid w:val="000B1705"/>
    <w:rsid w:val="000B6BE2"/>
    <w:rsid w:val="000C2495"/>
    <w:rsid w:val="000C4F50"/>
    <w:rsid w:val="000C6A18"/>
    <w:rsid w:val="000C6D39"/>
    <w:rsid w:val="000D28E4"/>
    <w:rsid w:val="000D6F91"/>
    <w:rsid w:val="000D75B2"/>
    <w:rsid w:val="000E1BBE"/>
    <w:rsid w:val="000E372C"/>
    <w:rsid w:val="000E3F01"/>
    <w:rsid w:val="000F5DDB"/>
    <w:rsid w:val="000F7B16"/>
    <w:rsid w:val="0010488A"/>
    <w:rsid w:val="00106D7B"/>
    <w:rsid w:val="001121F5"/>
    <w:rsid w:val="001122DA"/>
    <w:rsid w:val="00112A01"/>
    <w:rsid w:val="0011341C"/>
    <w:rsid w:val="001174EB"/>
    <w:rsid w:val="00117D37"/>
    <w:rsid w:val="001232DC"/>
    <w:rsid w:val="00124DF7"/>
    <w:rsid w:val="00124F06"/>
    <w:rsid w:val="0013082D"/>
    <w:rsid w:val="0013398D"/>
    <w:rsid w:val="00134D89"/>
    <w:rsid w:val="0013520F"/>
    <w:rsid w:val="001400DC"/>
    <w:rsid w:val="00140CE1"/>
    <w:rsid w:val="00141682"/>
    <w:rsid w:val="00144304"/>
    <w:rsid w:val="0014658A"/>
    <w:rsid w:val="0015189A"/>
    <w:rsid w:val="00152EEF"/>
    <w:rsid w:val="0015321F"/>
    <w:rsid w:val="001567D8"/>
    <w:rsid w:val="0016028E"/>
    <w:rsid w:val="00161658"/>
    <w:rsid w:val="00161CFE"/>
    <w:rsid w:val="00164919"/>
    <w:rsid w:val="001705E2"/>
    <w:rsid w:val="00170DEF"/>
    <w:rsid w:val="00171D16"/>
    <w:rsid w:val="001729F1"/>
    <w:rsid w:val="0017539C"/>
    <w:rsid w:val="00175AC2"/>
    <w:rsid w:val="0017609F"/>
    <w:rsid w:val="00176F47"/>
    <w:rsid w:val="001812A1"/>
    <w:rsid w:val="001853E8"/>
    <w:rsid w:val="00194931"/>
    <w:rsid w:val="00194B6B"/>
    <w:rsid w:val="001A0640"/>
    <w:rsid w:val="001A1616"/>
    <w:rsid w:val="001A2873"/>
    <w:rsid w:val="001A3154"/>
    <w:rsid w:val="001A4B74"/>
    <w:rsid w:val="001A4D71"/>
    <w:rsid w:val="001A5E93"/>
    <w:rsid w:val="001A685D"/>
    <w:rsid w:val="001A6F29"/>
    <w:rsid w:val="001A7D1D"/>
    <w:rsid w:val="001B2008"/>
    <w:rsid w:val="001B51DD"/>
    <w:rsid w:val="001C166E"/>
    <w:rsid w:val="001C2339"/>
    <w:rsid w:val="001C4AFD"/>
    <w:rsid w:val="001C628E"/>
    <w:rsid w:val="001D26AF"/>
    <w:rsid w:val="001D4596"/>
    <w:rsid w:val="001D6F0A"/>
    <w:rsid w:val="001E043E"/>
    <w:rsid w:val="001E0F7B"/>
    <w:rsid w:val="001E3922"/>
    <w:rsid w:val="001E504A"/>
    <w:rsid w:val="001F124D"/>
    <w:rsid w:val="001F12AA"/>
    <w:rsid w:val="001F5569"/>
    <w:rsid w:val="001F5847"/>
    <w:rsid w:val="001F704D"/>
    <w:rsid w:val="00202805"/>
    <w:rsid w:val="0020487B"/>
    <w:rsid w:val="00204B51"/>
    <w:rsid w:val="002062B1"/>
    <w:rsid w:val="0020764C"/>
    <w:rsid w:val="002119FD"/>
    <w:rsid w:val="002130E0"/>
    <w:rsid w:val="00214AC0"/>
    <w:rsid w:val="00221692"/>
    <w:rsid w:val="002217E9"/>
    <w:rsid w:val="00221F46"/>
    <w:rsid w:val="002227E5"/>
    <w:rsid w:val="002266A6"/>
    <w:rsid w:val="00233020"/>
    <w:rsid w:val="002343A9"/>
    <w:rsid w:val="00235512"/>
    <w:rsid w:val="002410D3"/>
    <w:rsid w:val="002432DC"/>
    <w:rsid w:val="00244B7F"/>
    <w:rsid w:val="00244FB1"/>
    <w:rsid w:val="0024567E"/>
    <w:rsid w:val="002534AB"/>
    <w:rsid w:val="00255360"/>
    <w:rsid w:val="00256000"/>
    <w:rsid w:val="0026241E"/>
    <w:rsid w:val="00264425"/>
    <w:rsid w:val="00265875"/>
    <w:rsid w:val="00270E06"/>
    <w:rsid w:val="0027303B"/>
    <w:rsid w:val="002746E9"/>
    <w:rsid w:val="0027629E"/>
    <w:rsid w:val="00277DEA"/>
    <w:rsid w:val="0028109B"/>
    <w:rsid w:val="002814F2"/>
    <w:rsid w:val="002821C3"/>
    <w:rsid w:val="002916B4"/>
    <w:rsid w:val="00291C6C"/>
    <w:rsid w:val="002A0615"/>
    <w:rsid w:val="002A1315"/>
    <w:rsid w:val="002A133E"/>
    <w:rsid w:val="002A2188"/>
    <w:rsid w:val="002A45ED"/>
    <w:rsid w:val="002A675D"/>
    <w:rsid w:val="002B1093"/>
    <w:rsid w:val="002B1F58"/>
    <w:rsid w:val="002B3211"/>
    <w:rsid w:val="002B3F58"/>
    <w:rsid w:val="002B44C5"/>
    <w:rsid w:val="002C1C7A"/>
    <w:rsid w:val="002C3F32"/>
    <w:rsid w:val="002C54E2"/>
    <w:rsid w:val="002E1223"/>
    <w:rsid w:val="002E6045"/>
    <w:rsid w:val="002E6693"/>
    <w:rsid w:val="002F2AFD"/>
    <w:rsid w:val="002F4720"/>
    <w:rsid w:val="0030160F"/>
    <w:rsid w:val="0031194F"/>
    <w:rsid w:val="00313D56"/>
    <w:rsid w:val="003153A3"/>
    <w:rsid w:val="00320223"/>
    <w:rsid w:val="0032170E"/>
    <w:rsid w:val="00322C7F"/>
    <w:rsid w:val="00322D0D"/>
    <w:rsid w:val="003304F4"/>
    <w:rsid w:val="003313A8"/>
    <w:rsid w:val="0033147F"/>
    <w:rsid w:val="00335BE1"/>
    <w:rsid w:val="00337690"/>
    <w:rsid w:val="003402DE"/>
    <w:rsid w:val="00340F0E"/>
    <w:rsid w:val="00340F8D"/>
    <w:rsid w:val="00352650"/>
    <w:rsid w:val="00353BD4"/>
    <w:rsid w:val="00354104"/>
    <w:rsid w:val="00354E50"/>
    <w:rsid w:val="003602A2"/>
    <w:rsid w:val="003602AF"/>
    <w:rsid w:val="00361465"/>
    <w:rsid w:val="003628A0"/>
    <w:rsid w:val="00363D13"/>
    <w:rsid w:val="00364085"/>
    <w:rsid w:val="003735D4"/>
    <w:rsid w:val="0037757F"/>
    <w:rsid w:val="00377872"/>
    <w:rsid w:val="003805AE"/>
    <w:rsid w:val="003811BF"/>
    <w:rsid w:val="0038503F"/>
    <w:rsid w:val="00387661"/>
    <w:rsid w:val="003877F5"/>
    <w:rsid w:val="0039052A"/>
    <w:rsid w:val="0039250C"/>
    <w:rsid w:val="003936D3"/>
    <w:rsid w:val="003942D4"/>
    <w:rsid w:val="0039570C"/>
    <w:rsid w:val="003958A8"/>
    <w:rsid w:val="0039625C"/>
    <w:rsid w:val="00396866"/>
    <w:rsid w:val="0039704E"/>
    <w:rsid w:val="003A0421"/>
    <w:rsid w:val="003A3DBD"/>
    <w:rsid w:val="003A6970"/>
    <w:rsid w:val="003A73CB"/>
    <w:rsid w:val="003B11DC"/>
    <w:rsid w:val="003B1BE2"/>
    <w:rsid w:val="003B278D"/>
    <w:rsid w:val="003B29C2"/>
    <w:rsid w:val="003B4771"/>
    <w:rsid w:val="003B4FAF"/>
    <w:rsid w:val="003B6607"/>
    <w:rsid w:val="003C10AA"/>
    <w:rsid w:val="003C2533"/>
    <w:rsid w:val="003D5A7F"/>
    <w:rsid w:val="003E05CE"/>
    <w:rsid w:val="003E06A9"/>
    <w:rsid w:val="003F0228"/>
    <w:rsid w:val="003F0DDA"/>
    <w:rsid w:val="003F3C6A"/>
    <w:rsid w:val="004012AE"/>
    <w:rsid w:val="0040435A"/>
    <w:rsid w:val="00405698"/>
    <w:rsid w:val="00411485"/>
    <w:rsid w:val="00414138"/>
    <w:rsid w:val="00414467"/>
    <w:rsid w:val="0041564C"/>
    <w:rsid w:val="00416A24"/>
    <w:rsid w:val="00423F1C"/>
    <w:rsid w:val="00424160"/>
    <w:rsid w:val="00431D9E"/>
    <w:rsid w:val="00433CE8"/>
    <w:rsid w:val="00434A5C"/>
    <w:rsid w:val="004426DB"/>
    <w:rsid w:val="004437E1"/>
    <w:rsid w:val="004463B0"/>
    <w:rsid w:val="00453079"/>
    <w:rsid w:val="004544D9"/>
    <w:rsid w:val="00455AA3"/>
    <w:rsid w:val="00461FE5"/>
    <w:rsid w:val="00464628"/>
    <w:rsid w:val="00466A49"/>
    <w:rsid w:val="00466F62"/>
    <w:rsid w:val="004671E5"/>
    <w:rsid w:val="00470C49"/>
    <w:rsid w:val="0047157F"/>
    <w:rsid w:val="0047171A"/>
    <w:rsid w:val="00471E9B"/>
    <w:rsid w:val="00472BAD"/>
    <w:rsid w:val="00474D91"/>
    <w:rsid w:val="00474DFD"/>
    <w:rsid w:val="00482B06"/>
    <w:rsid w:val="00484009"/>
    <w:rsid w:val="0048437D"/>
    <w:rsid w:val="00490E72"/>
    <w:rsid w:val="00491157"/>
    <w:rsid w:val="0049123B"/>
    <w:rsid w:val="00491BA9"/>
    <w:rsid w:val="004921C8"/>
    <w:rsid w:val="0049260A"/>
    <w:rsid w:val="0049369C"/>
    <w:rsid w:val="00495615"/>
    <w:rsid w:val="00495B0B"/>
    <w:rsid w:val="004961EF"/>
    <w:rsid w:val="00496F4E"/>
    <w:rsid w:val="004A18B5"/>
    <w:rsid w:val="004A1B8B"/>
    <w:rsid w:val="004A680E"/>
    <w:rsid w:val="004B085C"/>
    <w:rsid w:val="004B0D18"/>
    <w:rsid w:val="004B28AA"/>
    <w:rsid w:val="004B2963"/>
    <w:rsid w:val="004B30C2"/>
    <w:rsid w:val="004B41AF"/>
    <w:rsid w:val="004B49A9"/>
    <w:rsid w:val="004B68A8"/>
    <w:rsid w:val="004C5491"/>
    <w:rsid w:val="004C562B"/>
    <w:rsid w:val="004D1851"/>
    <w:rsid w:val="004D599D"/>
    <w:rsid w:val="004E2D3A"/>
    <w:rsid w:val="004E2EA5"/>
    <w:rsid w:val="004E3AEB"/>
    <w:rsid w:val="004E5D9B"/>
    <w:rsid w:val="004F34B2"/>
    <w:rsid w:val="0050223C"/>
    <w:rsid w:val="005068EC"/>
    <w:rsid w:val="00510305"/>
    <w:rsid w:val="005114A0"/>
    <w:rsid w:val="00512087"/>
    <w:rsid w:val="00512A3D"/>
    <w:rsid w:val="00512D91"/>
    <w:rsid w:val="00520B17"/>
    <w:rsid w:val="005243FF"/>
    <w:rsid w:val="005245A9"/>
    <w:rsid w:val="00524A1C"/>
    <w:rsid w:val="00526AA9"/>
    <w:rsid w:val="00535A55"/>
    <w:rsid w:val="00537028"/>
    <w:rsid w:val="00540463"/>
    <w:rsid w:val="00544B86"/>
    <w:rsid w:val="00550148"/>
    <w:rsid w:val="00551723"/>
    <w:rsid w:val="00553E23"/>
    <w:rsid w:val="00554250"/>
    <w:rsid w:val="00554722"/>
    <w:rsid w:val="00554742"/>
    <w:rsid w:val="00555F24"/>
    <w:rsid w:val="00560A29"/>
    <w:rsid w:val="00564FBC"/>
    <w:rsid w:val="00565D76"/>
    <w:rsid w:val="005679E4"/>
    <w:rsid w:val="005704C9"/>
    <w:rsid w:val="00570B57"/>
    <w:rsid w:val="005712B0"/>
    <w:rsid w:val="0057139E"/>
    <w:rsid w:val="00572787"/>
    <w:rsid w:val="00573F7F"/>
    <w:rsid w:val="0057614B"/>
    <w:rsid w:val="005800BC"/>
    <w:rsid w:val="00582442"/>
    <w:rsid w:val="00585FAC"/>
    <w:rsid w:val="00587363"/>
    <w:rsid w:val="005915E5"/>
    <w:rsid w:val="00591A8B"/>
    <w:rsid w:val="0059421C"/>
    <w:rsid w:val="00597AB2"/>
    <w:rsid w:val="005A4EC1"/>
    <w:rsid w:val="005A59C1"/>
    <w:rsid w:val="005A78A2"/>
    <w:rsid w:val="005B16FA"/>
    <w:rsid w:val="005B667F"/>
    <w:rsid w:val="005C2116"/>
    <w:rsid w:val="005C28D6"/>
    <w:rsid w:val="005C532A"/>
    <w:rsid w:val="005C53FF"/>
    <w:rsid w:val="005C5A5B"/>
    <w:rsid w:val="005D140E"/>
    <w:rsid w:val="005D39E6"/>
    <w:rsid w:val="005D49D3"/>
    <w:rsid w:val="005D5441"/>
    <w:rsid w:val="005D627A"/>
    <w:rsid w:val="005F1293"/>
    <w:rsid w:val="005F3269"/>
    <w:rsid w:val="00600A09"/>
    <w:rsid w:val="00601BBB"/>
    <w:rsid w:val="006030A7"/>
    <w:rsid w:val="006041B5"/>
    <w:rsid w:val="006069B1"/>
    <w:rsid w:val="0061071E"/>
    <w:rsid w:val="006114C2"/>
    <w:rsid w:val="00615A80"/>
    <w:rsid w:val="0061720F"/>
    <w:rsid w:val="006175AE"/>
    <w:rsid w:val="00623586"/>
    <w:rsid w:val="00623AE3"/>
    <w:rsid w:val="00624835"/>
    <w:rsid w:val="0062752D"/>
    <w:rsid w:val="00631942"/>
    <w:rsid w:val="00633329"/>
    <w:rsid w:val="00633431"/>
    <w:rsid w:val="00640BE1"/>
    <w:rsid w:val="0064697B"/>
    <w:rsid w:val="00646DB0"/>
    <w:rsid w:val="0064737F"/>
    <w:rsid w:val="00650347"/>
    <w:rsid w:val="006511BE"/>
    <w:rsid w:val="006535F1"/>
    <w:rsid w:val="0065557D"/>
    <w:rsid w:val="00660D50"/>
    <w:rsid w:val="00662984"/>
    <w:rsid w:val="006716BB"/>
    <w:rsid w:val="006737ED"/>
    <w:rsid w:val="00674703"/>
    <w:rsid w:val="00677AAA"/>
    <w:rsid w:val="00681388"/>
    <w:rsid w:val="00682694"/>
    <w:rsid w:val="006914D5"/>
    <w:rsid w:val="00691700"/>
    <w:rsid w:val="0069664A"/>
    <w:rsid w:val="006A2F4B"/>
    <w:rsid w:val="006A5402"/>
    <w:rsid w:val="006A55A0"/>
    <w:rsid w:val="006A625A"/>
    <w:rsid w:val="006B0990"/>
    <w:rsid w:val="006B1859"/>
    <w:rsid w:val="006B35A0"/>
    <w:rsid w:val="006B4940"/>
    <w:rsid w:val="006B6680"/>
    <w:rsid w:val="006B6C96"/>
    <w:rsid w:val="006B6DCC"/>
    <w:rsid w:val="006B77F1"/>
    <w:rsid w:val="006C5898"/>
    <w:rsid w:val="006D095A"/>
    <w:rsid w:val="006D0FC3"/>
    <w:rsid w:val="006D19AC"/>
    <w:rsid w:val="006D7423"/>
    <w:rsid w:val="006E4072"/>
    <w:rsid w:val="006E4AC0"/>
    <w:rsid w:val="006E4C34"/>
    <w:rsid w:val="006E70A5"/>
    <w:rsid w:val="006E7CC1"/>
    <w:rsid w:val="006F293B"/>
    <w:rsid w:val="006F7A37"/>
    <w:rsid w:val="00700DBB"/>
    <w:rsid w:val="00701BFC"/>
    <w:rsid w:val="00701F26"/>
    <w:rsid w:val="00702DEF"/>
    <w:rsid w:val="00706861"/>
    <w:rsid w:val="00707617"/>
    <w:rsid w:val="00713EFF"/>
    <w:rsid w:val="00714EC6"/>
    <w:rsid w:val="00720631"/>
    <w:rsid w:val="00722551"/>
    <w:rsid w:val="00722796"/>
    <w:rsid w:val="007249DC"/>
    <w:rsid w:val="00725126"/>
    <w:rsid w:val="00731407"/>
    <w:rsid w:val="0073236A"/>
    <w:rsid w:val="0074531D"/>
    <w:rsid w:val="00745E94"/>
    <w:rsid w:val="0075051B"/>
    <w:rsid w:val="00750937"/>
    <w:rsid w:val="00760C21"/>
    <w:rsid w:val="00760CF7"/>
    <w:rsid w:val="0076151B"/>
    <w:rsid w:val="00765C89"/>
    <w:rsid w:val="00766B8E"/>
    <w:rsid w:val="00766C47"/>
    <w:rsid w:val="0077110E"/>
    <w:rsid w:val="007755E6"/>
    <w:rsid w:val="00775AFC"/>
    <w:rsid w:val="00776015"/>
    <w:rsid w:val="00776F6C"/>
    <w:rsid w:val="00777C36"/>
    <w:rsid w:val="007817C4"/>
    <w:rsid w:val="00782D45"/>
    <w:rsid w:val="00783E62"/>
    <w:rsid w:val="00784547"/>
    <w:rsid w:val="00784909"/>
    <w:rsid w:val="00786D93"/>
    <w:rsid w:val="007911FA"/>
    <w:rsid w:val="0079301D"/>
    <w:rsid w:val="00793188"/>
    <w:rsid w:val="00794D34"/>
    <w:rsid w:val="007A31DA"/>
    <w:rsid w:val="007A3B58"/>
    <w:rsid w:val="007A3FCD"/>
    <w:rsid w:val="007A5A8F"/>
    <w:rsid w:val="007A5E9F"/>
    <w:rsid w:val="007B0324"/>
    <w:rsid w:val="007B10AE"/>
    <w:rsid w:val="007B19CF"/>
    <w:rsid w:val="007B26BD"/>
    <w:rsid w:val="007B775E"/>
    <w:rsid w:val="007C167B"/>
    <w:rsid w:val="007C315F"/>
    <w:rsid w:val="007D01AF"/>
    <w:rsid w:val="007D0369"/>
    <w:rsid w:val="007D15B6"/>
    <w:rsid w:val="007D3BB4"/>
    <w:rsid w:val="007D3FC6"/>
    <w:rsid w:val="007E06DD"/>
    <w:rsid w:val="007E1443"/>
    <w:rsid w:val="007E17BA"/>
    <w:rsid w:val="007E6C1D"/>
    <w:rsid w:val="007F2C5B"/>
    <w:rsid w:val="007F2CEC"/>
    <w:rsid w:val="007F6692"/>
    <w:rsid w:val="007F6960"/>
    <w:rsid w:val="00802923"/>
    <w:rsid w:val="008105B6"/>
    <w:rsid w:val="0081094C"/>
    <w:rsid w:val="008113EB"/>
    <w:rsid w:val="0081396C"/>
    <w:rsid w:val="00813E5E"/>
    <w:rsid w:val="00820ED8"/>
    <w:rsid w:val="00827AB1"/>
    <w:rsid w:val="00827BD8"/>
    <w:rsid w:val="00830A88"/>
    <w:rsid w:val="00833ED2"/>
    <w:rsid w:val="0083581B"/>
    <w:rsid w:val="0083680C"/>
    <w:rsid w:val="00840B42"/>
    <w:rsid w:val="00842449"/>
    <w:rsid w:val="0084546D"/>
    <w:rsid w:val="00853E3D"/>
    <w:rsid w:val="008556D4"/>
    <w:rsid w:val="00857426"/>
    <w:rsid w:val="00861E59"/>
    <w:rsid w:val="00863874"/>
    <w:rsid w:val="00864AFF"/>
    <w:rsid w:val="00865925"/>
    <w:rsid w:val="00872274"/>
    <w:rsid w:val="008726C3"/>
    <w:rsid w:val="00874EEB"/>
    <w:rsid w:val="008761C2"/>
    <w:rsid w:val="00887CAD"/>
    <w:rsid w:val="008927F0"/>
    <w:rsid w:val="008951FB"/>
    <w:rsid w:val="008953AA"/>
    <w:rsid w:val="00895EBB"/>
    <w:rsid w:val="00897103"/>
    <w:rsid w:val="008A3520"/>
    <w:rsid w:val="008A6C87"/>
    <w:rsid w:val="008A7DE2"/>
    <w:rsid w:val="008B0AD3"/>
    <w:rsid w:val="008B4804"/>
    <w:rsid w:val="008B4A6A"/>
    <w:rsid w:val="008B5A7D"/>
    <w:rsid w:val="008B7D2A"/>
    <w:rsid w:val="008C0612"/>
    <w:rsid w:val="008C502F"/>
    <w:rsid w:val="008C5A28"/>
    <w:rsid w:val="008C636E"/>
    <w:rsid w:val="008C7E27"/>
    <w:rsid w:val="008C7F3F"/>
    <w:rsid w:val="008D22D3"/>
    <w:rsid w:val="008D4DB7"/>
    <w:rsid w:val="008D5D4A"/>
    <w:rsid w:val="008E0C85"/>
    <w:rsid w:val="008E0EB7"/>
    <w:rsid w:val="008E273C"/>
    <w:rsid w:val="008F0FEC"/>
    <w:rsid w:val="008F3CCC"/>
    <w:rsid w:val="008F5E4D"/>
    <w:rsid w:val="008F5F2C"/>
    <w:rsid w:val="008F7448"/>
    <w:rsid w:val="0090147A"/>
    <w:rsid w:val="009055A1"/>
    <w:rsid w:val="00913113"/>
    <w:rsid w:val="009173EF"/>
    <w:rsid w:val="00920287"/>
    <w:rsid w:val="009222CE"/>
    <w:rsid w:val="009243CD"/>
    <w:rsid w:val="0092442E"/>
    <w:rsid w:val="00925261"/>
    <w:rsid w:val="009271C0"/>
    <w:rsid w:val="00932906"/>
    <w:rsid w:val="0093723F"/>
    <w:rsid w:val="00937854"/>
    <w:rsid w:val="0093795B"/>
    <w:rsid w:val="00937CA9"/>
    <w:rsid w:val="00944279"/>
    <w:rsid w:val="009466A0"/>
    <w:rsid w:val="00950CFB"/>
    <w:rsid w:val="0095444A"/>
    <w:rsid w:val="00954C49"/>
    <w:rsid w:val="00957623"/>
    <w:rsid w:val="00957FB2"/>
    <w:rsid w:val="00961B0B"/>
    <w:rsid w:val="00961FCF"/>
    <w:rsid w:val="00962D33"/>
    <w:rsid w:val="00971BA4"/>
    <w:rsid w:val="00975FB6"/>
    <w:rsid w:val="009809B3"/>
    <w:rsid w:val="009811E4"/>
    <w:rsid w:val="00981EC7"/>
    <w:rsid w:val="009829A3"/>
    <w:rsid w:val="009842A1"/>
    <w:rsid w:val="009844BE"/>
    <w:rsid w:val="009853C5"/>
    <w:rsid w:val="0098725D"/>
    <w:rsid w:val="00994B3C"/>
    <w:rsid w:val="009A0DE8"/>
    <w:rsid w:val="009A35D7"/>
    <w:rsid w:val="009A627C"/>
    <w:rsid w:val="009A76A8"/>
    <w:rsid w:val="009B38C3"/>
    <w:rsid w:val="009C0FB6"/>
    <w:rsid w:val="009C1F82"/>
    <w:rsid w:val="009C2BAC"/>
    <w:rsid w:val="009C773E"/>
    <w:rsid w:val="009D05AF"/>
    <w:rsid w:val="009D34A5"/>
    <w:rsid w:val="009D6D2D"/>
    <w:rsid w:val="009E17BD"/>
    <w:rsid w:val="009E4336"/>
    <w:rsid w:val="009E485A"/>
    <w:rsid w:val="009E5B2B"/>
    <w:rsid w:val="009E6500"/>
    <w:rsid w:val="009E6F37"/>
    <w:rsid w:val="009F0EBD"/>
    <w:rsid w:val="009F19B8"/>
    <w:rsid w:val="009F3265"/>
    <w:rsid w:val="009F73B7"/>
    <w:rsid w:val="00A004F2"/>
    <w:rsid w:val="00A02F88"/>
    <w:rsid w:val="00A04CEC"/>
    <w:rsid w:val="00A0588D"/>
    <w:rsid w:val="00A07FEA"/>
    <w:rsid w:val="00A109AF"/>
    <w:rsid w:val="00A10E58"/>
    <w:rsid w:val="00A228AD"/>
    <w:rsid w:val="00A23E73"/>
    <w:rsid w:val="00A24517"/>
    <w:rsid w:val="00A25470"/>
    <w:rsid w:val="00A27F92"/>
    <w:rsid w:val="00A3072D"/>
    <w:rsid w:val="00A32257"/>
    <w:rsid w:val="00A33D84"/>
    <w:rsid w:val="00A34278"/>
    <w:rsid w:val="00A36D20"/>
    <w:rsid w:val="00A3769D"/>
    <w:rsid w:val="00A40339"/>
    <w:rsid w:val="00A40DC0"/>
    <w:rsid w:val="00A41966"/>
    <w:rsid w:val="00A42A2A"/>
    <w:rsid w:val="00A42BDE"/>
    <w:rsid w:val="00A44B10"/>
    <w:rsid w:val="00A44EFE"/>
    <w:rsid w:val="00A514A4"/>
    <w:rsid w:val="00A55622"/>
    <w:rsid w:val="00A6108E"/>
    <w:rsid w:val="00A6434A"/>
    <w:rsid w:val="00A700CE"/>
    <w:rsid w:val="00A71E3B"/>
    <w:rsid w:val="00A75261"/>
    <w:rsid w:val="00A77A27"/>
    <w:rsid w:val="00A80FC1"/>
    <w:rsid w:val="00A819D4"/>
    <w:rsid w:val="00A82237"/>
    <w:rsid w:val="00A83502"/>
    <w:rsid w:val="00A913E1"/>
    <w:rsid w:val="00A9184F"/>
    <w:rsid w:val="00A94BAB"/>
    <w:rsid w:val="00A97311"/>
    <w:rsid w:val="00AA32B2"/>
    <w:rsid w:val="00AA49C5"/>
    <w:rsid w:val="00AA54FE"/>
    <w:rsid w:val="00AB07DF"/>
    <w:rsid w:val="00AB5F61"/>
    <w:rsid w:val="00AC1466"/>
    <w:rsid w:val="00AC37A2"/>
    <w:rsid w:val="00AC64E0"/>
    <w:rsid w:val="00AD15B3"/>
    <w:rsid w:val="00AD3606"/>
    <w:rsid w:val="00AD4A3D"/>
    <w:rsid w:val="00AE00F9"/>
    <w:rsid w:val="00AE343C"/>
    <w:rsid w:val="00AE391A"/>
    <w:rsid w:val="00AE52D7"/>
    <w:rsid w:val="00AE7C3E"/>
    <w:rsid w:val="00AF26CD"/>
    <w:rsid w:val="00AF6D3B"/>
    <w:rsid w:val="00AF6E49"/>
    <w:rsid w:val="00AF745D"/>
    <w:rsid w:val="00B00892"/>
    <w:rsid w:val="00B00E53"/>
    <w:rsid w:val="00B0231F"/>
    <w:rsid w:val="00B03EFE"/>
    <w:rsid w:val="00B04A67"/>
    <w:rsid w:val="00B0583C"/>
    <w:rsid w:val="00B14D33"/>
    <w:rsid w:val="00B150EC"/>
    <w:rsid w:val="00B25847"/>
    <w:rsid w:val="00B2703A"/>
    <w:rsid w:val="00B40A81"/>
    <w:rsid w:val="00B42C2D"/>
    <w:rsid w:val="00B431D9"/>
    <w:rsid w:val="00B44910"/>
    <w:rsid w:val="00B4713F"/>
    <w:rsid w:val="00B52BD8"/>
    <w:rsid w:val="00B54F0A"/>
    <w:rsid w:val="00B564F1"/>
    <w:rsid w:val="00B57C1A"/>
    <w:rsid w:val="00B60224"/>
    <w:rsid w:val="00B608A1"/>
    <w:rsid w:val="00B61D3F"/>
    <w:rsid w:val="00B61FD5"/>
    <w:rsid w:val="00B72267"/>
    <w:rsid w:val="00B748EE"/>
    <w:rsid w:val="00B76EB6"/>
    <w:rsid w:val="00B7737B"/>
    <w:rsid w:val="00B77F40"/>
    <w:rsid w:val="00B801E0"/>
    <w:rsid w:val="00B824C8"/>
    <w:rsid w:val="00B83D3C"/>
    <w:rsid w:val="00B84B9D"/>
    <w:rsid w:val="00B9131F"/>
    <w:rsid w:val="00B92C74"/>
    <w:rsid w:val="00B978B4"/>
    <w:rsid w:val="00BA2A63"/>
    <w:rsid w:val="00BA3035"/>
    <w:rsid w:val="00BA33B9"/>
    <w:rsid w:val="00BA4AE1"/>
    <w:rsid w:val="00BB0646"/>
    <w:rsid w:val="00BB18EE"/>
    <w:rsid w:val="00BB4980"/>
    <w:rsid w:val="00BB5BF1"/>
    <w:rsid w:val="00BB70A5"/>
    <w:rsid w:val="00BC12E3"/>
    <w:rsid w:val="00BC1429"/>
    <w:rsid w:val="00BC1F2B"/>
    <w:rsid w:val="00BC251A"/>
    <w:rsid w:val="00BC4A20"/>
    <w:rsid w:val="00BC6353"/>
    <w:rsid w:val="00BD032B"/>
    <w:rsid w:val="00BD10E8"/>
    <w:rsid w:val="00BD161D"/>
    <w:rsid w:val="00BD425D"/>
    <w:rsid w:val="00BD55EC"/>
    <w:rsid w:val="00BD678C"/>
    <w:rsid w:val="00BE01C6"/>
    <w:rsid w:val="00BE0A58"/>
    <w:rsid w:val="00BE17D2"/>
    <w:rsid w:val="00BE2640"/>
    <w:rsid w:val="00BE7C33"/>
    <w:rsid w:val="00BE7C5E"/>
    <w:rsid w:val="00BE7D33"/>
    <w:rsid w:val="00BF1B7D"/>
    <w:rsid w:val="00BF1FDE"/>
    <w:rsid w:val="00BF320B"/>
    <w:rsid w:val="00BF4114"/>
    <w:rsid w:val="00BF6153"/>
    <w:rsid w:val="00BF6360"/>
    <w:rsid w:val="00BF76CF"/>
    <w:rsid w:val="00C003C4"/>
    <w:rsid w:val="00C01189"/>
    <w:rsid w:val="00C019B1"/>
    <w:rsid w:val="00C0458D"/>
    <w:rsid w:val="00C374DE"/>
    <w:rsid w:val="00C457AC"/>
    <w:rsid w:val="00C466F8"/>
    <w:rsid w:val="00C46F87"/>
    <w:rsid w:val="00C47223"/>
    <w:rsid w:val="00C47AD4"/>
    <w:rsid w:val="00C51240"/>
    <w:rsid w:val="00C51A74"/>
    <w:rsid w:val="00C52D81"/>
    <w:rsid w:val="00C54E27"/>
    <w:rsid w:val="00C55198"/>
    <w:rsid w:val="00C567AF"/>
    <w:rsid w:val="00C63069"/>
    <w:rsid w:val="00C6368C"/>
    <w:rsid w:val="00C6520B"/>
    <w:rsid w:val="00C70702"/>
    <w:rsid w:val="00C70FFF"/>
    <w:rsid w:val="00C74293"/>
    <w:rsid w:val="00C7729D"/>
    <w:rsid w:val="00C844B6"/>
    <w:rsid w:val="00C86931"/>
    <w:rsid w:val="00C92311"/>
    <w:rsid w:val="00CA06A8"/>
    <w:rsid w:val="00CA27E0"/>
    <w:rsid w:val="00CA6393"/>
    <w:rsid w:val="00CA6FC4"/>
    <w:rsid w:val="00CA7995"/>
    <w:rsid w:val="00CB0341"/>
    <w:rsid w:val="00CB1582"/>
    <w:rsid w:val="00CB18FF"/>
    <w:rsid w:val="00CB2B43"/>
    <w:rsid w:val="00CB5482"/>
    <w:rsid w:val="00CB64FB"/>
    <w:rsid w:val="00CC160F"/>
    <w:rsid w:val="00CC2834"/>
    <w:rsid w:val="00CD0C08"/>
    <w:rsid w:val="00CD46EE"/>
    <w:rsid w:val="00CD77B5"/>
    <w:rsid w:val="00CD7CF2"/>
    <w:rsid w:val="00CE03FB"/>
    <w:rsid w:val="00CE04D6"/>
    <w:rsid w:val="00CE433C"/>
    <w:rsid w:val="00CF0161"/>
    <w:rsid w:val="00CF33F3"/>
    <w:rsid w:val="00CF3F55"/>
    <w:rsid w:val="00CF4A2B"/>
    <w:rsid w:val="00D013B3"/>
    <w:rsid w:val="00D024CA"/>
    <w:rsid w:val="00D04B96"/>
    <w:rsid w:val="00D04C46"/>
    <w:rsid w:val="00D06183"/>
    <w:rsid w:val="00D1165F"/>
    <w:rsid w:val="00D1458E"/>
    <w:rsid w:val="00D22C42"/>
    <w:rsid w:val="00D29C1A"/>
    <w:rsid w:val="00D315E9"/>
    <w:rsid w:val="00D3393A"/>
    <w:rsid w:val="00D36CBC"/>
    <w:rsid w:val="00D4459B"/>
    <w:rsid w:val="00D4744D"/>
    <w:rsid w:val="00D52EAF"/>
    <w:rsid w:val="00D5445F"/>
    <w:rsid w:val="00D62490"/>
    <w:rsid w:val="00D649BE"/>
    <w:rsid w:val="00D65041"/>
    <w:rsid w:val="00D650F1"/>
    <w:rsid w:val="00D67EF9"/>
    <w:rsid w:val="00D700A3"/>
    <w:rsid w:val="00D7073D"/>
    <w:rsid w:val="00D7270E"/>
    <w:rsid w:val="00D72AF9"/>
    <w:rsid w:val="00D74919"/>
    <w:rsid w:val="00D75788"/>
    <w:rsid w:val="00D82614"/>
    <w:rsid w:val="00D8393C"/>
    <w:rsid w:val="00D8624C"/>
    <w:rsid w:val="00D87771"/>
    <w:rsid w:val="00D87861"/>
    <w:rsid w:val="00D87CC0"/>
    <w:rsid w:val="00D9217C"/>
    <w:rsid w:val="00D94B66"/>
    <w:rsid w:val="00D964ED"/>
    <w:rsid w:val="00D9684C"/>
    <w:rsid w:val="00DA0FF9"/>
    <w:rsid w:val="00DA29AA"/>
    <w:rsid w:val="00DA3442"/>
    <w:rsid w:val="00DA481D"/>
    <w:rsid w:val="00DA63E1"/>
    <w:rsid w:val="00DB0081"/>
    <w:rsid w:val="00DB0357"/>
    <w:rsid w:val="00DB1050"/>
    <w:rsid w:val="00DB188A"/>
    <w:rsid w:val="00DB1936"/>
    <w:rsid w:val="00DB384B"/>
    <w:rsid w:val="00DB3B05"/>
    <w:rsid w:val="00DC0A73"/>
    <w:rsid w:val="00DC673D"/>
    <w:rsid w:val="00DD0EE3"/>
    <w:rsid w:val="00DD17B4"/>
    <w:rsid w:val="00DD4521"/>
    <w:rsid w:val="00DD578A"/>
    <w:rsid w:val="00DD664A"/>
    <w:rsid w:val="00DD69C1"/>
    <w:rsid w:val="00DE532B"/>
    <w:rsid w:val="00DE6B7E"/>
    <w:rsid w:val="00DF0189"/>
    <w:rsid w:val="00DF1DF1"/>
    <w:rsid w:val="00DF327B"/>
    <w:rsid w:val="00E00933"/>
    <w:rsid w:val="00E00DD0"/>
    <w:rsid w:val="00E01CA6"/>
    <w:rsid w:val="00E059E0"/>
    <w:rsid w:val="00E06FD5"/>
    <w:rsid w:val="00E10250"/>
    <w:rsid w:val="00E10E80"/>
    <w:rsid w:val="00E114BD"/>
    <w:rsid w:val="00E124F0"/>
    <w:rsid w:val="00E1667A"/>
    <w:rsid w:val="00E227F3"/>
    <w:rsid w:val="00E31246"/>
    <w:rsid w:val="00E31BE4"/>
    <w:rsid w:val="00E37984"/>
    <w:rsid w:val="00E42262"/>
    <w:rsid w:val="00E43832"/>
    <w:rsid w:val="00E44D51"/>
    <w:rsid w:val="00E51DB3"/>
    <w:rsid w:val="00E51F1D"/>
    <w:rsid w:val="00E545C6"/>
    <w:rsid w:val="00E57041"/>
    <w:rsid w:val="00E60F04"/>
    <w:rsid w:val="00E65ACF"/>
    <w:rsid w:val="00E65B24"/>
    <w:rsid w:val="00E74482"/>
    <w:rsid w:val="00E74FC2"/>
    <w:rsid w:val="00E8453F"/>
    <w:rsid w:val="00E854E4"/>
    <w:rsid w:val="00E85B72"/>
    <w:rsid w:val="00E85D21"/>
    <w:rsid w:val="00E86CF5"/>
    <w:rsid w:val="00E86DBF"/>
    <w:rsid w:val="00E91387"/>
    <w:rsid w:val="00E916D3"/>
    <w:rsid w:val="00E916E5"/>
    <w:rsid w:val="00E91FAF"/>
    <w:rsid w:val="00E94B7D"/>
    <w:rsid w:val="00E969AF"/>
    <w:rsid w:val="00E96E33"/>
    <w:rsid w:val="00EA185D"/>
    <w:rsid w:val="00EA29AB"/>
    <w:rsid w:val="00EA5F88"/>
    <w:rsid w:val="00EB0D6F"/>
    <w:rsid w:val="00EB2232"/>
    <w:rsid w:val="00EB3B2A"/>
    <w:rsid w:val="00EB543F"/>
    <w:rsid w:val="00EC128A"/>
    <w:rsid w:val="00EC3ED0"/>
    <w:rsid w:val="00EC4679"/>
    <w:rsid w:val="00EC5337"/>
    <w:rsid w:val="00EC5854"/>
    <w:rsid w:val="00ED2538"/>
    <w:rsid w:val="00ED7614"/>
    <w:rsid w:val="00EE3DC5"/>
    <w:rsid w:val="00EE49E8"/>
    <w:rsid w:val="00EE65C4"/>
    <w:rsid w:val="00EE6CFA"/>
    <w:rsid w:val="00EE7A6D"/>
    <w:rsid w:val="00EF1F77"/>
    <w:rsid w:val="00EF405B"/>
    <w:rsid w:val="00EF4161"/>
    <w:rsid w:val="00EF44A4"/>
    <w:rsid w:val="00EF5980"/>
    <w:rsid w:val="00EF7FA5"/>
    <w:rsid w:val="00F03620"/>
    <w:rsid w:val="00F04870"/>
    <w:rsid w:val="00F1226D"/>
    <w:rsid w:val="00F12C6B"/>
    <w:rsid w:val="00F12EC2"/>
    <w:rsid w:val="00F139AE"/>
    <w:rsid w:val="00F141F3"/>
    <w:rsid w:val="00F16BAB"/>
    <w:rsid w:val="00F16EA9"/>
    <w:rsid w:val="00F20E20"/>
    <w:rsid w:val="00F2150A"/>
    <w:rsid w:val="00F231D8"/>
    <w:rsid w:val="00F25355"/>
    <w:rsid w:val="00F25B65"/>
    <w:rsid w:val="00F352B4"/>
    <w:rsid w:val="00F43BF7"/>
    <w:rsid w:val="00F43CE0"/>
    <w:rsid w:val="00F44C00"/>
    <w:rsid w:val="00F45D2C"/>
    <w:rsid w:val="00F46B9D"/>
    <w:rsid w:val="00F46C5F"/>
    <w:rsid w:val="00F47B0D"/>
    <w:rsid w:val="00F50B7C"/>
    <w:rsid w:val="00F54357"/>
    <w:rsid w:val="00F60161"/>
    <w:rsid w:val="00F62DD7"/>
    <w:rsid w:val="00F632C0"/>
    <w:rsid w:val="00F641E1"/>
    <w:rsid w:val="00F64F6C"/>
    <w:rsid w:val="00F71634"/>
    <w:rsid w:val="00F843C2"/>
    <w:rsid w:val="00F94A63"/>
    <w:rsid w:val="00F94D75"/>
    <w:rsid w:val="00F9764E"/>
    <w:rsid w:val="00FA11C0"/>
    <w:rsid w:val="00FA1C28"/>
    <w:rsid w:val="00FA447F"/>
    <w:rsid w:val="00FA4775"/>
    <w:rsid w:val="00FA5AE4"/>
    <w:rsid w:val="00FB1279"/>
    <w:rsid w:val="00FB37B2"/>
    <w:rsid w:val="00FB6B76"/>
    <w:rsid w:val="00FB7596"/>
    <w:rsid w:val="00FC0147"/>
    <w:rsid w:val="00FC2E43"/>
    <w:rsid w:val="00FC3B84"/>
    <w:rsid w:val="00FC5BAF"/>
    <w:rsid w:val="00FC6659"/>
    <w:rsid w:val="00FC7692"/>
    <w:rsid w:val="00FD01A5"/>
    <w:rsid w:val="00FD0BE0"/>
    <w:rsid w:val="00FD2BC0"/>
    <w:rsid w:val="00FD3C8B"/>
    <w:rsid w:val="00FE26B1"/>
    <w:rsid w:val="00FE4077"/>
    <w:rsid w:val="00FE500D"/>
    <w:rsid w:val="00FE77D2"/>
    <w:rsid w:val="00FF2CDD"/>
    <w:rsid w:val="00FF39A6"/>
    <w:rsid w:val="00FF39B1"/>
    <w:rsid w:val="01039198"/>
    <w:rsid w:val="010982A7"/>
    <w:rsid w:val="014D8490"/>
    <w:rsid w:val="02338A40"/>
    <w:rsid w:val="0257AB5A"/>
    <w:rsid w:val="025820C0"/>
    <w:rsid w:val="025845AC"/>
    <w:rsid w:val="02D874FD"/>
    <w:rsid w:val="0318DB0B"/>
    <w:rsid w:val="03628B4E"/>
    <w:rsid w:val="03F95EDA"/>
    <w:rsid w:val="0449E607"/>
    <w:rsid w:val="056CE9C4"/>
    <w:rsid w:val="05709A7D"/>
    <w:rsid w:val="06CC0737"/>
    <w:rsid w:val="06DDA5B1"/>
    <w:rsid w:val="07973425"/>
    <w:rsid w:val="07A5DA44"/>
    <w:rsid w:val="07D1E3D0"/>
    <w:rsid w:val="080344D9"/>
    <w:rsid w:val="0818273F"/>
    <w:rsid w:val="092995DC"/>
    <w:rsid w:val="09C3F3AC"/>
    <w:rsid w:val="0AD24B04"/>
    <w:rsid w:val="0B00134A"/>
    <w:rsid w:val="0B37CBA0"/>
    <w:rsid w:val="0BA7A693"/>
    <w:rsid w:val="0BBFE201"/>
    <w:rsid w:val="0C4C7CCC"/>
    <w:rsid w:val="0C96F751"/>
    <w:rsid w:val="0CF0BB54"/>
    <w:rsid w:val="0EC675E0"/>
    <w:rsid w:val="0F7E5E98"/>
    <w:rsid w:val="0F9D38A6"/>
    <w:rsid w:val="113E95A3"/>
    <w:rsid w:val="11533FD1"/>
    <w:rsid w:val="12DFDED4"/>
    <w:rsid w:val="142F071F"/>
    <w:rsid w:val="1444722C"/>
    <w:rsid w:val="1496AC12"/>
    <w:rsid w:val="149AE74A"/>
    <w:rsid w:val="156FC13E"/>
    <w:rsid w:val="15C398B8"/>
    <w:rsid w:val="1634BF37"/>
    <w:rsid w:val="16677A9E"/>
    <w:rsid w:val="16B39251"/>
    <w:rsid w:val="16EE0605"/>
    <w:rsid w:val="18225E4A"/>
    <w:rsid w:val="186F9686"/>
    <w:rsid w:val="18862523"/>
    <w:rsid w:val="18E442EE"/>
    <w:rsid w:val="1919F7FA"/>
    <w:rsid w:val="19A90619"/>
    <w:rsid w:val="1AC54F1D"/>
    <w:rsid w:val="1B7D527E"/>
    <w:rsid w:val="1B7DAC95"/>
    <w:rsid w:val="1C3E5343"/>
    <w:rsid w:val="1C4BCF4F"/>
    <w:rsid w:val="1C4D8DBF"/>
    <w:rsid w:val="1C9785BC"/>
    <w:rsid w:val="1D3A2518"/>
    <w:rsid w:val="1EBCF680"/>
    <w:rsid w:val="1EF91C9A"/>
    <w:rsid w:val="1F4D5A3F"/>
    <w:rsid w:val="20658934"/>
    <w:rsid w:val="20FACAE8"/>
    <w:rsid w:val="213B4E5B"/>
    <w:rsid w:val="21FE51A0"/>
    <w:rsid w:val="22703868"/>
    <w:rsid w:val="2348E52F"/>
    <w:rsid w:val="249645FB"/>
    <w:rsid w:val="250C9181"/>
    <w:rsid w:val="26C170E4"/>
    <w:rsid w:val="271832FA"/>
    <w:rsid w:val="27B94381"/>
    <w:rsid w:val="28B3DFB1"/>
    <w:rsid w:val="28E11074"/>
    <w:rsid w:val="296A755A"/>
    <w:rsid w:val="2A90945B"/>
    <w:rsid w:val="2B0217A7"/>
    <w:rsid w:val="2B1BD04F"/>
    <w:rsid w:val="2B45E046"/>
    <w:rsid w:val="2B83C021"/>
    <w:rsid w:val="2E1795AD"/>
    <w:rsid w:val="2F24D785"/>
    <w:rsid w:val="2F54F708"/>
    <w:rsid w:val="2FED6935"/>
    <w:rsid w:val="31CADCDF"/>
    <w:rsid w:val="328CCD0B"/>
    <w:rsid w:val="32ABE019"/>
    <w:rsid w:val="336B545C"/>
    <w:rsid w:val="3486809B"/>
    <w:rsid w:val="34D65D7F"/>
    <w:rsid w:val="35A492CE"/>
    <w:rsid w:val="3625FD12"/>
    <w:rsid w:val="3796C1C7"/>
    <w:rsid w:val="38B85CA1"/>
    <w:rsid w:val="3908298B"/>
    <w:rsid w:val="399D4E57"/>
    <w:rsid w:val="39DE4D6A"/>
    <w:rsid w:val="3B66C2C3"/>
    <w:rsid w:val="3BDDEEC6"/>
    <w:rsid w:val="3C7895DA"/>
    <w:rsid w:val="3D81CD9C"/>
    <w:rsid w:val="3E07A645"/>
    <w:rsid w:val="3F18B743"/>
    <w:rsid w:val="3F69D0A6"/>
    <w:rsid w:val="3FA67D28"/>
    <w:rsid w:val="40627006"/>
    <w:rsid w:val="4147A98D"/>
    <w:rsid w:val="42709968"/>
    <w:rsid w:val="42747302"/>
    <w:rsid w:val="432C9935"/>
    <w:rsid w:val="43638BDD"/>
    <w:rsid w:val="43EFB6A4"/>
    <w:rsid w:val="457226CE"/>
    <w:rsid w:val="46144A31"/>
    <w:rsid w:val="4646D7E0"/>
    <w:rsid w:val="466D8023"/>
    <w:rsid w:val="467C2FA6"/>
    <w:rsid w:val="46B6AB66"/>
    <w:rsid w:val="46C36900"/>
    <w:rsid w:val="46C38E56"/>
    <w:rsid w:val="474A890E"/>
    <w:rsid w:val="478F14C3"/>
    <w:rsid w:val="47B54B38"/>
    <w:rsid w:val="4849C636"/>
    <w:rsid w:val="48BD4A92"/>
    <w:rsid w:val="48DC1EC7"/>
    <w:rsid w:val="4B566C34"/>
    <w:rsid w:val="4BD02E24"/>
    <w:rsid w:val="4C1CCC0E"/>
    <w:rsid w:val="4C743F90"/>
    <w:rsid w:val="4DCB6BE9"/>
    <w:rsid w:val="4E9D7D01"/>
    <w:rsid w:val="4EAD9BDC"/>
    <w:rsid w:val="4FE7A822"/>
    <w:rsid w:val="529F3A0D"/>
    <w:rsid w:val="5362AB66"/>
    <w:rsid w:val="5408A96B"/>
    <w:rsid w:val="541F940F"/>
    <w:rsid w:val="543F46F4"/>
    <w:rsid w:val="55ED06AF"/>
    <w:rsid w:val="56F63352"/>
    <w:rsid w:val="587567D7"/>
    <w:rsid w:val="5925ECC9"/>
    <w:rsid w:val="59C3B6CD"/>
    <w:rsid w:val="5A6DE214"/>
    <w:rsid w:val="5AAFA860"/>
    <w:rsid w:val="5AC7FC8A"/>
    <w:rsid w:val="5BABD806"/>
    <w:rsid w:val="5C2F52AD"/>
    <w:rsid w:val="5C540BD0"/>
    <w:rsid w:val="5DA17A7F"/>
    <w:rsid w:val="5DD03271"/>
    <w:rsid w:val="5EF2FF99"/>
    <w:rsid w:val="5F271385"/>
    <w:rsid w:val="5F4F2AC7"/>
    <w:rsid w:val="5F9200A1"/>
    <w:rsid w:val="5FBC7A4B"/>
    <w:rsid w:val="5FDBC8C8"/>
    <w:rsid w:val="60A8EE94"/>
    <w:rsid w:val="60B713FE"/>
    <w:rsid w:val="60D94BC8"/>
    <w:rsid w:val="612122B7"/>
    <w:rsid w:val="63B30E5B"/>
    <w:rsid w:val="63E9F2F7"/>
    <w:rsid w:val="6552B0D0"/>
    <w:rsid w:val="655E0EF2"/>
    <w:rsid w:val="661E8D68"/>
    <w:rsid w:val="663AADD7"/>
    <w:rsid w:val="665AF4ED"/>
    <w:rsid w:val="666B01AF"/>
    <w:rsid w:val="66ADCF2B"/>
    <w:rsid w:val="66B5D4EB"/>
    <w:rsid w:val="67779A0E"/>
    <w:rsid w:val="6895EBEE"/>
    <w:rsid w:val="692DC841"/>
    <w:rsid w:val="69BAD472"/>
    <w:rsid w:val="6A583035"/>
    <w:rsid w:val="6A6461C3"/>
    <w:rsid w:val="6AEA068C"/>
    <w:rsid w:val="6C46D77A"/>
    <w:rsid w:val="6CC71791"/>
    <w:rsid w:val="6E4C6549"/>
    <w:rsid w:val="6E7CBABC"/>
    <w:rsid w:val="6FAB63FF"/>
    <w:rsid w:val="6FBA9C7D"/>
    <w:rsid w:val="7045106A"/>
    <w:rsid w:val="70CB696B"/>
    <w:rsid w:val="70E79743"/>
    <w:rsid w:val="714E837A"/>
    <w:rsid w:val="714FACB9"/>
    <w:rsid w:val="71CF8530"/>
    <w:rsid w:val="72E41BEC"/>
    <w:rsid w:val="72EBB230"/>
    <w:rsid w:val="7386D4D6"/>
    <w:rsid w:val="74EE421E"/>
    <w:rsid w:val="753A8914"/>
    <w:rsid w:val="766D78BF"/>
    <w:rsid w:val="78A48428"/>
    <w:rsid w:val="78AAAC91"/>
    <w:rsid w:val="793616FA"/>
    <w:rsid w:val="7959C507"/>
    <w:rsid w:val="7A2ABC4D"/>
    <w:rsid w:val="7A4A6328"/>
    <w:rsid w:val="7B528230"/>
    <w:rsid w:val="7C821B4E"/>
    <w:rsid w:val="7C90BFE5"/>
    <w:rsid w:val="7D103FAD"/>
    <w:rsid w:val="7D2826F2"/>
    <w:rsid w:val="7D81E1A6"/>
    <w:rsid w:val="7DBEFB89"/>
    <w:rsid w:val="7E698D53"/>
    <w:rsid w:val="7F6E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2B3E5511-D628-4814-A85A-B19859E7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D7CF2"/>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5704C9"/>
    <w:pPr>
      <w:ind w:left="720"/>
      <w:contextualSpacing/>
    </w:pPr>
  </w:style>
  <w:style w:type="character" w:styleId="CommentReference">
    <w:name w:val="annotation reference"/>
    <w:basedOn w:val="DefaultParagraphFont"/>
    <w:semiHidden/>
    <w:unhideWhenUsed/>
    <w:rsid w:val="00B2703A"/>
    <w:rPr>
      <w:sz w:val="16"/>
      <w:szCs w:val="16"/>
    </w:rPr>
  </w:style>
  <w:style w:type="paragraph" w:styleId="CommentText">
    <w:name w:val="annotation text"/>
    <w:basedOn w:val="Normal"/>
    <w:link w:val="CommentTextChar"/>
    <w:unhideWhenUsed/>
    <w:rsid w:val="00B2703A"/>
    <w:rPr>
      <w:sz w:val="20"/>
    </w:rPr>
  </w:style>
  <w:style w:type="character" w:customStyle="1" w:styleId="CommentTextChar">
    <w:name w:val="Comment Text Char"/>
    <w:basedOn w:val="DefaultParagraphFont"/>
    <w:link w:val="CommentText"/>
    <w:rsid w:val="00B2703A"/>
    <w:rPr>
      <w:rFonts w:ascii="Calibri" w:hAnsi="Calibri"/>
      <w:lang w:val="en-GB" w:eastAsia="en-US"/>
    </w:rPr>
  </w:style>
  <w:style w:type="paragraph" w:styleId="CommentSubject">
    <w:name w:val="annotation subject"/>
    <w:basedOn w:val="CommentText"/>
    <w:next w:val="CommentText"/>
    <w:link w:val="CommentSubjectChar"/>
    <w:semiHidden/>
    <w:unhideWhenUsed/>
    <w:rsid w:val="00B2703A"/>
    <w:rPr>
      <w:b/>
      <w:bCs/>
    </w:rPr>
  </w:style>
  <w:style w:type="character" w:customStyle="1" w:styleId="CommentSubjectChar">
    <w:name w:val="Comment Subject Char"/>
    <w:basedOn w:val="CommentTextChar"/>
    <w:link w:val="CommentSubject"/>
    <w:semiHidden/>
    <w:rsid w:val="00B2703A"/>
    <w:rPr>
      <w:rFonts w:ascii="Calibri" w:hAnsi="Calibri"/>
      <w:b/>
      <w:bCs/>
      <w:lang w:val="en-GB" w:eastAsia="en-US"/>
    </w:rPr>
  </w:style>
  <w:style w:type="table" w:styleId="PlainTable1">
    <w:name w:val="Plain Table 1"/>
    <w:basedOn w:val="TableNormal"/>
    <w:uiPriority w:val="41"/>
    <w:rsid w:val="009D34A5"/>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F5E4D"/>
    <w:rPr>
      <w:rFonts w:ascii="Calibri" w:hAnsi="Calibri"/>
      <w:sz w:val="24"/>
      <w:lang w:val="en-GB" w:eastAsia="en-US"/>
    </w:rPr>
  </w:style>
  <w:style w:type="paragraph" w:customStyle="1" w:styleId="Tablefin">
    <w:name w:val="Table_fin"/>
    <w:basedOn w:val="Tabletext"/>
    <w:rsid w:val="005C2116"/>
    <w:pPr>
      <w:spacing w:before="0" w:after="0"/>
    </w:pPr>
    <w:rPr>
      <w:rFonts w:eastAsiaTheme="minorEastAsia"/>
    </w:rPr>
  </w:style>
  <w:style w:type="character" w:styleId="Mention">
    <w:name w:val="Mention"/>
    <w:basedOn w:val="DefaultParagraphFont"/>
    <w:uiPriority w:val="99"/>
    <w:unhideWhenUsed/>
    <w:rsid w:val="00BA3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FHR21-C-0015/en" TargetMode="External"/><Relationship Id="rId18" Type="http://schemas.openxmlformats.org/officeDocument/2006/relationships/hyperlink" Target="https://www.itu.int/md/S26-CWGFHR22-C-0009/en" TargetMode="External"/><Relationship Id="rId26" Type="http://schemas.openxmlformats.org/officeDocument/2006/relationships/hyperlink" Target="https://www.itu.int/md/S25-CWGFHR21-C-0008/en" TargetMode="External"/><Relationship Id="rId3" Type="http://schemas.openxmlformats.org/officeDocument/2006/relationships/customXml" Target="../customXml/item3.xml"/><Relationship Id="rId21" Type="http://schemas.openxmlformats.org/officeDocument/2006/relationships/hyperlink" Target="https://council.itu.int/2026/en/resources/hosting-an-itu-conferen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S25-CWGFHR21-C-0007/en" TargetMode="External"/><Relationship Id="rId17" Type="http://schemas.openxmlformats.org/officeDocument/2006/relationships/hyperlink" Target="https://www.itu.int/en/council/ties/Documents/2025/Selection-process-infosession_cwg-fhr-30-October-2025.pptx" TargetMode="External"/><Relationship Id="rId25" Type="http://schemas.openxmlformats.org/officeDocument/2006/relationships/hyperlink" Target="https://www.itu.int/md/S25-CL-C-0095/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5-CWGFHR21-C-0025/en" TargetMode="External"/><Relationship Id="rId20" Type="http://schemas.openxmlformats.org/officeDocument/2006/relationships/hyperlink" Target="https://www.itu.int/md/S25-CWGFHR21-C-0007/en" TargetMode="External"/><Relationship Id="rId29" Type="http://schemas.openxmlformats.org/officeDocument/2006/relationships/hyperlink" Target="https://www.itu.int/md/S26-CL-INF-0004/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md/S25-CWGFHR21-C-0023/e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WGFHR21-C-0023/en" TargetMode="External"/><Relationship Id="rId23" Type="http://schemas.openxmlformats.org/officeDocument/2006/relationships/hyperlink" Target="https://www.itu.int/md/S25-CWGFHR21-C-0017/en" TargetMode="External"/><Relationship Id="rId28" Type="http://schemas.openxmlformats.org/officeDocument/2006/relationships/hyperlink" Target="https://council.itu.int/2026/en/resources/hosting-an-itu-conference/" TargetMode="External"/><Relationship Id="rId10" Type="http://schemas.openxmlformats.org/officeDocument/2006/relationships/endnotes" Target="endnotes.xml"/><Relationship Id="rId19" Type="http://schemas.openxmlformats.org/officeDocument/2006/relationships/hyperlink" Target="https://www.itu.int/md/S25-CL-C-0101/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1-C-0017/en" TargetMode="External"/><Relationship Id="rId22" Type="http://schemas.openxmlformats.org/officeDocument/2006/relationships/hyperlink" Target="https://www.itu.int/md/S25-CWGFHR21-C-0015/en" TargetMode="External"/><Relationship Id="rId27" Type="http://schemas.openxmlformats.org/officeDocument/2006/relationships/hyperlink" Target="https://www.itu.int/md/S26-CWGFHR22-C-0019/en"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3562-E6F3-4A91-A59E-0CB9F6589277}">
  <ds:schemaRefs>
    <ds:schemaRef ds:uri="http://schemas.microsoft.com/sharepoint/v3/contenttype/forms"/>
  </ds:schemaRefs>
</ds:datastoreItem>
</file>

<file path=customXml/itemProps2.xml><?xml version="1.0" encoding="utf-8"?>
<ds:datastoreItem xmlns:ds="http://schemas.openxmlformats.org/officeDocument/2006/customXml" ds:itemID="{6F737681-62A8-4677-A2DC-348DF0D92E79}">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a4c22657-7647-457b-a399-8471255bb166"/>
    <ds:schemaRef ds:uri="http://schemas.microsoft.com/office/2006/metadata/properties"/>
  </ds:schemaRefs>
</ds:datastoreItem>
</file>

<file path=customXml/itemProps3.xml><?xml version="1.0" encoding="utf-8"?>
<ds:datastoreItem xmlns:ds="http://schemas.openxmlformats.org/officeDocument/2006/customXml" ds:itemID="{54680BB5-2987-47CC-BD64-914EEE61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2102</Words>
  <Characters>13062</Characters>
  <Application>Microsoft Office Word</Application>
  <DocSecurity>0</DocSecurity>
  <Lines>251</Lines>
  <Paragraphs>112</Paragraphs>
  <ScaleCrop>false</ScaleCrop>
  <HeadingPairs>
    <vt:vector size="2" baseType="variant">
      <vt:variant>
        <vt:lpstr>Title</vt:lpstr>
      </vt:variant>
      <vt:variant>
        <vt:i4>1</vt:i4>
      </vt:variant>
    </vt:vector>
  </HeadingPairs>
  <TitlesOfParts>
    <vt:vector size="1" baseType="lpstr">
      <vt:lpstr>Proposed framework for a selection process for host countries of ITU conferences and assemblies</vt:lpstr>
    </vt:vector>
  </TitlesOfParts>
  <Manager>General Secretariat</Manager>
  <Company>International Telecommunication Union (ITU)</Company>
  <LinksUpToDate>false</LinksUpToDate>
  <CharactersWithSpaces>15052</CharactersWithSpaces>
  <SharedDoc>false</SharedDoc>
  <HLinks>
    <vt:vector size="180" baseType="variant">
      <vt:variant>
        <vt:i4>1966160</vt:i4>
      </vt:variant>
      <vt:variant>
        <vt:i4>54</vt:i4>
      </vt:variant>
      <vt:variant>
        <vt:i4>0</vt:i4>
      </vt:variant>
      <vt:variant>
        <vt:i4>5</vt:i4>
      </vt:variant>
      <vt:variant>
        <vt:lpwstr>https://www.itu.int/md/S26-CL-INF-0004/en</vt:lpwstr>
      </vt:variant>
      <vt:variant>
        <vt:lpwstr/>
      </vt:variant>
      <vt:variant>
        <vt:i4>5832717</vt:i4>
      </vt:variant>
      <vt:variant>
        <vt:i4>51</vt:i4>
      </vt:variant>
      <vt:variant>
        <vt:i4>0</vt:i4>
      </vt:variant>
      <vt:variant>
        <vt:i4>5</vt:i4>
      </vt:variant>
      <vt:variant>
        <vt:lpwstr>https://council.itu.int/2026/en/resources/hosting-an-itu-conference/</vt:lpwstr>
      </vt:variant>
      <vt:variant>
        <vt:lpwstr/>
      </vt:variant>
      <vt:variant>
        <vt:i4>4194304</vt:i4>
      </vt:variant>
      <vt:variant>
        <vt:i4>48</vt:i4>
      </vt:variant>
      <vt:variant>
        <vt:i4>0</vt:i4>
      </vt:variant>
      <vt:variant>
        <vt:i4>5</vt:i4>
      </vt:variant>
      <vt:variant>
        <vt:lpwstr>https://www.itu.int/md/S26-CWGFHR22-C-0019/en</vt:lpwstr>
      </vt:variant>
      <vt:variant>
        <vt:lpwstr/>
      </vt:variant>
      <vt:variant>
        <vt:i4>4325378</vt:i4>
      </vt:variant>
      <vt:variant>
        <vt:i4>45</vt:i4>
      </vt:variant>
      <vt:variant>
        <vt:i4>0</vt:i4>
      </vt:variant>
      <vt:variant>
        <vt:i4>5</vt:i4>
      </vt:variant>
      <vt:variant>
        <vt:lpwstr>https://www.itu.int/md/S25-CWGFHR21-C-0008/en</vt:lpwstr>
      </vt:variant>
      <vt:variant>
        <vt:lpwstr/>
      </vt:variant>
      <vt:variant>
        <vt:i4>7471157</vt:i4>
      </vt:variant>
      <vt:variant>
        <vt:i4>42</vt:i4>
      </vt:variant>
      <vt:variant>
        <vt:i4>0</vt:i4>
      </vt:variant>
      <vt:variant>
        <vt:i4>5</vt:i4>
      </vt:variant>
      <vt:variant>
        <vt:lpwstr>https://www.itu.int/md/S25-CL-C-0095/en</vt:lpwstr>
      </vt:variant>
      <vt:variant>
        <vt:lpwstr/>
      </vt:variant>
      <vt:variant>
        <vt:i4>4784128</vt:i4>
      </vt:variant>
      <vt:variant>
        <vt:i4>39</vt:i4>
      </vt:variant>
      <vt:variant>
        <vt:i4>0</vt:i4>
      </vt:variant>
      <vt:variant>
        <vt:i4>5</vt:i4>
      </vt:variant>
      <vt:variant>
        <vt:lpwstr>https://www.itu.int/md/S25-CWGFHR21-C-0023/en</vt:lpwstr>
      </vt:variant>
      <vt:variant>
        <vt:lpwstr/>
      </vt:variant>
      <vt:variant>
        <vt:i4>5046275</vt:i4>
      </vt:variant>
      <vt:variant>
        <vt:i4>36</vt:i4>
      </vt:variant>
      <vt:variant>
        <vt:i4>0</vt:i4>
      </vt:variant>
      <vt:variant>
        <vt:i4>5</vt:i4>
      </vt:variant>
      <vt:variant>
        <vt:lpwstr>https://www.itu.int/md/S25-CWGFHR21-C-0017/en</vt:lpwstr>
      </vt:variant>
      <vt:variant>
        <vt:lpwstr/>
      </vt:variant>
      <vt:variant>
        <vt:i4>5177347</vt:i4>
      </vt:variant>
      <vt:variant>
        <vt:i4>33</vt:i4>
      </vt:variant>
      <vt:variant>
        <vt:i4>0</vt:i4>
      </vt:variant>
      <vt:variant>
        <vt:i4>5</vt:i4>
      </vt:variant>
      <vt:variant>
        <vt:lpwstr>https://www.itu.int/md/S25-CWGFHR21-C-0015/en</vt:lpwstr>
      </vt:variant>
      <vt:variant>
        <vt:lpwstr/>
      </vt:variant>
      <vt:variant>
        <vt:i4>5832717</vt:i4>
      </vt:variant>
      <vt:variant>
        <vt:i4>30</vt:i4>
      </vt:variant>
      <vt:variant>
        <vt:i4>0</vt:i4>
      </vt:variant>
      <vt:variant>
        <vt:i4>5</vt:i4>
      </vt:variant>
      <vt:variant>
        <vt:lpwstr>https://council.itu.int/2026/en/resources/hosting-an-itu-conference/</vt:lpwstr>
      </vt:variant>
      <vt:variant>
        <vt:lpwstr/>
      </vt:variant>
      <vt:variant>
        <vt:i4>5046274</vt:i4>
      </vt:variant>
      <vt:variant>
        <vt:i4>27</vt:i4>
      </vt:variant>
      <vt:variant>
        <vt:i4>0</vt:i4>
      </vt:variant>
      <vt:variant>
        <vt:i4>5</vt:i4>
      </vt:variant>
      <vt:variant>
        <vt:lpwstr>https://www.itu.int/md/S25-CWGFHR21-C-0007/en</vt:lpwstr>
      </vt:variant>
      <vt:variant>
        <vt:lpwstr/>
      </vt:variant>
      <vt:variant>
        <vt:i4>7798844</vt:i4>
      </vt:variant>
      <vt:variant>
        <vt:i4>24</vt:i4>
      </vt:variant>
      <vt:variant>
        <vt:i4>0</vt:i4>
      </vt:variant>
      <vt:variant>
        <vt:i4>5</vt:i4>
      </vt:variant>
      <vt:variant>
        <vt:lpwstr>https://www.itu.int/md/S25-CL-C-0101/en</vt:lpwstr>
      </vt:variant>
      <vt:variant>
        <vt:lpwstr/>
      </vt:variant>
      <vt:variant>
        <vt:i4>4194305</vt:i4>
      </vt:variant>
      <vt:variant>
        <vt:i4>21</vt:i4>
      </vt:variant>
      <vt:variant>
        <vt:i4>0</vt:i4>
      </vt:variant>
      <vt:variant>
        <vt:i4>5</vt:i4>
      </vt:variant>
      <vt:variant>
        <vt:lpwstr>https://www.itu.int/md/S26-CWGFHR22-C-0009/en</vt:lpwstr>
      </vt:variant>
      <vt:variant>
        <vt:lpwstr/>
      </vt:variant>
      <vt:variant>
        <vt:i4>655402</vt:i4>
      </vt:variant>
      <vt:variant>
        <vt:i4>18</vt:i4>
      </vt:variant>
      <vt:variant>
        <vt:i4>0</vt:i4>
      </vt:variant>
      <vt:variant>
        <vt:i4>5</vt:i4>
      </vt:variant>
      <vt:variant>
        <vt:lpwstr>https://www.itu.int/en/council/ties/Documents/2025/Selection-process-infosession_cwg-fhr-30-October-2025.pptx</vt:lpwstr>
      </vt:variant>
      <vt:variant>
        <vt:lpwstr/>
      </vt:variant>
      <vt:variant>
        <vt:i4>5177344</vt:i4>
      </vt:variant>
      <vt:variant>
        <vt:i4>15</vt:i4>
      </vt:variant>
      <vt:variant>
        <vt:i4>0</vt:i4>
      </vt:variant>
      <vt:variant>
        <vt:i4>5</vt:i4>
      </vt:variant>
      <vt:variant>
        <vt:lpwstr>https://www.itu.int/md/S25-CWGFHR21-C-0025/en</vt:lpwstr>
      </vt:variant>
      <vt:variant>
        <vt:lpwstr/>
      </vt:variant>
      <vt:variant>
        <vt:i4>4784128</vt:i4>
      </vt:variant>
      <vt:variant>
        <vt:i4>12</vt:i4>
      </vt:variant>
      <vt:variant>
        <vt:i4>0</vt:i4>
      </vt:variant>
      <vt:variant>
        <vt:i4>5</vt:i4>
      </vt:variant>
      <vt:variant>
        <vt:lpwstr>https://www.itu.int/md/S25-CWGFHR21-C-0023/en</vt:lpwstr>
      </vt:variant>
      <vt:variant>
        <vt:lpwstr/>
      </vt:variant>
      <vt:variant>
        <vt:i4>5046275</vt:i4>
      </vt:variant>
      <vt:variant>
        <vt:i4>9</vt:i4>
      </vt:variant>
      <vt:variant>
        <vt:i4>0</vt:i4>
      </vt:variant>
      <vt:variant>
        <vt:i4>5</vt:i4>
      </vt:variant>
      <vt:variant>
        <vt:lpwstr>https://www.itu.int/md/S25-CWGFHR21-C-0017/en</vt:lpwstr>
      </vt:variant>
      <vt:variant>
        <vt:lpwstr/>
      </vt:variant>
      <vt:variant>
        <vt:i4>5177347</vt:i4>
      </vt:variant>
      <vt:variant>
        <vt:i4>6</vt:i4>
      </vt:variant>
      <vt:variant>
        <vt:i4>0</vt:i4>
      </vt:variant>
      <vt:variant>
        <vt:i4>5</vt:i4>
      </vt:variant>
      <vt:variant>
        <vt:lpwstr>https://www.itu.int/md/S25-CWGFHR21-C-0015/en</vt:lpwstr>
      </vt:variant>
      <vt:variant>
        <vt:lpwstr/>
      </vt:variant>
      <vt:variant>
        <vt:i4>5046274</vt:i4>
      </vt:variant>
      <vt:variant>
        <vt:i4>3</vt:i4>
      </vt:variant>
      <vt:variant>
        <vt:i4>0</vt:i4>
      </vt:variant>
      <vt:variant>
        <vt:i4>5</vt:i4>
      </vt:variant>
      <vt:variant>
        <vt:lpwstr>https://www.itu.int/md/S25-CWGFHR21-C-0007/en</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25</vt:i4>
      </vt:variant>
      <vt:variant>
        <vt:i4>3</vt:i4>
      </vt:variant>
      <vt:variant>
        <vt:i4>0</vt:i4>
      </vt:variant>
      <vt:variant>
        <vt:i4>5</vt:i4>
      </vt:variant>
      <vt:variant>
        <vt:lpwstr>https://council.itu.int/2026/en/</vt:lpwstr>
      </vt:variant>
      <vt:variant>
        <vt:lpwstr/>
      </vt:variant>
      <vt:variant>
        <vt:i4>4587562</vt:i4>
      </vt:variant>
      <vt:variant>
        <vt:i4>27</vt:i4>
      </vt:variant>
      <vt:variant>
        <vt:i4>0</vt:i4>
      </vt:variant>
      <vt:variant>
        <vt:i4>5</vt:i4>
      </vt:variant>
      <vt:variant>
        <vt:lpwstr>mailto:kate.carrara@itu.int</vt:lpwstr>
      </vt:variant>
      <vt:variant>
        <vt:lpwstr/>
      </vt:variant>
      <vt:variant>
        <vt:i4>65657</vt:i4>
      </vt:variant>
      <vt:variant>
        <vt:i4>24</vt:i4>
      </vt:variant>
      <vt:variant>
        <vt:i4>0</vt:i4>
      </vt:variant>
      <vt:variant>
        <vt:i4>5</vt:i4>
      </vt:variant>
      <vt:variant>
        <vt:lpwstr>mailto:negar.takesh@itu.int</vt:lpwstr>
      </vt:variant>
      <vt:variant>
        <vt:lpwstr/>
      </vt:variant>
      <vt:variant>
        <vt:i4>4587562</vt:i4>
      </vt:variant>
      <vt:variant>
        <vt:i4>21</vt:i4>
      </vt:variant>
      <vt:variant>
        <vt:i4>0</vt:i4>
      </vt:variant>
      <vt:variant>
        <vt:i4>5</vt:i4>
      </vt:variant>
      <vt:variant>
        <vt:lpwstr>mailto:kate.carrara@itu.int</vt:lpwstr>
      </vt:variant>
      <vt:variant>
        <vt:lpwstr/>
      </vt:variant>
      <vt:variant>
        <vt:i4>65657</vt:i4>
      </vt:variant>
      <vt:variant>
        <vt:i4>18</vt:i4>
      </vt:variant>
      <vt:variant>
        <vt:i4>0</vt:i4>
      </vt:variant>
      <vt:variant>
        <vt:i4>5</vt:i4>
      </vt:variant>
      <vt:variant>
        <vt:lpwstr>mailto:negar.takesh@itu.int</vt:lpwstr>
      </vt:variant>
      <vt:variant>
        <vt:lpwstr/>
      </vt:variant>
      <vt:variant>
        <vt:i4>4587562</vt:i4>
      </vt:variant>
      <vt:variant>
        <vt:i4>15</vt:i4>
      </vt:variant>
      <vt:variant>
        <vt:i4>0</vt:i4>
      </vt:variant>
      <vt:variant>
        <vt:i4>5</vt:i4>
      </vt:variant>
      <vt:variant>
        <vt:lpwstr>mailto:kate.carrara@itu.int</vt:lpwstr>
      </vt:variant>
      <vt:variant>
        <vt:lpwstr/>
      </vt:variant>
      <vt:variant>
        <vt:i4>65657</vt:i4>
      </vt:variant>
      <vt:variant>
        <vt:i4>12</vt:i4>
      </vt:variant>
      <vt:variant>
        <vt:i4>0</vt:i4>
      </vt:variant>
      <vt:variant>
        <vt:i4>5</vt:i4>
      </vt:variant>
      <vt:variant>
        <vt:lpwstr>mailto:negar.takesh@itu.int</vt:lpwstr>
      </vt:variant>
      <vt:variant>
        <vt:lpwstr/>
      </vt:variant>
      <vt:variant>
        <vt:i4>4587562</vt:i4>
      </vt:variant>
      <vt:variant>
        <vt:i4>9</vt:i4>
      </vt:variant>
      <vt:variant>
        <vt:i4>0</vt:i4>
      </vt:variant>
      <vt:variant>
        <vt:i4>5</vt:i4>
      </vt:variant>
      <vt:variant>
        <vt:lpwstr>mailto:kate.carrara@itu.int</vt:lpwstr>
      </vt:variant>
      <vt:variant>
        <vt:lpwstr/>
      </vt:variant>
      <vt:variant>
        <vt:i4>65657</vt:i4>
      </vt:variant>
      <vt:variant>
        <vt:i4>6</vt:i4>
      </vt:variant>
      <vt:variant>
        <vt:i4>0</vt:i4>
      </vt:variant>
      <vt:variant>
        <vt:i4>5</vt:i4>
      </vt:variant>
      <vt:variant>
        <vt:lpwstr>mailto:negar.takesh@itu.int</vt:lpwstr>
      </vt:variant>
      <vt:variant>
        <vt:lpwstr/>
      </vt:variant>
      <vt:variant>
        <vt:i4>4587562</vt:i4>
      </vt:variant>
      <vt:variant>
        <vt:i4>3</vt:i4>
      </vt:variant>
      <vt:variant>
        <vt:i4>0</vt:i4>
      </vt:variant>
      <vt:variant>
        <vt:i4>5</vt:i4>
      </vt:variant>
      <vt:variant>
        <vt:lpwstr>mailto:kate.carrara@itu.int</vt:lpwstr>
      </vt:variant>
      <vt:variant>
        <vt:lpwstr/>
      </vt:variant>
      <vt:variant>
        <vt:i4>65657</vt:i4>
      </vt:variant>
      <vt:variant>
        <vt:i4>0</vt:i4>
      </vt:variant>
      <vt:variant>
        <vt:i4>0</vt:i4>
      </vt:variant>
      <vt:variant>
        <vt:i4>5</vt:i4>
      </vt:variant>
      <vt:variant>
        <vt:lpwstr>mailto:negar.takesh@itu.int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framework for a selection process for host countries of ITU conferences and assemblies</dc:title>
  <dc:subject>ITU Council 2026</dc:subject>
  <cp:keywords>C26; C2026; Council 2026; PP26</cp:keywords>
  <dc:description/>
  <cp:lastPrinted>2000-07-18T13:30:00Z</cp:lastPrinted>
  <dcterms:created xsi:type="dcterms:W3CDTF">2026-03-27T16:17:00Z</dcterms:created>
  <dcterms:modified xsi:type="dcterms:W3CDTF">2026-03-27T16:22:00Z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