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931830" w14:paraId="5BED917A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533F0D8" w14:textId="6B761FAB" w:rsidR="00796BD3" w:rsidRPr="00931830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931830">
              <w:rPr>
                <w:b/>
                <w:lang w:val="ru-RU"/>
              </w:rPr>
              <w:t>Пункт повестки дня:</w:t>
            </w:r>
            <w:r w:rsidR="006C22EE" w:rsidRPr="00931830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24AB5521" w14:textId="4C91BD40" w:rsidR="00796BD3" w:rsidRPr="00931830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31830">
              <w:rPr>
                <w:b/>
                <w:lang w:val="ru-RU"/>
              </w:rPr>
              <w:t xml:space="preserve">Документ </w:t>
            </w:r>
            <w:r w:rsidR="00796BD3" w:rsidRPr="00931830">
              <w:rPr>
                <w:b/>
                <w:lang w:val="ru-RU"/>
              </w:rPr>
              <w:t>C2</w:t>
            </w:r>
            <w:r w:rsidR="00BE00DD" w:rsidRPr="00931830">
              <w:rPr>
                <w:b/>
                <w:lang w:val="ru-RU"/>
              </w:rPr>
              <w:t>6</w:t>
            </w:r>
            <w:r w:rsidR="00796BD3" w:rsidRPr="00931830">
              <w:rPr>
                <w:b/>
                <w:lang w:val="ru-RU"/>
              </w:rPr>
              <w:t>/</w:t>
            </w:r>
            <w:r w:rsidR="006C22EE" w:rsidRPr="00931830">
              <w:rPr>
                <w:b/>
                <w:lang w:val="ru-RU"/>
              </w:rPr>
              <w:t>69</w:t>
            </w:r>
            <w:r w:rsidR="00796BD3" w:rsidRPr="00931830">
              <w:rPr>
                <w:b/>
                <w:lang w:val="ru-RU"/>
              </w:rPr>
              <w:t>-R</w:t>
            </w:r>
          </w:p>
        </w:tc>
      </w:tr>
      <w:tr w:rsidR="00796BD3" w:rsidRPr="00931830" w14:paraId="7FC4E1BA" w14:textId="77777777" w:rsidTr="00D17718">
        <w:trPr>
          <w:cantSplit/>
        </w:trPr>
        <w:tc>
          <w:tcPr>
            <w:tcW w:w="3969" w:type="dxa"/>
            <w:vMerge/>
          </w:tcPr>
          <w:p w14:paraId="43F2E1E4" w14:textId="77777777" w:rsidR="00796BD3" w:rsidRPr="0093183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7D0C93C" w14:textId="1EE1EB6A" w:rsidR="00796BD3" w:rsidRPr="00931830" w:rsidRDefault="006C22EE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931830">
              <w:rPr>
                <w:b/>
                <w:lang w:val="ru-RU"/>
              </w:rPr>
              <w:t>30 марта 2026 года</w:t>
            </w:r>
          </w:p>
        </w:tc>
      </w:tr>
      <w:tr w:rsidR="00796BD3" w:rsidRPr="00931830" w14:paraId="0008F051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3F14A218" w14:textId="77777777" w:rsidR="00796BD3" w:rsidRPr="0093183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59B4092" w14:textId="77777777" w:rsidR="00796BD3" w:rsidRPr="00931830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31830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931830" w14:paraId="5CC4CB31" w14:textId="77777777" w:rsidTr="00D17718">
        <w:trPr>
          <w:cantSplit/>
          <w:trHeight w:val="23"/>
        </w:trPr>
        <w:tc>
          <w:tcPr>
            <w:tcW w:w="3969" w:type="dxa"/>
          </w:tcPr>
          <w:p w14:paraId="71F80DA4" w14:textId="77777777" w:rsidR="00796BD3" w:rsidRPr="0093183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43051F3" w14:textId="77777777" w:rsidR="00796BD3" w:rsidRPr="00931830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931830" w14:paraId="0620B562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4B3F092" w14:textId="77777777" w:rsidR="00796BD3" w:rsidRPr="00931830" w:rsidRDefault="0033025A" w:rsidP="005F5014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931830">
              <w:t>Отчет Генерального секретаря</w:t>
            </w:r>
          </w:p>
        </w:tc>
      </w:tr>
      <w:tr w:rsidR="00796BD3" w:rsidRPr="005F5014" w14:paraId="0590BE9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FDB27C0" w14:textId="1E1C3203" w:rsidR="00796BD3" w:rsidRPr="00931830" w:rsidRDefault="006C22EE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931830">
              <w:rPr>
                <w:sz w:val="32"/>
                <w:szCs w:val="28"/>
              </w:rPr>
              <w:t>ОТЧЕТ О СОСТОЯНИИ ДЕЛ С ОКАЗАНИЕМ ПОМОЩИ И</w:t>
            </w:r>
            <w:r w:rsidR="00931830">
              <w:rPr>
                <w:sz w:val="32"/>
                <w:szCs w:val="28"/>
                <w:lang w:val="en-GB"/>
              </w:rPr>
              <w:t> </w:t>
            </w:r>
            <w:r w:rsidRPr="00931830">
              <w:rPr>
                <w:sz w:val="32"/>
                <w:szCs w:val="28"/>
              </w:rPr>
              <w:t>ПОДДЕРЖКИ ПАЛЕСТИНЕ</w:t>
            </w:r>
          </w:p>
        </w:tc>
      </w:tr>
      <w:tr w:rsidR="00796BD3" w:rsidRPr="005F5014" w14:paraId="5AD28EEA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CECE939" w14:textId="77777777" w:rsidR="00796BD3" w:rsidRPr="0093183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31830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47BBE9ED" w14:textId="2F920F30" w:rsidR="00796BD3" w:rsidRPr="00931830" w:rsidRDefault="006C22EE" w:rsidP="00D17718">
            <w:pPr>
              <w:rPr>
                <w:lang w:val="ru-RU"/>
              </w:rPr>
            </w:pPr>
            <w:r w:rsidRPr="00931830">
              <w:rPr>
                <w:spacing w:val="-2"/>
                <w:lang w:val="ru-RU"/>
              </w:rPr>
              <w:t>В настоящем документе содержится отчет о выполнении Резолюции 1424 Совета.</w:t>
            </w:r>
          </w:p>
          <w:p w14:paraId="0F0A081C" w14:textId="77777777" w:rsidR="00796BD3" w:rsidRPr="0093183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31830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EE5D9F0" w14:textId="795AFEF1" w:rsidR="00796BD3" w:rsidRPr="00931830" w:rsidRDefault="006C22EE" w:rsidP="00D17718">
            <w:pPr>
              <w:rPr>
                <w:sz w:val="18"/>
                <w:szCs w:val="16"/>
                <w:lang w:val="ru-RU"/>
              </w:rPr>
            </w:pPr>
            <w:r w:rsidRPr="00931830">
              <w:rPr>
                <w:szCs w:val="22"/>
                <w:lang w:val="ru-RU"/>
              </w:rPr>
              <w:t xml:space="preserve">Совету предлагается </w:t>
            </w:r>
            <w:r w:rsidRPr="00931830">
              <w:rPr>
                <w:b/>
                <w:bCs/>
                <w:szCs w:val="22"/>
                <w:lang w:val="ru-RU"/>
              </w:rPr>
              <w:t>рассмотреть</w:t>
            </w:r>
            <w:r w:rsidRPr="00931830">
              <w:rPr>
                <w:szCs w:val="22"/>
                <w:lang w:val="ru-RU"/>
              </w:rPr>
              <w:t xml:space="preserve"> настоящий отчет.</w:t>
            </w:r>
          </w:p>
          <w:p w14:paraId="22E695C5" w14:textId="77777777" w:rsidR="00796BD3" w:rsidRPr="0093183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31830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30C6848" w14:textId="38282EAE" w:rsidR="00796BD3" w:rsidRPr="00931830" w:rsidRDefault="006C22EE" w:rsidP="00D17718">
            <w:pPr>
              <w:rPr>
                <w:lang w:val="ru-RU"/>
              </w:rPr>
            </w:pPr>
            <w:r w:rsidRPr="00931830">
              <w:rPr>
                <w:lang w:val="ru-RU"/>
              </w:rPr>
              <w:t>Предоставление технической помощи.</w:t>
            </w:r>
          </w:p>
          <w:p w14:paraId="0E095119" w14:textId="77777777" w:rsidR="00796BD3" w:rsidRPr="0093183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31830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678F5BE" w14:textId="0C8491AB" w:rsidR="00345D2A" w:rsidRPr="00931830" w:rsidRDefault="006C22EE" w:rsidP="00D17718">
            <w:pPr>
              <w:spacing w:before="160"/>
              <w:rPr>
                <w:sz w:val="18"/>
                <w:szCs w:val="18"/>
                <w:lang w:val="ru-RU"/>
              </w:rPr>
            </w:pPr>
            <w:r w:rsidRPr="00931830">
              <w:rPr>
                <w:szCs w:val="22"/>
                <w:lang w:val="ru-RU"/>
              </w:rPr>
              <w:t>В рамках выделенного бюджета на 2024–2025 годы и на 2026–2027 годы.</w:t>
            </w:r>
          </w:p>
          <w:p w14:paraId="39783358" w14:textId="77777777" w:rsidR="00796BD3" w:rsidRPr="00931830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931830">
              <w:rPr>
                <w:sz w:val="20"/>
                <w:szCs w:val="18"/>
                <w:lang w:val="ru-RU"/>
              </w:rPr>
              <w:t>__________________</w:t>
            </w:r>
          </w:p>
          <w:p w14:paraId="53568F15" w14:textId="77777777" w:rsidR="00796BD3" w:rsidRPr="00931830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931830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ABC09D9" w14:textId="0E7BAA57" w:rsidR="00796BD3" w:rsidRPr="00931830" w:rsidRDefault="006C22EE" w:rsidP="00D17718">
            <w:pPr>
              <w:spacing w:after="160"/>
              <w:rPr>
                <w:i/>
                <w:iCs/>
                <w:lang w:val="ru-RU"/>
              </w:rPr>
            </w:pPr>
            <w:r w:rsidRPr="00931830">
              <w:rPr>
                <w:i/>
                <w:iCs/>
                <w:szCs w:val="22"/>
                <w:lang w:val="ru-RU"/>
              </w:rPr>
              <w:t xml:space="preserve">Резолюция </w:t>
            </w:r>
            <w:hyperlink r:id="rId8" w:history="1">
              <w:r w:rsidRPr="00931830">
                <w:rPr>
                  <w:rStyle w:val="Hyperlink"/>
                  <w:i/>
                  <w:iCs/>
                  <w:szCs w:val="22"/>
                  <w:lang w:val="ru-RU"/>
                </w:rPr>
                <w:t>1424 (C24)</w:t>
              </w:r>
            </w:hyperlink>
            <w:r w:rsidRPr="00931830">
              <w:rPr>
                <w:lang w:val="ru-RU"/>
              </w:rPr>
              <w:t xml:space="preserve"> </w:t>
            </w:r>
            <w:r w:rsidRPr="00931830">
              <w:rPr>
                <w:i/>
                <w:iCs/>
                <w:szCs w:val="22"/>
                <w:lang w:val="ru-RU"/>
              </w:rPr>
              <w:t>Совета</w:t>
            </w:r>
          </w:p>
        </w:tc>
      </w:tr>
      <w:bookmarkEnd w:id="2"/>
      <w:bookmarkEnd w:id="6"/>
    </w:tbl>
    <w:p w14:paraId="5AC192FA" w14:textId="77777777" w:rsidR="00796BD3" w:rsidRPr="00931830" w:rsidRDefault="00796BD3" w:rsidP="00796BD3">
      <w:pPr>
        <w:rPr>
          <w:lang w:val="ru-RU"/>
        </w:rPr>
      </w:pPr>
    </w:p>
    <w:p w14:paraId="115A05CC" w14:textId="77777777" w:rsidR="00165D06" w:rsidRPr="00931830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31830">
        <w:rPr>
          <w:lang w:val="ru-RU"/>
        </w:rPr>
        <w:br w:type="page"/>
      </w:r>
    </w:p>
    <w:p w14:paraId="60A052AA" w14:textId="77777777" w:rsidR="006C22EE" w:rsidRPr="00931830" w:rsidRDefault="006C22EE" w:rsidP="006C22EE">
      <w:pPr>
        <w:pStyle w:val="Headingb"/>
        <w:rPr>
          <w:lang w:val="ru-RU"/>
        </w:rPr>
      </w:pPr>
      <w:r w:rsidRPr="00931830">
        <w:rPr>
          <w:lang w:val="ru-RU"/>
        </w:rPr>
        <w:lastRenderedPageBreak/>
        <w:t>Базовая информация</w:t>
      </w:r>
    </w:p>
    <w:p w14:paraId="019029F7" w14:textId="77777777" w:rsidR="006C22EE" w:rsidRPr="00931830" w:rsidRDefault="006C22EE" w:rsidP="005F5014">
      <w:pPr>
        <w:jc w:val="both"/>
        <w:rPr>
          <w:lang w:val="ru-RU"/>
        </w:rPr>
      </w:pPr>
      <w:r w:rsidRPr="00931830">
        <w:rPr>
          <w:lang w:val="ru-RU"/>
        </w:rPr>
        <w:t>В настоящем документе содержится отчет о выполнении Резолюции 1424 (С24) Совета МСЭ, в соответствии с которой Генеральному секретарю предлагается координировать деятельность трех Секторов Союза и представить отчет по этому вопросу на сессии Совета 2026 года.</w:t>
      </w:r>
    </w:p>
    <w:p w14:paraId="12A692EB" w14:textId="77777777" w:rsidR="006C22EE" w:rsidRPr="00931830" w:rsidRDefault="006C22EE" w:rsidP="006C22EE">
      <w:pPr>
        <w:pStyle w:val="Headingb"/>
        <w:rPr>
          <w:lang w:val="ru-RU"/>
        </w:rPr>
      </w:pPr>
      <w:r w:rsidRPr="00931830">
        <w:rPr>
          <w:lang w:val="ru-RU"/>
        </w:rPr>
        <w:t>Контекст</w:t>
      </w:r>
    </w:p>
    <w:p w14:paraId="1B5EFEF7" w14:textId="77777777" w:rsidR="006C22EE" w:rsidRPr="00931830" w:rsidRDefault="006C22EE" w:rsidP="005F5014">
      <w:pPr>
        <w:jc w:val="both"/>
        <w:rPr>
          <w:lang w:val="ru-RU"/>
        </w:rPr>
      </w:pPr>
      <w:r w:rsidRPr="00931830">
        <w:rPr>
          <w:lang w:val="ru-RU"/>
        </w:rPr>
        <w:t>Согласно обновленной информации Тематического блока по вопросам электросвязи в чрезвычайных ситуациях сектор ИКТ в Палестине продолжает испытывать значительные трудности в области развития и инфраструктуры, при этом особенно страдает подвижная широкополосная связь. В настоящее время уровни возможности установления соединений остаются критически низкими из-за дефицита топлива, повреждений инфраструктуры, нехватки оборудования и ограничений доступа, что создает значительные риски с точки зрения бесперебойности предоставления услуг электросвязи.</w:t>
      </w:r>
    </w:p>
    <w:p w14:paraId="2668148C" w14:textId="464EB5F6" w:rsidR="006C22EE" w:rsidRPr="00A13445" w:rsidRDefault="006C22EE" w:rsidP="005F5014">
      <w:pPr>
        <w:jc w:val="both"/>
        <w:rPr>
          <w:spacing w:val="-2"/>
          <w:lang w:val="ru-RU"/>
        </w:rPr>
      </w:pPr>
      <w:r w:rsidRPr="00A13445">
        <w:rPr>
          <w:spacing w:val="-2"/>
          <w:lang w:val="ru-RU"/>
        </w:rPr>
        <w:t>По данным Всемирного банка, ущерб, нанесенный инфраструктуре ИКТ, достиг 164</w:t>
      </w:r>
      <w:r w:rsidR="00931830" w:rsidRPr="00A13445">
        <w:rPr>
          <w:spacing w:val="-2"/>
        </w:rPr>
        <w:t> </w:t>
      </w:r>
      <w:r w:rsidRPr="00A13445">
        <w:rPr>
          <w:spacing w:val="-2"/>
          <w:lang w:val="ru-RU"/>
        </w:rPr>
        <w:t>млн.</w:t>
      </w:r>
      <w:r w:rsidR="00931830" w:rsidRPr="00A13445">
        <w:rPr>
          <w:spacing w:val="-2"/>
        </w:rPr>
        <w:t> </w:t>
      </w:r>
      <w:r w:rsidRPr="00A13445">
        <w:rPr>
          <w:spacing w:val="-2"/>
          <w:lang w:val="ru-RU"/>
        </w:rPr>
        <w:t>долларов США</w:t>
      </w:r>
      <w:r w:rsidRPr="00A13445">
        <w:rPr>
          <w:spacing w:val="-2"/>
          <w:vertAlign w:val="superscript"/>
          <w:lang w:val="ru-RU"/>
        </w:rPr>
        <w:footnoteReference w:id="1"/>
      </w:r>
      <w:r w:rsidRPr="00A13445">
        <w:rPr>
          <w:spacing w:val="-2"/>
          <w:lang w:val="ru-RU"/>
        </w:rPr>
        <w:t>. Сообщается, что 74 процента пострадавших объектов уничтожены, 16</w:t>
      </w:r>
      <w:r w:rsidR="00931830" w:rsidRPr="00A13445">
        <w:rPr>
          <w:spacing w:val="-2"/>
        </w:rPr>
        <w:t> </w:t>
      </w:r>
      <w:r w:rsidRPr="00A13445">
        <w:rPr>
          <w:spacing w:val="-2"/>
          <w:lang w:val="ru-RU"/>
        </w:rPr>
        <w:t>процентов повреждены частично и 10 процентов получили небольшие повреждения</w:t>
      </w:r>
      <w:r w:rsidRPr="00A13445">
        <w:rPr>
          <w:spacing w:val="-2"/>
          <w:vertAlign w:val="superscript"/>
          <w:lang w:val="ru-RU"/>
        </w:rPr>
        <w:footnoteReference w:id="2"/>
      </w:r>
      <w:r w:rsidRPr="00A13445">
        <w:rPr>
          <w:spacing w:val="-2"/>
          <w:lang w:val="ru-RU"/>
        </w:rPr>
        <w:t>. Кроме того, согласно прогнозам Всемирного банка, на реконструкцию и восстановление потребуется 460 млн. долларов США: 116 млн. долларов США на немедленное восстановление вышек подвижной связи, волоконно-оптических систем и основных служб, а также 344</w:t>
      </w:r>
      <w:r w:rsidR="00931830" w:rsidRPr="00A13445">
        <w:rPr>
          <w:spacing w:val="-2"/>
        </w:rPr>
        <w:t> </w:t>
      </w:r>
      <w:r w:rsidRPr="00A13445">
        <w:rPr>
          <w:spacing w:val="-2"/>
          <w:lang w:val="ru-RU"/>
        </w:rPr>
        <w:t>млн.</w:t>
      </w:r>
      <w:r w:rsidR="00931830" w:rsidRPr="00A13445">
        <w:rPr>
          <w:spacing w:val="-2"/>
        </w:rPr>
        <w:t> </w:t>
      </w:r>
      <w:r w:rsidRPr="00A13445">
        <w:rPr>
          <w:spacing w:val="-2"/>
          <w:lang w:val="ru-RU"/>
        </w:rPr>
        <w:t>долларов США на долгосрочную деятельность по обеспечению устойчивости и восстановлению</w:t>
      </w:r>
      <w:r w:rsidRPr="00A13445">
        <w:rPr>
          <w:spacing w:val="-2"/>
          <w:vertAlign w:val="superscript"/>
          <w:lang w:val="ru-RU"/>
        </w:rPr>
        <w:footnoteReference w:id="3"/>
      </w:r>
      <w:r w:rsidRPr="00A13445">
        <w:rPr>
          <w:spacing w:val="-2"/>
          <w:lang w:val="ru-RU"/>
        </w:rPr>
        <w:t>. Текущие проблемы, с которыми сталкивается сектор электросвязи, включают доступ к запасным частям и постоянную нехватку топлива; обе эти проблемы имеют критическое значение для работы башен и резервных систем.</w:t>
      </w:r>
    </w:p>
    <w:p w14:paraId="01E913A5" w14:textId="77777777" w:rsidR="006C22EE" w:rsidRPr="00931830" w:rsidRDefault="006C22EE" w:rsidP="005F5014">
      <w:pPr>
        <w:jc w:val="both"/>
        <w:rPr>
          <w:lang w:val="ru-RU"/>
        </w:rPr>
      </w:pPr>
      <w:r w:rsidRPr="00931830">
        <w:rPr>
          <w:spacing w:val="-2"/>
          <w:lang w:val="ru-RU"/>
        </w:rPr>
        <w:t>Совет 2025 года поручил Генеральному секретарю разработать конкретный план и сроки выполнения этой Резолюции и представить отчет о ходе работы следующей сессии Совета. Кроме того, Государство Палестина представило несколько просьб об оказании поддержки.</w:t>
      </w:r>
    </w:p>
    <w:p w14:paraId="65A3556D" w14:textId="77777777" w:rsidR="006C22EE" w:rsidRPr="00931830" w:rsidRDefault="006C22EE" w:rsidP="006C22EE">
      <w:pPr>
        <w:pStyle w:val="Headingb"/>
        <w:rPr>
          <w:lang w:val="ru-RU"/>
        </w:rPr>
      </w:pPr>
      <w:r w:rsidRPr="00931830">
        <w:rPr>
          <w:lang w:val="ru-RU"/>
        </w:rPr>
        <w:t>Действия, предпринятые МСЭ</w:t>
      </w:r>
    </w:p>
    <w:p w14:paraId="46112CCD" w14:textId="77777777" w:rsidR="006C22EE" w:rsidRPr="00931830" w:rsidRDefault="006C22EE" w:rsidP="005F5014">
      <w:pPr>
        <w:jc w:val="both"/>
        <w:rPr>
          <w:lang w:val="ru-RU"/>
        </w:rPr>
      </w:pPr>
      <w:r w:rsidRPr="00931830">
        <w:rPr>
          <w:lang w:val="ru-RU"/>
        </w:rPr>
        <w:t>В течение последнего года МСЭ продолжал предпринимать усилия по выполнению этой Резолюции, благодаря чему был достигнут прогресс на следующих направлениях:</w:t>
      </w:r>
    </w:p>
    <w:p w14:paraId="1BF08061" w14:textId="77777777" w:rsidR="006C22EE" w:rsidRPr="00931830" w:rsidRDefault="006C22EE" w:rsidP="005F5014">
      <w:pPr>
        <w:pStyle w:val="Headingb"/>
        <w:rPr>
          <w:lang w:val="ru-RU"/>
        </w:rPr>
      </w:pPr>
      <w:r w:rsidRPr="00931830">
        <w:rPr>
          <w:rFonts w:eastAsiaTheme="minorHAnsi"/>
          <w:lang w:val="ru-RU"/>
        </w:rPr>
        <w:t>1</w:t>
      </w:r>
      <w:r w:rsidRPr="00931830">
        <w:rPr>
          <w:rFonts w:eastAsiaTheme="minorHAnsi"/>
          <w:lang w:val="ru-RU"/>
        </w:rPr>
        <w:tab/>
      </w:r>
      <w:r w:rsidRPr="00931830">
        <w:rPr>
          <w:lang w:val="ru-RU"/>
        </w:rPr>
        <w:t>Координация</w:t>
      </w:r>
    </w:p>
    <w:p w14:paraId="7479BCC9" w14:textId="77777777" w:rsidR="006C22EE" w:rsidRPr="00931830" w:rsidRDefault="006C22EE" w:rsidP="005F5014">
      <w:pPr>
        <w:pStyle w:val="enumlev1"/>
        <w:jc w:val="both"/>
        <w:rPr>
          <w:lang w:val="ru-RU"/>
        </w:rPr>
      </w:pPr>
      <w:r w:rsidRPr="00931830">
        <w:rPr>
          <w:lang w:val="ru-RU"/>
        </w:rPr>
        <w:tab/>
        <w:t>Была создана Межсекторальная целевая группа для обеспечения скоординированного и эффективного выполнения Резолюции 1424 в рамках МСЭ. Целевая группа сосредоточила свое внимание на трех ключевых задачах:</w:t>
      </w:r>
    </w:p>
    <w:p w14:paraId="7D4C6A05" w14:textId="77777777" w:rsidR="006C22EE" w:rsidRPr="00931830" w:rsidRDefault="006C22EE" w:rsidP="005F5014">
      <w:pPr>
        <w:pStyle w:val="enumlev2"/>
        <w:jc w:val="both"/>
        <w:rPr>
          <w:lang w:val="ru-RU"/>
        </w:rPr>
      </w:pPr>
      <w:r w:rsidRPr="00931830">
        <w:rPr>
          <w:rFonts w:eastAsiaTheme="minorHAnsi"/>
          <w:lang w:val="ru-RU"/>
        </w:rPr>
        <w:t>i)</w:t>
      </w:r>
      <w:r w:rsidRPr="00931830">
        <w:rPr>
          <w:rFonts w:eastAsiaTheme="minorHAnsi"/>
          <w:lang w:val="ru-RU"/>
        </w:rPr>
        <w:tab/>
      </w:r>
      <w:r w:rsidRPr="00931830">
        <w:rPr>
          <w:lang w:val="ru-RU"/>
        </w:rPr>
        <w:t>оценка воздействия конфликта в Палестине на программы и деятельность МСЭ в регионе;</w:t>
      </w:r>
    </w:p>
    <w:p w14:paraId="778C3D85" w14:textId="77777777" w:rsidR="006C22EE" w:rsidRPr="00931830" w:rsidRDefault="006C22EE" w:rsidP="005F5014">
      <w:pPr>
        <w:pStyle w:val="enumlev2"/>
        <w:jc w:val="both"/>
        <w:rPr>
          <w:lang w:val="ru-RU"/>
        </w:rPr>
      </w:pPr>
      <w:r w:rsidRPr="00931830">
        <w:rPr>
          <w:rFonts w:eastAsiaTheme="minorHAnsi"/>
          <w:lang w:val="ru-RU"/>
        </w:rPr>
        <w:t>ii)</w:t>
      </w:r>
      <w:r w:rsidRPr="00931830">
        <w:rPr>
          <w:rFonts w:eastAsiaTheme="minorHAnsi"/>
          <w:lang w:val="ru-RU"/>
        </w:rPr>
        <w:tab/>
      </w:r>
      <w:r w:rsidRPr="00931830">
        <w:rPr>
          <w:lang w:val="ru-RU"/>
        </w:rPr>
        <w:t>мобилизация необходимых финансовых, технических и людских ресурсов для поддержки усилий по восстановлению; и</w:t>
      </w:r>
    </w:p>
    <w:p w14:paraId="5A211352" w14:textId="77777777" w:rsidR="006C22EE" w:rsidRPr="00931830" w:rsidRDefault="006C22EE" w:rsidP="005F5014">
      <w:pPr>
        <w:pStyle w:val="enumlev2"/>
        <w:jc w:val="both"/>
        <w:rPr>
          <w:lang w:val="ru-RU"/>
        </w:rPr>
      </w:pPr>
      <w:r w:rsidRPr="00931830">
        <w:rPr>
          <w:rFonts w:eastAsiaTheme="minorHAnsi"/>
          <w:lang w:val="ru-RU"/>
        </w:rPr>
        <w:t>iii)</w:t>
      </w:r>
      <w:r w:rsidRPr="00931830">
        <w:rPr>
          <w:rFonts w:eastAsiaTheme="minorHAnsi"/>
          <w:lang w:val="ru-RU"/>
        </w:rPr>
        <w:tab/>
      </w:r>
      <w:r w:rsidRPr="00931830">
        <w:rPr>
          <w:lang w:val="ru-RU"/>
        </w:rPr>
        <w:t>отслеживание и координация прогресса в выполнении этой Резолюции при обеспечении прозрачности и согласованности с общими задачами МСЭ.</w:t>
      </w:r>
    </w:p>
    <w:p w14:paraId="41EF224E" w14:textId="77777777" w:rsidR="006C22EE" w:rsidRPr="00931830" w:rsidRDefault="006C22EE" w:rsidP="005F5014">
      <w:pPr>
        <w:pStyle w:val="enumlev1"/>
        <w:jc w:val="both"/>
        <w:rPr>
          <w:lang w:val="ru-RU"/>
        </w:rPr>
      </w:pPr>
      <w:r w:rsidRPr="00931830">
        <w:rPr>
          <w:lang w:val="ru-RU"/>
        </w:rPr>
        <w:tab/>
        <w:t>В состав Целевой группы под председательством заместителя Генерального секретаря вошли Директор Регионального отделения МСЭ для арабских государств и представители всех Секторов Союза.</w:t>
      </w:r>
    </w:p>
    <w:p w14:paraId="0E03EB4C" w14:textId="77777777" w:rsidR="006C22EE" w:rsidRPr="00A13445" w:rsidRDefault="006C22EE" w:rsidP="005F5014">
      <w:pPr>
        <w:pStyle w:val="Headingb"/>
        <w:rPr>
          <w:rFonts w:eastAsiaTheme="minorHAnsi"/>
          <w:lang w:val="ru-RU"/>
        </w:rPr>
      </w:pPr>
      <w:r w:rsidRPr="00931830">
        <w:rPr>
          <w:rFonts w:eastAsiaTheme="minorHAnsi"/>
          <w:lang w:val="ru-RU"/>
        </w:rPr>
        <w:lastRenderedPageBreak/>
        <w:t>2</w:t>
      </w:r>
      <w:r w:rsidRPr="00931830">
        <w:rPr>
          <w:rFonts w:eastAsiaTheme="minorHAnsi"/>
          <w:lang w:val="ru-RU"/>
        </w:rPr>
        <w:tab/>
        <w:t xml:space="preserve">Создание целевого </w:t>
      </w:r>
      <w:r w:rsidRPr="00A13445">
        <w:rPr>
          <w:rFonts w:eastAsiaTheme="minorHAnsi"/>
          <w:lang w:val="ru-RU"/>
        </w:rPr>
        <w:t xml:space="preserve">фонда (FIT) </w:t>
      </w:r>
    </w:p>
    <w:p w14:paraId="476677BC" w14:textId="10835A9E" w:rsidR="006C22EE" w:rsidRPr="00A13445" w:rsidRDefault="006C22EE" w:rsidP="005F5014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В соответствии с Резолюцией 1424 Совета МСЭ об оказании помощи и поддержки Государству Палестина в восстановлении ее сектора электросвязи МСЭ инициировал создание адресного целевого фонда (FIT) для Государства Палестина. Этот механизм предназначен для мобилизации и направления добровольных взносов и обязательств от Государств-Членов, Членов Секторов и партнеров из частного сектора с целью поддержки приоритетных проектов, направленных на восстановление и укрепление инфраструктуры электросвязи Палестины, повышение цифровой устойчивости и восстановление потенциала сектора. FIT будет служить прозрачной и скоординированной платформой для привязки ресурсов к определенным на национальном уровне приоритетам и ускорения усилий по реализации в тесном сотрудничестве с соответствующими заинтересованными сторонами. По состоянию на 27 марта 2026 года Фонд получил первоначальный взнос от Литвы в размере 20</w:t>
      </w:r>
      <w:r w:rsidR="00931830" w:rsidRPr="00A13445">
        <w:t> </w:t>
      </w:r>
      <w:r w:rsidRPr="00A13445">
        <w:rPr>
          <w:lang w:val="ru-RU"/>
        </w:rPr>
        <w:t>000</w:t>
      </w:r>
      <w:r w:rsidR="00931830" w:rsidRPr="00A13445">
        <w:t> </w:t>
      </w:r>
      <w:r w:rsidRPr="00A13445">
        <w:rPr>
          <w:lang w:val="ru-RU"/>
        </w:rPr>
        <w:t>евро.</w:t>
      </w:r>
    </w:p>
    <w:p w14:paraId="410C38D2" w14:textId="77777777" w:rsidR="006C22EE" w:rsidRPr="00A13445" w:rsidRDefault="006C22EE" w:rsidP="005F5014">
      <w:pPr>
        <w:pStyle w:val="Headingb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3</w:t>
      </w:r>
      <w:r w:rsidRPr="00A13445">
        <w:rPr>
          <w:lang w:val="ru-RU"/>
        </w:rPr>
        <w:tab/>
      </w:r>
      <w:r w:rsidRPr="00A13445">
        <w:rPr>
          <w:rFonts w:eastAsiaTheme="minorEastAsia"/>
          <w:lang w:val="ru-RU"/>
        </w:rPr>
        <w:t xml:space="preserve">План реализации </w:t>
      </w:r>
    </w:p>
    <w:p w14:paraId="0CEC9BBF" w14:textId="7286E093" w:rsidR="006C22EE" w:rsidRPr="00A13445" w:rsidRDefault="006C22EE" w:rsidP="005F5014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Во исполнение Резолюции 1424 Совета "Оказание помощи и поддержки Государству Палестина в восстановлении его сектора электросвязи" Отделение Международного союза электросвязи для арабских государств в тесном сотрудничестве с Министерством электросвязи и цифровой экономики Государства Палестина разработало структурированный План реализации с целью практического осуществления Резолюции 1424 Совета и руководства восстановлением сектора электросвязи в Государстве Палестина. В Плане предусмотрено 25 видов деятельности, в том числе 29 профильных мероприятий по созданию потенциала, организованных по четырем приоритетным направлениям и упорядоченных на основе четко сформулированного модульного подхода.</w:t>
      </w:r>
    </w:p>
    <w:p w14:paraId="6C1F9E7D" w14:textId="1024F949" w:rsidR="006C22EE" w:rsidRPr="00A13445" w:rsidRDefault="006C22EE" w:rsidP="005F5014">
      <w:pPr>
        <w:pStyle w:val="Headingb"/>
        <w:rPr>
          <w:lang w:val="ru-RU"/>
        </w:rPr>
      </w:pPr>
      <w:r w:rsidRPr="00A13445">
        <w:rPr>
          <w:lang w:val="ru-RU"/>
        </w:rPr>
        <w:t>4</w:t>
      </w:r>
      <w:r w:rsidRPr="00A13445">
        <w:rPr>
          <w:lang w:val="ru-RU"/>
        </w:rPr>
        <w:tab/>
        <w:t>Круглый стол по принятию обязательств</w:t>
      </w:r>
    </w:p>
    <w:p w14:paraId="141012C8" w14:textId="65626900" w:rsidR="006C22EE" w:rsidRPr="00A13445" w:rsidRDefault="006C22EE" w:rsidP="005F5014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Стремясь перевести план реализации и работу МСЭ в плоскость обязательств, которые могут быть поддержаны Государствами-Членами через Целевой фонд, МСЭ (</w:t>
      </w:r>
      <w:r w:rsidRPr="00A13445">
        <w:rPr>
          <w:i/>
          <w:iCs/>
          <w:lang w:val="ru-RU"/>
        </w:rPr>
        <w:t>БРЭ в тесном сотрудничестве с Межсекторальной целевой группой и канцелярией заместителя Генерального секретаря</w:t>
      </w:r>
      <w:r w:rsidRPr="00A13445">
        <w:rPr>
          <w:lang w:val="ru-RU"/>
        </w:rPr>
        <w:t>) планировал организовать в Женеве 13</w:t>
      </w:r>
      <w:r w:rsidR="00931830" w:rsidRPr="00A13445">
        <w:t> </w:t>
      </w:r>
      <w:r w:rsidRPr="00A13445">
        <w:rPr>
          <w:lang w:val="ru-RU"/>
        </w:rPr>
        <w:t>и</w:t>
      </w:r>
      <w:r w:rsidR="00931830" w:rsidRPr="00A13445">
        <w:t> </w:t>
      </w:r>
      <w:r w:rsidRPr="00A13445">
        <w:rPr>
          <w:lang w:val="ru-RU"/>
        </w:rPr>
        <w:t>14</w:t>
      </w:r>
      <w:r w:rsidR="00931830" w:rsidRPr="00A13445">
        <w:t> </w:t>
      </w:r>
      <w:r w:rsidRPr="00A13445">
        <w:rPr>
          <w:lang w:val="ru-RU"/>
        </w:rPr>
        <w:t>апреля 2026 года двухдневный круглый стол по принятию обязательств. Цель этого мероприятия – собрать вместе заинтересованных глобальных доноров и участников Целевого фонда, а также должностных лиц из Палестины, с тем чтобы обсудить все инициативы, потребности и нужды и решить связанные с этим вопросы при помощи обязательств международного сообщества, направленных на удовлетворение потребностей Государства Палестина.</w:t>
      </w:r>
    </w:p>
    <w:p w14:paraId="47AD2F63" w14:textId="77777777" w:rsidR="006C22EE" w:rsidRPr="00A13445" w:rsidRDefault="006C22EE" w:rsidP="005F5014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Эта деятельность была тесно скоординирована с соответствующим министерством Государства Палестина; планировалось рассмотреть все запросы и потребности, содержащиеся в плане реализации, который был подготовлен МСЭ в тесном сотрудничестве с министерством Государства Палестина.</w:t>
      </w:r>
    </w:p>
    <w:p w14:paraId="59FFD3A9" w14:textId="2A045A00" w:rsidR="006C22EE" w:rsidRPr="00A13445" w:rsidRDefault="00931830" w:rsidP="00931830">
      <w:pPr>
        <w:pStyle w:val="enumlev1"/>
        <w:rPr>
          <w:lang w:val="ru-RU"/>
        </w:rPr>
      </w:pPr>
      <w:r w:rsidRPr="00A13445">
        <w:rPr>
          <w:lang w:val="ru-RU"/>
        </w:rPr>
        <w:tab/>
      </w:r>
      <w:r w:rsidR="006C22EE" w:rsidRPr="00A13445">
        <w:rPr>
          <w:lang w:val="ru-RU"/>
        </w:rPr>
        <w:t>В связи с ситуацией в регионе это мероприятие было отложено на более поздний срок.</w:t>
      </w:r>
    </w:p>
    <w:p w14:paraId="4667ED69" w14:textId="77777777" w:rsidR="006C22EE" w:rsidRPr="00A13445" w:rsidRDefault="006C22EE" w:rsidP="005F5014">
      <w:pPr>
        <w:pStyle w:val="Headingb"/>
        <w:ind w:left="794" w:hanging="794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5</w:t>
      </w:r>
      <w:r w:rsidRPr="00A13445">
        <w:rPr>
          <w:rFonts w:eastAsiaTheme="minorHAnsi"/>
          <w:lang w:val="ru-RU"/>
        </w:rPr>
        <w:tab/>
      </w:r>
      <w:r w:rsidRPr="00A13445">
        <w:rPr>
          <w:rFonts w:eastAsiaTheme="minorEastAsia"/>
          <w:lang w:val="ru-RU"/>
        </w:rPr>
        <w:t>Стратегическая техническая помощь в реформировании политики в области электросвязи и ИКТ</w:t>
      </w:r>
    </w:p>
    <w:p w14:paraId="1C0BA805" w14:textId="2FF353E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 xml:space="preserve">Региональное отделение МСЭ для арабских государств оказало поддержку в разработке и модернизации политики в области электросвязи и информационных технологий для Государства Палестина в тесном сотрудничестве с Министерством электросвязи и цифровой экономики и более чем с 15 национальными заинтересованными сторонами из экосистемы ИКТ. Результатом этой поддержки стал проект основ политики, </w:t>
      </w:r>
      <w:r w:rsidRPr="00A13445">
        <w:rPr>
          <w:lang w:val="ru-RU"/>
        </w:rPr>
        <w:lastRenderedPageBreak/>
        <w:t>базирующийся на оценке регуляторной и институциональной среды, приоритетах сектора и согласовании с передовым международным опытом. В</w:t>
      </w:r>
      <w:r w:rsidR="00931830" w:rsidRPr="00A13445">
        <w:t> </w:t>
      </w:r>
      <w:r w:rsidRPr="00A13445">
        <w:rPr>
          <w:lang w:val="ru-RU"/>
        </w:rPr>
        <w:t>политике изложены четкие указания по укреплению управления сектором, обеспечению возможностей для инвестиций и конкуренции, повышению цифровой устойчивости и содействию цифровой трансформации для всех.</w:t>
      </w:r>
    </w:p>
    <w:p w14:paraId="06397740" w14:textId="7777777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 xml:space="preserve">В настоящее время проект политики находится на стадии рассмотрения, и в него вносятся поправки по согласованию с национальными контрагентами. В рамках этого процесса проводились целевые консультации, предоставлялись технические вклады и осуществлялись мероприятия по созданию потенциала для обеспечения национальной ответственности и практической реализации. </w:t>
      </w:r>
    </w:p>
    <w:p w14:paraId="65A084E6" w14:textId="77777777" w:rsidR="006C22EE" w:rsidRPr="00A13445" w:rsidRDefault="006C22EE" w:rsidP="005F5014">
      <w:pPr>
        <w:pStyle w:val="Headingb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6</w:t>
      </w:r>
      <w:r w:rsidRPr="00A13445">
        <w:rPr>
          <w:rFonts w:eastAsiaTheme="minorHAnsi"/>
          <w:lang w:val="ru-RU"/>
        </w:rPr>
        <w:tab/>
      </w:r>
      <w:r w:rsidRPr="00A13445">
        <w:rPr>
          <w:rFonts w:eastAsiaTheme="minorEastAsia"/>
          <w:lang w:val="ru-RU"/>
        </w:rPr>
        <w:t>Оценка цифровых навыков</w:t>
      </w:r>
    </w:p>
    <w:p w14:paraId="5A1763AA" w14:textId="24E68116" w:rsidR="006C22EE" w:rsidRPr="00A13445" w:rsidRDefault="006C22EE" w:rsidP="00A13445">
      <w:pPr>
        <w:pStyle w:val="enumlev1"/>
        <w:jc w:val="both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ab/>
        <w:t>Отделение МСЭ для арабских государств оказывает поддержку Министерству электросвязи и цифровой экономики в проведении оценки цифровых навыков с целью получить представление о базовых цифровых навыках в государственном секторе на основе методики, изложенной в Руководстве Международного союза электросвязи по оценке цифровых навыков, которое представляет собой практический инструмент для пошагового анализа спроса на цифровые навыки и их предложения, а также имеющихся пробелов на национальном уровне.</w:t>
      </w:r>
    </w:p>
    <w:p w14:paraId="4E57511D" w14:textId="77777777" w:rsidR="006C22EE" w:rsidRPr="00A13445" w:rsidRDefault="006C22EE" w:rsidP="00A13445">
      <w:pPr>
        <w:pStyle w:val="enumlev1"/>
        <w:jc w:val="both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ab/>
        <w:t>Эта техническая помощь включает обучение на рабочем месте членов команды Министерства электросвязи и цифровой экономики (MTDE) в рамках программы подготовки инструкторов, что позволит им самостоятельно организовывать оценку, применять шаблоны и матрицы оценки МСЭ и проводить анализ навыков и пробелов. Кроме того, пакет мер поддержки предусматривает еженедельный инструктаж, наставничество и развитие потенциала для руководителей групп и членов с целью завершения оценки базовых навыков и, если позволяет время, углубленной оценки навыков, согласованной со стандартами МСЭ, до проведения круглого стола по принятию обязательств.</w:t>
      </w:r>
    </w:p>
    <w:p w14:paraId="06CFB602" w14:textId="77777777" w:rsidR="006C22EE" w:rsidRPr="00A13445" w:rsidRDefault="006C22EE" w:rsidP="005F5014">
      <w:pPr>
        <w:pStyle w:val="Headingb"/>
        <w:ind w:left="794" w:hanging="794"/>
        <w:rPr>
          <w:rFonts w:eastAsiaTheme="minorHAnsi"/>
          <w:lang w:val="ru-RU"/>
        </w:rPr>
      </w:pPr>
      <w:r w:rsidRPr="00A13445">
        <w:rPr>
          <w:rFonts w:eastAsiaTheme="minorHAnsi"/>
          <w:lang w:val="ru-RU"/>
        </w:rPr>
        <w:t>7</w:t>
      </w:r>
      <w:r w:rsidRPr="00A13445">
        <w:rPr>
          <w:rFonts w:eastAsiaTheme="minorHAnsi"/>
          <w:lang w:val="ru-RU"/>
        </w:rPr>
        <w:tab/>
        <w:t>Мероприятия по линии Тематического блока по вопросам электросвязи в чрезвычайных ситуациях</w:t>
      </w:r>
    </w:p>
    <w:p w14:paraId="6986107D" w14:textId="39F2FD5D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В тесной координации с Тематическим блоком по вопросам электросвязи в чрезвычайных ситуациях (ETC) Организации Объединенных Наций, координируемым Всемирной продовольственной программой, МСЭ работает над содействием доставке спутниковых телефонов в Газу, Палестина. Двадцать устройств прибыли в Иерусалим в ноябре 2025 года и в настоящее время ожидают необходимых разрешений от соответствующих органов власти для их передачи в Газу. Эта важнейшая инициатива направлена на поддержку обеспечения бесперебойности оказания основных услуг связи в регионе, помогая учреждениям ООН и гуманитарным организациям иметь надежные сети связи для эффективного проведения операций по оказанию помощи. МСЭ принимает активное участие в собраниях ЕТС в целях согласования работы, проводимой Союзом, с работой остальных членов ЕТС.</w:t>
      </w:r>
    </w:p>
    <w:p w14:paraId="57337A3A" w14:textId="77777777" w:rsidR="006C22EE" w:rsidRPr="00A13445" w:rsidRDefault="006C22EE" w:rsidP="005F5014">
      <w:pPr>
        <w:pStyle w:val="Headingb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8</w:t>
      </w:r>
      <w:r w:rsidRPr="00A13445">
        <w:rPr>
          <w:rFonts w:eastAsiaTheme="minorHAnsi"/>
          <w:lang w:val="ru-RU"/>
        </w:rPr>
        <w:tab/>
      </w:r>
      <w:r w:rsidRPr="00A13445">
        <w:rPr>
          <w:rFonts w:eastAsiaTheme="minorEastAsia"/>
          <w:lang w:val="ru-RU"/>
        </w:rPr>
        <w:t xml:space="preserve">Промежуточная оценка ущерба </w:t>
      </w:r>
    </w:p>
    <w:p w14:paraId="6CE4F5B5" w14:textId="7777777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 xml:space="preserve">Международный союз электросвязи создал механизмы регулярной координации и сотрудничает с международными партнерами, включая Всемирный банк и Организацию Объединенных Наций, для проведения оценки ущерба, нанесенного инфраструктуре электросвязи Палестины. МСЭ анализирует и согласовывает конкретные выводы в области электросвязи, вытекающие из этих оценок, с целью обеспечения их пригодности для разработки политики и планирования восстановления, следя при этом за тем, чтобы оценки ущерба, наносимого инфраструктуре ИКТ, </w:t>
      </w:r>
      <w:r w:rsidRPr="00A13445">
        <w:rPr>
          <w:lang w:val="ru-RU"/>
        </w:rPr>
        <w:lastRenderedPageBreak/>
        <w:t>соответствовали нормативно-правовым базам МСЭ, правилам управления использованием спектра и стандартам планирования сетей.</w:t>
      </w:r>
    </w:p>
    <w:p w14:paraId="26B31D83" w14:textId="77777777" w:rsidR="006C22EE" w:rsidRPr="00A13445" w:rsidRDefault="006C22EE" w:rsidP="00A13445">
      <w:pPr>
        <w:pStyle w:val="Headingb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9</w:t>
      </w:r>
      <w:r w:rsidRPr="00A13445">
        <w:rPr>
          <w:rFonts w:eastAsiaTheme="minorEastAsia"/>
          <w:lang w:val="ru-RU"/>
        </w:rPr>
        <w:tab/>
        <w:t>Взносы Палестины в Сектор стандартизации электросвязи МСЭ</w:t>
      </w:r>
    </w:p>
    <w:p w14:paraId="407FEEB3" w14:textId="7777777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 xml:space="preserve">В феврале 2026 года 2-я Исследовательская комиссия МСЭ-Т ("Эксплуатационные аспекты электросвязи и ИКТ") получила вклад под названием "Эксплуатационные соображения, касающиеся международного использования кода страны +970 E.164 и обновленного национального плана нумерации Государства Палестина" (вклад 145 – </w:t>
      </w:r>
      <w:hyperlink r:id="rId9" w:history="1">
        <w:r w:rsidRPr="00A13445">
          <w:rPr>
            <w:rStyle w:val="Hyperlink"/>
            <w:lang w:val="ru-RU"/>
          </w:rPr>
          <w:t>SG2-C145</w:t>
        </w:r>
      </w:hyperlink>
      <w:r w:rsidRPr="00A13445">
        <w:rPr>
          <w:lang w:val="ru-RU"/>
        </w:rPr>
        <w:t>), представленный Министерством электросвязи и цифровой экономики. Однако представитель Палестины не присутствовал на собрании, и этот документ не был ни представлен, ни обсужден.</w:t>
      </w:r>
    </w:p>
    <w:p w14:paraId="06F52724" w14:textId="77777777" w:rsidR="006C22EE" w:rsidRPr="00A13445" w:rsidRDefault="006C22EE" w:rsidP="00A13445">
      <w:pPr>
        <w:pStyle w:val="Headingb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10</w:t>
      </w:r>
      <w:r w:rsidRPr="00A13445">
        <w:rPr>
          <w:rFonts w:eastAsiaTheme="minorEastAsia"/>
          <w:lang w:val="ru-RU"/>
        </w:rPr>
        <w:tab/>
        <w:t>Деятельность в рамках поддержки целевых стипендий</w:t>
      </w:r>
    </w:p>
    <w:p w14:paraId="05EB48F4" w14:textId="7777777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 xml:space="preserve">В соответствии с Резолюцией 1424 Совета МСЭ Международный союз электросвязи продолжает поддерживать активное участие Государства Палестина в деятельности МСЭ. В 2025 году представителям Палестины было предоставлено 12 стипендий, что позволило им участвовать в работе ключевых исследовательских комиссий, форумов и инициатив по созданию потенциала. Эта поддержка обеспечивает мобилизацию финансовых и людских ресурсов для укрепления сектора электросвязи и ИКТ Палестины и поддержания его эффективного участия, несмотря на сохраняющиеся проблемы. </w:t>
      </w:r>
    </w:p>
    <w:p w14:paraId="2E5A66F3" w14:textId="39EEA07E" w:rsidR="006C22EE" w:rsidRPr="00A13445" w:rsidRDefault="006C22EE" w:rsidP="00D36A2D">
      <w:pPr>
        <w:pStyle w:val="Headingb"/>
        <w:ind w:left="794" w:hanging="794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11</w:t>
      </w:r>
      <w:r w:rsidRPr="00A13445">
        <w:rPr>
          <w:rFonts w:eastAsiaTheme="minorEastAsia"/>
          <w:lang w:val="ru-RU"/>
        </w:rPr>
        <w:tab/>
        <w:t>Взаимодействие Платформы планирования установления соединений (CPP) с Государством Палестина</w:t>
      </w:r>
    </w:p>
    <w:p w14:paraId="5D2C357E" w14:textId="128FD519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В рамках последующей деятельности по итогам встречи с Е.П. заместителем Министра MTDE, состоявшейся в феврале 2026 года, МСЭ добился существенного прогресса в активизации взаимодействия с Государством Палестина по линии Платформы планирования установления соединений (CPP).</w:t>
      </w:r>
    </w:p>
    <w:p w14:paraId="040D0BFA" w14:textId="52F26A8D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В марте 2026 года была проведена ознакомительная сессия с участием старших должностных лиц и технического персонала министерства, в ходе которой были представлены функциональные возможности платформы и обсуждались национальные приоритеты в области установления соединений. Впоследствии министерство официально назначило четырех старших координаторов для руководства общенациональным взаимодействием. Должным образом созданы учетные записи пользователей, предоставлен доступ к платформе и оказана техническая поддержка для решения первоначальных проблем входа в систему.</w:t>
      </w:r>
    </w:p>
    <w:p w14:paraId="03912A33" w14:textId="7777777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Последующая техническая сессия запланирована на 15 апреля 2026 года, чтобы обеспечить более подробное ознакомление с платформой и изучить использование имеющихся наборов данных. Это сотрудничество непосредственно способствует укреплению потенциала Палестины в области планирования инфраструктуры на основе данных согласно соответствующей Резолюции МСЭ.</w:t>
      </w:r>
    </w:p>
    <w:p w14:paraId="730C98BA" w14:textId="77777777" w:rsidR="006C22EE" w:rsidRPr="00A13445" w:rsidRDefault="006C22EE" w:rsidP="00A13445">
      <w:pPr>
        <w:pStyle w:val="Headingb"/>
        <w:rPr>
          <w:rFonts w:eastAsiaTheme="minorEastAsia"/>
          <w:lang w:val="ru-RU"/>
        </w:rPr>
      </w:pPr>
      <w:r w:rsidRPr="00A13445">
        <w:rPr>
          <w:rFonts w:eastAsiaTheme="minorEastAsia"/>
          <w:lang w:val="ru-RU"/>
        </w:rPr>
        <w:t>12</w:t>
      </w:r>
      <w:r w:rsidRPr="00A13445">
        <w:rPr>
          <w:rFonts w:eastAsiaTheme="minorEastAsia"/>
          <w:lang w:val="ru-RU"/>
        </w:rPr>
        <w:tab/>
        <w:t>Профиль цифровых инноваций для Палестины</w:t>
      </w:r>
    </w:p>
    <w:p w14:paraId="454C0C3C" w14:textId="7777777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>В 2025 году в тесном партнерстве с министерством была оказана помощь в разработке профиля цифровых инноваций для Государства Палестина. В этом профиле цифровых инноваций представлена основанная на данных оценка среды ориентированных на ИКТ инноваций в Государстве Палестина, учитывающая вклады заинтересованных сторон.</w:t>
      </w:r>
    </w:p>
    <w:p w14:paraId="117E2C99" w14:textId="77777777" w:rsidR="006C22EE" w:rsidRPr="00A13445" w:rsidRDefault="006C22EE" w:rsidP="00A13445">
      <w:pPr>
        <w:pStyle w:val="enumlev1"/>
        <w:jc w:val="both"/>
        <w:rPr>
          <w:lang w:val="ru-RU"/>
        </w:rPr>
      </w:pPr>
      <w:r w:rsidRPr="00A13445">
        <w:rPr>
          <w:lang w:val="ru-RU"/>
        </w:rPr>
        <w:tab/>
        <w:t xml:space="preserve">На основании результатов более чем 30 консультаций, проведенных с участием представителей государственных органов, частного сектора, научных кругов, гражданского общества и международных партнеров, в отчете определены ключевые сильные стороны, проблемы и приоритетные области для принятия мер. Он служит как диагностическим инструментом, так и стратегическим руководством, предназначенным </w:t>
      </w:r>
      <w:r w:rsidRPr="00A13445">
        <w:rPr>
          <w:lang w:val="ru-RU"/>
        </w:rPr>
        <w:lastRenderedPageBreak/>
        <w:t xml:space="preserve">для содействия разработке политики и планированию инвестиций на основе фактических данных. </w:t>
      </w:r>
    </w:p>
    <w:p w14:paraId="3081920B" w14:textId="77777777" w:rsidR="006C22EE" w:rsidRPr="00A13445" w:rsidRDefault="006C22EE" w:rsidP="006C22EE">
      <w:pPr>
        <w:pStyle w:val="enumlev1"/>
        <w:rPr>
          <w:lang w:val="ru-RU"/>
        </w:rPr>
      </w:pPr>
      <w:r w:rsidRPr="00A13445">
        <w:rPr>
          <w:lang w:val="ru-RU"/>
        </w:rPr>
        <w:tab/>
        <w:t>Ожидается, что отчет будет завершен и опубликован в третьем квартале 2026 года.</w:t>
      </w:r>
    </w:p>
    <w:p w14:paraId="1A48D943" w14:textId="77777777" w:rsidR="00796BD3" w:rsidRPr="00931830" w:rsidRDefault="00C462C5" w:rsidP="006C22EE">
      <w:pPr>
        <w:spacing w:before="480"/>
        <w:jc w:val="center"/>
        <w:rPr>
          <w:lang w:val="ru-RU"/>
        </w:rPr>
      </w:pPr>
      <w:r w:rsidRPr="00931830">
        <w:rPr>
          <w:lang w:val="ru-RU"/>
        </w:rPr>
        <w:t>______________</w:t>
      </w:r>
    </w:p>
    <w:sectPr w:rsidR="00796BD3" w:rsidRPr="00931830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FCE6" w14:textId="77777777" w:rsidR="006C22EE" w:rsidRDefault="006C22EE">
      <w:r>
        <w:separator/>
      </w:r>
    </w:p>
  </w:endnote>
  <w:endnote w:type="continuationSeparator" w:id="0">
    <w:p w14:paraId="79963D5C" w14:textId="77777777" w:rsidR="006C22EE" w:rsidRDefault="006C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785E7E5" w14:textId="77777777" w:rsidTr="00E31DCE">
      <w:trPr>
        <w:jc w:val="center"/>
      </w:trPr>
      <w:tc>
        <w:tcPr>
          <w:tcW w:w="1803" w:type="dxa"/>
          <w:vAlign w:val="center"/>
        </w:tcPr>
        <w:p w14:paraId="70062725" w14:textId="3DD4B9BC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  <w:r w:rsidR="006C22EE">
            <w:rPr>
              <w:noProof/>
            </w:rPr>
            <w:t xml:space="preserve"> 2600742</w:t>
          </w:r>
        </w:p>
      </w:tc>
      <w:tc>
        <w:tcPr>
          <w:tcW w:w="8261" w:type="dxa"/>
        </w:tcPr>
        <w:p w14:paraId="3718A530" w14:textId="69BB74D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C22EE">
            <w:rPr>
              <w:bCs/>
            </w:rPr>
            <w:t>69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71E24A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940E4AA" w14:textId="77777777" w:rsidTr="00E31DCE">
      <w:trPr>
        <w:jc w:val="center"/>
      </w:trPr>
      <w:tc>
        <w:tcPr>
          <w:tcW w:w="1803" w:type="dxa"/>
          <w:vAlign w:val="center"/>
        </w:tcPr>
        <w:p w14:paraId="7A8BFA12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705815E" w14:textId="412BF95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C22EE">
            <w:rPr>
              <w:bCs/>
            </w:rPr>
            <w:t>69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912EB7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2D9A" w14:textId="77777777" w:rsidR="006C22EE" w:rsidRDefault="006C22EE">
      <w:r>
        <w:t>____________________</w:t>
      </w:r>
    </w:p>
  </w:footnote>
  <w:footnote w:type="continuationSeparator" w:id="0">
    <w:p w14:paraId="45FB216C" w14:textId="77777777" w:rsidR="006C22EE" w:rsidRDefault="006C22EE">
      <w:r>
        <w:continuationSeparator/>
      </w:r>
    </w:p>
  </w:footnote>
  <w:footnote w:id="1">
    <w:p w14:paraId="75CC8D21" w14:textId="0398C10F" w:rsidR="006C22EE" w:rsidRPr="007B44B7" w:rsidRDefault="006C22EE" w:rsidP="005F5014">
      <w:pPr>
        <w:pStyle w:val="FootnoteText"/>
        <w:jc w:val="both"/>
        <w:rPr>
          <w:lang w:val="ru-RU"/>
        </w:rPr>
      </w:pPr>
      <w:r>
        <w:rPr>
          <w:rStyle w:val="FootnoteReference"/>
          <w:lang w:val="ru-RU"/>
        </w:rPr>
        <w:footnoteRef/>
      </w:r>
      <w:r>
        <w:rPr>
          <w:lang w:val="ru-RU"/>
        </w:rPr>
        <w:tab/>
      </w:r>
      <w:hyperlink r:id="rId1" w:history="1">
        <w:r w:rsidRPr="007B44B7">
          <w:rPr>
            <w:rStyle w:val="Hyperlink"/>
            <w:lang w:val="ru-RU"/>
          </w:rPr>
          <w:t>Промежуточная экспресс-оценка ущерба и потребностей в Газе и на Западном берегу (февраль 2025 г.)</w:t>
        </w:r>
      </w:hyperlink>
      <w:r w:rsidRPr="007B44B7">
        <w:rPr>
          <w:lang w:val="ru-RU"/>
        </w:rPr>
        <w:t>.</w:t>
      </w:r>
    </w:p>
  </w:footnote>
  <w:footnote w:id="2">
    <w:p w14:paraId="434F22B9" w14:textId="599D399A" w:rsidR="006C22EE" w:rsidRPr="007B44B7" w:rsidRDefault="006C22EE" w:rsidP="006C22EE">
      <w:pPr>
        <w:pStyle w:val="FootnoteText"/>
        <w:rPr>
          <w:lang w:val="ru-RU"/>
        </w:rPr>
      </w:pPr>
      <w:r w:rsidRPr="007B44B7">
        <w:rPr>
          <w:rStyle w:val="FootnoteReference"/>
          <w:szCs w:val="16"/>
          <w:lang w:val="ru-RU"/>
        </w:rPr>
        <w:footnoteRef/>
      </w:r>
      <w:r w:rsidRPr="007B44B7">
        <w:rPr>
          <w:lang w:val="ru-RU"/>
        </w:rPr>
        <w:tab/>
      </w:r>
      <w:hyperlink r:id="rId2" w:history="1">
        <w:r w:rsidR="007B7A6C" w:rsidRPr="007B7A6C">
          <w:rPr>
            <w:rStyle w:val="Hyperlink"/>
            <w:i/>
            <w:iCs/>
            <w:lang w:val="ru-RU"/>
          </w:rPr>
          <w:t>Там же</w:t>
        </w:r>
      </w:hyperlink>
      <w:r w:rsidRPr="007B44B7">
        <w:rPr>
          <w:lang w:val="ru-RU"/>
        </w:rPr>
        <w:t>.</w:t>
      </w:r>
    </w:p>
  </w:footnote>
  <w:footnote w:id="3">
    <w:p w14:paraId="4DF3F73C" w14:textId="7A813736" w:rsidR="006C22EE" w:rsidRPr="007B7A6C" w:rsidRDefault="006C22EE" w:rsidP="006C22EE">
      <w:pPr>
        <w:pStyle w:val="FootnoteText"/>
        <w:rPr>
          <w:lang w:val="ru-RU"/>
        </w:rPr>
      </w:pPr>
      <w:r w:rsidRPr="007B44B7">
        <w:rPr>
          <w:rStyle w:val="FootnoteReference"/>
          <w:szCs w:val="16"/>
          <w:lang w:val="ru-RU"/>
        </w:rPr>
        <w:footnoteRef/>
      </w:r>
      <w:r w:rsidRPr="007B44B7">
        <w:rPr>
          <w:lang w:val="ru-RU"/>
        </w:rPr>
        <w:tab/>
      </w:r>
      <w:hyperlink r:id="rId3" w:history="1">
        <w:r w:rsidR="007B7A6C" w:rsidRPr="007B7A6C">
          <w:rPr>
            <w:rStyle w:val="Hyperlink"/>
            <w:i/>
            <w:iCs/>
            <w:lang w:val="ru-RU"/>
          </w:rPr>
          <w:t>Там же</w:t>
        </w:r>
      </w:hyperlink>
      <w:r w:rsidR="007B7A6C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69E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EE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C16EE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17064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5F5014"/>
    <w:rsid w:val="00601994"/>
    <w:rsid w:val="00660449"/>
    <w:rsid w:val="00672F8A"/>
    <w:rsid w:val="006C22EE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B7A6C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31830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13445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36A2D"/>
    <w:rsid w:val="00D631AA"/>
    <w:rsid w:val="00D92EEA"/>
    <w:rsid w:val="00DA5D4E"/>
    <w:rsid w:val="00DA770A"/>
    <w:rsid w:val="00E05752"/>
    <w:rsid w:val="00E176BA"/>
    <w:rsid w:val="00E3329E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41DAB"/>
  <w15:docId w15:val="{00DB27D2-6AC2-4657-9F1B-D8D25EFB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D36A2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CL-C-0127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T25-SG02-C-0145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docs.worldbank.org/en/doc/133c3304e29086819c1119fe8e85366b-0280012025/original/Gaza-RDNA-final-med.pdf" TargetMode="External"/><Relationship Id="rId2" Type="http://schemas.openxmlformats.org/officeDocument/2006/relationships/hyperlink" Target="https://thedocs.worldbank.org/en/doc/133c3304e29086819c1119fe8e85366b-0280012025/original/Gaza-RDNA-final-med.pdf" TargetMode="External"/><Relationship Id="rId1" Type="http://schemas.openxmlformats.org/officeDocument/2006/relationships/hyperlink" Target="https://thedocs.worldbank.org/en/doc/133c3304e29086819c1119fe8e85366b-0280012025/original/Gaza-RDNA-final-m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EAFD-54AB-430E-8DD5-080DC118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6</TotalTime>
  <Pages>6</Pages>
  <Words>1665</Words>
  <Characters>11966</Characters>
  <Application>Microsoft Office Word</Application>
  <DocSecurity>0</DocSecurity>
  <Lines>443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13533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 on assistance and support to Palestine</dc:title>
  <dc:subject>ITU Council 2026</dc:subject>
  <cp:keywords>C26; C2026; Council 2026; PP26</cp:keywords>
  <dc:description/>
  <cp:lastPrinted>2006-03-28T16:12:00Z</cp:lastPrinted>
  <dcterms:created xsi:type="dcterms:W3CDTF">2026-04-23T08:06:00Z</dcterms:created>
  <dcterms:modified xsi:type="dcterms:W3CDTF">2026-04-23T08:11:00Z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