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2A3125" w14:paraId="7C2F9120" w14:textId="77777777" w:rsidTr="00796BDB">
        <w:trPr>
          <w:cantSplit/>
          <w:trHeight w:val="23"/>
        </w:trPr>
        <w:tc>
          <w:tcPr>
            <w:tcW w:w="3969" w:type="dxa"/>
            <w:vMerge w:val="restart"/>
            <w:tcMar>
              <w:left w:w="0" w:type="dxa"/>
            </w:tcMar>
          </w:tcPr>
          <w:p w14:paraId="03C425EC" w14:textId="5FE9EA47" w:rsidR="00D72F49" w:rsidRPr="002A3125" w:rsidRDefault="00D72F49" w:rsidP="00796BDB">
            <w:pPr>
              <w:tabs>
                <w:tab w:val="left" w:pos="851"/>
              </w:tabs>
              <w:spacing w:before="0" w:line="240" w:lineRule="atLeast"/>
              <w:rPr>
                <w:b/>
              </w:rPr>
            </w:pPr>
            <w:r w:rsidRPr="002A3125">
              <w:rPr>
                <w:b/>
              </w:rPr>
              <w:t>Point de l'ordre du jour:</w:t>
            </w:r>
            <w:r w:rsidR="00CD7D6A" w:rsidRPr="002A3125">
              <w:rPr>
                <w:b/>
              </w:rPr>
              <w:t xml:space="preserve"> PL 2</w:t>
            </w:r>
          </w:p>
        </w:tc>
        <w:tc>
          <w:tcPr>
            <w:tcW w:w="5245" w:type="dxa"/>
          </w:tcPr>
          <w:p w14:paraId="16EF7A32" w14:textId="5D2D6F09" w:rsidR="00D72F49" w:rsidRPr="002A3125" w:rsidRDefault="00D72F49" w:rsidP="00796BDB">
            <w:pPr>
              <w:tabs>
                <w:tab w:val="left" w:pos="851"/>
              </w:tabs>
              <w:spacing w:before="0" w:line="240" w:lineRule="atLeast"/>
              <w:jc w:val="right"/>
              <w:rPr>
                <w:b/>
              </w:rPr>
            </w:pPr>
            <w:r w:rsidRPr="002A3125">
              <w:rPr>
                <w:b/>
              </w:rPr>
              <w:t>Document C2</w:t>
            </w:r>
            <w:r w:rsidR="00E4448E" w:rsidRPr="002A3125">
              <w:rPr>
                <w:b/>
              </w:rPr>
              <w:t>6</w:t>
            </w:r>
            <w:r w:rsidRPr="002A3125">
              <w:rPr>
                <w:b/>
              </w:rPr>
              <w:t>/</w:t>
            </w:r>
            <w:r w:rsidR="00CD7D6A" w:rsidRPr="002A3125">
              <w:rPr>
                <w:b/>
              </w:rPr>
              <w:t>69</w:t>
            </w:r>
            <w:r w:rsidRPr="002A3125">
              <w:rPr>
                <w:b/>
              </w:rPr>
              <w:t>-F</w:t>
            </w:r>
          </w:p>
        </w:tc>
      </w:tr>
      <w:tr w:rsidR="00D72F49" w:rsidRPr="002A3125" w14:paraId="63CD120A" w14:textId="77777777" w:rsidTr="00796BDB">
        <w:trPr>
          <w:cantSplit/>
        </w:trPr>
        <w:tc>
          <w:tcPr>
            <w:tcW w:w="3969" w:type="dxa"/>
            <w:vMerge/>
          </w:tcPr>
          <w:p w14:paraId="47DF64F9" w14:textId="77777777" w:rsidR="00D72F49" w:rsidRPr="002A3125" w:rsidRDefault="00D72F49" w:rsidP="00796BDB">
            <w:pPr>
              <w:tabs>
                <w:tab w:val="left" w:pos="851"/>
              </w:tabs>
              <w:spacing w:line="240" w:lineRule="atLeast"/>
              <w:rPr>
                <w:b/>
              </w:rPr>
            </w:pPr>
          </w:p>
        </w:tc>
        <w:tc>
          <w:tcPr>
            <w:tcW w:w="5245" w:type="dxa"/>
          </w:tcPr>
          <w:p w14:paraId="6031711B" w14:textId="5681218A" w:rsidR="00D72F49" w:rsidRPr="002A3125" w:rsidRDefault="00CD7D6A" w:rsidP="00796BDB">
            <w:pPr>
              <w:tabs>
                <w:tab w:val="left" w:pos="851"/>
              </w:tabs>
              <w:spacing w:before="0"/>
              <w:jc w:val="right"/>
              <w:rPr>
                <w:b/>
              </w:rPr>
            </w:pPr>
            <w:r w:rsidRPr="002A3125">
              <w:rPr>
                <w:b/>
              </w:rPr>
              <w:t>30 mars 2026</w:t>
            </w:r>
          </w:p>
        </w:tc>
      </w:tr>
      <w:tr w:rsidR="00D72F49" w:rsidRPr="002A3125" w14:paraId="1378EDCE" w14:textId="77777777" w:rsidTr="00796BDB">
        <w:trPr>
          <w:cantSplit/>
          <w:trHeight w:val="23"/>
        </w:trPr>
        <w:tc>
          <w:tcPr>
            <w:tcW w:w="3969" w:type="dxa"/>
            <w:vMerge/>
          </w:tcPr>
          <w:p w14:paraId="4D3A05CA" w14:textId="77777777" w:rsidR="00D72F49" w:rsidRPr="002A3125" w:rsidRDefault="00D72F49" w:rsidP="00796BDB">
            <w:pPr>
              <w:tabs>
                <w:tab w:val="left" w:pos="851"/>
              </w:tabs>
              <w:spacing w:line="240" w:lineRule="atLeast"/>
              <w:rPr>
                <w:b/>
              </w:rPr>
            </w:pPr>
          </w:p>
        </w:tc>
        <w:tc>
          <w:tcPr>
            <w:tcW w:w="5245" w:type="dxa"/>
          </w:tcPr>
          <w:p w14:paraId="45FCEF66" w14:textId="77777777" w:rsidR="00D72F49" w:rsidRPr="002A3125" w:rsidRDefault="00D72F49" w:rsidP="00796BDB">
            <w:pPr>
              <w:tabs>
                <w:tab w:val="left" w:pos="851"/>
              </w:tabs>
              <w:spacing w:before="0" w:line="240" w:lineRule="atLeast"/>
              <w:jc w:val="right"/>
              <w:rPr>
                <w:b/>
              </w:rPr>
            </w:pPr>
            <w:r w:rsidRPr="002A3125">
              <w:rPr>
                <w:b/>
              </w:rPr>
              <w:t>Original: anglais</w:t>
            </w:r>
          </w:p>
        </w:tc>
      </w:tr>
      <w:tr w:rsidR="00D72F49" w:rsidRPr="002A3125" w14:paraId="3B321B2D" w14:textId="77777777" w:rsidTr="00796BDB">
        <w:trPr>
          <w:cantSplit/>
          <w:trHeight w:val="23"/>
        </w:trPr>
        <w:tc>
          <w:tcPr>
            <w:tcW w:w="3969" w:type="dxa"/>
          </w:tcPr>
          <w:p w14:paraId="2147B1D5" w14:textId="77777777" w:rsidR="00D72F49" w:rsidRPr="002A3125" w:rsidRDefault="00D72F49" w:rsidP="00796BDB">
            <w:pPr>
              <w:tabs>
                <w:tab w:val="left" w:pos="851"/>
              </w:tabs>
              <w:spacing w:line="240" w:lineRule="atLeast"/>
              <w:rPr>
                <w:b/>
              </w:rPr>
            </w:pPr>
          </w:p>
        </w:tc>
        <w:tc>
          <w:tcPr>
            <w:tcW w:w="5245" w:type="dxa"/>
          </w:tcPr>
          <w:p w14:paraId="567E027B" w14:textId="77777777" w:rsidR="00D72F49" w:rsidRPr="002A3125" w:rsidRDefault="00D72F49" w:rsidP="00796BDB">
            <w:pPr>
              <w:tabs>
                <w:tab w:val="left" w:pos="851"/>
              </w:tabs>
              <w:spacing w:before="0" w:line="240" w:lineRule="atLeast"/>
              <w:jc w:val="right"/>
              <w:rPr>
                <w:b/>
              </w:rPr>
            </w:pPr>
          </w:p>
        </w:tc>
      </w:tr>
      <w:tr w:rsidR="00D72F49" w:rsidRPr="002A3125" w14:paraId="746D8C1C" w14:textId="77777777" w:rsidTr="00796BDB">
        <w:trPr>
          <w:cantSplit/>
        </w:trPr>
        <w:tc>
          <w:tcPr>
            <w:tcW w:w="9214" w:type="dxa"/>
            <w:gridSpan w:val="2"/>
            <w:tcMar>
              <w:left w:w="0" w:type="dxa"/>
            </w:tcMar>
          </w:tcPr>
          <w:p w14:paraId="0C4955CF" w14:textId="77777777" w:rsidR="00D72F49" w:rsidRPr="002A3125" w:rsidRDefault="00D72F49" w:rsidP="00796BDB">
            <w:pPr>
              <w:pStyle w:val="Source"/>
              <w:jc w:val="left"/>
              <w:rPr>
                <w:sz w:val="34"/>
                <w:szCs w:val="34"/>
              </w:rPr>
            </w:pPr>
            <w:r w:rsidRPr="002A3125">
              <w:rPr>
                <w:rFonts w:cstheme="minorHAnsi"/>
                <w:color w:val="000000"/>
                <w:sz w:val="34"/>
                <w:szCs w:val="34"/>
              </w:rPr>
              <w:t xml:space="preserve">Rapport </w:t>
            </w:r>
            <w:r w:rsidR="00E95647" w:rsidRPr="002A3125">
              <w:rPr>
                <w:rFonts w:cstheme="minorHAnsi"/>
                <w:color w:val="000000"/>
                <w:sz w:val="34"/>
                <w:szCs w:val="34"/>
              </w:rPr>
              <w:t xml:space="preserve">de la </w:t>
            </w:r>
            <w:r w:rsidRPr="002A3125">
              <w:rPr>
                <w:rFonts w:cstheme="minorHAnsi"/>
                <w:color w:val="000000"/>
                <w:sz w:val="34"/>
                <w:szCs w:val="34"/>
              </w:rPr>
              <w:t>Secrétaire général</w:t>
            </w:r>
            <w:r w:rsidR="00E95647" w:rsidRPr="002A3125">
              <w:rPr>
                <w:rFonts w:cstheme="minorHAnsi"/>
                <w:color w:val="000000"/>
                <w:sz w:val="34"/>
                <w:szCs w:val="34"/>
              </w:rPr>
              <w:t>e</w:t>
            </w:r>
          </w:p>
        </w:tc>
      </w:tr>
      <w:tr w:rsidR="00D72F49" w:rsidRPr="002A3125" w14:paraId="3BA11092" w14:textId="77777777" w:rsidTr="00796BDB">
        <w:trPr>
          <w:cantSplit/>
        </w:trPr>
        <w:tc>
          <w:tcPr>
            <w:tcW w:w="9214" w:type="dxa"/>
            <w:gridSpan w:val="2"/>
            <w:tcMar>
              <w:left w:w="0" w:type="dxa"/>
            </w:tcMar>
          </w:tcPr>
          <w:p w14:paraId="29A50AEE" w14:textId="12AA18FA" w:rsidR="00D72F49" w:rsidRPr="002A3125" w:rsidRDefault="00CD7D6A" w:rsidP="00796BDB">
            <w:pPr>
              <w:pStyle w:val="Subtitle"/>
              <w:framePr w:hSpace="0" w:wrap="auto" w:hAnchor="text" w:xAlign="left" w:yAlign="inline"/>
              <w:rPr>
                <w:sz w:val="32"/>
                <w:szCs w:val="32"/>
                <w:lang w:val="fr-FR"/>
              </w:rPr>
            </w:pPr>
            <w:r w:rsidRPr="002A3125">
              <w:rPr>
                <w:rFonts w:cstheme="minorHAnsi"/>
                <w:sz w:val="32"/>
                <w:szCs w:val="32"/>
                <w:lang w:val="fr-FR"/>
              </w:rPr>
              <w:t>RAPPORT D'ACTIVITÉ SUR L'ASSISTANCE ET L'APPUI À LA PALESTINE</w:t>
            </w:r>
          </w:p>
        </w:tc>
      </w:tr>
      <w:tr w:rsidR="00D72F49" w:rsidRPr="002A3125" w14:paraId="32F53129" w14:textId="77777777" w:rsidTr="00796BDB">
        <w:trPr>
          <w:cantSplit/>
        </w:trPr>
        <w:tc>
          <w:tcPr>
            <w:tcW w:w="9214" w:type="dxa"/>
            <w:gridSpan w:val="2"/>
            <w:tcBorders>
              <w:top w:val="single" w:sz="4" w:space="0" w:color="auto"/>
              <w:bottom w:val="single" w:sz="4" w:space="0" w:color="auto"/>
            </w:tcBorders>
            <w:tcMar>
              <w:left w:w="0" w:type="dxa"/>
            </w:tcMar>
          </w:tcPr>
          <w:p w14:paraId="2D058F27" w14:textId="77777777" w:rsidR="00D72F49" w:rsidRPr="002A3125" w:rsidRDefault="00F37FE5" w:rsidP="00796BDB">
            <w:pPr>
              <w:spacing w:before="160"/>
              <w:rPr>
                <w:b/>
                <w:bCs/>
                <w:sz w:val="26"/>
                <w:szCs w:val="26"/>
              </w:rPr>
            </w:pPr>
            <w:r w:rsidRPr="002A3125">
              <w:rPr>
                <w:b/>
                <w:bCs/>
                <w:sz w:val="26"/>
                <w:szCs w:val="26"/>
              </w:rPr>
              <w:t>Objet</w:t>
            </w:r>
          </w:p>
          <w:p w14:paraId="4951840A" w14:textId="7FC00569" w:rsidR="00D72F49" w:rsidRPr="002A3125" w:rsidRDefault="00010791" w:rsidP="00796BDB">
            <w:r w:rsidRPr="002A3125">
              <w:t>Le présent document rend compte de la mise en œuvre de la Résolution 1424 du Conseil.</w:t>
            </w:r>
          </w:p>
          <w:p w14:paraId="5743484D" w14:textId="77777777" w:rsidR="00D72F49" w:rsidRPr="002A3125" w:rsidRDefault="00D72F49" w:rsidP="00796BDB">
            <w:pPr>
              <w:spacing w:before="160"/>
              <w:rPr>
                <w:b/>
                <w:bCs/>
                <w:sz w:val="26"/>
                <w:szCs w:val="26"/>
              </w:rPr>
            </w:pPr>
            <w:r w:rsidRPr="002A3125">
              <w:rPr>
                <w:b/>
                <w:bCs/>
                <w:sz w:val="26"/>
                <w:szCs w:val="26"/>
              </w:rPr>
              <w:t>Suite à donner par le Conseil</w:t>
            </w:r>
          </w:p>
          <w:p w14:paraId="4B39958D" w14:textId="34E2BBD9" w:rsidR="00D72F49" w:rsidRPr="002A3125" w:rsidRDefault="00010791" w:rsidP="00796BDB">
            <w:r w:rsidRPr="002A3125">
              <w:t xml:space="preserve">Le Conseil de l'UIT est invité à </w:t>
            </w:r>
            <w:r w:rsidRPr="002A3125">
              <w:rPr>
                <w:b/>
                <w:bCs/>
              </w:rPr>
              <w:t xml:space="preserve">examiner </w:t>
            </w:r>
            <w:r w:rsidRPr="002A3125">
              <w:t>le présent rapport.</w:t>
            </w:r>
          </w:p>
          <w:p w14:paraId="7B2B2B6B" w14:textId="77777777" w:rsidR="00D72F49" w:rsidRPr="002A3125" w:rsidRDefault="00D72F49" w:rsidP="00796BDB">
            <w:pPr>
              <w:spacing w:before="160"/>
              <w:rPr>
                <w:b/>
                <w:bCs/>
                <w:sz w:val="26"/>
                <w:szCs w:val="26"/>
              </w:rPr>
            </w:pPr>
            <w:r w:rsidRPr="002A3125">
              <w:rPr>
                <w:b/>
                <w:bCs/>
                <w:sz w:val="26"/>
                <w:szCs w:val="26"/>
              </w:rPr>
              <w:t xml:space="preserve">Lien(s) pertinent(s) avec le </w:t>
            </w:r>
            <w:r w:rsidR="00F37FE5" w:rsidRPr="002A3125">
              <w:rPr>
                <w:b/>
                <w:bCs/>
                <w:sz w:val="26"/>
                <w:szCs w:val="26"/>
              </w:rPr>
              <w:t>p</w:t>
            </w:r>
            <w:r w:rsidRPr="002A3125">
              <w:rPr>
                <w:b/>
                <w:bCs/>
                <w:sz w:val="26"/>
                <w:szCs w:val="26"/>
              </w:rPr>
              <w:t>lan stratégique</w:t>
            </w:r>
          </w:p>
          <w:p w14:paraId="422DA8F9" w14:textId="58C32E0C" w:rsidR="00D72F49" w:rsidRPr="002A3125" w:rsidRDefault="00010791" w:rsidP="00796BDB">
            <w:r w:rsidRPr="002A3125">
              <w:t>Fourniture d'une assistance technique.</w:t>
            </w:r>
          </w:p>
          <w:p w14:paraId="6CB83118" w14:textId="77777777" w:rsidR="00E95647" w:rsidRPr="002A3125" w:rsidRDefault="00D72F49" w:rsidP="00796BDB">
            <w:pPr>
              <w:spacing w:before="160"/>
              <w:rPr>
                <w:b/>
                <w:bCs/>
                <w:sz w:val="26"/>
                <w:szCs w:val="26"/>
              </w:rPr>
            </w:pPr>
            <w:r w:rsidRPr="002A3125">
              <w:rPr>
                <w:b/>
                <w:bCs/>
                <w:sz w:val="26"/>
                <w:szCs w:val="26"/>
              </w:rPr>
              <w:t>Incidences financières</w:t>
            </w:r>
          </w:p>
          <w:p w14:paraId="71406159" w14:textId="35FB1873" w:rsidR="00D72F49" w:rsidRPr="002A3125" w:rsidRDefault="00010791" w:rsidP="00796BDB">
            <w:pPr>
              <w:rPr>
                <w:szCs w:val="24"/>
              </w:rPr>
            </w:pPr>
            <w:r w:rsidRPr="002A3125">
              <w:rPr>
                <w:szCs w:val="24"/>
              </w:rPr>
              <w:t>Dans les limites des budgets alloués pour 2024-2025 et 2026-2027.</w:t>
            </w:r>
          </w:p>
          <w:p w14:paraId="4DE38872" w14:textId="77777777" w:rsidR="00D72F49" w:rsidRPr="002A3125" w:rsidRDefault="00D72F49" w:rsidP="00796BDB">
            <w:pPr>
              <w:spacing w:before="160"/>
              <w:rPr>
                <w:caps/>
                <w:sz w:val="22"/>
              </w:rPr>
            </w:pPr>
            <w:r w:rsidRPr="002A3125">
              <w:rPr>
                <w:sz w:val="22"/>
              </w:rPr>
              <w:t>__________________</w:t>
            </w:r>
          </w:p>
          <w:p w14:paraId="2CF653A8" w14:textId="77777777" w:rsidR="00D72F49" w:rsidRPr="002A3125" w:rsidRDefault="00D72F49" w:rsidP="00796BDB">
            <w:pPr>
              <w:spacing w:before="160"/>
              <w:rPr>
                <w:b/>
                <w:bCs/>
                <w:sz w:val="26"/>
                <w:szCs w:val="26"/>
              </w:rPr>
            </w:pPr>
            <w:r w:rsidRPr="002A3125">
              <w:rPr>
                <w:b/>
                <w:bCs/>
                <w:sz w:val="26"/>
                <w:szCs w:val="26"/>
              </w:rPr>
              <w:t>Références</w:t>
            </w:r>
          </w:p>
          <w:p w14:paraId="00F4307F" w14:textId="3BEC51F6" w:rsidR="00D72F49" w:rsidRPr="002A3125" w:rsidRDefault="00010791" w:rsidP="00CE5172">
            <w:pPr>
              <w:pStyle w:val="Referencetext"/>
              <w:framePr w:hSpace="0" w:wrap="auto" w:vAnchor="margin" w:hAnchor="text" w:xAlign="left" w:yAlign="inline"/>
            </w:pPr>
            <w:hyperlink r:id="rId8" w:history="1">
              <w:r w:rsidRPr="002A3125">
                <w:rPr>
                  <w:rStyle w:val="Hyperlink"/>
                  <w:rFonts w:eastAsia="Times New Roman" w:cs="Times New Roman"/>
                  <w:sz w:val="24"/>
                  <w:szCs w:val="24"/>
                </w:rPr>
                <w:t>Résolution 1424</w:t>
              </w:r>
            </w:hyperlink>
            <w:r w:rsidRPr="002A3125">
              <w:rPr>
                <w:sz w:val="24"/>
                <w:szCs w:val="24"/>
              </w:rPr>
              <w:t xml:space="preserve"> (C24) du Conseil</w:t>
            </w:r>
          </w:p>
        </w:tc>
      </w:tr>
    </w:tbl>
    <w:p w14:paraId="55045B8E" w14:textId="77777777" w:rsidR="00A51849" w:rsidRPr="002A3125" w:rsidRDefault="00A51849">
      <w:pPr>
        <w:tabs>
          <w:tab w:val="clear" w:pos="567"/>
          <w:tab w:val="clear" w:pos="1134"/>
          <w:tab w:val="clear" w:pos="1701"/>
          <w:tab w:val="clear" w:pos="2268"/>
          <w:tab w:val="clear" w:pos="2835"/>
        </w:tabs>
        <w:overflowPunct/>
        <w:autoSpaceDE/>
        <w:autoSpaceDN/>
        <w:adjustRightInd/>
        <w:spacing w:before="0"/>
        <w:textAlignment w:val="auto"/>
      </w:pPr>
      <w:r w:rsidRPr="002A3125">
        <w:br w:type="page"/>
      </w:r>
    </w:p>
    <w:p w14:paraId="1BB0906A" w14:textId="77777777" w:rsidR="00010791" w:rsidRPr="002A3125" w:rsidRDefault="00010791" w:rsidP="00010791">
      <w:pPr>
        <w:pStyle w:val="Headingb"/>
      </w:pPr>
      <w:r w:rsidRPr="002A3125">
        <w:lastRenderedPageBreak/>
        <w:t>Considérations générales</w:t>
      </w:r>
    </w:p>
    <w:p w14:paraId="5FA0EA7A" w14:textId="74110C9A" w:rsidR="00010791" w:rsidRPr="002A3125" w:rsidRDefault="00010791" w:rsidP="00010791">
      <w:r w:rsidRPr="002A3125">
        <w:t>Le présent document rend compte de la mise en œuvre de la Résolution 1424 (C24) du Conseil de l'UIT, aux termes de laquelle la Secrétaire générale est invitée à coordonner les activités des trois Secteurs de l'Union et à présenter un rapport sur la question au Conseil, à sa session de 2026.</w:t>
      </w:r>
    </w:p>
    <w:p w14:paraId="3B503E76" w14:textId="77777777" w:rsidR="00010791" w:rsidRPr="002A3125" w:rsidRDefault="00010791" w:rsidP="00010791">
      <w:pPr>
        <w:pStyle w:val="Headingb"/>
      </w:pPr>
      <w:r w:rsidRPr="002A3125">
        <w:t>Contexte</w:t>
      </w:r>
    </w:p>
    <w:p w14:paraId="1078FD2D" w14:textId="77777777" w:rsidR="00010791" w:rsidRPr="002A3125" w:rsidRDefault="00010791" w:rsidP="00010791">
      <w:r w:rsidRPr="002A3125">
        <w:t>Selon les dernières informations du Réseau des télécommunications d'urgence, le secteur des TIC en Palestine continue de faire face à d'importants défis en matière de développement et d'infrastructure, les services de large bande mobile étant particulièrement touchés. À l'heure actuelle, les niveaux de connectivité restent très faibles en raison des pénuries de combustible, des dommages causés aux infrastructures, du manque d'équipements et des difficultés d'accès, ce qui présente un risque important pour la continuité des services de télécommunications.</w:t>
      </w:r>
    </w:p>
    <w:p w14:paraId="0C9565B1" w14:textId="6E2C4CD9" w:rsidR="00010791" w:rsidRPr="002A3125" w:rsidRDefault="00010791" w:rsidP="00010791">
      <w:r w:rsidRPr="002A3125">
        <w:t>Selon la Banque mondiale, les dommages causés aux infrastructures TIC ont atteint un montant de 164 millions de dollars</w:t>
      </w:r>
      <w:r w:rsidRPr="002A3125">
        <w:rPr>
          <w:rStyle w:val="FootnoteReference"/>
        </w:rPr>
        <w:footnoteReference w:id="1"/>
      </w:r>
      <w:r w:rsidRPr="002A3125">
        <w:t>. Parmi les équipements touchés, 74% ont été détruits, 16% ont été partiellement endommagés et 10% ont subi peu de dommages</w:t>
      </w:r>
      <w:r w:rsidRPr="002A3125">
        <w:rPr>
          <w:rStyle w:val="FootnoteReference"/>
        </w:rPr>
        <w:footnoteReference w:id="2"/>
      </w:r>
      <w:r w:rsidRPr="002A3125">
        <w:t>. En outre, d'après la Banque mondiale, les dépenses liées aux travaux de reconstruction et de rétablissement devraient s'élever à 460 millions de dollars, dont 116 millions de dollars pour la restauration immédiate des tours de téléphonie mobile, des réseaux à fibres optiques et des services essentiels, et 344 millions de dollars pour les efforts visant à garantir une résilience à long terme et les travaux de reconstruction</w:t>
      </w:r>
      <w:r w:rsidRPr="002A3125">
        <w:rPr>
          <w:rStyle w:val="FootnoteReference"/>
        </w:rPr>
        <w:footnoteReference w:id="3"/>
      </w:r>
      <w:r w:rsidRPr="002A3125">
        <w:t>. Le secteur des télécommunications est confronté à des difficultés d'accès aux pièces de rechange et à des pénuries de carburant persistantes, ces éléments étant essentiels au fonctionnement des tours et des systèmes de secours.</w:t>
      </w:r>
    </w:p>
    <w:p w14:paraId="5A6AEF92" w14:textId="629B9E48" w:rsidR="00010791" w:rsidRPr="002A3125" w:rsidRDefault="00010791" w:rsidP="00010791">
      <w:r w:rsidRPr="002A3125">
        <w:t>À sa session de 2025, le Conseil a chargé la Secrétaire générale d'élaborer un plan de mise en œuvre concret assorti d'un calendrier pour la résolution et de faire rapport à ce sujet au Conseil à sa prochaine session. Par ailleurs, l'État de Palestine a présenté plusieurs demandes d'assistance.</w:t>
      </w:r>
    </w:p>
    <w:p w14:paraId="622F471F" w14:textId="77777777" w:rsidR="00010791" w:rsidRPr="002A3125" w:rsidRDefault="00010791" w:rsidP="005C4CF0">
      <w:pPr>
        <w:pStyle w:val="Headingb"/>
      </w:pPr>
      <w:r w:rsidRPr="002A3125">
        <w:t>Mesures prises par l'UIT</w:t>
      </w:r>
    </w:p>
    <w:p w14:paraId="4AC85677" w14:textId="77777777" w:rsidR="00010791" w:rsidRPr="002A3125" w:rsidRDefault="00010791" w:rsidP="00010791">
      <w:r w:rsidRPr="002A3125">
        <w:t>L'UIT a poursuivi ses efforts au cours de l'année écoulée pour mettre en œuvre la Résolution. Des progrès ont été accomplis dans les domaines suivants:</w:t>
      </w:r>
    </w:p>
    <w:p w14:paraId="02A9E3C8" w14:textId="0EC138F0" w:rsidR="00010791" w:rsidRPr="002A3125" w:rsidRDefault="00010791" w:rsidP="00C7166A">
      <w:pPr>
        <w:pStyle w:val="enumlev1"/>
        <w:spacing w:before="160"/>
        <w:rPr>
          <w:b/>
          <w:bCs/>
        </w:rPr>
      </w:pPr>
      <w:r w:rsidRPr="002A3125">
        <w:rPr>
          <w:b/>
          <w:bCs/>
        </w:rPr>
        <w:t>1</w:t>
      </w:r>
      <w:r w:rsidR="005C4CF0" w:rsidRPr="002A3125">
        <w:rPr>
          <w:b/>
          <w:bCs/>
        </w:rPr>
        <w:t>)</w:t>
      </w:r>
      <w:r w:rsidRPr="002A3125">
        <w:rPr>
          <w:b/>
          <w:bCs/>
        </w:rPr>
        <w:tab/>
        <w:t>Coordination</w:t>
      </w:r>
    </w:p>
    <w:p w14:paraId="4A942D3F" w14:textId="77777777" w:rsidR="00010791" w:rsidRPr="002A3125" w:rsidRDefault="00010791" w:rsidP="005C4CF0">
      <w:pPr>
        <w:pStyle w:val="enumlev1"/>
      </w:pPr>
      <w:r w:rsidRPr="002A3125">
        <w:tab/>
        <w:t>Un Groupe d'action intersectoriel a été créé pour assurer une mise en œuvre coordonnée et efficace de la Résolution 1424 dans l'ensemble de l'UIT. Le Groupe d'action s'est concentré sur trois objectifs clés:</w:t>
      </w:r>
    </w:p>
    <w:p w14:paraId="3198AF91" w14:textId="77777777" w:rsidR="00010791" w:rsidRPr="002A3125" w:rsidRDefault="00010791" w:rsidP="005C4CF0">
      <w:pPr>
        <w:pStyle w:val="enumlev2"/>
      </w:pPr>
      <w:r w:rsidRPr="002A3125">
        <w:t>i)</w:t>
      </w:r>
      <w:r w:rsidRPr="002A3125">
        <w:tab/>
        <w:t>évaluer les incidences du conflit en Palestine sur les programmes et activités de l'UIT menés dans la région;</w:t>
      </w:r>
    </w:p>
    <w:p w14:paraId="49942AD0" w14:textId="77777777" w:rsidR="00010791" w:rsidRPr="002A3125" w:rsidRDefault="00010791" w:rsidP="005C4CF0">
      <w:pPr>
        <w:pStyle w:val="enumlev2"/>
      </w:pPr>
      <w:r w:rsidRPr="002A3125">
        <w:lastRenderedPageBreak/>
        <w:t>ii)</w:t>
      </w:r>
      <w:r w:rsidRPr="002A3125">
        <w:tab/>
        <w:t>mobiliser les ressources financières, techniques et humaines nécessaires pour soutenir les efforts de rétablissement; et</w:t>
      </w:r>
    </w:p>
    <w:p w14:paraId="543B3EEF" w14:textId="77777777" w:rsidR="00010791" w:rsidRPr="002A3125" w:rsidRDefault="00010791" w:rsidP="005C4CF0">
      <w:pPr>
        <w:pStyle w:val="enumlev2"/>
      </w:pPr>
      <w:r w:rsidRPr="002A3125">
        <w:t>iii)</w:t>
      </w:r>
      <w:r w:rsidRPr="002A3125">
        <w:tab/>
        <w:t>suivre et coordonner l'avancement des travaux de mise en œuvre de la Résolution, en assurant la transparence et l'alignement sur les objectifs généraux de l'UIT.</w:t>
      </w:r>
    </w:p>
    <w:p w14:paraId="7FEA3AB3" w14:textId="77777777" w:rsidR="00010791" w:rsidRPr="002A3125" w:rsidRDefault="00010791" w:rsidP="005C4CF0">
      <w:pPr>
        <w:pStyle w:val="enumlev1"/>
      </w:pPr>
      <w:r w:rsidRPr="002A3125">
        <w:tab/>
        <w:t>Présidé par le Vice-Secrétaire général, le Groupe d'action était composé du Directeur du Bureau régional de l'UIT pour les États arabes et de représentants de chaque Secteur de l'Union.</w:t>
      </w:r>
    </w:p>
    <w:p w14:paraId="57DAEA19" w14:textId="3A19FA0D" w:rsidR="00010791" w:rsidRPr="002A3125" w:rsidRDefault="00010791" w:rsidP="00C7166A">
      <w:pPr>
        <w:pStyle w:val="enumlev1"/>
        <w:spacing w:before="160"/>
        <w:rPr>
          <w:b/>
          <w:bCs/>
        </w:rPr>
      </w:pPr>
      <w:r w:rsidRPr="002A3125">
        <w:rPr>
          <w:b/>
          <w:bCs/>
        </w:rPr>
        <w:t>2</w:t>
      </w:r>
      <w:r w:rsidR="005C4CF0" w:rsidRPr="002A3125">
        <w:rPr>
          <w:b/>
          <w:bCs/>
        </w:rPr>
        <w:t>)</w:t>
      </w:r>
      <w:r w:rsidRPr="002A3125">
        <w:rPr>
          <w:b/>
          <w:bCs/>
        </w:rPr>
        <w:tab/>
        <w:t>Création d'un fonds d'affectation spéciale</w:t>
      </w:r>
    </w:p>
    <w:p w14:paraId="0453B1B4" w14:textId="6744E9F5" w:rsidR="00010791" w:rsidRPr="002A3125" w:rsidRDefault="00010791" w:rsidP="005C4CF0">
      <w:pPr>
        <w:pStyle w:val="enumlev1"/>
      </w:pPr>
      <w:r w:rsidRPr="002A3125">
        <w:tab/>
        <w:t>En application de la Résolution 1424 du Conseil sur l'assistance et l'appui à la Palestine pour la reconstruction de son secteur des télécommunications, l'UIT a entrepris de mettre en place un fonds d'affectation spéciale spécifique pour l'État de Palestine. Ce mécanisme a pour objet de mobiliser et d'affecter des contributions volontaires et des engagements des États Membres, des Membres de Secteur et de partenaires du secteur privé à l'appui de projets prioritaires visant à remettre en état et à renforcer les infrastructures de télécommunication de la Palestine, à améliorer la résilience du secteur du numérique et à reconstruire les capacités du secteur des télécommunications. Le Fonds offrira un cadre transparent et coordonné pour aligner les ressources sur les priorités définies au niveau national et accélérer la mise en</w:t>
      </w:r>
      <w:r w:rsidR="005C4CF0" w:rsidRPr="002A3125">
        <w:t> </w:t>
      </w:r>
      <w:r w:rsidRPr="002A3125">
        <w:t>œuvre en étroite collaboration avec les acteurs concernés. Au 27 mars 2026, le Fonds avait reçu une contribution initiale d'un montant de 20 000 euros de la Lituanie.</w:t>
      </w:r>
    </w:p>
    <w:p w14:paraId="19D4FA18" w14:textId="2C96CE58" w:rsidR="00010791" w:rsidRPr="002A3125" w:rsidRDefault="00010791" w:rsidP="00C7166A">
      <w:pPr>
        <w:pStyle w:val="enumlev1"/>
        <w:spacing w:before="160"/>
      </w:pPr>
      <w:r w:rsidRPr="002A3125">
        <w:rPr>
          <w:b/>
          <w:bCs/>
        </w:rPr>
        <w:t>3</w:t>
      </w:r>
      <w:r w:rsidR="005C4CF0" w:rsidRPr="002A3125">
        <w:rPr>
          <w:b/>
          <w:bCs/>
        </w:rPr>
        <w:t>)</w:t>
      </w:r>
      <w:r w:rsidRPr="002A3125">
        <w:rPr>
          <w:b/>
          <w:bCs/>
        </w:rPr>
        <w:tab/>
        <w:t>Plan de mise en œuvre</w:t>
      </w:r>
    </w:p>
    <w:p w14:paraId="1A8B2AEF" w14:textId="4C75DF34" w:rsidR="00010791" w:rsidRPr="002A3125" w:rsidRDefault="00010791" w:rsidP="005C4CF0">
      <w:pPr>
        <w:pStyle w:val="enumlev1"/>
      </w:pPr>
      <w:r w:rsidRPr="002A3125">
        <w:tab/>
        <w:t>En application de la même résolution, le Bureau de l'UIT pour les États arabes, en étroite collaboration avec le Ministère des télécommunications et de l'économie numérique de l'État de Palestine, a établi un plan de mise en œuvre structuré pour donner effet à la Résolution 1424 du Conseil et orienter le redressement du secteur</w:t>
      </w:r>
      <w:r w:rsidR="00986766" w:rsidRPr="002A3125">
        <w:t> </w:t>
      </w:r>
      <w:r w:rsidRPr="002A3125">
        <w:t>des télécommunications dans l'État de Palestine. Le plan en question définit</w:t>
      </w:r>
      <w:r w:rsidR="00986766" w:rsidRPr="002A3125">
        <w:t> </w:t>
      </w:r>
      <w:r w:rsidRPr="002A3125">
        <w:t>25</w:t>
      </w:r>
      <w:r w:rsidR="00986766" w:rsidRPr="002A3125">
        <w:t> </w:t>
      </w:r>
      <w:r w:rsidRPr="002A3125">
        <w:t>activités, dont 29 interventions intégrées de renforcement des capacités, organisées en quatre domaines prioritaires et échelonnées selon une approche modulaire clairement définie.</w:t>
      </w:r>
    </w:p>
    <w:p w14:paraId="67FADFD9" w14:textId="043CD3D2" w:rsidR="00010791" w:rsidRPr="002A3125" w:rsidRDefault="00010791" w:rsidP="00C7166A">
      <w:pPr>
        <w:pStyle w:val="enumlev1"/>
        <w:spacing w:before="160"/>
      </w:pPr>
      <w:r w:rsidRPr="002A3125">
        <w:rPr>
          <w:b/>
          <w:bCs/>
        </w:rPr>
        <w:t>4</w:t>
      </w:r>
      <w:r w:rsidR="005C4CF0" w:rsidRPr="002A3125">
        <w:rPr>
          <w:b/>
          <w:bCs/>
        </w:rPr>
        <w:t>)</w:t>
      </w:r>
      <w:r w:rsidRPr="002A3125">
        <w:rPr>
          <w:b/>
          <w:bCs/>
        </w:rPr>
        <w:tab/>
        <w:t>Table ronde d'annonce d'engagements</w:t>
      </w:r>
    </w:p>
    <w:p w14:paraId="1E6A7D8C" w14:textId="67B562F1" w:rsidR="00010791" w:rsidRPr="002A3125" w:rsidRDefault="00010791" w:rsidP="005C4CF0">
      <w:pPr>
        <w:pStyle w:val="enumlev1"/>
      </w:pPr>
      <w:r w:rsidRPr="002A3125">
        <w:tab/>
        <w:t>Dans le cadre de ses efforts pour traduire le plan de mise en œuvre et les activités de l</w:t>
      </w:r>
      <w:r w:rsidR="00E3266B" w:rsidRPr="002A3125">
        <w:t>'</w:t>
      </w:r>
      <w:r w:rsidRPr="002A3125">
        <w:t>UIT en engagements que les États Membres sont en mesure de financer par l'intermédiaire du Fonds d</w:t>
      </w:r>
      <w:r w:rsidR="00E3266B" w:rsidRPr="002A3125">
        <w:t>'</w:t>
      </w:r>
      <w:r w:rsidRPr="002A3125">
        <w:t>affectation spéciale, l</w:t>
      </w:r>
      <w:r w:rsidR="00E3266B" w:rsidRPr="002A3125">
        <w:t>'</w:t>
      </w:r>
      <w:r w:rsidRPr="002A3125">
        <w:t>UIT (</w:t>
      </w:r>
      <w:r w:rsidRPr="002A3125">
        <w:rPr>
          <w:i/>
          <w:iCs/>
        </w:rPr>
        <w:t>le BDT, en étroite coordination avec le Groupe spécial de coordination intersectorielle et le bureau du Vice-Secrétaire général</w:t>
      </w:r>
      <w:r w:rsidRPr="002A3125">
        <w:t>) avait prévu d</w:t>
      </w:r>
      <w:r w:rsidR="00E3266B" w:rsidRPr="002A3125">
        <w:t>'</w:t>
      </w:r>
      <w:r w:rsidRPr="002A3125">
        <w:t>organiser une table ronde d'annonce d'engagements, deux jours durant, à Genève, les 13 et 14 avril 2026. L'objectif de cette manifestation était de réunir les bailleurs de fonds et les contributeurs internationaux disposés à participer au Fonds d'affectation spéciale avec des représentants de la Palestine pour examiner l'ensemble des initiatives et des ressources nécessaires et afin d'y répondre en annonçant des engagements par lesquels la communauté internationale répondrait aux besoins de l'État de Palestine.</w:t>
      </w:r>
    </w:p>
    <w:p w14:paraId="765F250B" w14:textId="2A16A224" w:rsidR="00010791" w:rsidRPr="002A3125" w:rsidRDefault="00010791" w:rsidP="00E3266B">
      <w:pPr>
        <w:pStyle w:val="enumlev1"/>
        <w:keepLines/>
      </w:pPr>
      <w:r w:rsidRPr="002A3125">
        <w:tab/>
        <w:t>Cette initiative a été étroitement coordonnée avec le Ministère concerné dans l'État</w:t>
      </w:r>
      <w:r w:rsidR="00C7166A" w:rsidRPr="002A3125">
        <w:t> </w:t>
      </w:r>
      <w:r w:rsidRPr="002A3125">
        <w:t>de</w:t>
      </w:r>
      <w:r w:rsidR="00C7166A" w:rsidRPr="002A3125">
        <w:t> </w:t>
      </w:r>
      <w:r w:rsidRPr="002A3125">
        <w:t>Palestine, et il était prévu de répondre à l'ensemble des demandes et des besoins traités dans le plan de mise en œuvre établi par l'UIT en étroite coordination avec ce Ministère.</w:t>
      </w:r>
    </w:p>
    <w:p w14:paraId="3B1D183F" w14:textId="416D0EB2" w:rsidR="00010791" w:rsidRPr="002A3125" w:rsidRDefault="00C7166A" w:rsidP="005C4CF0">
      <w:pPr>
        <w:pStyle w:val="enumlev1"/>
      </w:pPr>
      <w:r w:rsidRPr="002A3125">
        <w:tab/>
      </w:r>
      <w:r w:rsidR="00010791" w:rsidRPr="002A3125">
        <w:t>En raison de la situation dans la région, cette initiative a été reportée à une date ultérieure.</w:t>
      </w:r>
    </w:p>
    <w:p w14:paraId="66380F76" w14:textId="02AB7E55" w:rsidR="00010791" w:rsidRPr="002A3125" w:rsidRDefault="00010791" w:rsidP="00C7166A">
      <w:pPr>
        <w:pStyle w:val="enumlev1"/>
        <w:spacing w:before="160"/>
        <w:rPr>
          <w:b/>
          <w:bCs/>
        </w:rPr>
      </w:pPr>
      <w:r w:rsidRPr="002A3125">
        <w:rPr>
          <w:b/>
          <w:bCs/>
        </w:rPr>
        <w:t>5</w:t>
      </w:r>
      <w:r w:rsidR="005C4CF0" w:rsidRPr="002A3125">
        <w:rPr>
          <w:b/>
          <w:bCs/>
        </w:rPr>
        <w:t>)</w:t>
      </w:r>
      <w:r w:rsidRPr="002A3125">
        <w:rPr>
          <w:b/>
          <w:bCs/>
        </w:rPr>
        <w:tab/>
        <w:t>Assistance technique stratégique pour la réforme des politiques en matière de télécommunications et de TIC</w:t>
      </w:r>
    </w:p>
    <w:p w14:paraId="0FB61543" w14:textId="77777777" w:rsidR="00010791" w:rsidRPr="002A3125" w:rsidRDefault="00010791" w:rsidP="005C4CF0">
      <w:pPr>
        <w:pStyle w:val="enumlev1"/>
      </w:pPr>
      <w:r w:rsidRPr="002A3125">
        <w:tab/>
        <w:t>Le Bureau régional de l'UIT pour les États arabes a contribué à la définition d'une politique moderne en matière de télécommunications et de TIC pour l'État de Palestine, en étroite coordination avec le Ministère des télécommunications et de l'économie numérique et plus de 15 parties prenantes de l'écosystème des TIC au niveau national. Cette assistance a débouché sur un projet de cadre de politique générale reposant sur un bilan de la situation réglementaire et institutionnelle, les priorités du secteur et l'harmonisation avec les pratiques de référence internationales. Cette politique définit des orientations précises pour renforcer la gouvernance du secteur, permettre les investissements et la concurrence, améliorer la résilience du secteur du numérique et progresser sur la voie d'une transformation numérique inclusive.</w:t>
      </w:r>
    </w:p>
    <w:p w14:paraId="575A5453" w14:textId="2D016EF8" w:rsidR="00010791" w:rsidRPr="002A3125" w:rsidRDefault="00010791" w:rsidP="005C4CF0">
      <w:pPr>
        <w:pStyle w:val="enumlev1"/>
      </w:pPr>
      <w:r w:rsidRPr="002A3125">
        <w:tab/>
        <w:t>Le projet de cadre de politique générale est en cours d</w:t>
      </w:r>
      <w:r w:rsidR="00E3266B" w:rsidRPr="002A3125">
        <w:t>'</w:t>
      </w:r>
      <w:r w:rsidRPr="002A3125">
        <w:t>examen afin que les modifications nécessaires soient apportées en consultation avec les partenaires nationaux. Des consultations ciblées, des contributions techniques et des activités de renforcement des capacités sont intervenues tout au long du processus pour garantir l</w:t>
      </w:r>
      <w:r w:rsidR="00E3266B" w:rsidRPr="002A3125">
        <w:t>'</w:t>
      </w:r>
      <w:r w:rsidRPr="002A3125">
        <w:t xml:space="preserve">appropriation nationale et l'application effective. </w:t>
      </w:r>
    </w:p>
    <w:p w14:paraId="3F61DBB4" w14:textId="1F75BB9F" w:rsidR="00010791" w:rsidRPr="002A3125" w:rsidRDefault="00010791" w:rsidP="00C7166A">
      <w:pPr>
        <w:pStyle w:val="enumlev1"/>
        <w:spacing w:before="160"/>
        <w:rPr>
          <w:b/>
          <w:bCs/>
        </w:rPr>
      </w:pPr>
      <w:r w:rsidRPr="002A3125">
        <w:rPr>
          <w:b/>
          <w:bCs/>
        </w:rPr>
        <w:t>6</w:t>
      </w:r>
      <w:r w:rsidR="005C4CF0" w:rsidRPr="002A3125">
        <w:rPr>
          <w:b/>
          <w:bCs/>
        </w:rPr>
        <w:t>)</w:t>
      </w:r>
      <w:r w:rsidRPr="002A3125">
        <w:rPr>
          <w:b/>
          <w:bCs/>
        </w:rPr>
        <w:tab/>
        <w:t>Évaluation des compétences numériques</w:t>
      </w:r>
    </w:p>
    <w:p w14:paraId="28366348" w14:textId="24828801" w:rsidR="00010791" w:rsidRPr="002A3125" w:rsidRDefault="00010791" w:rsidP="005C4CF0">
      <w:pPr>
        <w:pStyle w:val="enumlev1"/>
      </w:pPr>
      <w:r w:rsidRPr="002A3125">
        <w:tab/>
        <w:t>Le Bureau de l'UIT pour les États arabes aide le Ministère des télécommunications et de l'économie numérique par une évaluation des compétences numériques visant à faire le point de la situation des compétences numériques de base dans le secteur public, selon la méthode indiquée dans le Guide de l'UIT pour l'évaluation des compétences numériques, outil pratique et graduel pour mesurer l'offre et la demande et le déficit de compétences numériques au niveau national.</w:t>
      </w:r>
    </w:p>
    <w:p w14:paraId="498B814B" w14:textId="77777777" w:rsidR="00010791" w:rsidRPr="002A3125" w:rsidRDefault="00010791" w:rsidP="005C4CF0">
      <w:pPr>
        <w:pStyle w:val="enumlev1"/>
      </w:pPr>
      <w:r w:rsidRPr="002A3125">
        <w:tab/>
        <w:t>Dans le cadre de cette assistance technique, une formation en cours d'emploi est assurée aux membres de l'équipe compétente du Ministère des télécommunications et de l'économie numérique au titre d'un programme de formation des formateurs, pour leur permettre de mener l'évaluation de façon autonome, d'appliquer les modèles et les matrices d'évaluation de l'UIT, et d'analyser l'existant et les lacunes en matière de compétences. Le dispositif d'appui prévoit aussi un accompagnement professionnel hebdomadaire, un tutorat et des activités de renforcement des capacités pour les responsables et les membres de l'équipe, l'objectif étant de mener à bien l'évaluation des compétences de base et, si l'on en a le temps, une évaluation des compétences approfondies selon les normes de l'UIT d'ici à la table ronde d'annonce de contributions.</w:t>
      </w:r>
    </w:p>
    <w:p w14:paraId="07EC06AC" w14:textId="06BD1906" w:rsidR="00010791" w:rsidRPr="002A3125" w:rsidRDefault="00010791" w:rsidP="00C7166A">
      <w:pPr>
        <w:pStyle w:val="enumlev1"/>
        <w:keepNext/>
        <w:keepLines/>
        <w:spacing w:before="160"/>
        <w:rPr>
          <w:b/>
          <w:bCs/>
        </w:rPr>
      </w:pPr>
      <w:r w:rsidRPr="002A3125">
        <w:rPr>
          <w:b/>
          <w:bCs/>
        </w:rPr>
        <w:t>7</w:t>
      </w:r>
      <w:r w:rsidR="005C4CF0" w:rsidRPr="002A3125">
        <w:rPr>
          <w:b/>
          <w:bCs/>
        </w:rPr>
        <w:t>)</w:t>
      </w:r>
      <w:r w:rsidRPr="002A3125">
        <w:rPr>
          <w:b/>
          <w:bCs/>
        </w:rPr>
        <w:tab/>
        <w:t>Activités du Réseau des télécommunications d'urgence</w:t>
      </w:r>
    </w:p>
    <w:p w14:paraId="04C8A198" w14:textId="15D15447" w:rsidR="00010791" w:rsidRPr="002A3125" w:rsidRDefault="00010791" w:rsidP="00C7166A">
      <w:pPr>
        <w:pStyle w:val="enumlev1"/>
        <w:keepLines/>
      </w:pPr>
      <w:r w:rsidRPr="002A3125">
        <w:tab/>
        <w:t>En étroite collaboration avec le Réseau des télécommunications d'urgence des Nations</w:t>
      </w:r>
      <w:r w:rsidR="00C7166A" w:rsidRPr="002A3125">
        <w:t> </w:t>
      </w:r>
      <w:r w:rsidRPr="002A3125">
        <w:t>Unies, coordonné par le Programme alimentaire mondial, l'UIT s'est employée à faciliter la fourniture de téléphones satellites à Gaza (Palestine). Vingt dispositifs sont arrivés à Jérusalem en novembre 2025 et on attend actuellement les agréments nécessaires des autorités compétentes pour pouvoir les livrer à Gaza. Cette initiative critique vise à promouvoir la continuité des services de communication essentiels dans la région, pour aider à faire en sorte que les organismes des Nations Unies et les organisations humanitaires disposent de réseaux de communication fiables leur permettant de mener efficacement leurs opérations de secours. L'UIT a participé activement aux réunions du Réseau des télécommunications d'urgence pour assurer la coordination de ses activités avec celles des autres membres du Réseau.</w:t>
      </w:r>
    </w:p>
    <w:p w14:paraId="1FEC0509" w14:textId="63D89445" w:rsidR="00010791" w:rsidRPr="002A3125" w:rsidRDefault="00010791" w:rsidP="00C7166A">
      <w:pPr>
        <w:pStyle w:val="enumlev1"/>
        <w:keepNext/>
        <w:keepLines/>
        <w:spacing w:before="160"/>
        <w:rPr>
          <w:b/>
          <w:bCs/>
        </w:rPr>
      </w:pPr>
      <w:r w:rsidRPr="002A3125">
        <w:rPr>
          <w:b/>
          <w:bCs/>
        </w:rPr>
        <w:t>8</w:t>
      </w:r>
      <w:r w:rsidR="005C4CF0" w:rsidRPr="002A3125">
        <w:rPr>
          <w:b/>
          <w:bCs/>
        </w:rPr>
        <w:t>)</w:t>
      </w:r>
      <w:r w:rsidRPr="002A3125">
        <w:rPr>
          <w:b/>
          <w:bCs/>
        </w:rPr>
        <w:tab/>
        <w:t>Évaluation provisoire des dommages</w:t>
      </w:r>
    </w:p>
    <w:p w14:paraId="3C89E251" w14:textId="3EA845BC" w:rsidR="00010791" w:rsidRPr="002A3125" w:rsidRDefault="00010791" w:rsidP="005C4CF0">
      <w:pPr>
        <w:pStyle w:val="enumlev1"/>
      </w:pPr>
      <w:r w:rsidRPr="002A3125">
        <w:tab/>
        <w:t>L'UIT a mis en place des mécanismes de coordination régulière et a collaboré avec diverses organisations internationales, dont la Banque mondiale et l'Organisation des Nations Unies, pour appuyer l'évaluation globale des dommages causés aux infrastructures de télécommunication en Palestine. Elle passe en revue et adapte les conclusions relatives aux télécommunications de ces évaluations pour s'assurer qu'elles puissent servir à l'élaboration des politiques et à la planification de la reconstruction, tout en vérifiant que l'estimation des dommages causés aux infrastructures de TIC est faite conformément à son cadre réglementaire, ses règles de gestion du spectre et ses normes de planification des réseaux.</w:t>
      </w:r>
    </w:p>
    <w:p w14:paraId="10BC122C" w14:textId="3D6B98FA" w:rsidR="00010791" w:rsidRPr="002A3125" w:rsidRDefault="00010791" w:rsidP="00C7166A">
      <w:pPr>
        <w:pStyle w:val="enumlev1"/>
        <w:keepNext/>
        <w:keepLines/>
        <w:spacing w:before="160"/>
        <w:rPr>
          <w:b/>
          <w:bCs/>
        </w:rPr>
      </w:pPr>
      <w:r w:rsidRPr="002A3125">
        <w:rPr>
          <w:b/>
          <w:bCs/>
        </w:rPr>
        <w:t>9</w:t>
      </w:r>
      <w:r w:rsidR="005C4CF0" w:rsidRPr="002A3125">
        <w:rPr>
          <w:b/>
          <w:bCs/>
        </w:rPr>
        <w:t>)</w:t>
      </w:r>
      <w:r w:rsidRPr="002A3125">
        <w:rPr>
          <w:b/>
          <w:bCs/>
        </w:rPr>
        <w:tab/>
        <w:t>Contribution de la Palestine au Secteur de la normalisation des télécommunications de l'UIT</w:t>
      </w:r>
    </w:p>
    <w:p w14:paraId="1A11E62C" w14:textId="46C20E4C" w:rsidR="00010791" w:rsidRPr="002A3125" w:rsidRDefault="00010791" w:rsidP="005C4CF0">
      <w:pPr>
        <w:pStyle w:val="enumlev1"/>
      </w:pPr>
      <w:r w:rsidRPr="002A3125">
        <w:tab/>
        <w:t>En février 2026, la Commission d'études 2 de l'UIT-T (Aspects opérationnels des</w:t>
      </w:r>
      <w:r w:rsidR="00997826" w:rsidRPr="002A3125">
        <w:t> </w:t>
      </w:r>
      <w:r w:rsidRPr="002A3125">
        <w:t>télécommunications et des TIC) a reçu une contribution intitulée "Considérations</w:t>
      </w:r>
      <w:r w:rsidR="00997826" w:rsidRPr="002A3125">
        <w:t> </w:t>
      </w:r>
      <w:r w:rsidRPr="002A3125">
        <w:t>opérationnelles relatives à l'utilisation internationale de l'indicatif de pays E.164 +970 et au plan national de numérotage actualisé de l'État de Palestine" (Contribution</w:t>
      </w:r>
      <w:r w:rsidR="00997826" w:rsidRPr="002A3125">
        <w:t> </w:t>
      </w:r>
      <w:r w:rsidRPr="002A3125">
        <w:t>145</w:t>
      </w:r>
      <w:r w:rsidR="00997826" w:rsidRPr="002A3125">
        <w:t> </w:t>
      </w:r>
      <w:r w:rsidRPr="002A3125">
        <w:t>–</w:t>
      </w:r>
      <w:r w:rsidR="00997826" w:rsidRPr="002A3125">
        <w:t> </w:t>
      </w:r>
      <w:hyperlink r:id="rId9" w:history="1">
        <w:r w:rsidRPr="002A3125">
          <w:rPr>
            <w:rStyle w:val="Hyperlink"/>
            <w:rFonts w:eastAsia="Times New Roman" w:cs="Times New Roman"/>
            <w:szCs w:val="20"/>
          </w:rPr>
          <w:t>SG2-C145</w:t>
        </w:r>
      </w:hyperlink>
      <w:r w:rsidRPr="002A3125">
        <w:t>), émanant du Ministère des télécommunications et de l'économie numérique. Toutefois, aucun représentant de la Palestine n</w:t>
      </w:r>
      <w:r w:rsidR="00E3266B" w:rsidRPr="002A3125">
        <w:t>'</w:t>
      </w:r>
      <w:r w:rsidRPr="002A3125">
        <w:t>a assisté à la réunion, et le document n</w:t>
      </w:r>
      <w:r w:rsidR="00E3266B" w:rsidRPr="002A3125">
        <w:t>'</w:t>
      </w:r>
      <w:r w:rsidRPr="002A3125">
        <w:t>a pas été présenté ni examiné.</w:t>
      </w:r>
    </w:p>
    <w:p w14:paraId="3BB7E4B3" w14:textId="49B199F1" w:rsidR="00010791" w:rsidRPr="002A3125" w:rsidRDefault="00010791" w:rsidP="00C7166A">
      <w:pPr>
        <w:pStyle w:val="enumlev1"/>
        <w:keepNext/>
        <w:keepLines/>
        <w:spacing w:before="160"/>
        <w:rPr>
          <w:b/>
          <w:bCs/>
        </w:rPr>
      </w:pPr>
      <w:r w:rsidRPr="002A3125">
        <w:rPr>
          <w:b/>
          <w:bCs/>
        </w:rPr>
        <w:t>10</w:t>
      </w:r>
      <w:r w:rsidR="005C4CF0" w:rsidRPr="002A3125">
        <w:rPr>
          <w:b/>
          <w:bCs/>
        </w:rPr>
        <w:t>)</w:t>
      </w:r>
      <w:r w:rsidRPr="002A3125">
        <w:rPr>
          <w:b/>
          <w:bCs/>
        </w:rPr>
        <w:tab/>
        <w:t>Activités liées à une aide ciblée sous forme sous forme de bourses</w:t>
      </w:r>
    </w:p>
    <w:p w14:paraId="18CD8225" w14:textId="4FCCD177" w:rsidR="00010791" w:rsidRPr="002A3125" w:rsidRDefault="00010791" w:rsidP="005C4CF0">
      <w:pPr>
        <w:pStyle w:val="enumlev1"/>
      </w:pPr>
      <w:r w:rsidRPr="002A3125">
        <w:tab/>
        <w:t>Conformément à la Résolution 1424 du Conseil, l</w:t>
      </w:r>
      <w:r w:rsidR="00E3266B" w:rsidRPr="002A3125">
        <w:t>'</w:t>
      </w:r>
      <w:r w:rsidRPr="002A3125">
        <w:t>UIT a continué de promouvoir la participation active de l</w:t>
      </w:r>
      <w:r w:rsidR="00E3266B" w:rsidRPr="002A3125">
        <w:t>'</w:t>
      </w:r>
      <w:r w:rsidRPr="002A3125">
        <w:t>État de Palestine à ses activités. En 2025, 12 bourses ont été accordées à des représentants palestiniens, ce qui leur a permis de collaborer à des commissions d</w:t>
      </w:r>
      <w:r w:rsidR="00E3266B" w:rsidRPr="002A3125">
        <w:t>'</w:t>
      </w:r>
      <w:r w:rsidRPr="002A3125">
        <w:t>études, des forums et des initiatives de renforcement des capacités. Cet appui garantit la mobilisation de ressources financières et humaines pour renforcer le secteur palestinien des télécommunications et des TIC et maintenir une participation effective en dépit des difficultés actuelles.</w:t>
      </w:r>
    </w:p>
    <w:p w14:paraId="1F067420" w14:textId="2EBDFD77" w:rsidR="00010791" w:rsidRPr="002A3125" w:rsidRDefault="00010791" w:rsidP="00C7166A">
      <w:pPr>
        <w:pStyle w:val="enumlev1"/>
        <w:keepNext/>
        <w:keepLines/>
        <w:spacing w:before="160"/>
        <w:rPr>
          <w:b/>
          <w:bCs/>
        </w:rPr>
      </w:pPr>
      <w:r w:rsidRPr="002A3125">
        <w:rPr>
          <w:b/>
          <w:bCs/>
        </w:rPr>
        <w:t>11</w:t>
      </w:r>
      <w:r w:rsidR="005C4CF0" w:rsidRPr="002A3125">
        <w:rPr>
          <w:b/>
          <w:bCs/>
        </w:rPr>
        <w:t>)</w:t>
      </w:r>
      <w:r w:rsidRPr="002A3125">
        <w:rPr>
          <w:b/>
          <w:bCs/>
        </w:rPr>
        <w:tab/>
        <w:t>Collaboration avec l'État de Palestine dans le cadre de la Plate-forme de planification de la connectivité</w:t>
      </w:r>
    </w:p>
    <w:p w14:paraId="55A1A952" w14:textId="14AFB045" w:rsidR="00010791" w:rsidRPr="002A3125" w:rsidRDefault="00010791" w:rsidP="00C7166A">
      <w:pPr>
        <w:pStyle w:val="enumlev1"/>
        <w:keepNext/>
        <w:keepLines/>
      </w:pPr>
      <w:r w:rsidRPr="002A3125">
        <w:tab/>
        <w:t>À la suite de la réunion qui s'est tenue en février 2026 avec S.</w:t>
      </w:r>
      <w:r w:rsidR="001227EE" w:rsidRPr="002A3125">
        <w:t xml:space="preserve"> </w:t>
      </w:r>
      <w:r w:rsidRPr="002A3125">
        <w:t>E. le Vice-Ministre des télécommunications et de l'économie numérique, l'UIT a sensiblement progressé dans son dialogue avec l'État de Palestine concernant la Plate-forme de planification de la connectivité.</w:t>
      </w:r>
    </w:p>
    <w:p w14:paraId="35E98362" w14:textId="330A1538" w:rsidR="00010791" w:rsidRPr="002A3125" w:rsidRDefault="00010791" w:rsidP="005C4CF0">
      <w:pPr>
        <w:pStyle w:val="enumlev1"/>
      </w:pPr>
      <w:r w:rsidRPr="002A3125">
        <w:tab/>
        <w:t>Une séance introductive a été organisée en mars 2026 avec des hauts fonctionnaires et des techniciens du Ministère, durant laquelle les fonctionnalités de la plate-forme ont été présentées et les priorités de connectivité nationales ont été évoquées. Par la suite, le Ministère a désigné officiellement quatre coordonnateurs de haut rang pour diriger la collaboration nationale à cette initiative. Les comptes utilisateurs nécessaires ont été créés, l'accès à la plate-forme a été accordé et une assistance technique a été assurée pour régler les problèmes initiaux de connexion.</w:t>
      </w:r>
    </w:p>
    <w:p w14:paraId="5A622336" w14:textId="77777777" w:rsidR="00010791" w:rsidRPr="002A3125" w:rsidRDefault="00010791" w:rsidP="005C4CF0">
      <w:pPr>
        <w:pStyle w:val="enumlev1"/>
      </w:pPr>
      <w:r w:rsidRPr="002A3125">
        <w:tab/>
        <w:t>Une séance technique de suivi doit avoir lieu le 15 avril 2026, devant permettre de présenter la plate-forme de manière plus approfondie et d'étudier comment les séries de données disponibles peuvent être utilisées. La collaboration ainsi menée contribue directement à renforcer les capacités palestiniennes en matière de planification axée sur les données pour les infrastructures, conformément à la Résolution pertinente de l'UIT.</w:t>
      </w:r>
    </w:p>
    <w:p w14:paraId="01EDBBF1" w14:textId="3076E282" w:rsidR="00010791" w:rsidRPr="002A3125" w:rsidRDefault="00010791" w:rsidP="00C7166A">
      <w:pPr>
        <w:pStyle w:val="enumlev1"/>
        <w:keepNext/>
        <w:keepLines/>
        <w:spacing w:before="160"/>
        <w:rPr>
          <w:b/>
          <w:bCs/>
        </w:rPr>
      </w:pPr>
      <w:r w:rsidRPr="002A3125">
        <w:rPr>
          <w:b/>
          <w:bCs/>
        </w:rPr>
        <w:t>12</w:t>
      </w:r>
      <w:r w:rsidR="005C4CF0" w:rsidRPr="002A3125">
        <w:rPr>
          <w:b/>
          <w:bCs/>
        </w:rPr>
        <w:t>)</w:t>
      </w:r>
      <w:r w:rsidRPr="002A3125">
        <w:rPr>
          <w:b/>
          <w:bCs/>
        </w:rPr>
        <w:tab/>
        <w:t>Profil d'innovation numérique pour la Palestine</w:t>
      </w:r>
    </w:p>
    <w:p w14:paraId="184FC08E" w14:textId="1097060A" w:rsidR="00010791" w:rsidRPr="002A3125" w:rsidRDefault="00010791" w:rsidP="005C4CF0">
      <w:pPr>
        <w:pStyle w:val="enumlev1"/>
      </w:pPr>
      <w:r w:rsidRPr="002A3125">
        <w:tab/>
        <w:t>Une aide a été engagée en 2025 pour faciliter la mise au point du profil d'innovation numérique pour l'État de Palestine, en étroite coopération avec le Ministère. Ce profil d'innovation numérique permet d'évaluer la situation en ce qui concerne l'innovation dans le domaine des TIC dans l'État de Palestine, d'après les données disponibles et les renseignements communiqués par les parties prenantes.</w:t>
      </w:r>
    </w:p>
    <w:p w14:paraId="469ABD50" w14:textId="4523FC68" w:rsidR="00010791" w:rsidRPr="002A3125" w:rsidRDefault="00010791" w:rsidP="005C4CF0">
      <w:pPr>
        <w:pStyle w:val="enumlev1"/>
      </w:pPr>
      <w:r w:rsidRPr="002A3125">
        <w:tab/>
        <w:t>Faisant fond sur plus de 30 consultations menées auprès des autorités publiques, du secteur privé, du monde universitaire, de la société civile et de partenaires internationaux, le rapport recense les principaux atouts et obstacles et les domaines d'intervention prioritaires. Il constitue à la fois un outil de diagnostic et un guide stratégique, devant permettre d'élaborer les politiques et de planifier les investissements sur la base de données factuelles.</w:t>
      </w:r>
    </w:p>
    <w:p w14:paraId="233928D2" w14:textId="395D799C" w:rsidR="006A11AE" w:rsidRPr="002A3125" w:rsidRDefault="00010791" w:rsidP="005C4CF0">
      <w:pPr>
        <w:pStyle w:val="enumlev1"/>
      </w:pPr>
      <w:r w:rsidRPr="002A3125">
        <w:tab/>
        <w:t>Le rapport devrait être achevé et publié d'ici au troisième trimestre 2026.</w:t>
      </w:r>
    </w:p>
    <w:p w14:paraId="3FE29F9E" w14:textId="77777777" w:rsidR="00897553" w:rsidRPr="002A3125" w:rsidRDefault="006A11AE" w:rsidP="002D2336">
      <w:pPr>
        <w:jc w:val="center"/>
      </w:pPr>
      <w:r w:rsidRPr="002A3125">
        <w:t>______________</w:t>
      </w:r>
    </w:p>
    <w:sectPr w:rsidR="00897553" w:rsidRPr="002A3125" w:rsidSect="00D72F49">
      <w:headerReference w:type="even" r:id="rId10"/>
      <w:footerReference w:type="even" r:id="rId11"/>
      <w:footerReference w:type="default" r:id="rId12"/>
      <w:headerReference w:type="first" r:id="rId13"/>
      <w:footerReference w:type="first" r:id="rId14"/>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F821" w14:textId="77777777" w:rsidR="00CD7D6A" w:rsidRDefault="00CD7D6A">
      <w:r>
        <w:separator/>
      </w:r>
    </w:p>
  </w:endnote>
  <w:endnote w:type="continuationSeparator" w:id="0">
    <w:p w14:paraId="36050875" w14:textId="77777777" w:rsidR="00CD7D6A" w:rsidRDefault="00CD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F3FA" w14:textId="61B205C8" w:rsidR="00732045" w:rsidRDefault="00CD7D6A">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5D0B72">
      <w:t>16.04.26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1F3326F" w14:textId="77777777" w:rsidTr="00E31DCE">
      <w:trPr>
        <w:jc w:val="center"/>
      </w:trPr>
      <w:tc>
        <w:tcPr>
          <w:tcW w:w="1803" w:type="dxa"/>
          <w:vAlign w:val="center"/>
        </w:tcPr>
        <w:p w14:paraId="19BDC0AD" w14:textId="6A41D001" w:rsidR="00A51849" w:rsidRDefault="00010791" w:rsidP="00A51849">
          <w:pPr>
            <w:pStyle w:val="Header"/>
            <w:jc w:val="left"/>
            <w:rPr>
              <w:noProof/>
            </w:rPr>
          </w:pPr>
          <w:r>
            <w:rPr>
              <w:noProof/>
            </w:rPr>
            <w:t>2600742</w:t>
          </w:r>
        </w:p>
      </w:tc>
      <w:tc>
        <w:tcPr>
          <w:tcW w:w="8261" w:type="dxa"/>
        </w:tcPr>
        <w:p w14:paraId="1F95693E" w14:textId="62660B4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010791">
            <w:rPr>
              <w:bCs/>
            </w:rPr>
            <w:t>69</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9E2AE08"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7E4E158" w14:textId="77777777" w:rsidTr="00E31DCE">
      <w:trPr>
        <w:jc w:val="center"/>
      </w:trPr>
      <w:tc>
        <w:tcPr>
          <w:tcW w:w="1803" w:type="dxa"/>
          <w:vAlign w:val="center"/>
        </w:tcPr>
        <w:p w14:paraId="0576F27A"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3F40E6D9" w14:textId="52C45EF7"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010791">
            <w:rPr>
              <w:bCs/>
            </w:rPr>
            <w:t>69</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2A5BDBD"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26A1" w14:textId="77777777" w:rsidR="00CD7D6A" w:rsidRDefault="00CD7D6A">
      <w:r>
        <w:t>____________________</w:t>
      </w:r>
    </w:p>
  </w:footnote>
  <w:footnote w:type="continuationSeparator" w:id="0">
    <w:p w14:paraId="2777E1B5" w14:textId="77777777" w:rsidR="00CD7D6A" w:rsidRDefault="00CD7D6A">
      <w:r>
        <w:continuationSeparator/>
      </w:r>
    </w:p>
  </w:footnote>
  <w:footnote w:id="1">
    <w:p w14:paraId="276199C7" w14:textId="3D8609C0" w:rsidR="00010791" w:rsidRDefault="00010791">
      <w:pPr>
        <w:pStyle w:val="FootnoteText"/>
      </w:pPr>
      <w:r>
        <w:rPr>
          <w:rStyle w:val="FootnoteReference"/>
        </w:rPr>
        <w:footnoteRef/>
      </w:r>
      <w:r>
        <w:tab/>
      </w:r>
      <w:hyperlink r:id="rId1" w:history="1">
        <w:r w:rsidRPr="00010791">
          <w:rPr>
            <w:rStyle w:val="Hyperlink"/>
            <w:rFonts w:eastAsia="Times New Roman" w:cs="Times New Roman"/>
            <w:szCs w:val="20"/>
          </w:rPr>
          <w:t>Évaluation rapide provisoire des dommages et des besoins à Gaza et en Cisjordanie (février 2025)</w:t>
        </w:r>
      </w:hyperlink>
      <w:r w:rsidRPr="00010791">
        <w:t>.</w:t>
      </w:r>
    </w:p>
  </w:footnote>
  <w:footnote w:id="2">
    <w:p w14:paraId="6F1AE09D" w14:textId="157AF859" w:rsidR="00010791" w:rsidRDefault="00010791">
      <w:pPr>
        <w:pStyle w:val="FootnoteText"/>
      </w:pPr>
      <w:r>
        <w:rPr>
          <w:rStyle w:val="FootnoteReference"/>
        </w:rPr>
        <w:footnoteRef/>
      </w:r>
      <w:r>
        <w:tab/>
      </w:r>
      <w:hyperlink r:id="rId2" w:history="1">
        <w:r w:rsidRPr="00010791">
          <w:rPr>
            <w:rStyle w:val="Hyperlink"/>
            <w:rFonts w:eastAsia="Times New Roman" w:cs="Times New Roman"/>
            <w:i/>
            <w:iCs/>
            <w:szCs w:val="20"/>
          </w:rPr>
          <w:t>Ibid</w:t>
        </w:r>
      </w:hyperlink>
      <w:r w:rsidRPr="00010791">
        <w:t>.</w:t>
      </w:r>
    </w:p>
  </w:footnote>
  <w:footnote w:id="3">
    <w:p w14:paraId="348D0037" w14:textId="6918A1AD" w:rsidR="00010791" w:rsidRDefault="00010791">
      <w:pPr>
        <w:pStyle w:val="FootnoteText"/>
      </w:pPr>
      <w:r>
        <w:rPr>
          <w:rStyle w:val="FootnoteReference"/>
        </w:rPr>
        <w:footnoteRef/>
      </w:r>
      <w:r>
        <w:tab/>
      </w:r>
      <w:hyperlink r:id="rId3" w:history="1">
        <w:r w:rsidRPr="00010791">
          <w:rPr>
            <w:rStyle w:val="Hyperlink"/>
            <w:rFonts w:eastAsia="Times New Roman" w:cs="Times New Roman"/>
            <w:i/>
            <w:iCs/>
            <w:szCs w:val="20"/>
          </w:rPr>
          <w:t>Ibid</w:t>
        </w:r>
      </w:hyperlink>
      <w:r w:rsidRPr="0001079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4C5"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4ED7578"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7460" w14:textId="77777777" w:rsidR="00A51849" w:rsidRPr="001342E0" w:rsidRDefault="001342E0" w:rsidP="001342E0">
    <w:pPr>
      <w:pStyle w:val="Header"/>
    </w:pPr>
    <w:r>
      <w:rPr>
        <w:noProof/>
      </w:rPr>
      <w:drawing>
        <wp:inline distT="0" distB="0" distL="0" distR="0" wp14:anchorId="4846ED1C" wp14:editId="64031B1E">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6A"/>
    <w:rsid w:val="00010791"/>
    <w:rsid w:val="00076A2C"/>
    <w:rsid w:val="000D0D0A"/>
    <w:rsid w:val="00103163"/>
    <w:rsid w:val="00106B19"/>
    <w:rsid w:val="001133EF"/>
    <w:rsid w:val="00115D93"/>
    <w:rsid w:val="001227EE"/>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3125"/>
    <w:rsid w:val="002A5D44"/>
    <w:rsid w:val="002C3F32"/>
    <w:rsid w:val="002C4E3D"/>
    <w:rsid w:val="002D2336"/>
    <w:rsid w:val="002E0BC4"/>
    <w:rsid w:val="002F1B76"/>
    <w:rsid w:val="00301E1B"/>
    <w:rsid w:val="0033568E"/>
    <w:rsid w:val="00355FF5"/>
    <w:rsid w:val="00361350"/>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C4CF0"/>
    <w:rsid w:val="005D0B72"/>
    <w:rsid w:val="005F384E"/>
    <w:rsid w:val="005F466D"/>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802"/>
    <w:rsid w:val="0092392D"/>
    <w:rsid w:val="0093234A"/>
    <w:rsid w:val="00956A78"/>
    <w:rsid w:val="0097363B"/>
    <w:rsid w:val="00973F53"/>
    <w:rsid w:val="0098348E"/>
    <w:rsid w:val="00986766"/>
    <w:rsid w:val="00997826"/>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5F5"/>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81AC3"/>
    <w:rsid w:val="00BB38C1"/>
    <w:rsid w:val="00BB4545"/>
    <w:rsid w:val="00BD5873"/>
    <w:rsid w:val="00BF4B60"/>
    <w:rsid w:val="00C049D7"/>
    <w:rsid w:val="00C04BE3"/>
    <w:rsid w:val="00C25D29"/>
    <w:rsid w:val="00C2625E"/>
    <w:rsid w:val="00C27A7C"/>
    <w:rsid w:val="00C42437"/>
    <w:rsid w:val="00C7166A"/>
    <w:rsid w:val="00CA08ED"/>
    <w:rsid w:val="00CC6EAA"/>
    <w:rsid w:val="00CD7D6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3266B"/>
    <w:rsid w:val="00E4428F"/>
    <w:rsid w:val="00E4448E"/>
    <w:rsid w:val="00E47427"/>
    <w:rsid w:val="00E93668"/>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E39A9"/>
  <w15:docId w15:val="{3E0A2F4D-B2AF-40C6-BA88-60C970E8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127/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T25-SG02-C-0145/fr"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hedocs.worldbank.org/en/doc/133c3304e29086819c1119fe8e85366b-0280012025/original/Gaza-RDNA-final-med.pdf" TargetMode="External"/><Relationship Id="rId2" Type="http://schemas.openxmlformats.org/officeDocument/2006/relationships/hyperlink" Target="https://thedocs.worldbank.org/en/doc/133c3304e29086819c1119fe8e85366b-0280012025/original/Gaza-RDNA-final-med.pdf" TargetMode="External"/><Relationship Id="rId1" Type="http://schemas.openxmlformats.org/officeDocument/2006/relationships/hyperlink" Target="https://thedocs.worldbank.org/en/doc/133c3304e29086819c1119fe8e85366b-0280012025/original/Gaza-RDNA-final-me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13008-F26B-4544-9A51-C09955D6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Template>
  <TotalTime>1</TotalTime>
  <Pages>6</Pages>
  <Words>2219</Words>
  <Characters>12609</Characters>
  <Application>Microsoft Office Word</Application>
  <DocSecurity>0</DocSecurity>
  <Lines>217</Lines>
  <Paragraphs>73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14755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d'activité sur l'assistance et l'appui à la Palestine</dc:title>
  <dc:subject>Conseil 2026 de l'UIT</dc:subject>
  <dc:creator>GBS</dc:creator>
  <cp:keywords>C26; C2026; Council 2026; PP26</cp:keywords>
  <dc:description/>
  <cp:lastModifiedBy>GBS</cp:lastModifiedBy>
  <cp:revision>2</cp:revision>
  <cp:lastPrinted>2000-07-18T08:55:00Z</cp:lastPrinted>
  <dcterms:created xsi:type="dcterms:W3CDTF">2026-04-26T16:54:00Z</dcterms:created>
  <dcterms:modified xsi:type="dcterms:W3CDTF">2026-04-26T16:54:00Z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