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3F47FBA6" w14:textId="77777777" w:rsidTr="00954C49">
        <w:trPr>
          <w:cantSplit/>
          <w:trHeight w:val="23"/>
        </w:trPr>
        <w:tc>
          <w:tcPr>
            <w:tcW w:w="3969" w:type="dxa"/>
            <w:vMerge w:val="restart"/>
            <w:tcMar>
              <w:left w:w="0" w:type="dxa"/>
            </w:tcMar>
          </w:tcPr>
          <w:p w14:paraId="61023FCB" w14:textId="341CC7AB"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D233ED">
              <w:rPr>
                <w:b/>
              </w:rPr>
              <w:t>PL-2</w:t>
            </w:r>
          </w:p>
        </w:tc>
        <w:tc>
          <w:tcPr>
            <w:tcW w:w="5245" w:type="dxa"/>
          </w:tcPr>
          <w:p w14:paraId="2E564955" w14:textId="61CD2BD2" w:rsidR="00AD3606" w:rsidRPr="00C0458D" w:rsidRDefault="00AD3606" w:rsidP="00954C49">
            <w:pPr>
              <w:tabs>
                <w:tab w:val="left" w:pos="851"/>
              </w:tabs>
              <w:spacing w:before="0" w:line="240" w:lineRule="atLeast"/>
              <w:jc w:val="right"/>
              <w:rPr>
                <w:b/>
              </w:rPr>
            </w:pPr>
            <w:r w:rsidRPr="00C0458D">
              <w:rPr>
                <w:b/>
              </w:rPr>
              <w:t xml:space="preserve">Document </w:t>
            </w:r>
            <w:proofErr w:type="spellStart"/>
            <w:r w:rsidRPr="00C0458D">
              <w:rPr>
                <w:b/>
              </w:rPr>
              <w:t>C2</w:t>
            </w:r>
            <w:r w:rsidR="00DE532B">
              <w:rPr>
                <w:b/>
              </w:rPr>
              <w:t>6</w:t>
            </w:r>
            <w:proofErr w:type="spellEnd"/>
            <w:r w:rsidRPr="00C0458D">
              <w:rPr>
                <w:b/>
              </w:rPr>
              <w:t>/</w:t>
            </w:r>
            <w:r w:rsidR="00E10C9D">
              <w:rPr>
                <w:b/>
              </w:rPr>
              <w:t>69</w:t>
            </w:r>
            <w:r w:rsidRPr="00C0458D">
              <w:rPr>
                <w:b/>
              </w:rPr>
              <w:t>-E</w:t>
            </w:r>
          </w:p>
        </w:tc>
      </w:tr>
      <w:tr w:rsidR="00AD3606" w:rsidRPr="00C0458D" w14:paraId="5D4F6F69" w14:textId="77777777" w:rsidTr="00954C49">
        <w:trPr>
          <w:cantSplit/>
        </w:trPr>
        <w:tc>
          <w:tcPr>
            <w:tcW w:w="3969" w:type="dxa"/>
            <w:vMerge/>
          </w:tcPr>
          <w:p w14:paraId="478DEADE"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2A781F24" w14:textId="36F6C9F8" w:rsidR="00AD3606" w:rsidRPr="00C0458D" w:rsidRDefault="00546DF7" w:rsidP="00954C49">
            <w:pPr>
              <w:tabs>
                <w:tab w:val="left" w:pos="851"/>
              </w:tabs>
              <w:spacing w:before="0"/>
              <w:jc w:val="right"/>
              <w:rPr>
                <w:b/>
              </w:rPr>
            </w:pPr>
            <w:r>
              <w:rPr>
                <w:b/>
              </w:rPr>
              <w:t>30</w:t>
            </w:r>
            <w:r w:rsidR="006F5CB8">
              <w:rPr>
                <w:b/>
              </w:rPr>
              <w:t xml:space="preserve"> March 2026</w:t>
            </w:r>
          </w:p>
        </w:tc>
      </w:tr>
      <w:tr w:rsidR="00AD3606" w:rsidRPr="00C0458D" w14:paraId="3049FB1C" w14:textId="77777777" w:rsidTr="00954C49">
        <w:trPr>
          <w:cantSplit/>
          <w:trHeight w:val="23"/>
        </w:trPr>
        <w:tc>
          <w:tcPr>
            <w:tcW w:w="3969" w:type="dxa"/>
            <w:vMerge/>
          </w:tcPr>
          <w:p w14:paraId="4B71E5FC"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6B90E264"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527DABEF" w14:textId="77777777" w:rsidTr="00954C49">
        <w:trPr>
          <w:cantSplit/>
          <w:trHeight w:val="23"/>
        </w:trPr>
        <w:tc>
          <w:tcPr>
            <w:tcW w:w="3969" w:type="dxa"/>
          </w:tcPr>
          <w:p w14:paraId="2133207D" w14:textId="77777777" w:rsidR="00472BAD" w:rsidRPr="00C0458D" w:rsidRDefault="00472BAD" w:rsidP="00954C49">
            <w:pPr>
              <w:tabs>
                <w:tab w:val="left" w:pos="851"/>
              </w:tabs>
              <w:spacing w:line="240" w:lineRule="atLeast"/>
              <w:rPr>
                <w:b/>
              </w:rPr>
            </w:pPr>
          </w:p>
        </w:tc>
        <w:tc>
          <w:tcPr>
            <w:tcW w:w="5245" w:type="dxa"/>
          </w:tcPr>
          <w:p w14:paraId="4172218B" w14:textId="77777777" w:rsidR="00472BAD" w:rsidRPr="00C0458D" w:rsidRDefault="00472BAD" w:rsidP="00954C49">
            <w:pPr>
              <w:tabs>
                <w:tab w:val="left" w:pos="851"/>
              </w:tabs>
              <w:spacing w:before="0" w:line="240" w:lineRule="atLeast"/>
              <w:jc w:val="right"/>
              <w:rPr>
                <w:b/>
              </w:rPr>
            </w:pPr>
          </w:p>
        </w:tc>
      </w:tr>
      <w:tr w:rsidR="00AD3606" w:rsidRPr="00C0458D" w14:paraId="575BE085" w14:textId="77777777" w:rsidTr="00954C49">
        <w:trPr>
          <w:cantSplit/>
        </w:trPr>
        <w:tc>
          <w:tcPr>
            <w:tcW w:w="9214" w:type="dxa"/>
            <w:gridSpan w:val="2"/>
            <w:tcMar>
              <w:left w:w="0" w:type="dxa"/>
            </w:tcMar>
          </w:tcPr>
          <w:p w14:paraId="3A39D2E1"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63A384DC" w14:textId="77777777" w:rsidTr="00954C49">
        <w:trPr>
          <w:cantSplit/>
        </w:trPr>
        <w:tc>
          <w:tcPr>
            <w:tcW w:w="9214" w:type="dxa"/>
            <w:gridSpan w:val="2"/>
            <w:tcMar>
              <w:left w:w="0" w:type="dxa"/>
            </w:tcMar>
          </w:tcPr>
          <w:p w14:paraId="7AC145E6" w14:textId="1A2A2E89" w:rsidR="00AD3606" w:rsidRPr="00176F47" w:rsidRDefault="00183A06" w:rsidP="00954C49">
            <w:pPr>
              <w:pStyle w:val="Subtitle"/>
              <w:framePr w:hSpace="0" w:wrap="auto" w:hAnchor="text" w:xAlign="left" w:yAlign="inline"/>
            </w:pPr>
            <w:bookmarkStart w:id="9" w:name="dtitle1" w:colFirst="0" w:colLast="0"/>
            <w:bookmarkEnd w:id="8"/>
            <w:r w:rsidRPr="00183A06">
              <w:t>STATUS REPORT ON ASSISTANCE AND SUPPORT TO PALESTINE</w:t>
            </w:r>
          </w:p>
        </w:tc>
      </w:tr>
      <w:tr w:rsidR="00AD3606" w:rsidRPr="00C0458D" w14:paraId="45750344" w14:textId="77777777" w:rsidTr="00954C49">
        <w:trPr>
          <w:cantSplit/>
        </w:trPr>
        <w:tc>
          <w:tcPr>
            <w:tcW w:w="9214" w:type="dxa"/>
            <w:gridSpan w:val="2"/>
            <w:tcBorders>
              <w:top w:val="single" w:sz="4" w:space="0" w:color="auto"/>
              <w:bottom w:val="single" w:sz="4" w:space="0" w:color="auto"/>
            </w:tcBorders>
            <w:tcMar>
              <w:left w:w="0" w:type="dxa"/>
            </w:tcMar>
          </w:tcPr>
          <w:p w14:paraId="132CD2F4" w14:textId="77777777" w:rsidR="00AD3606" w:rsidRPr="00C0458D" w:rsidRDefault="00F16BAB" w:rsidP="00954C49">
            <w:pPr>
              <w:spacing w:before="160"/>
              <w:rPr>
                <w:b/>
                <w:bCs/>
                <w:sz w:val="26"/>
                <w:szCs w:val="26"/>
              </w:rPr>
            </w:pPr>
            <w:r w:rsidRPr="00C0458D">
              <w:rPr>
                <w:b/>
                <w:bCs/>
                <w:sz w:val="26"/>
                <w:szCs w:val="26"/>
              </w:rPr>
              <w:t>Purpose</w:t>
            </w:r>
          </w:p>
          <w:p w14:paraId="4A0E8023" w14:textId="77777777" w:rsidR="00183A06" w:rsidRPr="00E869F6" w:rsidRDefault="00183A06" w:rsidP="00183A06">
            <w:pPr>
              <w:jc w:val="both"/>
            </w:pPr>
            <w:r w:rsidRPr="004C6E62">
              <w:rPr>
                <w:spacing w:val="-2"/>
              </w:rPr>
              <w:t>This document reports on the implementation of Resolution 1</w:t>
            </w:r>
            <w:r>
              <w:rPr>
                <w:spacing w:val="-2"/>
              </w:rPr>
              <w:t xml:space="preserve">424 of the Council. </w:t>
            </w:r>
          </w:p>
          <w:p w14:paraId="1DE296BD"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C89A42A" w14:textId="77777777" w:rsidR="00183A06" w:rsidRPr="00E869F6" w:rsidRDefault="00183A06" w:rsidP="00183A06">
            <w:r>
              <w:t xml:space="preserve">The Council is invited to </w:t>
            </w:r>
            <w:r w:rsidRPr="1E12DFF1">
              <w:rPr>
                <w:b/>
                <w:bCs/>
              </w:rPr>
              <w:t>consider</w:t>
            </w:r>
            <w:r>
              <w:t xml:space="preserve"> this report.</w:t>
            </w:r>
          </w:p>
          <w:p w14:paraId="3BE748D7"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32E23E11" w14:textId="07A2599A" w:rsidR="00722551" w:rsidRPr="00F16BAB" w:rsidRDefault="00183A06" w:rsidP="00183A06">
            <w:r w:rsidRPr="00E869F6">
              <w:t>Provision of technical assistance.</w:t>
            </w:r>
          </w:p>
          <w:p w14:paraId="2C73E379" w14:textId="77777777" w:rsidR="00722551" w:rsidRDefault="00722551" w:rsidP="00954C49">
            <w:pPr>
              <w:spacing w:before="160"/>
              <w:rPr>
                <w:b/>
                <w:bCs/>
                <w:sz w:val="26"/>
                <w:szCs w:val="26"/>
              </w:rPr>
            </w:pPr>
            <w:r>
              <w:rPr>
                <w:b/>
                <w:bCs/>
                <w:sz w:val="26"/>
                <w:szCs w:val="26"/>
              </w:rPr>
              <w:t>Financial implications</w:t>
            </w:r>
          </w:p>
          <w:p w14:paraId="74EA75DD" w14:textId="0C5CDA08" w:rsidR="00453079" w:rsidRPr="00183A06" w:rsidRDefault="00183A06" w:rsidP="00183A06">
            <w:pPr>
              <w:spacing w:before="160"/>
            </w:pPr>
            <w:r>
              <w:t>Within the allocated budget</w:t>
            </w:r>
            <w:r w:rsidR="00D84B36">
              <w:t xml:space="preserve">s </w:t>
            </w:r>
            <w:r w:rsidR="00D84B36" w:rsidRPr="00D84B36">
              <w:t>2024-</w:t>
            </w:r>
            <w:r w:rsidRPr="00D84B36">
              <w:t>2025</w:t>
            </w:r>
            <w:r w:rsidR="00D84B36" w:rsidRPr="00D84B36">
              <w:t xml:space="preserve"> and </w:t>
            </w:r>
            <w:r w:rsidRPr="00D84B36">
              <w:t>2026</w:t>
            </w:r>
            <w:r w:rsidR="00D84B36" w:rsidRPr="00D84B36">
              <w:t>-2027</w:t>
            </w:r>
            <w:r w:rsidRPr="00D84B36">
              <w:t>.</w:t>
            </w:r>
          </w:p>
          <w:p w14:paraId="61B8A87A" w14:textId="77777777" w:rsidR="00C0458D" w:rsidRDefault="00C0458D" w:rsidP="00954C49">
            <w:r>
              <w:t>_______________</w:t>
            </w:r>
          </w:p>
          <w:p w14:paraId="042440A4" w14:textId="77777777" w:rsidR="00AD3606" w:rsidRPr="00C0458D" w:rsidRDefault="00AD3606" w:rsidP="00954C49">
            <w:pPr>
              <w:spacing w:before="160"/>
              <w:rPr>
                <w:b/>
                <w:bCs/>
                <w:sz w:val="26"/>
                <w:szCs w:val="26"/>
              </w:rPr>
            </w:pPr>
            <w:r w:rsidRPr="00C0458D">
              <w:rPr>
                <w:b/>
                <w:bCs/>
                <w:sz w:val="26"/>
                <w:szCs w:val="26"/>
              </w:rPr>
              <w:t>References</w:t>
            </w:r>
          </w:p>
          <w:p w14:paraId="7DD091C4" w14:textId="18650C83" w:rsidR="00AD3606" w:rsidRPr="00183A06" w:rsidRDefault="00183A06" w:rsidP="00954C49">
            <w:pPr>
              <w:spacing w:after="160"/>
              <w:rPr>
                <w:i/>
                <w:iCs/>
                <w:sz w:val="22"/>
                <w:szCs w:val="22"/>
              </w:rPr>
            </w:pPr>
            <w:r w:rsidRPr="00183A06">
              <w:rPr>
                <w:i/>
                <w:iCs/>
                <w:sz w:val="22"/>
                <w:szCs w:val="22"/>
              </w:rPr>
              <w:t xml:space="preserve">Council Resolution </w:t>
            </w:r>
            <w:hyperlink r:id="rId11" w:history="1">
              <w:r w:rsidRPr="00183A06">
                <w:rPr>
                  <w:rStyle w:val="Hyperlink"/>
                  <w:i/>
                  <w:iCs/>
                  <w:sz w:val="22"/>
                  <w:szCs w:val="22"/>
                </w:rPr>
                <w:t>1424 (</w:t>
              </w:r>
              <w:proofErr w:type="spellStart"/>
              <w:r w:rsidRPr="00183A06">
                <w:rPr>
                  <w:rStyle w:val="Hyperlink"/>
                  <w:i/>
                  <w:iCs/>
                  <w:sz w:val="22"/>
                  <w:szCs w:val="22"/>
                </w:rPr>
                <w:t>C24</w:t>
              </w:r>
              <w:proofErr w:type="spellEnd"/>
              <w:r w:rsidRPr="00183A06">
                <w:rPr>
                  <w:rStyle w:val="Hyperlink"/>
                  <w:i/>
                  <w:iCs/>
                  <w:sz w:val="22"/>
                  <w:szCs w:val="22"/>
                </w:rPr>
                <w:t>)</w:t>
              </w:r>
            </w:hyperlink>
          </w:p>
        </w:tc>
      </w:tr>
    </w:tbl>
    <w:p w14:paraId="350B134F"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4F07BBE"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571EC962" w14:textId="77777777" w:rsidR="00B44869" w:rsidRPr="002070D5" w:rsidRDefault="00B44869" w:rsidP="00B44869">
      <w:pPr>
        <w:pStyle w:val="Headingb"/>
      </w:pPr>
      <w:r w:rsidRPr="002070D5">
        <w:t>Background</w:t>
      </w:r>
    </w:p>
    <w:p w14:paraId="5320A90A" w14:textId="77777777" w:rsidR="00B44869" w:rsidRDefault="00B44869" w:rsidP="00B44869">
      <w:pPr>
        <w:jc w:val="both"/>
      </w:pPr>
      <w:r w:rsidRPr="002070D5">
        <w:t>This document reports on the implementation of</w:t>
      </w:r>
      <w:r>
        <w:t xml:space="preserve"> </w:t>
      </w:r>
      <w:r w:rsidRPr="002070D5">
        <w:t xml:space="preserve">Resolution 1424 </w:t>
      </w:r>
      <w:r>
        <w:t>(</w:t>
      </w:r>
      <w:proofErr w:type="spellStart"/>
      <w:r>
        <w:t>C24</w:t>
      </w:r>
      <w:proofErr w:type="spellEnd"/>
      <w:r>
        <w:t xml:space="preserve">) </w:t>
      </w:r>
      <w:r w:rsidRPr="002070D5">
        <w:t>of the ITU Council</w:t>
      </w:r>
      <w:r>
        <w:t>,</w:t>
      </w:r>
      <w:r w:rsidRPr="002070D5">
        <w:t xml:space="preserve"> which called for the Secretary-General to coordinate the activities of the three Sectors of the Union and to provide a report on the matter to the Council session in 202</w:t>
      </w:r>
      <w:r>
        <w:t xml:space="preserve">6. </w:t>
      </w:r>
    </w:p>
    <w:p w14:paraId="2701C8D0" w14:textId="54701E66" w:rsidR="00B44869" w:rsidRPr="0010792B" w:rsidRDefault="004C5DFE" w:rsidP="00B44869">
      <w:pPr>
        <w:pStyle w:val="Headingb"/>
      </w:pPr>
      <w:r>
        <w:t xml:space="preserve">The </w:t>
      </w:r>
      <w:r w:rsidR="000C61A6">
        <w:t>C</w:t>
      </w:r>
      <w:r w:rsidR="00B44869" w:rsidRPr="0010792B">
        <w:t>ontext</w:t>
      </w:r>
    </w:p>
    <w:p w14:paraId="0A81A7C9" w14:textId="27A33692" w:rsidR="00B44869" w:rsidRPr="00CF4689" w:rsidRDefault="00AA2095" w:rsidP="00AA2095">
      <w:pPr>
        <w:jc w:val="both"/>
      </w:pPr>
      <w:r>
        <w:t>As per the updates of the Emergency Telecommunications Cluster, the ICT sector in Palestine continues to face significant developmental and infrastructural challenges, with mobile broadband being particularly affected. At present, connectivity levels remain critically low due to fuel shortages, infrastructure damage, equipment gaps, and access constraints, placing the continuity of telecommunications services at significant risk.</w:t>
      </w:r>
    </w:p>
    <w:p w14:paraId="2B0E83CA" w14:textId="3886575E" w:rsidR="00B44869" w:rsidRDefault="0074582F" w:rsidP="0074582F">
      <w:pPr>
        <w:jc w:val="both"/>
      </w:pPr>
      <w:r w:rsidRPr="0074582F">
        <w:t>According to the World Bank, damage to ICT infrastructure has reached USD 164 million.</w:t>
      </w:r>
      <w:r w:rsidR="00974F2E">
        <w:rPr>
          <w:rStyle w:val="FootnoteReference"/>
        </w:rPr>
        <w:footnoteReference w:customMarkFollows="1" w:id="1"/>
        <w:t>1</w:t>
      </w:r>
      <w:r w:rsidRPr="0074582F">
        <w:t xml:space="preserve"> Of the affected assets, 74</w:t>
      </w:r>
      <w:r w:rsidR="000A4D6E">
        <w:t xml:space="preserve"> per cent</w:t>
      </w:r>
      <w:r w:rsidRPr="0074582F">
        <w:t xml:space="preserve"> are reported destroyed, 16% partially damaged, and 10% minimally impacted.</w:t>
      </w:r>
      <w:r w:rsidR="00974F2E">
        <w:rPr>
          <w:rStyle w:val="FootnoteReference"/>
        </w:rPr>
        <w:footnoteReference w:customMarkFollows="1" w:id="2"/>
        <w:t>2</w:t>
      </w:r>
      <w:r w:rsidRPr="0074582F">
        <w:t xml:space="preserve"> Furthermore, the World Bank estimates total reconstruction and recovery needs at USD 460 million, including USD 116 million for the immediate restoration of mobile towers, fibre-optic networks, and essential services, and USD 344 million for long-term resilience and reconstruction efforts.</w:t>
      </w:r>
      <w:r>
        <w:rPr>
          <w:rStyle w:val="FootnoteReference"/>
        </w:rPr>
        <w:footnoteReference w:customMarkFollows="1" w:id="3"/>
        <w:t>3</w:t>
      </w:r>
      <w:r w:rsidRPr="0074582F">
        <w:t xml:space="preserve"> Ongoing challenges in the telecommunications sector include limited access to spare parts and persistent fuel shortages, both of which are critical to the operation of towers and backup systems.</w:t>
      </w:r>
    </w:p>
    <w:p w14:paraId="66E2B7F1" w14:textId="64E0D22C" w:rsidR="00B44869" w:rsidRPr="000C61A6" w:rsidRDefault="002106AE" w:rsidP="002106AE">
      <w:pPr>
        <w:jc w:val="both"/>
      </w:pPr>
      <w:r w:rsidRPr="002106AE">
        <w:rPr>
          <w:spacing w:val="-2"/>
        </w:rPr>
        <w:t>Council 2025 mandated the Secretary-General to develop a concrete implementation plan and timeline for the resolution and to report on progress to the next session of the Council. In addition, the State of Palestine submitted several requests for support.</w:t>
      </w:r>
    </w:p>
    <w:p w14:paraId="7838381C" w14:textId="77777777" w:rsidR="00B44869" w:rsidRPr="002070D5" w:rsidRDefault="00B44869" w:rsidP="00B44869">
      <w:pPr>
        <w:pStyle w:val="Headingb"/>
      </w:pPr>
      <w:r w:rsidRPr="002070D5">
        <w:t>Actions taken by ITU</w:t>
      </w:r>
    </w:p>
    <w:p w14:paraId="1FCD8761" w14:textId="1FEBDF7E" w:rsidR="00B44869" w:rsidRDefault="00271A34" w:rsidP="00271A34">
      <w:pPr>
        <w:jc w:val="both"/>
      </w:pPr>
      <w:r>
        <w:t>ITU has continued its efforts over the past year to advance the implementation of the resolution, achieving progress in the following areas:</w:t>
      </w:r>
    </w:p>
    <w:p w14:paraId="2ACF5BCC" w14:textId="1AA20F0C" w:rsidR="00B44869" w:rsidRPr="00B44869" w:rsidRDefault="00B44869" w:rsidP="00B44869">
      <w:pPr>
        <w:pStyle w:val="Headingb"/>
      </w:pPr>
      <w:r w:rsidRPr="00B44869">
        <w:rPr>
          <w:rFonts w:eastAsiaTheme="minorHAnsi"/>
        </w:rPr>
        <w:t>1</w:t>
      </w:r>
      <w:r w:rsidRPr="00B44869">
        <w:rPr>
          <w:rFonts w:eastAsiaTheme="minorHAnsi"/>
        </w:rPr>
        <w:tab/>
      </w:r>
      <w:r w:rsidRPr="00B44869">
        <w:t>Coordination</w:t>
      </w:r>
    </w:p>
    <w:p w14:paraId="7001667E" w14:textId="2D8C9D97" w:rsidR="00B44869" w:rsidRPr="002070D5" w:rsidRDefault="00B44869" w:rsidP="00A47E45">
      <w:pPr>
        <w:pStyle w:val="enumlev1"/>
        <w:jc w:val="both"/>
      </w:pPr>
      <w:r>
        <w:tab/>
      </w:r>
      <w:r w:rsidR="00A47E45" w:rsidRPr="00A47E45">
        <w:t>An Inter-Sectoral Task Force was established to ensure a coordinated and effective implementation of Resolution 1424 across the ITU. The Task Force focused on three key objectives:</w:t>
      </w:r>
    </w:p>
    <w:p w14:paraId="00C5D142" w14:textId="2101A7A0" w:rsidR="00B44869" w:rsidRPr="00B44869" w:rsidRDefault="00B44869" w:rsidP="009C11E4">
      <w:pPr>
        <w:pStyle w:val="enumlev2"/>
        <w:jc w:val="both"/>
      </w:pPr>
      <w:proofErr w:type="spellStart"/>
      <w:r w:rsidRPr="00B44869">
        <w:rPr>
          <w:rFonts w:eastAsiaTheme="minorHAnsi"/>
        </w:rPr>
        <w:t>i</w:t>
      </w:r>
      <w:proofErr w:type="spellEnd"/>
      <w:r>
        <w:rPr>
          <w:rFonts w:eastAsiaTheme="minorHAnsi"/>
        </w:rPr>
        <w:t>)</w:t>
      </w:r>
      <w:r w:rsidRPr="00B44869">
        <w:rPr>
          <w:rFonts w:eastAsiaTheme="minorHAnsi"/>
        </w:rPr>
        <w:tab/>
      </w:r>
      <w:r w:rsidR="009C11E4" w:rsidRPr="009C11E4">
        <w:t>evaluating the impact of the conflict in Palestine on ITU programmes and activities in the region;</w:t>
      </w:r>
    </w:p>
    <w:p w14:paraId="3FF99097" w14:textId="58D66BB6" w:rsidR="00B44869" w:rsidRPr="00B44869" w:rsidRDefault="00B44869" w:rsidP="002328BF">
      <w:pPr>
        <w:pStyle w:val="enumlev2"/>
        <w:jc w:val="both"/>
      </w:pPr>
      <w:r w:rsidRPr="00B44869">
        <w:rPr>
          <w:rFonts w:eastAsiaTheme="minorHAnsi"/>
        </w:rPr>
        <w:t>ii</w:t>
      </w:r>
      <w:r>
        <w:rPr>
          <w:rFonts w:eastAsiaTheme="minorHAnsi"/>
        </w:rPr>
        <w:t>)</w:t>
      </w:r>
      <w:r w:rsidRPr="00B44869">
        <w:rPr>
          <w:rFonts w:eastAsiaTheme="minorHAnsi"/>
        </w:rPr>
        <w:tab/>
      </w:r>
      <w:r w:rsidR="002328BF" w:rsidRPr="002328BF">
        <w:t>mobilizing the necessary financial, technical, and human resources to support recovery efforts; and</w:t>
      </w:r>
    </w:p>
    <w:p w14:paraId="642CD2DC" w14:textId="2B280025" w:rsidR="00B44869" w:rsidRPr="00B44869" w:rsidRDefault="00B44869" w:rsidP="00B44869">
      <w:pPr>
        <w:pStyle w:val="enumlev2"/>
        <w:jc w:val="both"/>
      </w:pPr>
      <w:r w:rsidRPr="00B44869">
        <w:rPr>
          <w:rFonts w:eastAsiaTheme="minorHAnsi"/>
        </w:rPr>
        <w:t>iii</w:t>
      </w:r>
      <w:r>
        <w:rPr>
          <w:rFonts w:eastAsiaTheme="minorHAnsi"/>
        </w:rPr>
        <w:t>)</w:t>
      </w:r>
      <w:r w:rsidRPr="00B44869">
        <w:rPr>
          <w:rFonts w:eastAsiaTheme="minorHAnsi"/>
        </w:rPr>
        <w:tab/>
      </w:r>
      <w:r w:rsidRPr="00B44869">
        <w:t>tracking and coordinating progress in the implementation of the resolution, ensuring transparency and alignment with ITU’s overall objectives.</w:t>
      </w:r>
    </w:p>
    <w:p w14:paraId="26A23DB5" w14:textId="539B3E8F" w:rsidR="00B44869" w:rsidRPr="000C61A6" w:rsidRDefault="00B44869" w:rsidP="00B44869">
      <w:pPr>
        <w:pStyle w:val="enumlev1"/>
        <w:jc w:val="both"/>
        <w:rPr>
          <w:spacing w:val="-2"/>
        </w:rPr>
      </w:pPr>
      <w:r w:rsidRPr="000C61A6">
        <w:rPr>
          <w:spacing w:val="-2"/>
        </w:rPr>
        <w:tab/>
        <w:t>Chaired by the Deputy Secretary-General, the Task Force included the Director of the ITU Regional Office for the Arab States and representatives from each Sector of the Union.</w:t>
      </w:r>
    </w:p>
    <w:p w14:paraId="3925FEEE" w14:textId="5628086A" w:rsidR="00B44869" w:rsidRPr="00B44869" w:rsidRDefault="00B44869" w:rsidP="00AE2742">
      <w:pPr>
        <w:pStyle w:val="Headingb"/>
        <w:jc w:val="both"/>
        <w:rPr>
          <w:rFonts w:eastAsiaTheme="minorHAnsi"/>
        </w:rPr>
      </w:pPr>
      <w:r w:rsidRPr="00B44869">
        <w:rPr>
          <w:rFonts w:eastAsiaTheme="minorHAnsi"/>
        </w:rPr>
        <w:t>2</w:t>
      </w:r>
      <w:r w:rsidRPr="00B44869">
        <w:rPr>
          <w:rFonts w:eastAsiaTheme="minorHAnsi"/>
        </w:rPr>
        <w:tab/>
        <w:t xml:space="preserve">Establishment of </w:t>
      </w:r>
      <w:r w:rsidR="000C61A6" w:rsidRPr="00B44869">
        <w:rPr>
          <w:rFonts w:eastAsiaTheme="minorHAnsi"/>
        </w:rPr>
        <w:t>fund</w:t>
      </w:r>
      <w:r w:rsidR="00E5772C">
        <w:rPr>
          <w:rFonts w:eastAsiaTheme="minorHAnsi"/>
        </w:rPr>
        <w:t>-</w:t>
      </w:r>
      <w:r w:rsidR="000C61A6" w:rsidRPr="00B44869">
        <w:rPr>
          <w:rFonts w:eastAsiaTheme="minorHAnsi"/>
        </w:rPr>
        <w:t>in</w:t>
      </w:r>
      <w:r w:rsidR="00E5772C">
        <w:rPr>
          <w:rFonts w:eastAsiaTheme="minorHAnsi"/>
        </w:rPr>
        <w:t>-</w:t>
      </w:r>
      <w:r w:rsidR="000C61A6" w:rsidRPr="00B44869">
        <w:rPr>
          <w:rFonts w:eastAsiaTheme="minorHAnsi"/>
        </w:rPr>
        <w:t xml:space="preserve">trust </w:t>
      </w:r>
      <w:r w:rsidRPr="00B44869">
        <w:rPr>
          <w:rFonts w:eastAsiaTheme="minorHAnsi"/>
        </w:rPr>
        <w:t xml:space="preserve">(FIT) </w:t>
      </w:r>
    </w:p>
    <w:p w14:paraId="01B1B074" w14:textId="3A626877" w:rsidR="00B44869" w:rsidRDefault="00EE436F" w:rsidP="000A4D6E">
      <w:pPr>
        <w:pStyle w:val="enumlev1"/>
        <w:jc w:val="both"/>
      </w:pPr>
      <w:r>
        <w:tab/>
      </w:r>
      <w:r w:rsidR="00325652">
        <w:t>Pursuant to the ITU Council Resolution 1424 on Assistance and Support to the State of Palestine for Rebuilding their Telecommunications Sector, the ITU has initiated the establishment of a dedicated Fund-in-Trust (FIT) for the State of Palestine. This mechanism is designed to mobilize and channel voluntary contributions and pledges from Member States, Sector Members, and private sector partners to support priority projects aimed at restoring and strengthening Palestine’s telecommunications infrastructure, enhancing digital resilience, and rebuilding sector capacity. The FIT will serve as a transparent and coordinated platform to align resources with nationally identified priorities and accelerate implementation efforts in close collaboration with relevant stakeholders. As of 27 March 2026, the Fund has received an initial contribution of €20 000 from Lithuania.</w:t>
      </w:r>
    </w:p>
    <w:p w14:paraId="0E3D7E19" w14:textId="645B5568" w:rsidR="032EC618" w:rsidRPr="00546DF7" w:rsidRDefault="032EC618" w:rsidP="00546DF7">
      <w:pPr>
        <w:pStyle w:val="Headingb"/>
        <w:rPr>
          <w:rFonts w:eastAsiaTheme="minorEastAsia"/>
        </w:rPr>
      </w:pPr>
      <w:r w:rsidRPr="00546DF7">
        <w:rPr>
          <w:rFonts w:eastAsiaTheme="minorEastAsia"/>
        </w:rPr>
        <w:t>3</w:t>
      </w:r>
      <w:r w:rsidRPr="00546DF7">
        <w:tab/>
      </w:r>
      <w:r w:rsidRPr="00546DF7">
        <w:rPr>
          <w:rFonts w:eastAsiaTheme="minorEastAsia"/>
        </w:rPr>
        <w:t>Implementation Plan</w:t>
      </w:r>
    </w:p>
    <w:p w14:paraId="260131D5" w14:textId="37F7D991" w:rsidR="032EC618" w:rsidRDefault="00EE436F" w:rsidP="000A4D6E">
      <w:pPr>
        <w:pStyle w:val="enumlev1"/>
        <w:jc w:val="both"/>
      </w:pPr>
      <w:r>
        <w:tab/>
      </w:r>
      <w:r w:rsidR="032EC618">
        <w:t>In implementation of</w:t>
      </w:r>
      <w:r w:rsidR="032EC618" w:rsidRPr="72E10F95">
        <w:rPr>
          <w:rFonts w:eastAsiaTheme="minorEastAsia"/>
        </w:rPr>
        <w:t xml:space="preserve"> Council Resolution 1424: Assistance and </w:t>
      </w:r>
      <w:r w:rsidR="032EC618">
        <w:t xml:space="preserve">Support to the State of Palestine for Rebuilding the Telecommunications Sector, the International Telecommunication Union Office for the Arab States and in close collaboration with the Ministry of Telecommunications and Digital Economy of the State of Palestine has developed a structured Implementation Plan to operationalize Council Resolution 1424 and guide the recovery of telecommunications sector in the State of Palestine. The Plan sets out 25 activities, including 29 embedded capacity-building interventions, organized across four priority areas and sequenced through a clear building block approach. </w:t>
      </w:r>
    </w:p>
    <w:p w14:paraId="0DF6F750" w14:textId="1EE8642E" w:rsidR="00974F2E" w:rsidRDefault="4FFD8774" w:rsidP="00EE436F">
      <w:pPr>
        <w:pStyle w:val="Headingb"/>
      </w:pPr>
      <w:r w:rsidRPr="0AB0B56D">
        <w:t>4</w:t>
      </w:r>
      <w:r w:rsidR="000870B3">
        <w:tab/>
      </w:r>
      <w:r w:rsidR="008376D7" w:rsidRPr="0AB0B56D">
        <w:t xml:space="preserve">Pledging </w:t>
      </w:r>
      <w:r w:rsidR="00CA51B6" w:rsidRPr="0AB0B56D">
        <w:t>r</w:t>
      </w:r>
      <w:r w:rsidR="008376D7" w:rsidRPr="0AB0B56D">
        <w:t>oundtable</w:t>
      </w:r>
    </w:p>
    <w:p w14:paraId="0841F9B9" w14:textId="2E0917B6" w:rsidR="000870B3" w:rsidRDefault="00EE436F" w:rsidP="000A4D6E">
      <w:pPr>
        <w:pStyle w:val="enumlev1"/>
        <w:jc w:val="both"/>
      </w:pPr>
      <w:r>
        <w:tab/>
      </w:r>
      <w:r w:rsidR="00180854" w:rsidRPr="00180854">
        <w:t>In its efforts to translate the implementation plan and the work of the ITU into pledges that can be supported by the Member States through the trust fund, the ITU (</w:t>
      </w:r>
      <w:r w:rsidR="00180854" w:rsidRPr="00180854">
        <w:rPr>
          <w:i/>
          <w:iCs/>
        </w:rPr>
        <w:t>BDT in close coordination with the Inter-Sectoral Task Force and the office of the DSG</w:t>
      </w:r>
      <w:r w:rsidR="00180854" w:rsidRPr="00180854">
        <w:t xml:space="preserve">) had planned to organize a two day pledging round table in Geneva on 13 and 14 April 2026. The purpose of this event was to bring together interested global pledgers and contributors to Trust Fund with officials from Palestine </w:t>
      </w:r>
      <w:proofErr w:type="gramStart"/>
      <w:r w:rsidR="00180854" w:rsidRPr="00180854">
        <w:t>in order to</w:t>
      </w:r>
      <w:proofErr w:type="gramEnd"/>
      <w:r w:rsidR="00180854" w:rsidRPr="00180854">
        <w:t xml:space="preserve"> discuss each initiative or requirement or need and address via a pledge addressing the needs of the State of Palestine by the international community.</w:t>
      </w:r>
    </w:p>
    <w:p w14:paraId="0A479EA8" w14:textId="56F9869F" w:rsidR="00180854" w:rsidRPr="00B87E9F" w:rsidRDefault="00EE436F" w:rsidP="000A4D6E">
      <w:pPr>
        <w:pStyle w:val="enumlev1"/>
        <w:jc w:val="both"/>
      </w:pPr>
      <w:r>
        <w:tab/>
      </w:r>
      <w:r w:rsidR="00DC307F">
        <w:t xml:space="preserve">This has been closely coordinated with the </w:t>
      </w:r>
      <w:r w:rsidR="001A56C0">
        <w:t xml:space="preserve">Ministry </w:t>
      </w:r>
      <w:r w:rsidR="00DC307F">
        <w:t>in the State of Palestine</w:t>
      </w:r>
      <w:r w:rsidR="001A56C0">
        <w:t>,</w:t>
      </w:r>
      <w:r w:rsidR="00DC307F">
        <w:t xml:space="preserve"> and it was planned to address all the requests and needs addressed in the implementation plan prepared by the ITU in close coordination with the </w:t>
      </w:r>
      <w:r w:rsidR="001A56C0">
        <w:t xml:space="preserve">Ministry </w:t>
      </w:r>
      <w:r w:rsidR="00DC307F">
        <w:t>in the State of Palestine.</w:t>
      </w:r>
    </w:p>
    <w:p w14:paraId="3DF7AAD7" w14:textId="05E291DA" w:rsidR="5AEFD517" w:rsidRDefault="5AEFD517" w:rsidP="0AB0B56D">
      <w:pPr>
        <w:pStyle w:val="enumlev1"/>
        <w:ind w:firstLine="0"/>
        <w:jc w:val="both"/>
      </w:pPr>
      <w:r>
        <w:t>Due to the situation in the region, this effort was postponed to a later date.</w:t>
      </w:r>
    </w:p>
    <w:p w14:paraId="47AFAC8E" w14:textId="10F792CA" w:rsidR="00B44869" w:rsidRPr="00B44869" w:rsidRDefault="00546DF7" w:rsidP="0AB0B56D">
      <w:pPr>
        <w:pStyle w:val="Headingb"/>
        <w:jc w:val="both"/>
        <w:rPr>
          <w:rFonts w:eastAsiaTheme="minorEastAsia"/>
        </w:rPr>
      </w:pPr>
      <w:r>
        <w:rPr>
          <w:rFonts w:eastAsiaTheme="minorEastAsia"/>
        </w:rPr>
        <w:t>5</w:t>
      </w:r>
      <w:r w:rsidR="00361D51" w:rsidRPr="00B44869">
        <w:rPr>
          <w:rFonts w:eastAsiaTheme="minorHAnsi"/>
        </w:rPr>
        <w:tab/>
      </w:r>
      <w:r w:rsidR="00B44869" w:rsidRPr="0AB0B56D">
        <w:rPr>
          <w:rFonts w:eastAsiaTheme="minorEastAsia"/>
        </w:rPr>
        <w:t xml:space="preserve">Strategic </w:t>
      </w:r>
      <w:r w:rsidR="006F5CB8" w:rsidRPr="0AB0B56D">
        <w:rPr>
          <w:rFonts w:eastAsiaTheme="minorEastAsia"/>
        </w:rPr>
        <w:t xml:space="preserve">technical assistance for telecommunications </w:t>
      </w:r>
      <w:r w:rsidR="00B44869" w:rsidRPr="0AB0B56D">
        <w:rPr>
          <w:rFonts w:eastAsiaTheme="minorEastAsia"/>
        </w:rPr>
        <w:t xml:space="preserve">and ICT </w:t>
      </w:r>
      <w:r w:rsidR="006F5CB8" w:rsidRPr="0AB0B56D">
        <w:rPr>
          <w:rFonts w:eastAsiaTheme="minorEastAsia"/>
        </w:rPr>
        <w:t>policy reform</w:t>
      </w:r>
    </w:p>
    <w:p w14:paraId="397B9C01" w14:textId="44C50FBC" w:rsidR="00B44869" w:rsidRDefault="00EE436F" w:rsidP="000A4D6E">
      <w:pPr>
        <w:pStyle w:val="enumlev1"/>
        <w:jc w:val="both"/>
        <w:rPr>
          <w:lang w:val="en-US"/>
        </w:rPr>
      </w:pPr>
      <w:r>
        <w:rPr>
          <w:lang w:val="en-US"/>
        </w:rPr>
        <w:tab/>
      </w:r>
      <w:r w:rsidR="00351014" w:rsidRPr="00351014">
        <w:rPr>
          <w:lang w:val="en-US"/>
        </w:rPr>
        <w:t xml:space="preserve">The ITU Regional Office for the Arab States has supported the development and modernization of a Telecommunications and Information Technology Policy for the State of </w:t>
      </w:r>
      <w:r w:rsidR="00351014" w:rsidRPr="000A4D6E">
        <w:t>Palestine</w:t>
      </w:r>
      <w:r w:rsidR="00351014" w:rsidRPr="00351014">
        <w:rPr>
          <w:lang w:val="en-US"/>
        </w:rPr>
        <w:t xml:space="preserve"> in close coordination with the Ministry of Telecommunications and Digital Economy and 15+ national stakeholders from the ICT ecosystem. This support resulted in a draft policy framework based on an assessment of the regulatory and institutional landscape, sector priorities, and alignment with international best practices. The policy sets out clear directions to strengthen sector governance, enable investment and competition, enhance digital resilience, and advance inclusive digital transformation.</w:t>
      </w:r>
    </w:p>
    <w:p w14:paraId="43430823" w14:textId="6C4E806F" w:rsidR="00351014" w:rsidRDefault="00EE436F" w:rsidP="000A4D6E">
      <w:pPr>
        <w:pStyle w:val="enumlev1"/>
        <w:jc w:val="both"/>
      </w:pPr>
      <w:r>
        <w:rPr>
          <w:lang w:val="en-US"/>
        </w:rPr>
        <w:tab/>
      </w:r>
      <w:r w:rsidR="002A7F78" w:rsidRPr="0AB0B56D">
        <w:rPr>
          <w:lang w:val="en-US"/>
        </w:rPr>
        <w:t xml:space="preserve">The draft policy is currently under review and amended in consultation with national </w:t>
      </w:r>
      <w:r w:rsidR="002A7F78" w:rsidRPr="000A4D6E">
        <w:t>counterpart</w:t>
      </w:r>
      <w:r w:rsidR="0E563FED" w:rsidRPr="000A4D6E">
        <w:t>ie</w:t>
      </w:r>
      <w:r w:rsidR="002A7F78" w:rsidRPr="000A4D6E">
        <w:t>s</w:t>
      </w:r>
      <w:r w:rsidR="002A7F78" w:rsidRPr="0AB0B56D">
        <w:rPr>
          <w:lang w:val="en-US"/>
        </w:rPr>
        <w:t>. Throughout the process, targeted consultations, technical inputs, and capacity-building activities have been delivered to ensure national ownership and practical implementation.</w:t>
      </w:r>
    </w:p>
    <w:p w14:paraId="61331B5E" w14:textId="5457F3AE" w:rsidR="00D6171F" w:rsidRDefault="00546DF7" w:rsidP="0AB0B56D">
      <w:pPr>
        <w:pStyle w:val="Headingb"/>
        <w:jc w:val="both"/>
        <w:rPr>
          <w:rFonts w:eastAsiaTheme="minorEastAsia"/>
        </w:rPr>
      </w:pPr>
      <w:r>
        <w:rPr>
          <w:rFonts w:eastAsiaTheme="minorEastAsia"/>
        </w:rPr>
        <w:t>6</w:t>
      </w:r>
      <w:r w:rsidR="00D6171F">
        <w:rPr>
          <w:rFonts w:eastAsiaTheme="minorHAnsi"/>
        </w:rPr>
        <w:tab/>
      </w:r>
      <w:r w:rsidR="00DF2174" w:rsidRPr="0AB0B56D">
        <w:rPr>
          <w:rFonts w:eastAsiaTheme="minorEastAsia"/>
        </w:rPr>
        <w:t>Digital Skills Assessment</w:t>
      </w:r>
    </w:p>
    <w:p w14:paraId="18625603" w14:textId="3D3155C8" w:rsidR="00295F78" w:rsidRPr="00295F78" w:rsidRDefault="00EE436F" w:rsidP="000A4D6E">
      <w:pPr>
        <w:pStyle w:val="enumlev1"/>
        <w:jc w:val="both"/>
        <w:rPr>
          <w:rFonts w:eastAsiaTheme="minorEastAsia"/>
        </w:rPr>
      </w:pPr>
      <w:r>
        <w:rPr>
          <w:rFonts w:eastAsiaTheme="minorEastAsia"/>
        </w:rPr>
        <w:tab/>
      </w:r>
      <w:r w:rsidR="00295F78" w:rsidRPr="0AB0B56D">
        <w:rPr>
          <w:rFonts w:eastAsiaTheme="minorEastAsia"/>
        </w:rPr>
        <w:t xml:space="preserve">The ITU Office for the Arab States is supporting the Ministry of Telecommunications and Digital Economy </w:t>
      </w:r>
      <w:r w:rsidR="0A44C52D" w:rsidRPr="0AB0B56D">
        <w:rPr>
          <w:rFonts w:eastAsiaTheme="minorEastAsia"/>
        </w:rPr>
        <w:t xml:space="preserve">with a digital skills assessment with the aim </w:t>
      </w:r>
      <w:r w:rsidR="00295F78" w:rsidRPr="0AB0B56D">
        <w:rPr>
          <w:rFonts w:eastAsiaTheme="minorEastAsia"/>
        </w:rPr>
        <w:t xml:space="preserve">to evaluate basic digital skills within the public sector, based on the methodology outlined in the International Telecommunication Union Digital Skills Assessment Guidebook, a practical, step-by-step tool for measuring digital skills supply, demand, and gaps at the national level. </w:t>
      </w:r>
    </w:p>
    <w:p w14:paraId="790C9EC1" w14:textId="67C2F4AC" w:rsidR="00DF2174" w:rsidRPr="00DF2174" w:rsidRDefault="00EE436F" w:rsidP="000A4D6E">
      <w:pPr>
        <w:pStyle w:val="enumlev1"/>
        <w:jc w:val="both"/>
        <w:rPr>
          <w:rFonts w:eastAsiaTheme="minorEastAsia"/>
        </w:rPr>
      </w:pPr>
      <w:r>
        <w:rPr>
          <w:rFonts w:eastAsiaTheme="minorEastAsia"/>
        </w:rPr>
        <w:tab/>
      </w:r>
      <w:r w:rsidR="00295F78" w:rsidRPr="0AB0B56D">
        <w:rPr>
          <w:rFonts w:eastAsiaTheme="minorEastAsia"/>
        </w:rPr>
        <w:t>This technical assistance includes on-the</w:t>
      </w:r>
      <w:r w:rsidR="073C9733" w:rsidRPr="0AB0B56D">
        <w:rPr>
          <w:rFonts w:eastAsiaTheme="minorEastAsia"/>
        </w:rPr>
        <w:t>-</w:t>
      </w:r>
      <w:r w:rsidR="00295F78" w:rsidRPr="0AB0B56D">
        <w:rPr>
          <w:rFonts w:eastAsiaTheme="minorEastAsia"/>
        </w:rPr>
        <w:t xml:space="preserve">job training for </w:t>
      </w:r>
      <w:r w:rsidR="5A4A6A5D" w:rsidRPr="1392E3C2">
        <w:rPr>
          <w:rFonts w:eastAsiaTheme="minorEastAsia"/>
        </w:rPr>
        <w:t>M</w:t>
      </w:r>
      <w:r w:rsidR="5A4A6A5D" w:rsidRPr="1392E3C2">
        <w:rPr>
          <w:rFonts w:eastAsia="SimSun"/>
          <w:szCs w:val="24"/>
        </w:rPr>
        <w:t>inistry of Telecommunication and Digital Economy (</w:t>
      </w:r>
      <w:proofErr w:type="spellStart"/>
      <w:r w:rsidR="00295F78" w:rsidRPr="0AB0B56D">
        <w:rPr>
          <w:rFonts w:eastAsiaTheme="minorEastAsia"/>
        </w:rPr>
        <w:t>MTDE</w:t>
      </w:r>
      <w:proofErr w:type="spellEnd"/>
      <w:r w:rsidR="29B289F5" w:rsidRPr="1392E3C2">
        <w:rPr>
          <w:rFonts w:eastAsiaTheme="minorEastAsia"/>
        </w:rPr>
        <w:t>)</w:t>
      </w:r>
      <w:r w:rsidR="00295F78" w:rsidRPr="0AB0B56D">
        <w:rPr>
          <w:rFonts w:eastAsiaTheme="minorEastAsia"/>
        </w:rPr>
        <w:t xml:space="preserve"> team members through a training</w:t>
      </w:r>
      <w:r w:rsidR="765F301D" w:rsidRPr="1392E3C2">
        <w:rPr>
          <w:rFonts w:eastAsiaTheme="minorEastAsia"/>
        </w:rPr>
        <w:t>-</w:t>
      </w:r>
      <w:r w:rsidR="00295F78" w:rsidRPr="0AB0B56D">
        <w:rPr>
          <w:rFonts w:eastAsiaTheme="minorEastAsia"/>
        </w:rPr>
        <w:t>of</w:t>
      </w:r>
      <w:r w:rsidR="42385E0A" w:rsidRPr="1392E3C2">
        <w:rPr>
          <w:rFonts w:eastAsiaTheme="minorEastAsia"/>
        </w:rPr>
        <w:t>-</w:t>
      </w:r>
      <w:r w:rsidR="00295F78" w:rsidRPr="00295F78">
        <w:rPr>
          <w:rFonts w:eastAsiaTheme="minorHAnsi"/>
        </w:rPr>
        <w:noBreakHyphen/>
      </w:r>
      <w:proofErr w:type="gramStart"/>
      <w:r w:rsidR="00295F78" w:rsidRPr="0AB0B56D">
        <w:rPr>
          <w:rFonts w:eastAsiaTheme="minorEastAsia"/>
        </w:rPr>
        <w:t>trainers</w:t>
      </w:r>
      <w:proofErr w:type="gramEnd"/>
      <w:r w:rsidR="00295F78" w:rsidRPr="0AB0B56D">
        <w:rPr>
          <w:rFonts w:eastAsiaTheme="minorEastAsia"/>
        </w:rPr>
        <w:t xml:space="preserve"> program, </w:t>
      </w:r>
      <w:r w:rsidR="00295F78" w:rsidRPr="000A4D6E">
        <w:t>enabling</w:t>
      </w:r>
      <w:r w:rsidR="00295F78" w:rsidRPr="0AB0B56D">
        <w:rPr>
          <w:rFonts w:eastAsiaTheme="minorEastAsia"/>
        </w:rPr>
        <w:t xml:space="preserve"> them to independently conduct the assessment, apply ITU templates and assessment matrices, and carry out skills and gaps analysis. The support package also provides weekly coaching, mentorship, and capacity building for team leaders and members, with the goal of completing the basic skills assessment and, time permitting, an advanced skills evaluation aligned with ITU standards up to the pledging round table.</w:t>
      </w:r>
    </w:p>
    <w:p w14:paraId="2135C489" w14:textId="4D2C322D" w:rsidR="00B44869" w:rsidRPr="00B44869" w:rsidRDefault="00D6171F" w:rsidP="00AE2742">
      <w:pPr>
        <w:pStyle w:val="Headingb"/>
        <w:jc w:val="both"/>
        <w:rPr>
          <w:rFonts w:eastAsiaTheme="minorHAnsi"/>
        </w:rPr>
      </w:pPr>
      <w:r>
        <w:rPr>
          <w:rFonts w:eastAsiaTheme="minorHAnsi"/>
        </w:rPr>
        <w:t>7</w:t>
      </w:r>
      <w:r>
        <w:rPr>
          <w:rFonts w:eastAsiaTheme="minorHAnsi"/>
        </w:rPr>
        <w:tab/>
      </w:r>
      <w:r w:rsidR="00B44869" w:rsidRPr="00B44869">
        <w:rPr>
          <w:rFonts w:eastAsiaTheme="minorHAnsi"/>
        </w:rPr>
        <w:t>Emergency Telecommunications Cluster activities</w:t>
      </w:r>
    </w:p>
    <w:p w14:paraId="26C182E1" w14:textId="3DAE6E1C" w:rsidR="00B44869" w:rsidRPr="006F5CB8" w:rsidRDefault="00EE436F" w:rsidP="000A4D6E">
      <w:pPr>
        <w:pStyle w:val="enumlev1"/>
        <w:jc w:val="both"/>
      </w:pPr>
      <w:r>
        <w:rPr>
          <w:spacing w:val="-2"/>
        </w:rPr>
        <w:tab/>
      </w:r>
      <w:r w:rsidR="00817A68" w:rsidRPr="00817A68">
        <w:rPr>
          <w:spacing w:val="-2"/>
        </w:rPr>
        <w:t xml:space="preserve">In close coordination with the Emergency Telecommunications Cluster (ETC) of the United Nations, coordinated by the World Food Programme, ITU has been working to facilitate the </w:t>
      </w:r>
      <w:r w:rsidR="00817A68" w:rsidRPr="000A4D6E">
        <w:t>delivery</w:t>
      </w:r>
      <w:r w:rsidR="00817A68" w:rsidRPr="00817A68">
        <w:rPr>
          <w:spacing w:val="-2"/>
        </w:rPr>
        <w:t xml:space="preserve"> of satellite phones to Gaza, Palestine. Twenty devices arrived in Jerusalem in November 2025 and are currently awaiting the necessary approvals from relevant authorities to allow their transfer into Gaza. This critical initiative supports the continuity of essential communication services in the region, helping to ensure that UN agencies and humanitarian organizations have reliable communication networks to carry out their relief operations effectively. ITU has been actively participating in the ETC meetings to </w:t>
      </w:r>
      <w:proofErr w:type="spellStart"/>
      <w:r w:rsidR="00817A68" w:rsidRPr="00817A68">
        <w:rPr>
          <w:spacing w:val="-2"/>
        </w:rPr>
        <w:t>alignthe</w:t>
      </w:r>
      <w:proofErr w:type="spellEnd"/>
      <w:r w:rsidR="00817A68" w:rsidRPr="00817A68">
        <w:rPr>
          <w:spacing w:val="-2"/>
        </w:rPr>
        <w:t xml:space="preserve"> work carried out by the Union </w:t>
      </w:r>
      <w:r w:rsidR="5E35B3C4">
        <w:t xml:space="preserve">with </w:t>
      </w:r>
      <w:r w:rsidR="00817A68" w:rsidRPr="00817A68">
        <w:rPr>
          <w:spacing w:val="-2"/>
        </w:rPr>
        <w:t>the rest of the members of the ETC.</w:t>
      </w:r>
    </w:p>
    <w:p w14:paraId="29E7C7B2" w14:textId="338DCBA1" w:rsidR="00B44869" w:rsidRPr="00B44869" w:rsidRDefault="00817A68" w:rsidP="00AE2742">
      <w:pPr>
        <w:pStyle w:val="Headingb"/>
        <w:jc w:val="both"/>
        <w:rPr>
          <w:rFonts w:eastAsiaTheme="minorEastAsia"/>
        </w:rPr>
      </w:pPr>
      <w:r w:rsidRPr="11D396EA">
        <w:rPr>
          <w:rFonts w:eastAsiaTheme="minorEastAsia"/>
        </w:rPr>
        <w:t>8</w:t>
      </w:r>
      <w:r w:rsidR="00B44869" w:rsidRPr="00B44869">
        <w:rPr>
          <w:rFonts w:eastAsiaTheme="minorHAnsi"/>
        </w:rPr>
        <w:tab/>
      </w:r>
      <w:r w:rsidR="00B44869" w:rsidRPr="11D396EA">
        <w:rPr>
          <w:rFonts w:eastAsiaTheme="minorEastAsia"/>
        </w:rPr>
        <w:t>Interim damage assessment</w:t>
      </w:r>
    </w:p>
    <w:p w14:paraId="1A3F1394" w14:textId="18EB47AB" w:rsidR="00923C46" w:rsidRPr="00923C46" w:rsidRDefault="00546DF7" w:rsidP="00923C46">
      <w:pPr>
        <w:pStyle w:val="enumlev1"/>
        <w:jc w:val="both"/>
      </w:pPr>
      <w:r>
        <w:tab/>
      </w:r>
      <w:r w:rsidR="00BA6D24" w:rsidRPr="116EC2A2">
        <w:rPr>
          <w:lang w:val="en-US"/>
        </w:rPr>
        <w:t xml:space="preserve">The International Telecommunication Union has established regular coordination mechanisms and worked with international partners, including the World Bank and the United Nations, to conduct damage assessments of Palestine’s telecommunications </w:t>
      </w:r>
      <w:r w:rsidR="00BA6D24" w:rsidRPr="000A4D6E">
        <w:t>infrastructure</w:t>
      </w:r>
      <w:r w:rsidR="00BA6D24" w:rsidRPr="116EC2A2">
        <w:rPr>
          <w:lang w:val="en-US"/>
        </w:rPr>
        <w:t xml:space="preserve">. </w:t>
      </w:r>
      <w:r w:rsidR="38E9BB9F">
        <w:t>ITU reviews and aligns telecommunications</w:t>
      </w:r>
      <w:r w:rsidR="53C6A3D9">
        <w:t xml:space="preserve"> </w:t>
      </w:r>
      <w:r w:rsidR="38E9BB9F">
        <w:t>specific findings emerging from these assessments to ensure they are suitable for policy formulation and reconstruction planning, while also ensuring that estimates of ICT damage are consistent with ITU’s regulatory frameworks, spectrum management rules, and network planning standards.</w:t>
      </w:r>
    </w:p>
    <w:p w14:paraId="1611BDDE" w14:textId="61C9ACD0" w:rsidR="00B44869" w:rsidRPr="00B44869" w:rsidRDefault="00FF1FF0" w:rsidP="00AE2742">
      <w:pPr>
        <w:pStyle w:val="Headingb"/>
        <w:jc w:val="both"/>
        <w:rPr>
          <w:rFonts w:eastAsiaTheme="minorHAnsi"/>
        </w:rPr>
      </w:pPr>
      <w:r>
        <w:rPr>
          <w:rFonts w:eastAsiaTheme="minorHAnsi"/>
        </w:rPr>
        <w:t>9</w:t>
      </w:r>
      <w:r w:rsidR="00B44869" w:rsidRPr="00B44869">
        <w:rPr>
          <w:rFonts w:eastAsiaTheme="minorHAnsi"/>
        </w:rPr>
        <w:tab/>
        <w:t>Contributions of Palestine to the ITU Telecommunication Standardization Sector</w:t>
      </w:r>
    </w:p>
    <w:p w14:paraId="41ADB86E" w14:textId="39173B85" w:rsidR="00B44869" w:rsidRDefault="00546DF7" w:rsidP="00546DF7">
      <w:pPr>
        <w:pStyle w:val="enumlev1"/>
        <w:jc w:val="both"/>
      </w:pPr>
      <w:r>
        <w:tab/>
      </w:r>
      <w:r w:rsidR="00A82091" w:rsidRPr="00904610">
        <w:t>In February 2026, the ITU-T Study Group 2 on “Operational aspects of telecommunications and ICTs” received a contribution titled “Operational considerations</w:t>
      </w:r>
      <w:r w:rsidR="00A82091" w:rsidRPr="00A82091">
        <w:t xml:space="preserve"> related to the international use of the </w:t>
      </w:r>
      <w:proofErr w:type="spellStart"/>
      <w:r w:rsidR="00A82091" w:rsidRPr="00A82091">
        <w:t>E.164</w:t>
      </w:r>
      <w:proofErr w:type="spellEnd"/>
      <w:r w:rsidR="00A82091" w:rsidRPr="00A82091">
        <w:t xml:space="preserve"> country code +970 and the updated National Numbering Plan of the State of Palestine” (Contribution 145 – </w:t>
      </w:r>
      <w:hyperlink r:id="rId12">
        <w:r w:rsidR="00A82091" w:rsidRPr="00A82091">
          <w:rPr>
            <w:rStyle w:val="Hyperlink"/>
          </w:rPr>
          <w:t>SG2-</w:t>
        </w:r>
        <w:proofErr w:type="spellStart"/>
        <w:r w:rsidR="00A82091" w:rsidRPr="00A82091">
          <w:rPr>
            <w:rStyle w:val="Hyperlink"/>
          </w:rPr>
          <w:t>C145</w:t>
        </w:r>
        <w:proofErr w:type="spellEnd"/>
      </w:hyperlink>
      <w:r w:rsidR="00A82091" w:rsidRPr="00A82091">
        <w:t>), submitted by the Ministry of Telecommunications and Digital Economy. However, no representative from Palestine attended the meeting, and the document was neither presented nor discussed.</w:t>
      </w:r>
    </w:p>
    <w:p w14:paraId="67408F2E" w14:textId="04C70017" w:rsidR="00B44869" w:rsidRPr="00B44869" w:rsidRDefault="00A82091" w:rsidP="00AE2742">
      <w:pPr>
        <w:pStyle w:val="Headingb"/>
        <w:jc w:val="both"/>
        <w:rPr>
          <w:rFonts w:eastAsiaTheme="minorHAnsi"/>
        </w:rPr>
      </w:pPr>
      <w:r>
        <w:rPr>
          <w:rFonts w:eastAsiaTheme="minorHAnsi"/>
        </w:rPr>
        <w:t>10</w:t>
      </w:r>
      <w:r w:rsidR="00B44869" w:rsidRPr="00B44869">
        <w:rPr>
          <w:rFonts w:eastAsiaTheme="minorHAnsi"/>
        </w:rPr>
        <w:tab/>
      </w:r>
      <w:r w:rsidR="00D974DE" w:rsidRPr="00D974DE">
        <w:rPr>
          <w:rFonts w:eastAsiaTheme="minorHAnsi"/>
          <w:bCs/>
        </w:rPr>
        <w:t xml:space="preserve">Activities through </w:t>
      </w:r>
      <w:r w:rsidR="00D974DE" w:rsidRPr="00D974DE">
        <w:rPr>
          <w:rFonts w:eastAsiaTheme="minorHAnsi"/>
        </w:rPr>
        <w:t xml:space="preserve">targeted </w:t>
      </w:r>
      <w:r w:rsidR="00D974DE" w:rsidRPr="00D974DE">
        <w:rPr>
          <w:rFonts w:eastAsiaTheme="minorHAnsi"/>
          <w:bCs/>
        </w:rPr>
        <w:t>fellowship support</w:t>
      </w:r>
    </w:p>
    <w:p w14:paraId="2316B148" w14:textId="58759339" w:rsidR="00B44869" w:rsidRDefault="00E6508C" w:rsidP="000A4D6E">
      <w:pPr>
        <w:pStyle w:val="enumlev1"/>
        <w:jc w:val="both"/>
      </w:pPr>
      <w:r>
        <w:tab/>
      </w:r>
      <w:r w:rsidR="00A70AE2">
        <w:t>In line with ITU Council Resolution 1424, the International Telecommunication Union has continued to support the active participation of the State of Palestine in ITU activities. In 2025, 12 fellowships were granted to Palestinian representatives, enabling their engagement in key study groups, forums, and capacity-building initiatives. This support ensures the mobilization of financial and human resources to strengthen Palestine’s telecommunications and ICT sector and sustain effective participation despite ongoing challenges.</w:t>
      </w:r>
    </w:p>
    <w:p w14:paraId="4EE9D5CB" w14:textId="615B2861" w:rsidR="00B44869" w:rsidRPr="00B44869" w:rsidRDefault="00B44869" w:rsidP="00AE2742">
      <w:pPr>
        <w:pStyle w:val="Headingb"/>
        <w:ind w:left="567" w:hanging="567"/>
        <w:jc w:val="both"/>
        <w:rPr>
          <w:rFonts w:eastAsiaTheme="minorHAnsi"/>
        </w:rPr>
      </w:pPr>
      <w:r w:rsidRPr="00B44869">
        <w:rPr>
          <w:rFonts w:eastAsiaTheme="minorHAnsi"/>
        </w:rPr>
        <w:t>1</w:t>
      </w:r>
      <w:r w:rsidR="00904610">
        <w:rPr>
          <w:rFonts w:eastAsiaTheme="minorHAnsi"/>
        </w:rPr>
        <w:t>1</w:t>
      </w:r>
      <w:r w:rsidRPr="00B44869">
        <w:rPr>
          <w:rFonts w:eastAsiaTheme="minorHAnsi"/>
        </w:rPr>
        <w:tab/>
      </w:r>
      <w:r w:rsidR="00F650C6" w:rsidRPr="00F650C6">
        <w:rPr>
          <w:rFonts w:eastAsiaTheme="minorHAnsi"/>
          <w:bCs/>
        </w:rPr>
        <w:t>Connectivity Planning Platform (CPP) engagement with the State of Palestine</w:t>
      </w:r>
    </w:p>
    <w:p w14:paraId="22056E28" w14:textId="1BF9C7E0" w:rsidR="00A27FE0" w:rsidRPr="00A27FE0" w:rsidRDefault="00E6508C" w:rsidP="000A4D6E">
      <w:pPr>
        <w:pStyle w:val="enumlev1"/>
        <w:jc w:val="both"/>
      </w:pPr>
      <w:r>
        <w:rPr>
          <w:spacing w:val="-2"/>
        </w:rPr>
        <w:tab/>
      </w:r>
      <w:r w:rsidR="00A27FE0" w:rsidRPr="00A27FE0">
        <w:rPr>
          <w:spacing w:val="-2"/>
        </w:rPr>
        <w:t>In follow-</w:t>
      </w:r>
      <w:r w:rsidR="00A27FE0" w:rsidRPr="000A4D6E">
        <w:t>up</w:t>
      </w:r>
      <w:r w:rsidR="00A27FE0" w:rsidRPr="00A27FE0">
        <w:rPr>
          <w:spacing w:val="-2"/>
        </w:rPr>
        <w:t xml:space="preserve"> to the meeting held in February 2026 with H.E. the Deputy Minister of the </w:t>
      </w:r>
      <w:proofErr w:type="spellStart"/>
      <w:r w:rsidR="00A27FE0" w:rsidRPr="00A27FE0">
        <w:rPr>
          <w:spacing w:val="-2"/>
        </w:rPr>
        <w:t>MTDE</w:t>
      </w:r>
      <w:proofErr w:type="spellEnd"/>
      <w:r w:rsidR="00A27FE0" w:rsidRPr="00A27FE0">
        <w:rPr>
          <w:spacing w:val="-2"/>
        </w:rPr>
        <w:t>, the ITU has made substantive progress in advancing engagement with the State of Palestine on the Connectivity Planning Platform (CPP).</w:t>
      </w:r>
    </w:p>
    <w:p w14:paraId="455FC9E0" w14:textId="607FA56A" w:rsidR="00A27FE0" w:rsidRPr="00A27FE0" w:rsidRDefault="00E6508C" w:rsidP="000A4D6E">
      <w:pPr>
        <w:pStyle w:val="enumlev1"/>
        <w:jc w:val="both"/>
        <w:rPr>
          <w:spacing w:val="-2"/>
        </w:rPr>
      </w:pPr>
      <w:r>
        <w:rPr>
          <w:spacing w:val="-2"/>
        </w:rPr>
        <w:tab/>
      </w:r>
      <w:r w:rsidR="00A27FE0" w:rsidRPr="00A27FE0">
        <w:rPr>
          <w:spacing w:val="-2"/>
        </w:rPr>
        <w:t>An introductory session was convened in March 2026 with senior officials and technical staff from the Ministry, during which the functionalities of the platform were presented, and national connectivity priorities were discussed. Subsequently, the Ministry formally designated four senior focal points to lead the national engagement. User accounts were duly established, access to the platform was granted, and technical support was provided to address initial login challenges.</w:t>
      </w:r>
    </w:p>
    <w:p w14:paraId="35BAD7C0" w14:textId="3EA87AE6" w:rsidR="00B44869" w:rsidRDefault="00E6508C" w:rsidP="000A4D6E">
      <w:pPr>
        <w:pStyle w:val="enumlev1"/>
        <w:jc w:val="both"/>
      </w:pPr>
      <w:r>
        <w:rPr>
          <w:spacing w:val="-2"/>
        </w:rPr>
        <w:tab/>
      </w:r>
      <w:r w:rsidR="00A27FE0" w:rsidRPr="00A27FE0">
        <w:rPr>
          <w:spacing w:val="-2"/>
        </w:rPr>
        <w:t xml:space="preserve">A follow-up technical session is scheduled for 15 April 2026, with a view to providing a more in-depth walkthrough of the platform and exploring the use of available datasets. This </w:t>
      </w:r>
      <w:r w:rsidR="00A27FE0" w:rsidRPr="000A4D6E">
        <w:t>collaboration</w:t>
      </w:r>
      <w:r w:rsidR="00A27FE0" w:rsidRPr="00A27FE0">
        <w:rPr>
          <w:spacing w:val="-2"/>
        </w:rPr>
        <w:t xml:space="preserve"> contributes directly to strengthening Palestine’s capacity for data-driven infrastructure planning, in alignment with the relevant ITU Resolution.</w:t>
      </w:r>
    </w:p>
    <w:p w14:paraId="72D8C2EF" w14:textId="0128E9A8" w:rsidR="00AE2742" w:rsidRPr="00AE2742" w:rsidRDefault="00E6508C" w:rsidP="00E6508C">
      <w:pPr>
        <w:pStyle w:val="Headingb"/>
      </w:pPr>
      <w:r>
        <w:t>12</w:t>
      </w:r>
      <w:r>
        <w:tab/>
      </w:r>
      <w:r w:rsidR="00AE2742" w:rsidRPr="00AE2742">
        <w:t xml:space="preserve">Digital </w:t>
      </w:r>
      <w:r w:rsidR="00546DF7" w:rsidRPr="00AE2742">
        <w:t xml:space="preserve">innovation profile </w:t>
      </w:r>
      <w:r w:rsidR="00AE2742" w:rsidRPr="00AE2742">
        <w:t>for Palestine</w:t>
      </w:r>
    </w:p>
    <w:p w14:paraId="00BB444A" w14:textId="12B78219" w:rsidR="00AE2742" w:rsidRPr="00AE2742" w:rsidRDefault="000A4D6E" w:rsidP="000A4D6E">
      <w:pPr>
        <w:pStyle w:val="enumlev1"/>
        <w:jc w:val="both"/>
      </w:pPr>
      <w:r>
        <w:rPr>
          <w:lang w:val="en-US"/>
        </w:rPr>
        <w:tab/>
      </w:r>
      <w:r w:rsidR="00AE2742" w:rsidRPr="00AE2742">
        <w:rPr>
          <w:lang w:val="en-US"/>
        </w:rPr>
        <w:t xml:space="preserve">Assistance was initiated in 2025 to support the development of the Digital Innovation Profile for the State of Palestine, in close partnership with the Ministry. This Digital Innovation </w:t>
      </w:r>
      <w:r w:rsidR="00AE2742" w:rsidRPr="000A4D6E">
        <w:t>Profile</w:t>
      </w:r>
      <w:r w:rsidR="00AE2742" w:rsidRPr="00AE2742">
        <w:rPr>
          <w:lang w:val="en-US"/>
        </w:rPr>
        <w:t xml:space="preserve"> provides a data-driven and stakeholder-informed assessment of the ICT-centered innovation landscape in the State of Palestine.</w:t>
      </w:r>
    </w:p>
    <w:p w14:paraId="2B3768EE" w14:textId="31227A38" w:rsidR="00AE2742" w:rsidRPr="00AE2742" w:rsidRDefault="000A4D6E" w:rsidP="000A4D6E">
      <w:pPr>
        <w:pStyle w:val="enumlev1"/>
        <w:jc w:val="both"/>
      </w:pPr>
      <w:r>
        <w:rPr>
          <w:lang w:val="en-US"/>
        </w:rPr>
        <w:tab/>
      </w:r>
      <w:r w:rsidR="00AE2742" w:rsidRPr="00AE2742">
        <w:rPr>
          <w:lang w:val="en-US"/>
        </w:rPr>
        <w:t xml:space="preserve">Drawing on more than 30 consultations conducted across government, the private sector, </w:t>
      </w:r>
      <w:r w:rsidR="00AE2742" w:rsidRPr="000A4D6E">
        <w:t>academia</w:t>
      </w:r>
      <w:r w:rsidR="00AE2742" w:rsidRPr="00AE2742">
        <w:rPr>
          <w:lang w:val="en-US"/>
        </w:rPr>
        <w:t>, civil society and international partners, the report identifies key strengths, challenges and priority areas for intervention. It serves both as a diagnostic tool and as a strategic guide, intended to inform evidence-based policymaking and investment planning.</w:t>
      </w:r>
    </w:p>
    <w:p w14:paraId="22CBCC94" w14:textId="5C75E015" w:rsidR="00AE2742" w:rsidRDefault="000A4D6E" w:rsidP="000A4D6E">
      <w:pPr>
        <w:pStyle w:val="enumlev1"/>
        <w:jc w:val="both"/>
      </w:pPr>
      <w:r>
        <w:rPr>
          <w:lang w:val="en-US"/>
        </w:rPr>
        <w:tab/>
      </w:r>
      <w:r w:rsidR="00AE2742" w:rsidRPr="00AE2742">
        <w:rPr>
          <w:lang w:val="en-US"/>
        </w:rPr>
        <w:t xml:space="preserve">The </w:t>
      </w:r>
      <w:r w:rsidR="00AE2742" w:rsidRPr="000A4D6E">
        <w:t>report</w:t>
      </w:r>
      <w:r w:rsidR="00AE2742" w:rsidRPr="00AE2742">
        <w:rPr>
          <w:lang w:val="en-US"/>
        </w:rPr>
        <w:t xml:space="preserve"> is expected to be finalized and published by the third quarter of 2026.</w:t>
      </w:r>
    </w:p>
    <w:p w14:paraId="7C69C611" w14:textId="77777777" w:rsidR="007A3FCD" w:rsidRPr="00C0458D" w:rsidRDefault="007A3FCD" w:rsidP="008F2AEC">
      <w:pPr>
        <w:spacing w:before="600"/>
        <w:jc w:val="center"/>
      </w:pPr>
      <w:r>
        <w:t>______________</w:t>
      </w:r>
    </w:p>
    <w:sectPr w:rsidR="007A3FCD" w:rsidRPr="00C0458D"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E9F7" w14:textId="77777777" w:rsidR="001A498E" w:rsidRDefault="001A498E">
      <w:r>
        <w:separator/>
      </w:r>
    </w:p>
  </w:endnote>
  <w:endnote w:type="continuationSeparator" w:id="0">
    <w:p w14:paraId="5DDF948B" w14:textId="77777777" w:rsidR="001A498E" w:rsidRDefault="001A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6D515D6" w14:textId="77777777">
      <w:trPr>
        <w:jc w:val="center"/>
      </w:trPr>
      <w:tc>
        <w:tcPr>
          <w:tcW w:w="1803" w:type="dxa"/>
          <w:vAlign w:val="center"/>
        </w:tcPr>
        <w:p w14:paraId="62FE0BE4" w14:textId="77777777" w:rsidR="00EE49E8" w:rsidRDefault="00C6520B" w:rsidP="00EE49E8">
          <w:pPr>
            <w:pStyle w:val="Header"/>
            <w:jc w:val="left"/>
            <w:rPr>
              <w:noProof/>
            </w:rPr>
          </w:pPr>
          <w:r>
            <w:rPr>
              <w:noProof/>
            </w:rPr>
            <w:t>gDoc #</w:t>
          </w:r>
        </w:p>
      </w:tc>
      <w:tc>
        <w:tcPr>
          <w:tcW w:w="8261" w:type="dxa"/>
        </w:tcPr>
        <w:p w14:paraId="471B2130" w14:textId="58170E6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6F5CB8">
            <w:rPr>
              <w:bCs/>
            </w:rPr>
            <w:t>69</w:t>
          </w:r>
          <w:r w:rsidRPr="00623AE3">
            <w:rPr>
              <w:bCs/>
            </w:rPr>
            <w:t>-E</w:t>
          </w:r>
          <w:r>
            <w:rPr>
              <w:bCs/>
            </w:rPr>
            <w:tab/>
          </w:r>
          <w:r>
            <w:fldChar w:fldCharType="begin"/>
          </w:r>
          <w:r>
            <w:instrText>PAGE</w:instrText>
          </w:r>
          <w:r>
            <w:fldChar w:fldCharType="separate"/>
          </w:r>
          <w:r>
            <w:t>1</w:t>
          </w:r>
          <w:r>
            <w:rPr>
              <w:noProof/>
            </w:rPr>
            <w:fldChar w:fldCharType="end"/>
          </w:r>
        </w:p>
      </w:tc>
    </w:tr>
  </w:tbl>
  <w:p w14:paraId="67B3A60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A8BEAA0" w14:textId="77777777" w:rsidTr="006B77F1">
      <w:trPr>
        <w:jc w:val="center"/>
      </w:trPr>
      <w:tc>
        <w:tcPr>
          <w:tcW w:w="1803" w:type="dxa"/>
          <w:vAlign w:val="center"/>
        </w:tcPr>
        <w:p w14:paraId="2D8A20BF"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27170E4A" w14:textId="64C70B3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6F5CB8">
            <w:rPr>
              <w:bCs/>
            </w:rPr>
            <w:t>69</w:t>
          </w:r>
          <w:r w:rsidRPr="00623AE3">
            <w:rPr>
              <w:bCs/>
            </w:rPr>
            <w:t>-E</w:t>
          </w:r>
          <w:r>
            <w:rPr>
              <w:bCs/>
            </w:rPr>
            <w:tab/>
          </w:r>
          <w:r>
            <w:fldChar w:fldCharType="begin"/>
          </w:r>
          <w:r>
            <w:instrText>PAGE</w:instrText>
          </w:r>
          <w:r>
            <w:fldChar w:fldCharType="separate"/>
          </w:r>
          <w:r>
            <w:t>1</w:t>
          </w:r>
          <w:r>
            <w:rPr>
              <w:noProof/>
            </w:rPr>
            <w:fldChar w:fldCharType="end"/>
          </w:r>
        </w:p>
      </w:tc>
    </w:tr>
  </w:tbl>
  <w:p w14:paraId="24B4C961"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6E5B" w14:textId="77777777" w:rsidR="001A498E" w:rsidRDefault="001A498E">
      <w:r>
        <w:t>____________________</w:t>
      </w:r>
    </w:p>
  </w:footnote>
  <w:footnote w:type="continuationSeparator" w:id="0">
    <w:p w14:paraId="6DD71ABE" w14:textId="77777777" w:rsidR="001A498E" w:rsidRDefault="001A498E">
      <w:r>
        <w:continuationSeparator/>
      </w:r>
    </w:p>
  </w:footnote>
  <w:footnote w:id="1">
    <w:p w14:paraId="7CD851B3" w14:textId="3F34081C" w:rsidR="00974F2E" w:rsidRPr="00974F2E" w:rsidRDefault="00974F2E">
      <w:pPr>
        <w:pStyle w:val="FootnoteText"/>
      </w:pPr>
      <w:r>
        <w:rPr>
          <w:rStyle w:val="FootnoteReference"/>
        </w:rPr>
        <w:t>1</w:t>
      </w:r>
      <w:r>
        <w:t xml:space="preserve"> </w:t>
      </w:r>
      <w:r>
        <w:tab/>
      </w:r>
      <w:hyperlink r:id="rId1" w:history="1">
        <w:r w:rsidRPr="0010792B">
          <w:rPr>
            <w:rStyle w:val="Hyperlink"/>
            <w:sz w:val="20"/>
          </w:rPr>
          <w:t>Gaza and West Bank Interim Rapid Damage and Needs Assessment (February 2025)</w:t>
        </w:r>
      </w:hyperlink>
      <w:r w:rsidRPr="0010792B">
        <w:rPr>
          <w:sz w:val="20"/>
        </w:rPr>
        <w:t>.</w:t>
      </w:r>
    </w:p>
  </w:footnote>
  <w:footnote w:id="2">
    <w:p w14:paraId="55F87B7D" w14:textId="0520581E" w:rsidR="00974F2E" w:rsidRPr="00974F2E" w:rsidRDefault="00974F2E" w:rsidP="00974F2E">
      <w:pPr>
        <w:pStyle w:val="FootnoteText"/>
        <w:spacing w:before="40"/>
      </w:pPr>
      <w:r>
        <w:rPr>
          <w:rStyle w:val="FootnoteReference"/>
        </w:rPr>
        <w:t>2</w:t>
      </w:r>
      <w:r>
        <w:t xml:space="preserve"> </w:t>
      </w:r>
      <w:r>
        <w:tab/>
      </w:r>
      <w:hyperlink r:id="rId2" w:history="1">
        <w:r w:rsidRPr="0010792B">
          <w:rPr>
            <w:rStyle w:val="Hyperlink"/>
            <w:sz w:val="20"/>
          </w:rPr>
          <w:t>Gaza and West Bank Interim Rapid Damage and Needs Assessment (February 2025)</w:t>
        </w:r>
      </w:hyperlink>
      <w:r w:rsidRPr="0010792B">
        <w:rPr>
          <w:sz w:val="20"/>
        </w:rPr>
        <w:t>.</w:t>
      </w:r>
    </w:p>
  </w:footnote>
  <w:footnote w:id="3">
    <w:p w14:paraId="198888E2" w14:textId="79F523FC" w:rsidR="0074582F" w:rsidRPr="0074582F" w:rsidRDefault="0074582F" w:rsidP="00974F2E">
      <w:pPr>
        <w:pStyle w:val="FootnoteText"/>
        <w:spacing w:before="40"/>
      </w:pPr>
      <w:r>
        <w:rPr>
          <w:rStyle w:val="FootnoteReference"/>
        </w:rPr>
        <w:t>3</w:t>
      </w:r>
      <w:r>
        <w:t xml:space="preserve"> </w:t>
      </w:r>
      <w:r w:rsidRPr="0074582F">
        <w:tab/>
      </w:r>
      <w:hyperlink r:id="rId3" w:history="1">
        <w:r w:rsidRPr="0010792B">
          <w:rPr>
            <w:rStyle w:val="Hyperlink"/>
            <w:sz w:val="20"/>
          </w:rPr>
          <w:t>Gaza and West Bank Interim Rapid Damage and Needs Assessment (February 2025)</w:t>
        </w:r>
      </w:hyperlink>
      <w:r w:rsidRPr="0010792B">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7190"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10486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C303F"/>
    <w:multiLevelType w:val="hybridMultilevel"/>
    <w:tmpl w:val="42B2F496"/>
    <w:lvl w:ilvl="0" w:tplc="F3C2F28A">
      <w:start w:val="1"/>
      <w:numFmt w:val="decimal"/>
      <w:lvlText w:val="%1)"/>
      <w:lvlJc w:val="left"/>
      <w:pPr>
        <w:ind w:left="0" w:hanging="360"/>
      </w:pPr>
      <w:rPr>
        <w:rFonts w:asciiTheme="minorHAnsi" w:eastAsiaTheme="minorHAnsi" w:hAnsiTheme="minorHAns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B9E5DBE"/>
    <w:multiLevelType w:val="hybridMultilevel"/>
    <w:tmpl w:val="5F2691EE"/>
    <w:lvl w:ilvl="0" w:tplc="008AF206">
      <w:start w:val="1"/>
      <w:numFmt w:val="decimal"/>
      <w:lvlText w:val="%1."/>
      <w:lvlJc w:val="left"/>
      <w:pPr>
        <w:ind w:left="720" w:hanging="360"/>
      </w:pPr>
    </w:lvl>
    <w:lvl w:ilvl="1" w:tplc="4F82A44A">
      <w:start w:val="1"/>
      <w:numFmt w:val="lowerLetter"/>
      <w:lvlText w:val="%2."/>
      <w:lvlJc w:val="left"/>
      <w:pPr>
        <w:ind w:left="1440" w:hanging="360"/>
      </w:pPr>
    </w:lvl>
    <w:lvl w:ilvl="2" w:tplc="48A2CFB8">
      <w:start w:val="1"/>
      <w:numFmt w:val="lowerRoman"/>
      <w:lvlText w:val="%3."/>
      <w:lvlJc w:val="right"/>
      <w:pPr>
        <w:ind w:left="2160" w:hanging="180"/>
      </w:pPr>
    </w:lvl>
    <w:lvl w:ilvl="3" w:tplc="6EB459E2">
      <w:start w:val="1"/>
      <w:numFmt w:val="decimal"/>
      <w:lvlText w:val="%4."/>
      <w:lvlJc w:val="left"/>
      <w:pPr>
        <w:ind w:left="2880" w:hanging="360"/>
      </w:pPr>
    </w:lvl>
    <w:lvl w:ilvl="4" w:tplc="9C24B5D4">
      <w:start w:val="1"/>
      <w:numFmt w:val="lowerLetter"/>
      <w:lvlText w:val="%5."/>
      <w:lvlJc w:val="left"/>
      <w:pPr>
        <w:ind w:left="3600" w:hanging="360"/>
      </w:pPr>
    </w:lvl>
    <w:lvl w:ilvl="5" w:tplc="F65CBFCA">
      <w:start w:val="1"/>
      <w:numFmt w:val="lowerRoman"/>
      <w:lvlText w:val="%6."/>
      <w:lvlJc w:val="right"/>
      <w:pPr>
        <w:ind w:left="4320" w:hanging="180"/>
      </w:pPr>
    </w:lvl>
    <w:lvl w:ilvl="6" w:tplc="29D6479E">
      <w:start w:val="1"/>
      <w:numFmt w:val="decimal"/>
      <w:lvlText w:val="%7."/>
      <w:lvlJc w:val="left"/>
      <w:pPr>
        <w:ind w:left="5040" w:hanging="360"/>
      </w:pPr>
    </w:lvl>
    <w:lvl w:ilvl="7" w:tplc="C46AAD2E">
      <w:start w:val="1"/>
      <w:numFmt w:val="lowerLetter"/>
      <w:lvlText w:val="%8."/>
      <w:lvlJc w:val="left"/>
      <w:pPr>
        <w:ind w:left="5760" w:hanging="360"/>
      </w:pPr>
    </w:lvl>
    <w:lvl w:ilvl="8" w:tplc="5582F322">
      <w:start w:val="1"/>
      <w:numFmt w:val="lowerRoman"/>
      <w:lvlText w:val="%9."/>
      <w:lvlJc w:val="right"/>
      <w:pPr>
        <w:ind w:left="6480" w:hanging="180"/>
      </w:pPr>
    </w:lvl>
  </w:abstractNum>
  <w:abstractNum w:abstractNumId="3" w15:restartNumberingAfterBreak="0">
    <w:nsid w:val="2DA675F1"/>
    <w:multiLevelType w:val="hybridMultilevel"/>
    <w:tmpl w:val="59929458"/>
    <w:lvl w:ilvl="0" w:tplc="30CC6C0A">
      <w:start w:val="1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16cid:durableId="1835292389">
    <w:abstractNumId w:val="2"/>
  </w:num>
  <w:num w:numId="2" w16cid:durableId="1374816267">
    <w:abstractNumId w:val="0"/>
  </w:num>
  <w:num w:numId="3" w16cid:durableId="18119304">
    <w:abstractNumId w:val="1"/>
  </w:num>
  <w:num w:numId="4" w16cid:durableId="955060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9D"/>
    <w:rsid w:val="000210D4"/>
    <w:rsid w:val="000215DF"/>
    <w:rsid w:val="000342A3"/>
    <w:rsid w:val="0006007D"/>
    <w:rsid w:val="00063016"/>
    <w:rsid w:val="000635DC"/>
    <w:rsid w:val="00066795"/>
    <w:rsid w:val="00076AF6"/>
    <w:rsid w:val="00085CF2"/>
    <w:rsid w:val="000870B3"/>
    <w:rsid w:val="000A4D6E"/>
    <w:rsid w:val="000B1705"/>
    <w:rsid w:val="000C3574"/>
    <w:rsid w:val="000C61A6"/>
    <w:rsid w:val="000D75B2"/>
    <w:rsid w:val="000E372C"/>
    <w:rsid w:val="000E4961"/>
    <w:rsid w:val="000F4714"/>
    <w:rsid w:val="000F5DDB"/>
    <w:rsid w:val="001121F5"/>
    <w:rsid w:val="00112D73"/>
    <w:rsid w:val="00122E26"/>
    <w:rsid w:val="001400DC"/>
    <w:rsid w:val="00140CE1"/>
    <w:rsid w:val="0015189A"/>
    <w:rsid w:val="00152A04"/>
    <w:rsid w:val="00155820"/>
    <w:rsid w:val="0017539C"/>
    <w:rsid w:val="00175AC2"/>
    <w:rsid w:val="0017609F"/>
    <w:rsid w:val="00176F47"/>
    <w:rsid w:val="00180854"/>
    <w:rsid w:val="001808EB"/>
    <w:rsid w:val="00183A06"/>
    <w:rsid w:val="001A3154"/>
    <w:rsid w:val="001A498E"/>
    <w:rsid w:val="001A56C0"/>
    <w:rsid w:val="001A7D1D"/>
    <w:rsid w:val="001B1E5C"/>
    <w:rsid w:val="001B51DD"/>
    <w:rsid w:val="001C628E"/>
    <w:rsid w:val="001E0F7B"/>
    <w:rsid w:val="001F5569"/>
    <w:rsid w:val="0020487B"/>
    <w:rsid w:val="002106AE"/>
    <w:rsid w:val="002119FD"/>
    <w:rsid w:val="002130E0"/>
    <w:rsid w:val="00221F46"/>
    <w:rsid w:val="00225189"/>
    <w:rsid w:val="002328BF"/>
    <w:rsid w:val="0024002A"/>
    <w:rsid w:val="00264425"/>
    <w:rsid w:val="00265875"/>
    <w:rsid w:val="0026715D"/>
    <w:rsid w:val="00271A34"/>
    <w:rsid w:val="0027303B"/>
    <w:rsid w:val="00277DEA"/>
    <w:rsid w:val="0028109B"/>
    <w:rsid w:val="002916B4"/>
    <w:rsid w:val="00295F78"/>
    <w:rsid w:val="002A0615"/>
    <w:rsid w:val="002A133E"/>
    <w:rsid w:val="002A2188"/>
    <w:rsid w:val="002A7F78"/>
    <w:rsid w:val="002B1F58"/>
    <w:rsid w:val="002B7606"/>
    <w:rsid w:val="002C1C7A"/>
    <w:rsid w:val="002C3F32"/>
    <w:rsid w:val="002C54E2"/>
    <w:rsid w:val="0030160F"/>
    <w:rsid w:val="0030294E"/>
    <w:rsid w:val="00315EA1"/>
    <w:rsid w:val="00320223"/>
    <w:rsid w:val="00322D0D"/>
    <w:rsid w:val="00325652"/>
    <w:rsid w:val="003307EB"/>
    <w:rsid w:val="00341E55"/>
    <w:rsid w:val="00351014"/>
    <w:rsid w:val="00361465"/>
    <w:rsid w:val="00361D51"/>
    <w:rsid w:val="00372B61"/>
    <w:rsid w:val="003877F5"/>
    <w:rsid w:val="003936D3"/>
    <w:rsid w:val="003942D4"/>
    <w:rsid w:val="003958A8"/>
    <w:rsid w:val="00395C03"/>
    <w:rsid w:val="00397A90"/>
    <w:rsid w:val="003A755D"/>
    <w:rsid w:val="003B29C2"/>
    <w:rsid w:val="003B4FAF"/>
    <w:rsid w:val="003C2533"/>
    <w:rsid w:val="003C3CD3"/>
    <w:rsid w:val="003D5A7F"/>
    <w:rsid w:val="003F0228"/>
    <w:rsid w:val="0040435A"/>
    <w:rsid w:val="00416A24"/>
    <w:rsid w:val="00431D9E"/>
    <w:rsid w:val="00433CE8"/>
    <w:rsid w:val="00434A5C"/>
    <w:rsid w:val="00453079"/>
    <w:rsid w:val="004544D9"/>
    <w:rsid w:val="004560C0"/>
    <w:rsid w:val="00464BB4"/>
    <w:rsid w:val="00465C35"/>
    <w:rsid w:val="00472BAD"/>
    <w:rsid w:val="00484009"/>
    <w:rsid w:val="004904F5"/>
    <w:rsid w:val="00490E72"/>
    <w:rsid w:val="00491157"/>
    <w:rsid w:val="00491BA9"/>
    <w:rsid w:val="004921C8"/>
    <w:rsid w:val="0049369C"/>
    <w:rsid w:val="00495615"/>
    <w:rsid w:val="00495B0B"/>
    <w:rsid w:val="004A0BA5"/>
    <w:rsid w:val="004A1B8B"/>
    <w:rsid w:val="004A3E02"/>
    <w:rsid w:val="004C5DFE"/>
    <w:rsid w:val="004D1851"/>
    <w:rsid w:val="004D599D"/>
    <w:rsid w:val="004D785B"/>
    <w:rsid w:val="004E2EA5"/>
    <w:rsid w:val="004E3AEB"/>
    <w:rsid w:val="004EDB11"/>
    <w:rsid w:val="0050223C"/>
    <w:rsid w:val="00512087"/>
    <w:rsid w:val="005243FF"/>
    <w:rsid w:val="00543343"/>
    <w:rsid w:val="00546DF7"/>
    <w:rsid w:val="00564FBC"/>
    <w:rsid w:val="00574822"/>
    <w:rsid w:val="005800BC"/>
    <w:rsid w:val="00582442"/>
    <w:rsid w:val="005916C3"/>
    <w:rsid w:val="005C251B"/>
    <w:rsid w:val="005F2A43"/>
    <w:rsid w:val="005F3269"/>
    <w:rsid w:val="00606C59"/>
    <w:rsid w:val="0061071E"/>
    <w:rsid w:val="00611251"/>
    <w:rsid w:val="0062307C"/>
    <w:rsid w:val="00623AE3"/>
    <w:rsid w:val="0064737F"/>
    <w:rsid w:val="006535F1"/>
    <w:rsid w:val="0065557D"/>
    <w:rsid w:val="00660D50"/>
    <w:rsid w:val="00662984"/>
    <w:rsid w:val="00664FC7"/>
    <w:rsid w:val="006700D7"/>
    <w:rsid w:val="006716BB"/>
    <w:rsid w:val="006836D9"/>
    <w:rsid w:val="006A2F4B"/>
    <w:rsid w:val="006B1859"/>
    <w:rsid w:val="006B6680"/>
    <w:rsid w:val="006B6DCC"/>
    <w:rsid w:val="006B77F1"/>
    <w:rsid w:val="006C7B14"/>
    <w:rsid w:val="006F5CB8"/>
    <w:rsid w:val="006F5F79"/>
    <w:rsid w:val="00702DEF"/>
    <w:rsid w:val="00706861"/>
    <w:rsid w:val="0071763F"/>
    <w:rsid w:val="00720631"/>
    <w:rsid w:val="00722551"/>
    <w:rsid w:val="007423E6"/>
    <w:rsid w:val="0074582F"/>
    <w:rsid w:val="0075051B"/>
    <w:rsid w:val="00750CF6"/>
    <w:rsid w:val="00751440"/>
    <w:rsid w:val="00764190"/>
    <w:rsid w:val="00765C89"/>
    <w:rsid w:val="0077110E"/>
    <w:rsid w:val="00793188"/>
    <w:rsid w:val="00794D34"/>
    <w:rsid w:val="007A3FCD"/>
    <w:rsid w:val="007B19CF"/>
    <w:rsid w:val="007D01AF"/>
    <w:rsid w:val="00813E5E"/>
    <w:rsid w:val="00817A68"/>
    <w:rsid w:val="00820ED8"/>
    <w:rsid w:val="00822798"/>
    <w:rsid w:val="0083581B"/>
    <w:rsid w:val="008376D7"/>
    <w:rsid w:val="0084546D"/>
    <w:rsid w:val="00863874"/>
    <w:rsid w:val="00864AFF"/>
    <w:rsid w:val="00865925"/>
    <w:rsid w:val="008B4A6A"/>
    <w:rsid w:val="008C7E27"/>
    <w:rsid w:val="008F2AEC"/>
    <w:rsid w:val="008F7448"/>
    <w:rsid w:val="0090147A"/>
    <w:rsid w:val="00904610"/>
    <w:rsid w:val="00907B0A"/>
    <w:rsid w:val="00916C2A"/>
    <w:rsid w:val="009173EF"/>
    <w:rsid w:val="00923C46"/>
    <w:rsid w:val="00931D5F"/>
    <w:rsid w:val="00932906"/>
    <w:rsid w:val="00954C49"/>
    <w:rsid w:val="00961B0B"/>
    <w:rsid w:val="00962D33"/>
    <w:rsid w:val="00964234"/>
    <w:rsid w:val="00974F2E"/>
    <w:rsid w:val="00976177"/>
    <w:rsid w:val="009842A1"/>
    <w:rsid w:val="009A6549"/>
    <w:rsid w:val="009A76A8"/>
    <w:rsid w:val="009B38C3"/>
    <w:rsid w:val="009C0030"/>
    <w:rsid w:val="009C11E4"/>
    <w:rsid w:val="009E17BD"/>
    <w:rsid w:val="009E485A"/>
    <w:rsid w:val="009E5B2B"/>
    <w:rsid w:val="009F2759"/>
    <w:rsid w:val="00A04CEC"/>
    <w:rsid w:val="00A109AF"/>
    <w:rsid w:val="00A20AF3"/>
    <w:rsid w:val="00A27BB6"/>
    <w:rsid w:val="00A27F92"/>
    <w:rsid w:val="00A27FE0"/>
    <w:rsid w:val="00A32257"/>
    <w:rsid w:val="00A36D20"/>
    <w:rsid w:val="00A47E45"/>
    <w:rsid w:val="00A514A4"/>
    <w:rsid w:val="00A55622"/>
    <w:rsid w:val="00A70AE2"/>
    <w:rsid w:val="00A82091"/>
    <w:rsid w:val="00A83502"/>
    <w:rsid w:val="00A85BFC"/>
    <w:rsid w:val="00A94BAB"/>
    <w:rsid w:val="00AA2095"/>
    <w:rsid w:val="00AD001E"/>
    <w:rsid w:val="00AD15B3"/>
    <w:rsid w:val="00AD2D11"/>
    <w:rsid w:val="00AD3341"/>
    <w:rsid w:val="00AD3606"/>
    <w:rsid w:val="00AD4A3D"/>
    <w:rsid w:val="00AD7900"/>
    <w:rsid w:val="00AE2742"/>
    <w:rsid w:val="00AF6E49"/>
    <w:rsid w:val="00B04A67"/>
    <w:rsid w:val="00B0583C"/>
    <w:rsid w:val="00B27C62"/>
    <w:rsid w:val="00B32594"/>
    <w:rsid w:val="00B3767C"/>
    <w:rsid w:val="00B40A81"/>
    <w:rsid w:val="00B44869"/>
    <w:rsid w:val="00B44910"/>
    <w:rsid w:val="00B5045D"/>
    <w:rsid w:val="00B72267"/>
    <w:rsid w:val="00B76EB6"/>
    <w:rsid w:val="00B7737B"/>
    <w:rsid w:val="00B824C8"/>
    <w:rsid w:val="00B84B9D"/>
    <w:rsid w:val="00B9131F"/>
    <w:rsid w:val="00BA6D24"/>
    <w:rsid w:val="00BB0646"/>
    <w:rsid w:val="00BB4693"/>
    <w:rsid w:val="00BC251A"/>
    <w:rsid w:val="00BC4A20"/>
    <w:rsid w:val="00BD032B"/>
    <w:rsid w:val="00BD6EFF"/>
    <w:rsid w:val="00BE01C6"/>
    <w:rsid w:val="00BE2640"/>
    <w:rsid w:val="00BF1FDE"/>
    <w:rsid w:val="00BF7D12"/>
    <w:rsid w:val="00C01189"/>
    <w:rsid w:val="00C04480"/>
    <w:rsid w:val="00C0458D"/>
    <w:rsid w:val="00C315BA"/>
    <w:rsid w:val="00C374DE"/>
    <w:rsid w:val="00C47AD4"/>
    <w:rsid w:val="00C52D81"/>
    <w:rsid w:val="00C55198"/>
    <w:rsid w:val="00C5605F"/>
    <w:rsid w:val="00C6520B"/>
    <w:rsid w:val="00C8498F"/>
    <w:rsid w:val="00CA51B6"/>
    <w:rsid w:val="00CA6393"/>
    <w:rsid w:val="00CA7995"/>
    <w:rsid w:val="00CB18FF"/>
    <w:rsid w:val="00CD0C08"/>
    <w:rsid w:val="00CD1947"/>
    <w:rsid w:val="00CE03FB"/>
    <w:rsid w:val="00CE1C8C"/>
    <w:rsid w:val="00CE433C"/>
    <w:rsid w:val="00CF0161"/>
    <w:rsid w:val="00CF33F3"/>
    <w:rsid w:val="00CF4A2B"/>
    <w:rsid w:val="00D024CA"/>
    <w:rsid w:val="00D06183"/>
    <w:rsid w:val="00D22C42"/>
    <w:rsid w:val="00D233ED"/>
    <w:rsid w:val="00D25A6A"/>
    <w:rsid w:val="00D43810"/>
    <w:rsid w:val="00D45C11"/>
    <w:rsid w:val="00D51B78"/>
    <w:rsid w:val="00D6171F"/>
    <w:rsid w:val="00D65041"/>
    <w:rsid w:val="00D84B36"/>
    <w:rsid w:val="00D974DE"/>
    <w:rsid w:val="00DB1936"/>
    <w:rsid w:val="00DB384B"/>
    <w:rsid w:val="00DC307F"/>
    <w:rsid w:val="00DC5AE2"/>
    <w:rsid w:val="00DE3D34"/>
    <w:rsid w:val="00DE532B"/>
    <w:rsid w:val="00DF0189"/>
    <w:rsid w:val="00DF2174"/>
    <w:rsid w:val="00DF5B63"/>
    <w:rsid w:val="00E06FD5"/>
    <w:rsid w:val="00E07F00"/>
    <w:rsid w:val="00E10C9D"/>
    <w:rsid w:val="00E10E80"/>
    <w:rsid w:val="00E124F0"/>
    <w:rsid w:val="00E227F3"/>
    <w:rsid w:val="00E45078"/>
    <w:rsid w:val="00E545C6"/>
    <w:rsid w:val="00E5772C"/>
    <w:rsid w:val="00E60F04"/>
    <w:rsid w:val="00E6508C"/>
    <w:rsid w:val="00E65B24"/>
    <w:rsid w:val="00E65D7B"/>
    <w:rsid w:val="00E84ABE"/>
    <w:rsid w:val="00E854E4"/>
    <w:rsid w:val="00E86DBF"/>
    <w:rsid w:val="00E969AF"/>
    <w:rsid w:val="00EB0D6F"/>
    <w:rsid w:val="00EB20E3"/>
    <w:rsid w:val="00EB2232"/>
    <w:rsid w:val="00EB5FE2"/>
    <w:rsid w:val="00EC5337"/>
    <w:rsid w:val="00ED2554"/>
    <w:rsid w:val="00EE436F"/>
    <w:rsid w:val="00EE49E8"/>
    <w:rsid w:val="00F16BAB"/>
    <w:rsid w:val="00F2150A"/>
    <w:rsid w:val="00F231D8"/>
    <w:rsid w:val="00F23D93"/>
    <w:rsid w:val="00F44C00"/>
    <w:rsid w:val="00F45D2C"/>
    <w:rsid w:val="00F46C5F"/>
    <w:rsid w:val="00F632C0"/>
    <w:rsid w:val="00F641E1"/>
    <w:rsid w:val="00F650C6"/>
    <w:rsid w:val="00F94A63"/>
    <w:rsid w:val="00FA1C28"/>
    <w:rsid w:val="00FB1279"/>
    <w:rsid w:val="00FB4ABA"/>
    <w:rsid w:val="00FB6B76"/>
    <w:rsid w:val="00FB7596"/>
    <w:rsid w:val="00FE4077"/>
    <w:rsid w:val="00FE500D"/>
    <w:rsid w:val="00FE77D2"/>
    <w:rsid w:val="00FF1FF0"/>
    <w:rsid w:val="00FF39B1"/>
    <w:rsid w:val="032EC618"/>
    <w:rsid w:val="0361A56D"/>
    <w:rsid w:val="044BFA9B"/>
    <w:rsid w:val="073C9733"/>
    <w:rsid w:val="0A44C52D"/>
    <w:rsid w:val="0AB0B56D"/>
    <w:rsid w:val="0AC49FBC"/>
    <w:rsid w:val="0CFAB1A8"/>
    <w:rsid w:val="0E563FED"/>
    <w:rsid w:val="116EC2A2"/>
    <w:rsid w:val="11D396EA"/>
    <w:rsid w:val="12BA53A3"/>
    <w:rsid w:val="1392E3C2"/>
    <w:rsid w:val="1B5B90A2"/>
    <w:rsid w:val="1C11AC55"/>
    <w:rsid w:val="21024BE6"/>
    <w:rsid w:val="24AA453A"/>
    <w:rsid w:val="29B289F5"/>
    <w:rsid w:val="2DEB898E"/>
    <w:rsid w:val="2F2B855E"/>
    <w:rsid w:val="34A026AE"/>
    <w:rsid w:val="355963F8"/>
    <w:rsid w:val="38E9BB9F"/>
    <w:rsid w:val="3B241E66"/>
    <w:rsid w:val="3CD4EB98"/>
    <w:rsid w:val="3E2F4E35"/>
    <w:rsid w:val="3F26F454"/>
    <w:rsid w:val="41528083"/>
    <w:rsid w:val="42385E0A"/>
    <w:rsid w:val="43D7046B"/>
    <w:rsid w:val="451B00F1"/>
    <w:rsid w:val="457F2C1A"/>
    <w:rsid w:val="46D35467"/>
    <w:rsid w:val="48A06246"/>
    <w:rsid w:val="4FFD8774"/>
    <w:rsid w:val="51EBB6BE"/>
    <w:rsid w:val="53C6A3D9"/>
    <w:rsid w:val="592545D3"/>
    <w:rsid w:val="5A4A6A5D"/>
    <w:rsid w:val="5AEFD517"/>
    <w:rsid w:val="5E35B3C4"/>
    <w:rsid w:val="5E5F87C3"/>
    <w:rsid w:val="6032DED9"/>
    <w:rsid w:val="615572C4"/>
    <w:rsid w:val="6181A22D"/>
    <w:rsid w:val="6C74BE65"/>
    <w:rsid w:val="72E10F95"/>
    <w:rsid w:val="765F301D"/>
    <w:rsid w:val="795592F0"/>
    <w:rsid w:val="7DD0897D"/>
    <w:rsid w:val="7F03DD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085B"/>
  <w15:docId w15:val="{85D3BB2F-0905-4ACC-844F-3C85B6AA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BD6EFF"/>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931D5F"/>
    <w:rPr>
      <w:b/>
      <w:bCs/>
    </w:rPr>
  </w:style>
  <w:style w:type="character" w:customStyle="1" w:styleId="CommentSubjectChar">
    <w:name w:val="Comment Subject Char"/>
    <w:basedOn w:val="CommentTextChar"/>
    <w:link w:val="CommentSubject"/>
    <w:semiHidden/>
    <w:rsid w:val="00931D5F"/>
    <w:rPr>
      <w:rFonts w:ascii="Calibri" w:hAnsi="Calibri"/>
      <w:b/>
      <w:bCs/>
      <w:lang w:val="en-GB" w:eastAsia="en-US"/>
    </w:rPr>
  </w:style>
  <w:style w:type="character" w:styleId="Mention">
    <w:name w:val="Mention"/>
    <w:basedOn w:val="DefaultParagraphFont"/>
    <w:uiPriority w:val="99"/>
    <w:unhideWhenUsed/>
    <w:rsid w:val="00931D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T25-SG02-C-0145/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CL-C-0127/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hedocs.worldbank.org/en/doc/133c3304e29086819c1119fe8e85366b-0280012025/original/Gaza-RDNA-final-med.pdf" TargetMode="External"/><Relationship Id="rId2" Type="http://schemas.openxmlformats.org/officeDocument/2006/relationships/hyperlink" Target="https://thedocs.worldbank.org/en/doc/133c3304e29086819c1119fe8e85366b-0280012025/original/Gaza-RDNA-final-med.pdf" TargetMode="External"/><Relationship Id="rId1" Type="http://schemas.openxmlformats.org/officeDocument/2006/relationships/hyperlink" Target="https://thedocs.worldbank.org/en/doc/133c3304e29086819c1119fe8e85366b-0280012025/original/Gaza-RDNA-final-m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B9ED-0E6A-43A6-919F-6D743F2C4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3A355-019A-4A07-BEA3-C9D9B83CF43D}">
  <ds:schemaRefs>
    <ds:schemaRef ds:uri="http://schemas.microsoft.com/sharepoint/v3/contenttype/forms"/>
  </ds:schemaRefs>
</ds:datastoreItem>
</file>

<file path=customXml/itemProps3.xml><?xml version="1.0" encoding="utf-8"?>
<ds:datastoreItem xmlns:ds="http://schemas.openxmlformats.org/officeDocument/2006/customXml" ds:itemID="{B616E762-FC09-48DF-9B0F-1D39C510703A}">
  <ds:schemaRefs>
    <ds:schemaRef ds:uri="http://schemas.microsoft.com/office/2006/metadata/properties"/>
    <ds:schemaRef ds:uri="http://schemas.microsoft.com/office/infopath/2007/PartnerControls"/>
    <ds:schemaRef ds:uri="a4c22657-7647-457b-a399-8471255bb166"/>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1</TotalTime>
  <Pages>1</Pages>
  <Words>1785</Words>
  <Characters>10715</Characters>
  <Application>Microsoft Office Word</Application>
  <DocSecurity>0</DocSecurity>
  <Lines>184</Lines>
  <Paragraphs>73</Paragraphs>
  <ScaleCrop>false</ScaleCrop>
  <HeadingPairs>
    <vt:vector size="2" baseType="variant">
      <vt:variant>
        <vt:lpstr>Title</vt:lpstr>
      </vt:variant>
      <vt:variant>
        <vt:i4>1</vt:i4>
      </vt:variant>
    </vt:vector>
  </HeadingPairs>
  <TitlesOfParts>
    <vt:vector size="1" baseType="lpstr">
      <vt:lpstr>Status Report on assistance and support to Palestine</vt:lpstr>
    </vt:vector>
  </TitlesOfParts>
  <Manager>General Secretariat</Manager>
  <Company>International Telecommunication Union (ITU)</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on assistance and support to Palestine</dc:title>
  <dc:subject>ITU Council 2026</dc:subject>
  <dc:creator>De La Rosa Trivino, Maria Dolores</dc:creator>
  <cp:keywords>C26; C2026; Council 2026; PP26</cp:keywords>
  <dc:description/>
  <cp:lastModifiedBy>GBS-LRT</cp:lastModifiedBy>
  <cp:revision>3</cp:revision>
  <cp:lastPrinted>2000-07-18T13:30:00Z</cp:lastPrinted>
  <dcterms:created xsi:type="dcterms:W3CDTF">2026-03-31T07:27:00Z</dcterms:created>
  <dcterms:modified xsi:type="dcterms:W3CDTF">2026-03-31T07:27:00Z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