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000163" w:rsidRPr="00C0458D" w14:paraId="547A06E8" w14:textId="77777777" w:rsidTr="00954C49">
        <w:trPr>
          <w:cantSplit/>
          <w:trHeight w:val="23"/>
        </w:trPr>
        <w:tc>
          <w:tcPr>
            <w:tcW w:w="3969" w:type="dxa"/>
            <w:vMerge w:val="restart"/>
            <w:tcMar>
              <w:left w:w="0" w:type="dxa"/>
            </w:tcMar>
          </w:tcPr>
          <w:p w14:paraId="7221E19B" w14:textId="77777777" w:rsidR="00000163" w:rsidRPr="00C0458D" w:rsidRDefault="00000163" w:rsidP="00954C49">
            <w:pPr>
              <w:tabs>
                <w:tab w:val="left" w:pos="851"/>
              </w:tabs>
              <w:spacing w:before="0" w:line="240" w:lineRule="atLeast"/>
              <w:rPr>
                <w:b/>
                <w:lang w:eastAsia="zh-CN"/>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rFonts w:hint="eastAsia"/>
                <w:b/>
                <w:lang w:eastAsia="zh-CN"/>
              </w:rPr>
              <w:t>议项：</w:t>
            </w:r>
            <w:r>
              <w:rPr>
                <w:rFonts w:hint="eastAsia"/>
                <w:b/>
                <w:lang w:eastAsia="zh-CN"/>
              </w:rPr>
              <w:t>PL-2</w:t>
            </w:r>
          </w:p>
        </w:tc>
        <w:tc>
          <w:tcPr>
            <w:tcW w:w="5245" w:type="dxa"/>
          </w:tcPr>
          <w:p w14:paraId="18D8E947" w14:textId="1FB04186" w:rsidR="00000163" w:rsidRPr="00C0458D" w:rsidRDefault="00000163" w:rsidP="00954C49">
            <w:pPr>
              <w:tabs>
                <w:tab w:val="left" w:pos="851"/>
              </w:tabs>
              <w:spacing w:before="0" w:line="240" w:lineRule="atLeast"/>
              <w:jc w:val="right"/>
              <w:rPr>
                <w:b/>
                <w:lang w:eastAsia="zh-CN"/>
              </w:rPr>
            </w:pPr>
            <w:r>
              <w:rPr>
                <w:rFonts w:hint="eastAsia"/>
                <w:b/>
                <w:lang w:eastAsia="zh-CN"/>
              </w:rPr>
              <w:t>文件</w:t>
            </w:r>
            <w:r w:rsidRPr="00C0458D">
              <w:rPr>
                <w:rFonts w:hint="eastAsia"/>
                <w:b/>
                <w:lang w:eastAsia="zh-CN"/>
              </w:rPr>
              <w:t xml:space="preserve"> C2</w:t>
            </w:r>
            <w:r>
              <w:rPr>
                <w:rFonts w:hint="eastAsia"/>
                <w:b/>
                <w:lang w:eastAsia="zh-CN"/>
              </w:rPr>
              <w:t>6</w:t>
            </w:r>
            <w:r w:rsidRPr="00C0458D">
              <w:rPr>
                <w:rFonts w:hint="eastAsia"/>
                <w:b/>
                <w:lang w:eastAsia="zh-CN"/>
              </w:rPr>
              <w:t>/</w:t>
            </w:r>
            <w:r w:rsidR="00187A07">
              <w:rPr>
                <w:b/>
                <w:lang w:eastAsia="zh-CN"/>
              </w:rPr>
              <w:t>69</w:t>
            </w:r>
            <w:r w:rsidRPr="00C0458D">
              <w:rPr>
                <w:rFonts w:hint="eastAsia"/>
                <w:b/>
                <w:lang w:eastAsia="zh-CN"/>
              </w:rPr>
              <w:t>-</w:t>
            </w:r>
            <w:r>
              <w:rPr>
                <w:rFonts w:hint="eastAsia"/>
                <w:b/>
                <w:lang w:eastAsia="zh-CN"/>
              </w:rPr>
              <w:t>C</w:t>
            </w:r>
          </w:p>
        </w:tc>
      </w:tr>
      <w:tr w:rsidR="00000163" w:rsidRPr="00C0458D" w14:paraId="46D88DBE" w14:textId="77777777" w:rsidTr="00954C49">
        <w:trPr>
          <w:cantSplit/>
        </w:trPr>
        <w:tc>
          <w:tcPr>
            <w:tcW w:w="3969" w:type="dxa"/>
            <w:vMerge/>
          </w:tcPr>
          <w:p w14:paraId="6867E25F" w14:textId="77777777" w:rsidR="00000163" w:rsidRPr="00C0458D" w:rsidRDefault="00000163" w:rsidP="00954C49">
            <w:pPr>
              <w:tabs>
                <w:tab w:val="left" w:pos="851"/>
              </w:tabs>
              <w:spacing w:line="240" w:lineRule="atLeast"/>
              <w:rPr>
                <w:b/>
                <w:lang w:eastAsia="zh-CN"/>
              </w:rPr>
            </w:pPr>
            <w:bookmarkStart w:id="6" w:name="ddate" w:colFirst="1" w:colLast="1"/>
            <w:bookmarkEnd w:id="0"/>
            <w:bookmarkEnd w:id="1"/>
          </w:p>
        </w:tc>
        <w:tc>
          <w:tcPr>
            <w:tcW w:w="5245" w:type="dxa"/>
          </w:tcPr>
          <w:p w14:paraId="74644C85" w14:textId="48EFA5E0" w:rsidR="00000163" w:rsidRPr="00C0458D" w:rsidRDefault="00000163" w:rsidP="00954C49">
            <w:pPr>
              <w:tabs>
                <w:tab w:val="left" w:pos="851"/>
              </w:tabs>
              <w:spacing w:before="0"/>
              <w:jc w:val="right"/>
              <w:rPr>
                <w:b/>
                <w:lang w:eastAsia="zh-CN"/>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sidR="00187A07">
              <w:rPr>
                <w:b/>
                <w:lang w:eastAsia="zh-CN"/>
              </w:rPr>
              <w:t>30</w:t>
            </w:r>
            <w:r>
              <w:rPr>
                <w:rFonts w:hint="eastAsia"/>
                <w:b/>
                <w:lang w:eastAsia="zh-CN"/>
              </w:rPr>
              <w:t>日</w:t>
            </w:r>
          </w:p>
        </w:tc>
      </w:tr>
      <w:tr w:rsidR="00000163" w:rsidRPr="00C0458D" w14:paraId="5A1050EA" w14:textId="77777777" w:rsidTr="00954C49">
        <w:trPr>
          <w:cantSplit/>
          <w:trHeight w:val="23"/>
        </w:trPr>
        <w:tc>
          <w:tcPr>
            <w:tcW w:w="3969" w:type="dxa"/>
            <w:vMerge/>
          </w:tcPr>
          <w:p w14:paraId="7CC27C6D" w14:textId="77777777" w:rsidR="00000163" w:rsidRPr="00C0458D" w:rsidRDefault="00000163" w:rsidP="00954C49">
            <w:pPr>
              <w:tabs>
                <w:tab w:val="left" w:pos="851"/>
              </w:tabs>
              <w:spacing w:line="240" w:lineRule="atLeast"/>
              <w:rPr>
                <w:b/>
                <w:lang w:eastAsia="zh-CN"/>
              </w:rPr>
            </w:pPr>
            <w:bookmarkStart w:id="7" w:name="dorlang" w:colFirst="1" w:colLast="1"/>
            <w:bookmarkEnd w:id="6"/>
          </w:p>
        </w:tc>
        <w:tc>
          <w:tcPr>
            <w:tcW w:w="5245" w:type="dxa"/>
          </w:tcPr>
          <w:p w14:paraId="4C2C4999" w14:textId="77777777" w:rsidR="00000163" w:rsidRPr="00C0458D" w:rsidRDefault="00000163" w:rsidP="00954C49">
            <w:pPr>
              <w:tabs>
                <w:tab w:val="left" w:pos="851"/>
              </w:tabs>
              <w:spacing w:before="0" w:line="240" w:lineRule="atLeast"/>
              <w:jc w:val="right"/>
              <w:rPr>
                <w:b/>
                <w:lang w:eastAsia="zh-CN"/>
              </w:rPr>
            </w:pPr>
            <w:r>
              <w:rPr>
                <w:rFonts w:hint="eastAsia"/>
                <w:b/>
                <w:lang w:eastAsia="zh-CN"/>
              </w:rPr>
              <w:t>原文：英文</w:t>
            </w:r>
          </w:p>
        </w:tc>
      </w:tr>
      <w:tr w:rsidR="00000163" w:rsidRPr="00C0458D" w14:paraId="2719E5E1" w14:textId="77777777" w:rsidTr="00954C49">
        <w:trPr>
          <w:cantSplit/>
          <w:trHeight w:val="23"/>
        </w:trPr>
        <w:tc>
          <w:tcPr>
            <w:tcW w:w="3969" w:type="dxa"/>
          </w:tcPr>
          <w:p w14:paraId="3EFD1526" w14:textId="77777777" w:rsidR="00000163" w:rsidRPr="00C0458D" w:rsidRDefault="00000163" w:rsidP="00954C49">
            <w:pPr>
              <w:tabs>
                <w:tab w:val="left" w:pos="851"/>
              </w:tabs>
              <w:spacing w:line="240" w:lineRule="atLeast"/>
              <w:rPr>
                <w:b/>
                <w:lang w:eastAsia="zh-CN"/>
              </w:rPr>
            </w:pPr>
          </w:p>
        </w:tc>
        <w:tc>
          <w:tcPr>
            <w:tcW w:w="5245" w:type="dxa"/>
          </w:tcPr>
          <w:p w14:paraId="0E211B1D" w14:textId="77777777" w:rsidR="00000163" w:rsidRPr="00C0458D" w:rsidRDefault="00000163" w:rsidP="00954C49">
            <w:pPr>
              <w:tabs>
                <w:tab w:val="left" w:pos="851"/>
              </w:tabs>
              <w:spacing w:before="0" w:line="240" w:lineRule="atLeast"/>
              <w:jc w:val="right"/>
              <w:rPr>
                <w:b/>
                <w:lang w:eastAsia="zh-CN"/>
              </w:rPr>
            </w:pPr>
          </w:p>
        </w:tc>
      </w:tr>
      <w:tr w:rsidR="00000163" w:rsidRPr="00C0458D" w14:paraId="0BF1B361" w14:textId="77777777" w:rsidTr="00954C49">
        <w:trPr>
          <w:cantSplit/>
        </w:trPr>
        <w:tc>
          <w:tcPr>
            <w:tcW w:w="9214" w:type="dxa"/>
            <w:gridSpan w:val="2"/>
            <w:tcMar>
              <w:left w:w="0" w:type="dxa"/>
            </w:tcMar>
          </w:tcPr>
          <w:p w14:paraId="2794A103" w14:textId="77777777" w:rsidR="00000163" w:rsidRPr="00C0458D" w:rsidRDefault="00000163" w:rsidP="00954C49">
            <w:pPr>
              <w:pStyle w:val="Source"/>
              <w:framePr w:hSpace="0" w:wrap="auto" w:vAnchor="margin" w:hAnchor="text" w:yAlign="inline"/>
              <w:rPr>
                <w:lang w:eastAsia="zh-CN"/>
              </w:rPr>
            </w:pPr>
            <w:bookmarkStart w:id="8" w:name="dsource" w:colFirst="0" w:colLast="0"/>
            <w:bookmarkEnd w:id="7"/>
            <w:r>
              <w:rPr>
                <w:rFonts w:hint="eastAsia"/>
                <w:lang w:eastAsia="zh-CN"/>
              </w:rPr>
              <w:t>秘书长的报告</w:t>
            </w:r>
          </w:p>
        </w:tc>
      </w:tr>
      <w:tr w:rsidR="00000163" w:rsidRPr="00E82E09" w14:paraId="5E884DA6" w14:textId="77777777" w:rsidTr="00954C49">
        <w:trPr>
          <w:cantSplit/>
        </w:trPr>
        <w:tc>
          <w:tcPr>
            <w:tcW w:w="9214" w:type="dxa"/>
            <w:gridSpan w:val="2"/>
            <w:tcMar>
              <w:left w:w="0" w:type="dxa"/>
            </w:tcMar>
          </w:tcPr>
          <w:p w14:paraId="527B480F" w14:textId="4DA4B09F" w:rsidR="00000163" w:rsidRPr="00E82E09" w:rsidRDefault="00187A07" w:rsidP="00954C49">
            <w:pPr>
              <w:pStyle w:val="Subtitle"/>
              <w:framePr w:hSpace="0" w:wrap="auto" w:hAnchor="text" w:xAlign="left" w:yAlign="inline"/>
              <w:rPr>
                <w:rFonts w:eastAsia="SimSun" w:cs="Calibri"/>
                <w:sz w:val="34"/>
                <w:szCs w:val="34"/>
                <w:lang w:eastAsia="zh-CN"/>
              </w:rPr>
            </w:pPr>
            <w:bookmarkStart w:id="9" w:name="dtitle1" w:colFirst="0" w:colLast="0"/>
            <w:bookmarkEnd w:id="8"/>
            <w:r w:rsidRPr="00E82E09">
              <w:rPr>
                <w:rFonts w:eastAsia="SimSun" w:cs="Calibri"/>
                <w:color w:val="000000"/>
                <w:lang w:val="zh-CN" w:eastAsia="zh-CN"/>
              </w:rPr>
              <w:t>有关向巴勒斯坦提供援助和支持的情况报告</w:t>
            </w:r>
          </w:p>
        </w:tc>
      </w:tr>
      <w:tr w:rsidR="00000163" w:rsidRPr="00E82E09" w14:paraId="7D8B65CC" w14:textId="77777777" w:rsidTr="00954C49">
        <w:trPr>
          <w:cantSplit/>
        </w:trPr>
        <w:tc>
          <w:tcPr>
            <w:tcW w:w="9214" w:type="dxa"/>
            <w:gridSpan w:val="2"/>
            <w:tcBorders>
              <w:top w:val="single" w:sz="4" w:space="0" w:color="auto"/>
              <w:bottom w:val="single" w:sz="4" w:space="0" w:color="auto"/>
            </w:tcBorders>
            <w:tcMar>
              <w:left w:w="0" w:type="dxa"/>
            </w:tcMar>
          </w:tcPr>
          <w:p w14:paraId="2E17D038" w14:textId="6E96019B" w:rsidR="00000163" w:rsidRPr="003A6F5C" w:rsidRDefault="00000163" w:rsidP="00954C49">
            <w:pPr>
              <w:spacing w:before="160"/>
              <w:rPr>
                <w:rFonts w:eastAsia="SimSun" w:cs="Calibri"/>
                <w:b/>
                <w:bCs/>
                <w:sz w:val="26"/>
                <w:szCs w:val="26"/>
                <w:lang w:eastAsia="zh-CN"/>
              </w:rPr>
            </w:pPr>
            <w:r w:rsidRPr="003A6F5C">
              <w:rPr>
                <w:rFonts w:eastAsia="SimSun" w:cs="Calibri" w:hint="eastAsia"/>
                <w:b/>
                <w:bCs/>
                <w:sz w:val="26"/>
                <w:szCs w:val="26"/>
                <w:lang w:eastAsia="zh-CN"/>
              </w:rPr>
              <w:t>目的</w:t>
            </w:r>
          </w:p>
          <w:p w14:paraId="433C6C6E" w14:textId="77777777" w:rsidR="00187A07" w:rsidRPr="003A6F5C" w:rsidRDefault="00187A07" w:rsidP="009F5E91">
            <w:pPr>
              <w:spacing w:before="160"/>
              <w:ind w:firstLineChars="200" w:firstLine="480"/>
              <w:rPr>
                <w:rFonts w:eastAsia="SimSun" w:cs="Calibri"/>
                <w:color w:val="000000"/>
                <w:lang w:val="en-US" w:eastAsia="zh-CN"/>
              </w:rPr>
            </w:pPr>
            <w:r w:rsidRPr="003A6F5C">
              <w:rPr>
                <w:rFonts w:eastAsia="SimSun" w:cs="Calibri"/>
                <w:color w:val="000000"/>
                <w:lang w:val="zh-CN" w:eastAsia="zh-CN"/>
              </w:rPr>
              <w:t>本文件报告了理事会第</w:t>
            </w:r>
            <w:r w:rsidRPr="003A6F5C">
              <w:rPr>
                <w:rFonts w:eastAsia="SimSun" w:cs="Calibri"/>
                <w:color w:val="000000"/>
                <w:lang w:val="zh-CN" w:eastAsia="zh-CN"/>
              </w:rPr>
              <w:t>1424</w:t>
            </w:r>
            <w:r w:rsidRPr="003A6F5C">
              <w:rPr>
                <w:rFonts w:eastAsia="SimSun" w:cs="Calibri"/>
                <w:color w:val="000000"/>
                <w:lang w:val="zh-CN" w:eastAsia="zh-CN"/>
              </w:rPr>
              <w:t>号决议的落实情况。</w:t>
            </w:r>
          </w:p>
          <w:p w14:paraId="0A060381" w14:textId="4481D104" w:rsidR="00000163" w:rsidRPr="003A6F5C" w:rsidRDefault="009B784E" w:rsidP="00954C49">
            <w:pPr>
              <w:spacing w:before="160"/>
              <w:rPr>
                <w:rFonts w:eastAsia="SimSun" w:cs="Calibri"/>
                <w:b/>
                <w:bCs/>
                <w:sz w:val="26"/>
                <w:szCs w:val="26"/>
                <w:lang w:eastAsia="zh-CN"/>
              </w:rPr>
            </w:pPr>
            <w:r w:rsidRPr="003A6F5C">
              <w:rPr>
                <w:rFonts w:eastAsia="SimSun" w:cs="Calibri" w:hint="eastAsia"/>
                <w:b/>
                <w:bCs/>
                <w:sz w:val="26"/>
                <w:szCs w:val="26"/>
                <w:lang w:eastAsia="zh-CN"/>
              </w:rPr>
              <w:t>理事会需采取的行动</w:t>
            </w:r>
          </w:p>
          <w:p w14:paraId="23C13200" w14:textId="5894F817" w:rsidR="00000163" w:rsidRPr="003A6F5C" w:rsidRDefault="00187A07" w:rsidP="009B5D72">
            <w:pPr>
              <w:ind w:firstLineChars="200" w:firstLine="480"/>
              <w:jc w:val="both"/>
              <w:rPr>
                <w:rFonts w:eastAsia="SimSun" w:cs="Calibri"/>
                <w:lang w:eastAsia="zh-CN"/>
              </w:rPr>
            </w:pPr>
            <w:r w:rsidRPr="003A6F5C">
              <w:rPr>
                <w:rFonts w:eastAsia="SimSun" w:cs="Calibri"/>
                <w:color w:val="000000"/>
                <w:lang w:val="zh-CN" w:eastAsia="zh-CN"/>
              </w:rPr>
              <w:t>请理事会</w:t>
            </w:r>
            <w:r w:rsidRPr="003A6F5C">
              <w:rPr>
                <w:rFonts w:eastAsia="SimSun" w:cs="Calibri"/>
                <w:b/>
                <w:bCs/>
                <w:color w:val="000000"/>
                <w:lang w:val="zh-CN" w:eastAsia="zh-CN"/>
              </w:rPr>
              <w:t>审议</w:t>
            </w:r>
            <w:r w:rsidRPr="003A6F5C">
              <w:rPr>
                <w:rFonts w:eastAsia="SimSun" w:cs="Calibri"/>
                <w:color w:val="000000"/>
                <w:lang w:val="zh-CN" w:eastAsia="zh-CN"/>
              </w:rPr>
              <w:t>本报告。</w:t>
            </w:r>
          </w:p>
          <w:p w14:paraId="45A7DE13" w14:textId="4B1550D6" w:rsidR="00000163" w:rsidRPr="003A6F5C" w:rsidRDefault="009B784E" w:rsidP="00954C49">
            <w:pPr>
              <w:spacing w:before="160"/>
              <w:rPr>
                <w:rFonts w:eastAsia="SimSun" w:cs="Calibri"/>
                <w:b/>
                <w:bCs/>
                <w:sz w:val="26"/>
                <w:szCs w:val="26"/>
                <w:lang w:eastAsia="zh-CN"/>
              </w:rPr>
            </w:pPr>
            <w:r w:rsidRPr="003A6F5C">
              <w:rPr>
                <w:rFonts w:eastAsia="SimSun" w:cs="Calibri" w:hint="eastAsia"/>
                <w:b/>
                <w:bCs/>
                <w:sz w:val="26"/>
                <w:szCs w:val="26"/>
                <w:lang w:eastAsia="zh-CN"/>
              </w:rPr>
              <w:t>与《战略规划》的关联</w:t>
            </w:r>
          </w:p>
          <w:p w14:paraId="53FF61F5" w14:textId="15E59E9C" w:rsidR="00000163" w:rsidRPr="003A6F5C" w:rsidRDefault="009B784E" w:rsidP="009B5D72">
            <w:pPr>
              <w:ind w:firstLineChars="200" w:firstLine="480"/>
              <w:jc w:val="both"/>
              <w:rPr>
                <w:rFonts w:eastAsia="SimSun" w:cs="Calibri"/>
                <w:lang w:eastAsia="zh-CN"/>
              </w:rPr>
            </w:pPr>
            <w:r w:rsidRPr="003A6F5C">
              <w:rPr>
                <w:rFonts w:eastAsia="SimSun" w:cs="Calibri" w:hint="eastAsia"/>
                <w:lang w:eastAsia="zh-CN"/>
              </w:rPr>
              <w:t>提供技术援助。</w:t>
            </w:r>
          </w:p>
          <w:p w14:paraId="075DD2CB" w14:textId="29C0FEB5" w:rsidR="00000163" w:rsidRPr="003A6F5C" w:rsidRDefault="009B784E" w:rsidP="00954C49">
            <w:pPr>
              <w:spacing w:before="160"/>
              <w:rPr>
                <w:rFonts w:eastAsia="SimSun" w:cs="Calibri"/>
                <w:b/>
                <w:bCs/>
                <w:sz w:val="26"/>
                <w:szCs w:val="26"/>
                <w:lang w:eastAsia="zh-CN"/>
              </w:rPr>
            </w:pPr>
            <w:r w:rsidRPr="003A6F5C">
              <w:rPr>
                <w:rFonts w:eastAsia="SimSun" w:cs="Calibri" w:hint="eastAsia"/>
                <w:b/>
                <w:bCs/>
                <w:sz w:val="26"/>
                <w:szCs w:val="26"/>
                <w:lang w:eastAsia="zh-CN"/>
              </w:rPr>
              <w:t>财务影响</w:t>
            </w:r>
          </w:p>
          <w:p w14:paraId="356C609B" w14:textId="63178D65" w:rsidR="00000163" w:rsidRPr="003A6F5C" w:rsidRDefault="00187A07" w:rsidP="00BF47AA">
            <w:pPr>
              <w:ind w:firstLineChars="200" w:firstLine="480"/>
              <w:jc w:val="both"/>
              <w:rPr>
                <w:rFonts w:eastAsia="SimSun" w:cs="Calibri"/>
                <w:szCs w:val="24"/>
                <w:lang w:eastAsia="zh-CN"/>
              </w:rPr>
            </w:pPr>
            <w:r w:rsidRPr="003A6F5C">
              <w:rPr>
                <w:rFonts w:eastAsia="SimSun" w:cs="Calibri" w:hint="eastAsia"/>
                <w:color w:val="000000"/>
                <w:lang w:val="zh-CN" w:eastAsia="zh-CN"/>
              </w:rPr>
              <w:t>在</w:t>
            </w:r>
            <w:r w:rsidRPr="003A6F5C">
              <w:rPr>
                <w:rFonts w:eastAsia="SimSun" w:cs="Calibri" w:hint="eastAsia"/>
                <w:color w:val="000000"/>
                <w:lang w:val="zh-CN" w:eastAsia="zh-CN"/>
              </w:rPr>
              <w:t>2024-2025</w:t>
            </w:r>
            <w:r w:rsidRPr="003A6F5C">
              <w:rPr>
                <w:rFonts w:eastAsia="SimSun" w:cs="Calibri" w:hint="eastAsia"/>
                <w:color w:val="000000"/>
                <w:lang w:val="zh-CN" w:eastAsia="zh-CN"/>
              </w:rPr>
              <w:t>年和</w:t>
            </w:r>
            <w:r w:rsidRPr="003A6F5C">
              <w:rPr>
                <w:rFonts w:eastAsia="SimSun" w:cs="Calibri" w:hint="eastAsia"/>
                <w:color w:val="000000"/>
                <w:lang w:val="zh-CN" w:eastAsia="zh-CN"/>
              </w:rPr>
              <w:t>2026-2027</w:t>
            </w:r>
            <w:r w:rsidRPr="003A6F5C">
              <w:rPr>
                <w:rFonts w:eastAsia="SimSun" w:cs="Calibri" w:hint="eastAsia"/>
                <w:color w:val="000000"/>
                <w:lang w:val="zh-CN" w:eastAsia="zh-CN"/>
              </w:rPr>
              <w:t>年划拨的预算范围内。</w:t>
            </w:r>
          </w:p>
          <w:p w14:paraId="19C2F041" w14:textId="77777777" w:rsidR="00000163" w:rsidRPr="003A6F5C" w:rsidRDefault="00000163" w:rsidP="00954C49">
            <w:pPr>
              <w:rPr>
                <w:rFonts w:eastAsia="SimSun" w:cs="Calibri"/>
                <w:lang w:eastAsia="zh-CN"/>
              </w:rPr>
            </w:pPr>
            <w:r w:rsidRPr="003A6F5C">
              <w:rPr>
                <w:rFonts w:eastAsia="SimSun" w:cs="Calibri" w:hint="eastAsia"/>
                <w:lang w:eastAsia="zh-CN"/>
              </w:rPr>
              <w:t>_______________</w:t>
            </w:r>
          </w:p>
          <w:p w14:paraId="6687AE33" w14:textId="70D8DC06" w:rsidR="00000163" w:rsidRPr="003A6F5C" w:rsidRDefault="009B784E" w:rsidP="00954C49">
            <w:pPr>
              <w:spacing w:before="160"/>
              <w:rPr>
                <w:rFonts w:eastAsia="SimSun" w:cs="Calibri"/>
                <w:b/>
                <w:bCs/>
                <w:sz w:val="26"/>
                <w:szCs w:val="26"/>
                <w:lang w:eastAsia="zh-CN"/>
              </w:rPr>
            </w:pPr>
            <w:r w:rsidRPr="003A6F5C">
              <w:rPr>
                <w:rFonts w:eastAsia="SimSun" w:cs="Calibri" w:hint="eastAsia"/>
                <w:b/>
                <w:bCs/>
                <w:sz w:val="26"/>
                <w:szCs w:val="26"/>
                <w:lang w:eastAsia="zh-CN"/>
              </w:rPr>
              <w:t>参考文件</w:t>
            </w:r>
          </w:p>
          <w:p w14:paraId="7E32CA64" w14:textId="395E7AC2" w:rsidR="00000163" w:rsidRPr="00E82E09" w:rsidRDefault="00187A07" w:rsidP="00945F10">
            <w:pPr>
              <w:spacing w:after="160"/>
              <w:rPr>
                <w:rFonts w:eastAsia="SimSun" w:cs="Calibri"/>
                <w:sz w:val="22"/>
                <w:szCs w:val="22"/>
                <w:lang w:eastAsia="zh-CN"/>
              </w:rPr>
            </w:pPr>
            <w:r w:rsidRPr="003A6F5C">
              <w:rPr>
                <w:rFonts w:ascii="STKaiti" w:eastAsia="STKaiti" w:hAnsi="STKaiti" w:cs="Calibri"/>
                <w:color w:val="000000"/>
                <w:lang w:val="zh-CN" w:eastAsia="zh-CN"/>
              </w:rPr>
              <w:t>理事会第</w:t>
            </w:r>
            <w:r w:rsidR="00EC0C15">
              <w:fldChar w:fldCharType="begin"/>
            </w:r>
            <w:r w:rsidR="00EC0C15">
              <w:rPr>
                <w:lang w:eastAsia="zh-CN"/>
              </w:rPr>
              <w:instrText>HYPERLINK "https://www.itu.int/md/S24-CL-C-0127/en"</w:instrText>
            </w:r>
            <w:r w:rsidR="00EC0C15">
              <w:fldChar w:fldCharType="separate"/>
            </w:r>
            <w:r w:rsidR="00EC0C15" w:rsidRPr="00E82E09">
              <w:rPr>
                <w:rStyle w:val="Hyperlink"/>
                <w:rFonts w:eastAsia="SimSun" w:cs="Calibri"/>
                <w:i/>
                <w:iCs/>
                <w:sz w:val="22"/>
                <w:szCs w:val="22"/>
                <w:lang w:eastAsia="zh-CN"/>
              </w:rPr>
              <w:t>1424</w:t>
            </w:r>
            <w:r w:rsidR="00EC0C15">
              <w:fldChar w:fldCharType="end"/>
            </w:r>
            <w:r w:rsidRPr="003A6F5C">
              <w:rPr>
                <w:rFonts w:ascii="STKaiti" w:eastAsia="STKaiti" w:hAnsi="STKaiti" w:cs="Calibri"/>
                <w:color w:val="000000"/>
                <w:lang w:val="zh-CN" w:eastAsia="zh-CN"/>
              </w:rPr>
              <w:t>号决议</w:t>
            </w:r>
            <w:r w:rsidRPr="00E82E09">
              <w:rPr>
                <w:rFonts w:eastAsia="SimSun" w:cs="Calibri"/>
                <w:color w:val="000000"/>
                <w:lang w:val="zh-CN" w:eastAsia="zh-CN"/>
              </w:rPr>
              <w:t>（</w:t>
            </w:r>
            <w:r w:rsidRPr="00E82E09">
              <w:rPr>
                <w:rFonts w:eastAsia="SimSun" w:cs="Calibri"/>
                <w:color w:val="000000"/>
                <w:lang w:val="zh-CN" w:eastAsia="zh-CN"/>
              </w:rPr>
              <w:t>C24</w:t>
            </w:r>
            <w:r w:rsidRPr="00E82E09">
              <w:rPr>
                <w:rFonts w:eastAsia="SimSun" w:cs="Calibri"/>
                <w:color w:val="000000"/>
                <w:lang w:val="zh-CN" w:eastAsia="zh-CN"/>
              </w:rPr>
              <w:t>）</w:t>
            </w:r>
          </w:p>
        </w:tc>
      </w:tr>
      <w:bookmarkEnd w:id="2"/>
      <w:bookmarkEnd w:id="9"/>
      <w:bookmarkEnd w:id="3"/>
      <w:bookmarkEnd w:id="4"/>
      <w:bookmarkEnd w:id="5"/>
    </w:tbl>
    <w:p w14:paraId="295792D3" w14:textId="77777777" w:rsidR="00803C09" w:rsidRDefault="00803C09" w:rsidP="00803C09">
      <w:pPr>
        <w:rPr>
          <w:lang w:val="zh-CN" w:eastAsia="zh-CN"/>
        </w:rPr>
      </w:pPr>
    </w:p>
    <w:p w14:paraId="1CF3C0D9" w14:textId="77777777" w:rsidR="00803C09" w:rsidRDefault="00803C09">
      <w:pPr>
        <w:tabs>
          <w:tab w:val="clear" w:pos="567"/>
          <w:tab w:val="clear" w:pos="1134"/>
          <w:tab w:val="clear" w:pos="1701"/>
          <w:tab w:val="clear" w:pos="2268"/>
          <w:tab w:val="clear" w:pos="2835"/>
        </w:tabs>
        <w:overflowPunct/>
        <w:autoSpaceDE/>
        <w:autoSpaceDN/>
        <w:adjustRightInd/>
        <w:spacing w:before="0"/>
        <w:textAlignment w:val="auto"/>
        <w:rPr>
          <w:rFonts w:eastAsia="SimSun" w:cs="Calibri"/>
          <w:b/>
          <w:bCs/>
          <w:lang w:val="zh-CN" w:eastAsia="zh-CN"/>
        </w:rPr>
      </w:pPr>
      <w:r>
        <w:rPr>
          <w:rFonts w:eastAsia="SimSun" w:cs="Calibri"/>
          <w:bCs/>
          <w:lang w:val="zh-CN" w:eastAsia="zh-CN"/>
        </w:rPr>
        <w:br w:type="page"/>
      </w:r>
    </w:p>
    <w:p w14:paraId="13A92CE5" w14:textId="1FA87741" w:rsidR="00187A07" w:rsidRPr="00E82E09" w:rsidRDefault="00187A07" w:rsidP="00976C8A">
      <w:pPr>
        <w:pStyle w:val="Headingb"/>
        <w:rPr>
          <w:rFonts w:eastAsia="SimSun" w:cs="Calibri"/>
          <w:lang w:eastAsia="zh-CN"/>
        </w:rPr>
      </w:pPr>
      <w:r w:rsidRPr="00E82E09">
        <w:rPr>
          <w:rFonts w:eastAsia="SimSun" w:cs="Calibri"/>
          <w:bCs/>
          <w:lang w:val="zh-CN" w:eastAsia="zh-CN"/>
        </w:rPr>
        <w:lastRenderedPageBreak/>
        <w:t>背景</w:t>
      </w:r>
    </w:p>
    <w:p w14:paraId="5C2BFBDF" w14:textId="77777777" w:rsidR="00187A07" w:rsidRPr="003A6F5C" w:rsidRDefault="00187A07" w:rsidP="00187A07">
      <w:pPr>
        <w:ind w:firstLineChars="200" w:firstLine="480"/>
        <w:rPr>
          <w:rFonts w:eastAsia="SimSun" w:cs="Calibri"/>
          <w:lang w:eastAsia="zh-CN"/>
        </w:rPr>
      </w:pPr>
      <w:r w:rsidRPr="003A6F5C">
        <w:rPr>
          <w:rFonts w:eastAsia="SimSun" w:cs="Calibri"/>
          <w:lang w:val="zh-CN" w:eastAsia="zh-CN"/>
        </w:rPr>
        <w:t>本文件报告了国际电联理事会第</w:t>
      </w:r>
      <w:r w:rsidRPr="003A6F5C">
        <w:rPr>
          <w:rFonts w:eastAsia="SimSun" w:cs="Calibri"/>
          <w:lang w:val="zh-CN" w:eastAsia="zh-CN"/>
        </w:rPr>
        <w:t>1424</w:t>
      </w:r>
      <w:r w:rsidRPr="003A6F5C">
        <w:rPr>
          <w:rFonts w:eastAsia="SimSun" w:cs="Calibri"/>
          <w:lang w:val="zh-CN" w:eastAsia="zh-CN"/>
        </w:rPr>
        <w:t>号决议（</w:t>
      </w:r>
      <w:r w:rsidRPr="003A6F5C">
        <w:rPr>
          <w:rFonts w:eastAsia="SimSun" w:cs="Calibri"/>
          <w:lang w:val="zh-CN" w:eastAsia="zh-CN"/>
        </w:rPr>
        <w:t>C24</w:t>
      </w:r>
      <w:r w:rsidRPr="003A6F5C">
        <w:rPr>
          <w:rFonts w:eastAsia="SimSun" w:cs="Calibri"/>
          <w:lang w:val="zh-CN" w:eastAsia="zh-CN"/>
        </w:rPr>
        <w:t>）的落实情况，该决议呼吁秘书长协调国际电联三个部门的活动，并就此事项向理事会</w:t>
      </w:r>
      <w:r w:rsidRPr="003A6F5C">
        <w:rPr>
          <w:rFonts w:eastAsia="SimSun" w:cs="Calibri"/>
          <w:lang w:val="zh-CN" w:eastAsia="zh-CN"/>
        </w:rPr>
        <w:t>2026</w:t>
      </w:r>
      <w:r w:rsidRPr="003A6F5C">
        <w:rPr>
          <w:rFonts w:eastAsia="SimSun" w:cs="Calibri"/>
          <w:lang w:val="zh-CN" w:eastAsia="zh-CN"/>
        </w:rPr>
        <w:t>年会议提交一份报告。</w:t>
      </w:r>
    </w:p>
    <w:p w14:paraId="1E6A7A12"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形势</w:t>
      </w:r>
    </w:p>
    <w:p w14:paraId="75D9D921" w14:textId="77777777" w:rsidR="00187A07" w:rsidRPr="003A6F5C" w:rsidRDefault="00187A07" w:rsidP="00187A07">
      <w:pPr>
        <w:ind w:firstLineChars="200" w:firstLine="480"/>
        <w:rPr>
          <w:rFonts w:eastAsia="SimSun" w:cs="Calibri"/>
          <w:lang w:eastAsia="zh-CN"/>
        </w:rPr>
      </w:pPr>
      <w:r w:rsidRPr="003A6F5C">
        <w:rPr>
          <w:rFonts w:eastAsia="SimSun" w:cs="Calibri"/>
          <w:lang w:val="zh-CN" w:eastAsia="zh-CN"/>
        </w:rPr>
        <w:t>根据应急通信集群的最新信息，巴勒斯坦的</w:t>
      </w:r>
      <w:r w:rsidRPr="003A6F5C">
        <w:rPr>
          <w:rFonts w:eastAsia="SimSun" w:cs="Calibri"/>
          <w:lang w:val="zh-CN" w:eastAsia="zh-CN"/>
        </w:rPr>
        <w:t>ICT</w:t>
      </w:r>
      <w:r w:rsidRPr="003A6F5C">
        <w:rPr>
          <w:rFonts w:eastAsia="SimSun" w:cs="Calibri"/>
          <w:lang w:val="zh-CN" w:eastAsia="zh-CN"/>
        </w:rPr>
        <w:t>行业持续面临重大的发展挑战和基础设施挑战，移动宽带受到的影响尤为严重。目前，由于燃料短缺、基础设施损坏、设备缺口和接入限制，连通水平依然极低，使电信服务的连续性面临重大风险。</w:t>
      </w:r>
    </w:p>
    <w:p w14:paraId="416BC9F7" w14:textId="233CAF77" w:rsidR="00187A07" w:rsidRPr="003A6F5C" w:rsidRDefault="00F070FA" w:rsidP="00187A07">
      <w:pPr>
        <w:ind w:firstLineChars="200" w:firstLine="480"/>
        <w:rPr>
          <w:rFonts w:eastAsia="SimSun" w:cs="Calibri"/>
          <w:lang w:eastAsia="zh-CN"/>
        </w:rPr>
      </w:pPr>
      <w:r w:rsidRPr="003A6F5C">
        <w:rPr>
          <w:rFonts w:eastAsia="SimSun" w:cs="Calibri"/>
          <w:lang w:val="zh-CN" w:eastAsia="zh-CN"/>
        </w:rPr>
        <w:t>根据世界银行的数据，</w:t>
      </w:r>
      <w:r w:rsidRPr="003A6F5C">
        <w:rPr>
          <w:rFonts w:eastAsia="SimSun" w:cs="Calibri"/>
          <w:lang w:val="zh-CN" w:eastAsia="zh-CN"/>
        </w:rPr>
        <w:t>ICT</w:t>
      </w:r>
      <w:r w:rsidRPr="003A6F5C">
        <w:rPr>
          <w:rFonts w:eastAsia="SimSun" w:cs="Calibri"/>
          <w:lang w:val="zh-CN" w:eastAsia="zh-CN"/>
        </w:rPr>
        <w:t>基础设施遭受的损害已达</w:t>
      </w:r>
      <w:r w:rsidRPr="003A6F5C">
        <w:rPr>
          <w:rFonts w:eastAsia="SimSun" w:cs="Calibri"/>
          <w:lang w:val="zh-CN" w:eastAsia="zh-CN"/>
        </w:rPr>
        <w:t>1.64</w:t>
      </w:r>
      <w:r w:rsidRPr="003A6F5C">
        <w:rPr>
          <w:rFonts w:eastAsia="SimSun" w:cs="Calibri"/>
          <w:lang w:val="zh-CN" w:eastAsia="zh-CN"/>
        </w:rPr>
        <w:t>亿美元</w:t>
      </w:r>
      <w:r w:rsidRPr="003A6F5C">
        <w:rPr>
          <w:rStyle w:val="FootnoteReference"/>
          <w:rFonts w:eastAsia="SimSun" w:cs="Calibri"/>
          <w:lang w:eastAsia="zh-CN"/>
        </w:rPr>
        <w:footnoteReference w:customMarkFollows="1" w:id="1"/>
        <w:t>1</w:t>
      </w:r>
      <w:r w:rsidRPr="003A6F5C">
        <w:rPr>
          <w:rFonts w:eastAsia="SimSun" w:cs="Calibri"/>
          <w:lang w:val="zh-CN" w:eastAsia="zh-CN"/>
        </w:rPr>
        <w:t>。据报告</w:t>
      </w:r>
      <w:r w:rsidRPr="003A6F5C">
        <w:rPr>
          <w:rFonts w:eastAsia="SimSun" w:cs="Calibri"/>
          <w:lang w:eastAsia="zh-CN"/>
        </w:rPr>
        <w:t>，</w:t>
      </w:r>
      <w:r w:rsidRPr="003A6F5C">
        <w:rPr>
          <w:rFonts w:eastAsia="SimSun" w:cs="Calibri"/>
          <w:lang w:val="zh-CN" w:eastAsia="zh-CN"/>
        </w:rPr>
        <w:t>在受影响的资产中</w:t>
      </w:r>
      <w:r w:rsidRPr="003A6F5C">
        <w:rPr>
          <w:rFonts w:eastAsia="SimSun" w:cs="Calibri"/>
          <w:lang w:eastAsia="zh-CN"/>
        </w:rPr>
        <w:t>，</w:t>
      </w:r>
      <w:r w:rsidRPr="003A6F5C">
        <w:rPr>
          <w:rFonts w:eastAsia="SimSun" w:cs="Calibri"/>
          <w:lang w:eastAsia="zh-CN"/>
        </w:rPr>
        <w:t>74%</w:t>
      </w:r>
      <w:r w:rsidRPr="003A6F5C">
        <w:rPr>
          <w:rFonts w:eastAsia="SimSun" w:cs="Calibri"/>
          <w:lang w:val="zh-CN" w:eastAsia="zh-CN"/>
        </w:rPr>
        <w:t>被毁</w:t>
      </w:r>
      <w:r w:rsidRPr="003A6F5C">
        <w:rPr>
          <w:rFonts w:eastAsia="SimSun" w:cs="Calibri"/>
          <w:lang w:eastAsia="zh-CN"/>
        </w:rPr>
        <w:t>，</w:t>
      </w:r>
      <w:r w:rsidRPr="003A6F5C">
        <w:rPr>
          <w:rFonts w:eastAsia="SimSun" w:cs="Calibri"/>
          <w:lang w:eastAsia="zh-CN"/>
        </w:rPr>
        <w:t>16%</w:t>
      </w:r>
      <w:r w:rsidRPr="003A6F5C">
        <w:rPr>
          <w:rFonts w:eastAsia="SimSun" w:cs="Calibri"/>
          <w:lang w:val="zh-CN" w:eastAsia="zh-CN"/>
        </w:rPr>
        <w:t>部分受损</w:t>
      </w:r>
      <w:r w:rsidRPr="003A6F5C">
        <w:rPr>
          <w:rFonts w:eastAsia="SimSun" w:cs="Calibri"/>
          <w:lang w:eastAsia="zh-CN"/>
        </w:rPr>
        <w:t>，</w:t>
      </w:r>
      <w:r w:rsidRPr="003A6F5C">
        <w:rPr>
          <w:rFonts w:eastAsia="SimSun" w:cs="Calibri"/>
          <w:lang w:eastAsia="zh-CN"/>
        </w:rPr>
        <w:t>10%</w:t>
      </w:r>
      <w:r w:rsidRPr="003A6F5C">
        <w:rPr>
          <w:rFonts w:eastAsia="SimSun" w:cs="Calibri"/>
          <w:lang w:val="zh-CN" w:eastAsia="zh-CN"/>
        </w:rPr>
        <w:t>受轻微影响</w:t>
      </w:r>
      <w:r w:rsidRPr="003A6F5C">
        <w:rPr>
          <w:rStyle w:val="FootnoteReference"/>
          <w:rFonts w:eastAsia="SimSun" w:cs="Calibri"/>
          <w:lang w:eastAsia="zh-CN"/>
        </w:rPr>
        <w:footnoteReference w:customMarkFollows="1" w:id="2"/>
        <w:t>2</w:t>
      </w:r>
      <w:r w:rsidRPr="003A6F5C">
        <w:rPr>
          <w:rFonts w:eastAsia="SimSun" w:cs="Calibri"/>
          <w:lang w:val="zh-CN" w:eastAsia="zh-CN"/>
        </w:rPr>
        <w:t>。此外，世界银行预计，重建和恢复需要</w:t>
      </w:r>
      <w:r w:rsidRPr="003A6F5C">
        <w:rPr>
          <w:rFonts w:eastAsia="SimSun" w:cs="Calibri"/>
          <w:lang w:val="zh-CN" w:eastAsia="zh-CN"/>
        </w:rPr>
        <w:t>4.6</w:t>
      </w:r>
      <w:r w:rsidRPr="003A6F5C">
        <w:rPr>
          <w:rFonts w:eastAsia="SimSun" w:cs="Calibri"/>
          <w:lang w:val="zh-CN" w:eastAsia="zh-CN"/>
        </w:rPr>
        <w:t>亿美元，其中</w:t>
      </w:r>
      <w:r w:rsidRPr="003A6F5C">
        <w:rPr>
          <w:rFonts w:eastAsia="SimSun" w:cs="Calibri"/>
          <w:lang w:val="zh-CN" w:eastAsia="zh-CN"/>
        </w:rPr>
        <w:t>1.16</w:t>
      </w:r>
      <w:r w:rsidRPr="003A6F5C">
        <w:rPr>
          <w:rFonts w:eastAsia="SimSun" w:cs="Calibri"/>
          <w:lang w:val="zh-CN" w:eastAsia="zh-CN"/>
        </w:rPr>
        <w:t>亿美元用于立即修复移动铁塔、光纤</w:t>
      </w:r>
      <w:r w:rsidRPr="003A6F5C">
        <w:rPr>
          <w:rFonts w:eastAsia="SimSun" w:cs="Calibri" w:hint="eastAsia"/>
          <w:lang w:val="zh-CN" w:eastAsia="zh-CN"/>
        </w:rPr>
        <w:t>网络</w:t>
      </w:r>
      <w:r w:rsidRPr="003A6F5C">
        <w:rPr>
          <w:rFonts w:eastAsia="SimSun" w:cs="Calibri"/>
          <w:lang w:val="zh-CN" w:eastAsia="zh-CN"/>
        </w:rPr>
        <w:t>和基本服务，</w:t>
      </w:r>
      <w:r w:rsidRPr="003A6F5C">
        <w:rPr>
          <w:rFonts w:eastAsia="SimSun" w:cs="Calibri"/>
          <w:lang w:val="zh-CN" w:eastAsia="zh-CN"/>
        </w:rPr>
        <w:t>3.44</w:t>
      </w:r>
      <w:r w:rsidRPr="003A6F5C">
        <w:rPr>
          <w:rFonts w:eastAsia="SimSun" w:cs="Calibri"/>
          <w:lang w:val="zh-CN" w:eastAsia="zh-CN"/>
        </w:rPr>
        <w:t>亿美元用于长期的复原力建设和重建工作</w:t>
      </w:r>
      <w:r w:rsidRPr="003A6F5C">
        <w:rPr>
          <w:rStyle w:val="FootnoteReference"/>
          <w:rFonts w:eastAsia="SimSun" w:cs="Calibri"/>
          <w:lang w:eastAsia="zh-CN"/>
        </w:rPr>
        <w:footnoteReference w:customMarkFollows="1" w:id="3"/>
        <w:t>3</w:t>
      </w:r>
      <w:r w:rsidRPr="003A6F5C">
        <w:rPr>
          <w:rFonts w:eastAsia="SimSun" w:cs="Calibri"/>
          <w:lang w:val="zh-CN" w:eastAsia="zh-CN"/>
        </w:rPr>
        <w:t>。</w:t>
      </w:r>
      <w:r w:rsidR="00187A07" w:rsidRPr="003A6F5C">
        <w:rPr>
          <w:rFonts w:eastAsia="SimSun" w:cs="Calibri"/>
          <w:lang w:val="zh-CN" w:eastAsia="zh-CN"/>
        </w:rPr>
        <w:t>电信行业一直面临的挑战包括备件</w:t>
      </w:r>
      <w:r w:rsidR="00187A07" w:rsidRPr="003A6F5C">
        <w:rPr>
          <w:rFonts w:eastAsia="SimSun" w:cs="Calibri" w:hint="eastAsia"/>
          <w:lang w:val="zh-CN" w:eastAsia="zh-CN"/>
        </w:rPr>
        <w:t>供应不足</w:t>
      </w:r>
      <w:r w:rsidR="00187A07" w:rsidRPr="003A6F5C">
        <w:rPr>
          <w:rFonts w:eastAsia="SimSun" w:cs="Calibri"/>
          <w:lang w:val="zh-CN" w:eastAsia="zh-CN"/>
        </w:rPr>
        <w:t>和持续的燃料短缺，这</w:t>
      </w:r>
      <w:r w:rsidR="00187A07" w:rsidRPr="003A6F5C">
        <w:rPr>
          <w:rFonts w:eastAsia="SimSun" w:cs="Calibri" w:hint="eastAsia"/>
          <w:lang w:val="zh-CN" w:eastAsia="zh-CN"/>
        </w:rPr>
        <w:t>两者</w:t>
      </w:r>
      <w:r w:rsidR="00187A07" w:rsidRPr="003A6F5C">
        <w:rPr>
          <w:rFonts w:eastAsia="SimSun" w:cs="Calibri"/>
          <w:lang w:val="zh-CN" w:eastAsia="zh-CN"/>
        </w:rPr>
        <w:t>对于铁塔和备用系统的运行至关重要。</w:t>
      </w:r>
    </w:p>
    <w:p w14:paraId="5F2FCFB0" w14:textId="77777777" w:rsidR="00187A07" w:rsidRPr="003A6F5C" w:rsidRDefault="00187A07" w:rsidP="00187A07">
      <w:pPr>
        <w:ind w:firstLineChars="200" w:firstLine="480"/>
        <w:rPr>
          <w:rFonts w:eastAsia="SimSun" w:cs="Calibri"/>
          <w:lang w:eastAsia="zh-CN"/>
        </w:rPr>
      </w:pPr>
      <w:r w:rsidRPr="003A6F5C">
        <w:rPr>
          <w:rFonts w:eastAsia="SimSun" w:cs="Calibri"/>
          <w:lang w:val="zh-CN" w:eastAsia="zh-CN"/>
        </w:rPr>
        <w:t>理事会</w:t>
      </w:r>
      <w:r w:rsidRPr="003A6F5C">
        <w:rPr>
          <w:rFonts w:eastAsia="SimSun" w:cs="Calibri"/>
          <w:lang w:val="zh-CN" w:eastAsia="zh-CN"/>
        </w:rPr>
        <w:t>2025</w:t>
      </w:r>
      <w:r w:rsidRPr="003A6F5C">
        <w:rPr>
          <w:rFonts w:eastAsia="SimSun" w:cs="Calibri"/>
          <w:lang w:val="zh-CN" w:eastAsia="zh-CN"/>
        </w:rPr>
        <w:t>年会议授权秘书长为该决议制定具体的实施计划和时间表，并向理事会下届会议报告进展情况。此外，巴勒斯坦国提交了</w:t>
      </w:r>
      <w:r w:rsidRPr="003A6F5C">
        <w:rPr>
          <w:rFonts w:eastAsia="SimSun" w:cs="Calibri" w:hint="eastAsia"/>
          <w:lang w:val="zh-CN" w:eastAsia="zh-CN"/>
        </w:rPr>
        <w:t>多项</w:t>
      </w:r>
      <w:r w:rsidRPr="003A6F5C">
        <w:rPr>
          <w:rFonts w:eastAsia="SimSun" w:cs="Calibri"/>
          <w:lang w:val="zh-CN" w:eastAsia="zh-CN"/>
        </w:rPr>
        <w:t>支持请求。</w:t>
      </w:r>
    </w:p>
    <w:p w14:paraId="483F6D4D"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国际电联采取的行动</w:t>
      </w:r>
    </w:p>
    <w:p w14:paraId="4450FF0F" w14:textId="77777777" w:rsidR="00187A07" w:rsidRPr="003A6F5C" w:rsidRDefault="00187A07" w:rsidP="00187A07">
      <w:pPr>
        <w:ind w:firstLineChars="200" w:firstLine="480"/>
        <w:rPr>
          <w:rFonts w:eastAsia="SimSun" w:cs="Calibri"/>
          <w:lang w:eastAsia="zh-CN"/>
        </w:rPr>
      </w:pPr>
      <w:r w:rsidRPr="003A6F5C">
        <w:rPr>
          <w:rFonts w:eastAsia="SimSun" w:cs="Calibri"/>
          <w:lang w:val="zh-CN" w:eastAsia="zh-CN"/>
        </w:rPr>
        <w:t>过去一年来，国际电联继续努力推进该决议的落实工作，在以下领域取得了进展：</w:t>
      </w:r>
    </w:p>
    <w:p w14:paraId="7255C55A"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1</w:t>
      </w:r>
      <w:r w:rsidRPr="003A6F5C">
        <w:rPr>
          <w:rFonts w:eastAsia="SimSun" w:cs="Calibri"/>
          <w:bCs/>
          <w:lang w:val="zh-CN" w:eastAsia="zh-CN"/>
        </w:rPr>
        <w:tab/>
      </w:r>
      <w:r w:rsidRPr="003A6F5C">
        <w:rPr>
          <w:rFonts w:eastAsia="SimSun" w:cs="Calibri"/>
          <w:bCs/>
          <w:lang w:val="zh-CN" w:eastAsia="zh-CN"/>
        </w:rPr>
        <w:t>协调</w:t>
      </w:r>
    </w:p>
    <w:p w14:paraId="5F8104E8"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成立了一个跨部门任务组，以确保第</w:t>
      </w:r>
      <w:r w:rsidRPr="003A6F5C">
        <w:rPr>
          <w:rFonts w:eastAsia="SimSun" w:cs="Calibri"/>
          <w:lang w:val="zh-CN" w:eastAsia="zh-CN"/>
        </w:rPr>
        <w:t>1424</w:t>
      </w:r>
      <w:r w:rsidRPr="003A6F5C">
        <w:rPr>
          <w:rFonts w:eastAsia="SimSun" w:cs="Calibri"/>
          <w:lang w:val="zh-CN" w:eastAsia="zh-CN"/>
        </w:rPr>
        <w:t>号决议在整个国际电联的落实具有协调性和有效性。任务组重点关注三个主要目标：</w:t>
      </w:r>
    </w:p>
    <w:p w14:paraId="73A611D1" w14:textId="77777777" w:rsidR="00187A07" w:rsidRPr="003A6F5C" w:rsidRDefault="00187A07" w:rsidP="00187A07">
      <w:pPr>
        <w:pStyle w:val="enumlev2"/>
        <w:rPr>
          <w:rFonts w:eastAsia="SimSun" w:cs="Calibri"/>
          <w:lang w:eastAsia="zh-CN"/>
        </w:rPr>
      </w:pPr>
      <w:r w:rsidRPr="003A6F5C">
        <w:rPr>
          <w:rFonts w:eastAsia="SimSun" w:cs="Calibri"/>
          <w:lang w:val="zh-CN" w:eastAsia="zh-CN"/>
        </w:rPr>
        <w:t>i)</w:t>
      </w:r>
      <w:r w:rsidRPr="003A6F5C">
        <w:rPr>
          <w:rFonts w:eastAsia="SimSun" w:cs="Calibri"/>
          <w:lang w:val="zh-CN" w:eastAsia="zh-CN"/>
        </w:rPr>
        <w:tab/>
      </w:r>
      <w:r w:rsidRPr="003A6F5C">
        <w:rPr>
          <w:rFonts w:eastAsia="SimSun" w:cs="Calibri"/>
          <w:lang w:val="zh-CN" w:eastAsia="zh-CN"/>
        </w:rPr>
        <w:t>评估巴勒斯坦冲突对国际电联在该区域的项目和活动的影响；</w:t>
      </w:r>
    </w:p>
    <w:p w14:paraId="45068173" w14:textId="77777777" w:rsidR="00187A07" w:rsidRPr="003A6F5C" w:rsidRDefault="00187A07" w:rsidP="00187A07">
      <w:pPr>
        <w:pStyle w:val="enumlev2"/>
        <w:rPr>
          <w:rFonts w:eastAsia="SimSun" w:cs="Calibri"/>
          <w:lang w:eastAsia="zh-CN"/>
        </w:rPr>
      </w:pPr>
      <w:r w:rsidRPr="003A6F5C">
        <w:rPr>
          <w:rFonts w:eastAsia="SimSun" w:cs="Calibri"/>
          <w:lang w:val="zh-CN" w:eastAsia="zh-CN"/>
        </w:rPr>
        <w:t>ii)</w:t>
      </w:r>
      <w:r w:rsidRPr="003A6F5C">
        <w:rPr>
          <w:rFonts w:eastAsia="SimSun" w:cs="Calibri"/>
          <w:lang w:val="zh-CN" w:eastAsia="zh-CN"/>
        </w:rPr>
        <w:tab/>
      </w:r>
      <w:r w:rsidRPr="003A6F5C">
        <w:rPr>
          <w:rFonts w:eastAsia="SimSun" w:cs="Calibri"/>
          <w:lang w:val="zh-CN" w:eastAsia="zh-CN"/>
        </w:rPr>
        <w:t>调动必要的财务、技术和人力资源来支持恢复工作；及</w:t>
      </w:r>
    </w:p>
    <w:p w14:paraId="25A102CE" w14:textId="77777777" w:rsidR="00187A07" w:rsidRPr="003A6F5C" w:rsidRDefault="00187A07" w:rsidP="00187A07">
      <w:pPr>
        <w:pStyle w:val="enumlev2"/>
        <w:rPr>
          <w:rFonts w:eastAsia="SimSun" w:cs="Calibri"/>
          <w:lang w:eastAsia="zh-CN"/>
        </w:rPr>
      </w:pPr>
      <w:r w:rsidRPr="003A6F5C">
        <w:rPr>
          <w:rFonts w:eastAsia="SimSun" w:cs="Calibri"/>
          <w:lang w:val="zh-CN" w:eastAsia="zh-CN"/>
        </w:rPr>
        <w:t>iii)</w:t>
      </w:r>
      <w:r w:rsidRPr="003A6F5C">
        <w:rPr>
          <w:rFonts w:eastAsia="SimSun" w:cs="Calibri"/>
          <w:lang w:val="zh-CN" w:eastAsia="zh-CN"/>
        </w:rPr>
        <w:tab/>
      </w:r>
      <w:r w:rsidRPr="003A6F5C">
        <w:rPr>
          <w:rFonts w:eastAsia="SimSun" w:cs="Calibri"/>
          <w:lang w:val="zh-CN" w:eastAsia="zh-CN"/>
        </w:rPr>
        <w:t>跟踪和协调决议的落实进展，确保这项工作的透明度并与国际电联的总体目标保持一致。</w:t>
      </w:r>
    </w:p>
    <w:p w14:paraId="2CF54D23" w14:textId="77777777" w:rsidR="00187A07" w:rsidRPr="003A6F5C" w:rsidRDefault="00187A07" w:rsidP="00187A07">
      <w:pPr>
        <w:pStyle w:val="enumlev1"/>
        <w:rPr>
          <w:rFonts w:eastAsia="SimSun" w:cs="Calibri"/>
          <w:spacing w:val="-2"/>
          <w:lang w:eastAsia="zh-CN"/>
        </w:rPr>
      </w:pPr>
      <w:r w:rsidRPr="003A6F5C">
        <w:rPr>
          <w:rFonts w:eastAsia="SimSun" w:cs="Calibri"/>
          <w:lang w:val="zh-CN" w:eastAsia="zh-CN"/>
        </w:rPr>
        <w:tab/>
      </w:r>
      <w:r w:rsidRPr="003A6F5C">
        <w:rPr>
          <w:rFonts w:eastAsia="SimSun" w:cs="Calibri"/>
          <w:lang w:val="zh-CN" w:eastAsia="zh-CN"/>
        </w:rPr>
        <w:t>任务组由副秘书长主持，成员包括国际电联阿拉伯国家区域代表处主任和国际电联三大部门的代表。</w:t>
      </w:r>
    </w:p>
    <w:p w14:paraId="599D094F"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2</w:t>
      </w:r>
      <w:r w:rsidRPr="003A6F5C">
        <w:rPr>
          <w:rFonts w:eastAsia="SimSun" w:cs="Calibri"/>
          <w:bCs/>
          <w:lang w:val="zh-CN" w:eastAsia="zh-CN"/>
        </w:rPr>
        <w:tab/>
      </w:r>
      <w:r w:rsidRPr="003A6F5C">
        <w:rPr>
          <w:rFonts w:eastAsia="SimSun" w:cs="Calibri"/>
          <w:bCs/>
          <w:lang w:val="zh-CN" w:eastAsia="zh-CN"/>
        </w:rPr>
        <w:t>设立信托基金（</w:t>
      </w:r>
      <w:r w:rsidRPr="003A6F5C">
        <w:rPr>
          <w:rFonts w:eastAsia="SimSun" w:cs="Calibri"/>
          <w:bCs/>
          <w:lang w:val="zh-CN" w:eastAsia="zh-CN"/>
        </w:rPr>
        <w:t>FIT</w:t>
      </w:r>
      <w:r w:rsidRPr="003A6F5C">
        <w:rPr>
          <w:rFonts w:eastAsia="SimSun" w:cs="Calibri"/>
          <w:bCs/>
          <w:lang w:val="zh-CN" w:eastAsia="zh-CN"/>
        </w:rPr>
        <w:t>）</w:t>
      </w:r>
    </w:p>
    <w:p w14:paraId="787B147B"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根据国际电联理事会有关帮助和支持巴勒斯坦国重建其电信部门的第</w:t>
      </w:r>
      <w:r w:rsidRPr="003A6F5C">
        <w:rPr>
          <w:rFonts w:eastAsia="SimSun" w:cs="Calibri"/>
          <w:lang w:val="zh-CN" w:eastAsia="zh-CN"/>
        </w:rPr>
        <w:t>1424</w:t>
      </w:r>
      <w:r w:rsidRPr="003A6F5C">
        <w:rPr>
          <w:rFonts w:eastAsia="SimSun" w:cs="Calibri"/>
          <w:lang w:val="zh-CN" w:eastAsia="zh-CN"/>
        </w:rPr>
        <w:t>号决议，国际电联已开始为巴勒斯坦国设立专项信托基金（</w:t>
      </w:r>
      <w:r w:rsidRPr="003A6F5C">
        <w:rPr>
          <w:rFonts w:eastAsia="SimSun" w:cs="Calibri"/>
          <w:lang w:val="zh-CN" w:eastAsia="zh-CN"/>
        </w:rPr>
        <w:t>FIT</w:t>
      </w:r>
      <w:r w:rsidRPr="003A6F5C">
        <w:rPr>
          <w:rFonts w:eastAsia="SimSun" w:cs="Calibri"/>
          <w:lang w:val="zh-CN" w:eastAsia="zh-CN"/>
        </w:rPr>
        <w:t>）。该机制旨在</w:t>
      </w:r>
      <w:r w:rsidRPr="003A6F5C">
        <w:rPr>
          <w:rFonts w:eastAsia="SimSun" w:cs="Calibri" w:hint="eastAsia"/>
          <w:lang w:val="zh-CN" w:eastAsia="zh-CN"/>
        </w:rPr>
        <w:t>从</w:t>
      </w:r>
      <w:r w:rsidRPr="003A6F5C">
        <w:rPr>
          <w:rFonts w:eastAsia="SimSun" w:cs="Calibri"/>
          <w:lang w:val="zh-CN" w:eastAsia="zh-CN"/>
        </w:rPr>
        <w:t>成员国、部门成员和私营部门合作伙伴</w:t>
      </w:r>
      <w:r w:rsidRPr="003A6F5C">
        <w:rPr>
          <w:rFonts w:eastAsia="SimSun" w:cs="Calibri" w:hint="eastAsia"/>
          <w:lang w:val="zh-CN" w:eastAsia="zh-CN"/>
        </w:rPr>
        <w:t>处筹措</w:t>
      </w:r>
      <w:r w:rsidRPr="003A6F5C">
        <w:rPr>
          <w:rFonts w:eastAsia="SimSun" w:cs="Calibri"/>
          <w:lang w:val="zh-CN" w:eastAsia="zh-CN"/>
        </w:rPr>
        <w:t>自愿捐款和认捐</w:t>
      </w:r>
      <w:r w:rsidRPr="003A6F5C">
        <w:rPr>
          <w:rFonts w:eastAsia="SimSun" w:cs="Calibri" w:hint="eastAsia"/>
          <w:lang w:val="zh-CN" w:eastAsia="zh-CN"/>
        </w:rPr>
        <w:t>并加以</w:t>
      </w:r>
      <w:r w:rsidRPr="003A6F5C">
        <w:rPr>
          <w:rFonts w:eastAsia="SimSun" w:cs="Calibri"/>
          <w:lang w:val="zh-CN" w:eastAsia="zh-CN"/>
        </w:rPr>
        <w:t>引导，以支持旨在恢复和加强巴勒斯坦电信基础设施、增强数字复原力和重建行业能力的优先项目。</w:t>
      </w:r>
      <w:r w:rsidRPr="003A6F5C">
        <w:rPr>
          <w:rFonts w:eastAsia="SimSun" w:cs="Calibri"/>
          <w:lang w:val="zh-CN" w:eastAsia="zh-CN"/>
        </w:rPr>
        <w:t>FIT</w:t>
      </w:r>
      <w:r w:rsidRPr="003A6F5C">
        <w:rPr>
          <w:rFonts w:eastAsia="SimSun" w:cs="Calibri"/>
          <w:lang w:val="zh-CN" w:eastAsia="zh-CN"/>
        </w:rPr>
        <w:t>将作为一个透明和协调的平台，使资源与国家确定的优先事项保持一致，并与相关利益攸关方密切合作，加快实施工作。截至</w:t>
      </w:r>
      <w:r w:rsidRPr="003A6F5C">
        <w:rPr>
          <w:rFonts w:eastAsia="SimSun" w:cs="Calibri"/>
          <w:lang w:val="zh-CN" w:eastAsia="zh-CN"/>
        </w:rPr>
        <w:t>2026</w:t>
      </w:r>
      <w:r w:rsidRPr="003A6F5C">
        <w:rPr>
          <w:rFonts w:eastAsia="SimSun" w:cs="Calibri"/>
          <w:lang w:val="zh-CN" w:eastAsia="zh-CN"/>
        </w:rPr>
        <w:t>年</w:t>
      </w:r>
      <w:r w:rsidRPr="003A6F5C">
        <w:rPr>
          <w:rFonts w:eastAsia="SimSun" w:cs="Calibri"/>
          <w:lang w:val="zh-CN" w:eastAsia="zh-CN"/>
        </w:rPr>
        <w:t>3</w:t>
      </w:r>
      <w:r w:rsidRPr="003A6F5C">
        <w:rPr>
          <w:rFonts w:eastAsia="SimSun" w:cs="Calibri"/>
          <w:lang w:val="zh-CN" w:eastAsia="zh-CN"/>
        </w:rPr>
        <w:t>月</w:t>
      </w:r>
      <w:r w:rsidRPr="003A6F5C">
        <w:rPr>
          <w:rFonts w:eastAsia="SimSun" w:cs="Calibri"/>
          <w:lang w:val="zh-CN" w:eastAsia="zh-CN"/>
        </w:rPr>
        <w:t>27</w:t>
      </w:r>
      <w:r w:rsidRPr="003A6F5C">
        <w:rPr>
          <w:rFonts w:eastAsia="SimSun" w:cs="Calibri"/>
          <w:lang w:val="zh-CN" w:eastAsia="zh-CN"/>
        </w:rPr>
        <w:t>日，该基金已收到立陶宛</w:t>
      </w:r>
      <w:r w:rsidRPr="003A6F5C">
        <w:rPr>
          <w:rFonts w:eastAsia="SimSun" w:cs="Calibri"/>
          <w:lang w:val="zh-CN" w:eastAsia="zh-CN"/>
        </w:rPr>
        <w:t>2</w:t>
      </w:r>
      <w:r w:rsidRPr="003A6F5C">
        <w:rPr>
          <w:rFonts w:eastAsia="SimSun" w:cs="Calibri"/>
          <w:lang w:val="zh-CN" w:eastAsia="zh-CN"/>
        </w:rPr>
        <w:t>万欧元的初始捐款。</w:t>
      </w:r>
    </w:p>
    <w:p w14:paraId="24CDAB65"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lastRenderedPageBreak/>
        <w:t>3</w:t>
      </w:r>
      <w:r w:rsidRPr="003A6F5C">
        <w:rPr>
          <w:rFonts w:eastAsia="SimSun" w:cs="Calibri"/>
          <w:bCs/>
          <w:lang w:val="zh-CN" w:eastAsia="zh-CN"/>
        </w:rPr>
        <w:tab/>
      </w:r>
      <w:r w:rsidRPr="003A6F5C">
        <w:rPr>
          <w:rFonts w:eastAsia="SimSun" w:cs="Calibri"/>
          <w:bCs/>
          <w:lang w:val="zh-CN" w:eastAsia="zh-CN"/>
        </w:rPr>
        <w:t>实施规划</w:t>
      </w:r>
    </w:p>
    <w:p w14:paraId="01350D26"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为落实理事会第</w:t>
      </w:r>
      <w:r w:rsidRPr="003A6F5C">
        <w:rPr>
          <w:rFonts w:eastAsia="SimSun" w:cs="Calibri"/>
          <w:lang w:val="zh-CN" w:eastAsia="zh-CN"/>
        </w:rPr>
        <w:t>1424</w:t>
      </w:r>
      <w:r w:rsidRPr="003A6F5C">
        <w:rPr>
          <w:rFonts w:eastAsia="SimSun" w:cs="Calibri"/>
          <w:lang w:val="zh-CN" w:eastAsia="zh-CN"/>
        </w:rPr>
        <w:t>号决议</w:t>
      </w:r>
      <w:r w:rsidRPr="003A6F5C">
        <w:rPr>
          <w:rFonts w:eastAsia="SimSun" w:cs="Calibri"/>
          <w:lang w:val="zh-CN" w:eastAsia="zh-CN"/>
        </w:rPr>
        <w:t xml:space="preserve"> – </w:t>
      </w:r>
      <w:r w:rsidRPr="003A6F5C">
        <w:rPr>
          <w:rFonts w:eastAsia="SimSun" w:cs="Calibri"/>
          <w:lang w:val="zh-CN" w:eastAsia="zh-CN"/>
        </w:rPr>
        <w:t>为巴勒斯坦国重建电信部门提供援助和支持，国际电信联盟阿拉伯国家</w:t>
      </w:r>
      <w:r w:rsidRPr="003A6F5C">
        <w:rPr>
          <w:rFonts w:eastAsia="SimSun" w:cs="Calibri" w:hint="eastAsia"/>
          <w:lang w:val="zh-CN" w:eastAsia="zh-CN"/>
        </w:rPr>
        <w:t>代表处</w:t>
      </w:r>
      <w:r w:rsidRPr="003A6F5C">
        <w:rPr>
          <w:rFonts w:eastAsia="SimSun" w:cs="Calibri"/>
          <w:lang w:val="zh-CN" w:eastAsia="zh-CN"/>
        </w:rPr>
        <w:t>与巴勒斯坦国电信和数字经济部密切协作，制定了一项结构化的实施计划，以落实理事会第</w:t>
      </w:r>
      <w:r w:rsidRPr="003A6F5C">
        <w:rPr>
          <w:rFonts w:eastAsia="SimSun" w:cs="Calibri"/>
          <w:lang w:val="zh-CN" w:eastAsia="zh-CN"/>
        </w:rPr>
        <w:t>1424</w:t>
      </w:r>
      <w:r w:rsidRPr="003A6F5C">
        <w:rPr>
          <w:rFonts w:eastAsia="SimSun" w:cs="Calibri"/>
          <w:lang w:val="zh-CN" w:eastAsia="zh-CN"/>
        </w:rPr>
        <w:t>号决议并指导巴勒斯坦国电信部门的</w:t>
      </w:r>
      <w:r w:rsidRPr="003A6F5C">
        <w:rPr>
          <w:rFonts w:eastAsia="SimSun" w:cs="Calibri" w:hint="eastAsia"/>
          <w:lang w:val="zh-CN" w:eastAsia="zh-CN"/>
        </w:rPr>
        <w:t>恢复工作</w:t>
      </w:r>
      <w:r w:rsidRPr="003A6F5C">
        <w:rPr>
          <w:rFonts w:eastAsia="SimSun" w:cs="Calibri"/>
          <w:lang w:val="zh-CN" w:eastAsia="zh-CN"/>
        </w:rPr>
        <w:t>。该计划列出了</w:t>
      </w:r>
      <w:r w:rsidRPr="003A6F5C">
        <w:rPr>
          <w:rFonts w:eastAsia="SimSun" w:cs="Calibri"/>
          <w:lang w:val="zh-CN" w:eastAsia="zh-CN"/>
        </w:rPr>
        <w:t>25</w:t>
      </w:r>
      <w:r w:rsidRPr="003A6F5C">
        <w:rPr>
          <w:rFonts w:eastAsia="SimSun" w:cs="Calibri"/>
          <w:lang w:val="zh-CN" w:eastAsia="zh-CN"/>
        </w:rPr>
        <w:t>项活动，包括</w:t>
      </w:r>
      <w:r w:rsidRPr="003A6F5C">
        <w:rPr>
          <w:rFonts w:eastAsia="SimSun" w:cs="Calibri"/>
          <w:lang w:val="zh-CN" w:eastAsia="zh-CN"/>
        </w:rPr>
        <w:t>29</w:t>
      </w:r>
      <w:r w:rsidRPr="003A6F5C">
        <w:rPr>
          <w:rFonts w:eastAsia="SimSun" w:cs="Calibri"/>
          <w:lang w:val="zh-CN" w:eastAsia="zh-CN"/>
        </w:rPr>
        <w:t>项嵌入式能力建设行动，分为四个优先领域，并通过明确的构建步骤进行排序。</w:t>
      </w:r>
    </w:p>
    <w:p w14:paraId="6B461AE8"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4</w:t>
      </w:r>
      <w:r w:rsidRPr="003A6F5C">
        <w:rPr>
          <w:rFonts w:eastAsia="SimSun" w:cs="Calibri"/>
          <w:bCs/>
          <w:lang w:val="zh-CN" w:eastAsia="zh-CN"/>
        </w:rPr>
        <w:tab/>
      </w:r>
      <w:r w:rsidRPr="003A6F5C">
        <w:rPr>
          <w:rFonts w:eastAsia="SimSun" w:cs="Calibri"/>
          <w:bCs/>
          <w:lang w:val="zh-CN" w:eastAsia="zh-CN"/>
        </w:rPr>
        <w:t>认捐圆桌会议</w:t>
      </w:r>
    </w:p>
    <w:p w14:paraId="7B8327A5"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为努力将实施计划和国际电联的工作转化为成员国可通过信托基金</w:t>
      </w:r>
      <w:r w:rsidRPr="003A6F5C">
        <w:rPr>
          <w:rFonts w:eastAsia="SimSun" w:cs="Calibri" w:hint="eastAsia"/>
          <w:lang w:val="zh-CN" w:eastAsia="zh-CN"/>
        </w:rPr>
        <w:t>予以</w:t>
      </w:r>
      <w:r w:rsidRPr="003A6F5C">
        <w:rPr>
          <w:rFonts w:eastAsia="SimSun" w:cs="Calibri"/>
          <w:lang w:val="zh-CN" w:eastAsia="zh-CN"/>
        </w:rPr>
        <w:t>支持的认捐，国际电联（</w:t>
      </w:r>
      <w:r w:rsidRPr="003A6F5C">
        <w:rPr>
          <w:rFonts w:ascii="STKaiti" w:eastAsia="STKaiti" w:hAnsi="STKaiti" w:cs="Calibri"/>
          <w:lang w:val="zh-CN" w:eastAsia="zh-CN"/>
        </w:rPr>
        <w:t>电信发展局与跨部门任务组和副秘书长办公室密切协调</w:t>
      </w:r>
      <w:r w:rsidRPr="003A6F5C">
        <w:rPr>
          <w:rFonts w:eastAsia="SimSun" w:cs="Calibri"/>
          <w:lang w:val="zh-CN" w:eastAsia="zh-CN"/>
        </w:rPr>
        <w:t>）计划于</w:t>
      </w:r>
      <w:r w:rsidRPr="003A6F5C">
        <w:rPr>
          <w:rFonts w:eastAsia="SimSun" w:cs="Calibri"/>
          <w:lang w:val="zh-CN" w:eastAsia="zh-CN"/>
        </w:rPr>
        <w:t>2026</w:t>
      </w:r>
      <w:r w:rsidRPr="003A6F5C">
        <w:rPr>
          <w:rFonts w:eastAsia="SimSun" w:cs="Calibri"/>
          <w:lang w:val="zh-CN" w:eastAsia="zh-CN"/>
        </w:rPr>
        <w:t>年</w:t>
      </w:r>
      <w:r w:rsidRPr="003A6F5C">
        <w:rPr>
          <w:rFonts w:eastAsia="SimSun" w:cs="Calibri"/>
          <w:lang w:val="zh-CN" w:eastAsia="zh-CN"/>
        </w:rPr>
        <w:t>4</w:t>
      </w:r>
      <w:r w:rsidRPr="003A6F5C">
        <w:rPr>
          <w:rFonts w:eastAsia="SimSun" w:cs="Calibri"/>
          <w:lang w:val="zh-CN" w:eastAsia="zh-CN"/>
        </w:rPr>
        <w:t>月</w:t>
      </w:r>
      <w:r w:rsidRPr="003A6F5C">
        <w:rPr>
          <w:rFonts w:eastAsia="SimSun" w:cs="Calibri"/>
          <w:lang w:val="zh-CN" w:eastAsia="zh-CN"/>
        </w:rPr>
        <w:t>13</w:t>
      </w:r>
      <w:r w:rsidRPr="003A6F5C">
        <w:rPr>
          <w:rFonts w:eastAsia="SimSun" w:cs="Calibri"/>
          <w:lang w:val="zh-CN" w:eastAsia="zh-CN"/>
        </w:rPr>
        <w:t>日至</w:t>
      </w:r>
      <w:r w:rsidRPr="003A6F5C">
        <w:rPr>
          <w:rFonts w:eastAsia="SimSun" w:cs="Calibri"/>
          <w:lang w:val="zh-CN" w:eastAsia="zh-CN"/>
        </w:rPr>
        <w:t>14</w:t>
      </w:r>
      <w:r w:rsidRPr="003A6F5C">
        <w:rPr>
          <w:rFonts w:eastAsia="SimSun" w:cs="Calibri"/>
          <w:lang w:val="zh-CN" w:eastAsia="zh-CN"/>
        </w:rPr>
        <w:t>日在日内瓦组织一次为期两天的认捐圆桌会议。此次活动的目的是将全球感兴趣的信托基金承诺方和捐助方与巴勒斯坦官员汇聚一堂，</w:t>
      </w:r>
      <w:r w:rsidRPr="003A6F5C">
        <w:rPr>
          <w:rFonts w:eastAsia="SimSun" w:cs="Calibri" w:hint="eastAsia"/>
          <w:lang w:val="zh-CN" w:eastAsia="zh-CN"/>
        </w:rPr>
        <w:t>共同</w:t>
      </w:r>
      <w:r w:rsidRPr="003A6F5C">
        <w:rPr>
          <w:rFonts w:eastAsia="SimSun" w:cs="Calibri"/>
          <w:lang w:val="zh-CN" w:eastAsia="zh-CN"/>
        </w:rPr>
        <w:t>讨论</w:t>
      </w:r>
      <w:r w:rsidRPr="003A6F5C">
        <w:rPr>
          <w:rFonts w:eastAsia="SimSun" w:cs="Calibri" w:hint="eastAsia"/>
          <w:lang w:val="zh-CN" w:eastAsia="zh-CN"/>
        </w:rPr>
        <w:t>各</w:t>
      </w:r>
      <w:r w:rsidRPr="003A6F5C">
        <w:rPr>
          <w:rFonts w:eastAsia="SimSun" w:cs="Calibri"/>
          <w:lang w:val="zh-CN" w:eastAsia="zh-CN"/>
        </w:rPr>
        <w:t>项举措</w:t>
      </w:r>
      <w:r w:rsidRPr="003A6F5C">
        <w:rPr>
          <w:rFonts w:eastAsia="SimSun" w:cs="Calibri" w:hint="eastAsia"/>
          <w:lang w:val="zh-CN" w:eastAsia="zh-CN"/>
        </w:rPr>
        <w:t>、</w:t>
      </w:r>
      <w:r w:rsidRPr="003A6F5C">
        <w:rPr>
          <w:rFonts w:eastAsia="SimSun" w:cs="Calibri"/>
          <w:lang w:val="zh-CN" w:eastAsia="zh-CN"/>
        </w:rPr>
        <w:t>要求或需求，</w:t>
      </w:r>
      <w:r w:rsidRPr="003A6F5C">
        <w:rPr>
          <w:rFonts w:eastAsia="SimSun" w:cs="Calibri" w:hint="eastAsia"/>
          <w:lang w:val="zh-CN" w:eastAsia="zh-CN"/>
        </w:rPr>
        <w:t>并通过国际社会向巴勒斯坦国提供援助的承诺来满足其需求。</w:t>
      </w:r>
    </w:p>
    <w:p w14:paraId="7194E9F0"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这项工作已与巴勒斯坦国通信部进行了密切协调，并计划通过与巴勒斯坦国通信部紧密协调，满足国际电联制定的实施计划中涉及的所有要求和需求。</w:t>
      </w:r>
    </w:p>
    <w:p w14:paraId="78DF85E8" w14:textId="77777777" w:rsidR="00187A07" w:rsidRPr="003A6F5C" w:rsidRDefault="00187A07" w:rsidP="00187A07">
      <w:pPr>
        <w:pStyle w:val="enumlev1"/>
        <w:ind w:firstLine="0"/>
        <w:rPr>
          <w:rFonts w:eastAsia="SimSun" w:cs="Calibri"/>
          <w:lang w:eastAsia="zh-CN"/>
        </w:rPr>
      </w:pPr>
      <w:r w:rsidRPr="003A6F5C">
        <w:rPr>
          <w:rFonts w:eastAsia="SimSun" w:cs="Calibri" w:hint="eastAsia"/>
          <w:lang w:val="zh-CN" w:eastAsia="zh-CN"/>
        </w:rPr>
        <w:t>鉴于该地区的局势，此项工作已推迟至日后进行。</w:t>
      </w:r>
    </w:p>
    <w:p w14:paraId="322120E0"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5</w:t>
      </w:r>
      <w:r w:rsidRPr="003A6F5C">
        <w:rPr>
          <w:rFonts w:eastAsia="SimSun" w:cs="Calibri"/>
          <w:bCs/>
          <w:lang w:val="zh-CN" w:eastAsia="zh-CN"/>
        </w:rPr>
        <w:tab/>
      </w:r>
      <w:r w:rsidRPr="003A6F5C">
        <w:rPr>
          <w:rFonts w:eastAsia="SimSun" w:cs="Calibri"/>
          <w:bCs/>
          <w:lang w:val="zh-CN" w:eastAsia="zh-CN"/>
        </w:rPr>
        <w:t>为电信和</w:t>
      </w:r>
      <w:r w:rsidRPr="003A6F5C">
        <w:rPr>
          <w:rFonts w:eastAsia="SimSun" w:cs="Calibri"/>
          <w:bCs/>
          <w:lang w:val="zh-CN" w:eastAsia="zh-CN"/>
        </w:rPr>
        <w:t>ICT</w:t>
      </w:r>
      <w:r w:rsidRPr="003A6F5C">
        <w:rPr>
          <w:rFonts w:eastAsia="SimSun" w:cs="Calibri"/>
          <w:bCs/>
          <w:lang w:val="zh-CN" w:eastAsia="zh-CN"/>
        </w:rPr>
        <w:t>政策改革提供战略性技术援助</w:t>
      </w:r>
    </w:p>
    <w:p w14:paraId="3BF6F423"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国际电联阿拉伯国家区域代表处与巴勒斯坦国电信和数字经济部以及来自</w:t>
      </w:r>
      <w:r w:rsidRPr="003A6F5C">
        <w:rPr>
          <w:rFonts w:eastAsia="SimSun" w:cs="Calibri"/>
          <w:lang w:val="zh-CN" w:eastAsia="zh-CN"/>
        </w:rPr>
        <w:t>ICT</w:t>
      </w:r>
      <w:r w:rsidRPr="003A6F5C">
        <w:rPr>
          <w:rFonts w:eastAsia="SimSun" w:cs="Calibri"/>
          <w:lang w:val="zh-CN" w:eastAsia="zh-CN"/>
        </w:rPr>
        <w:t>生态系统的</w:t>
      </w:r>
      <w:r w:rsidRPr="003A6F5C">
        <w:rPr>
          <w:rFonts w:eastAsia="SimSun" w:cs="Calibri"/>
          <w:lang w:val="zh-CN" w:eastAsia="zh-CN"/>
        </w:rPr>
        <w:t>15+</w:t>
      </w:r>
      <w:r w:rsidRPr="003A6F5C">
        <w:rPr>
          <w:rFonts w:eastAsia="SimSun" w:cs="Calibri"/>
          <w:lang w:val="zh-CN" w:eastAsia="zh-CN"/>
        </w:rPr>
        <w:t>国家利益攸关方密切协调，为巴勒斯坦国电信和信息技术政策的制定和现代化提供了支持。</w:t>
      </w:r>
      <w:r w:rsidRPr="003A6F5C">
        <w:rPr>
          <w:rFonts w:eastAsia="SimSun" w:cs="Calibri"/>
          <w:lang w:eastAsia="zh-CN"/>
        </w:rPr>
        <w:t>在此支持下，</w:t>
      </w:r>
      <w:r w:rsidRPr="003A6F5C">
        <w:rPr>
          <w:rFonts w:eastAsia="SimSun" w:cs="Calibri"/>
          <w:lang w:val="zh-CN" w:eastAsia="zh-CN"/>
        </w:rPr>
        <w:t>基于对监管和机构环境、部门优先事项以及与国际最佳做法的</w:t>
      </w:r>
      <w:r w:rsidRPr="003A6F5C">
        <w:rPr>
          <w:rFonts w:eastAsia="SimSun" w:cs="Calibri"/>
          <w:lang w:eastAsia="zh-CN"/>
        </w:rPr>
        <w:t>对接情况</w:t>
      </w:r>
      <w:r w:rsidRPr="003A6F5C">
        <w:rPr>
          <w:rFonts w:eastAsia="SimSun" w:cs="Calibri"/>
          <w:lang w:val="zh-CN" w:eastAsia="zh-CN"/>
        </w:rPr>
        <w:t>的评估</w:t>
      </w:r>
      <w:r w:rsidRPr="003A6F5C">
        <w:rPr>
          <w:rFonts w:eastAsia="SimSun" w:cs="Calibri" w:hint="eastAsia"/>
          <w:lang w:val="zh-CN" w:eastAsia="zh-CN"/>
        </w:rPr>
        <w:t>，</w:t>
      </w:r>
      <w:r w:rsidRPr="003A6F5C">
        <w:rPr>
          <w:rFonts w:eastAsia="SimSun" w:cs="Calibri"/>
          <w:lang w:val="zh-CN" w:eastAsia="zh-CN"/>
        </w:rPr>
        <w:t>形成了一份政策框架草案。该政策为加强行业治理、促成投资和竞争、增强数字复原力和推进包容性数字化转型确定了明确的方向。</w:t>
      </w:r>
    </w:p>
    <w:p w14:paraId="0C00B67D"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该政策草案目前正在审议中，并经与国家合作方协商进行修</w:t>
      </w:r>
      <w:r w:rsidRPr="003A6F5C">
        <w:rPr>
          <w:rFonts w:eastAsia="SimSun" w:cs="Calibri" w:hint="eastAsia"/>
          <w:lang w:val="zh-CN" w:eastAsia="zh-CN"/>
        </w:rPr>
        <w:t>正</w:t>
      </w:r>
      <w:r w:rsidRPr="003A6F5C">
        <w:rPr>
          <w:rFonts w:eastAsia="SimSun" w:cs="Calibri"/>
          <w:lang w:val="zh-CN" w:eastAsia="zh-CN"/>
        </w:rPr>
        <w:t>。在整个过程中，提供了有针对性的磋商、技术输入和能力建设活动，以确保国家自主权和实际</w:t>
      </w:r>
      <w:r w:rsidRPr="003A6F5C">
        <w:rPr>
          <w:rFonts w:eastAsia="SimSun" w:cs="Calibri" w:hint="eastAsia"/>
          <w:lang w:val="zh-CN" w:eastAsia="zh-CN"/>
        </w:rPr>
        <w:t>落实</w:t>
      </w:r>
      <w:r w:rsidRPr="003A6F5C">
        <w:rPr>
          <w:rFonts w:eastAsia="SimSun" w:cs="Calibri"/>
          <w:lang w:val="zh-CN" w:eastAsia="zh-CN"/>
        </w:rPr>
        <w:t>。</w:t>
      </w:r>
    </w:p>
    <w:p w14:paraId="12658FBC"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6</w:t>
      </w:r>
      <w:r w:rsidRPr="003A6F5C">
        <w:rPr>
          <w:rFonts w:eastAsia="SimSun" w:cs="Calibri"/>
          <w:bCs/>
          <w:lang w:val="zh-CN" w:eastAsia="zh-CN"/>
        </w:rPr>
        <w:tab/>
      </w:r>
      <w:r w:rsidRPr="003A6F5C">
        <w:rPr>
          <w:rFonts w:eastAsia="SimSun" w:cs="Calibri"/>
          <w:bCs/>
          <w:lang w:val="zh-CN" w:eastAsia="zh-CN"/>
        </w:rPr>
        <w:t>数字技能评估</w:t>
      </w:r>
    </w:p>
    <w:p w14:paraId="5D47ED39"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国际电联阿拉伯国家</w:t>
      </w:r>
      <w:r w:rsidRPr="003A6F5C">
        <w:rPr>
          <w:rFonts w:eastAsia="SimSun" w:cs="Calibri" w:hint="eastAsia"/>
          <w:lang w:val="zh-CN" w:eastAsia="zh-CN"/>
        </w:rPr>
        <w:t>区域代表处</w:t>
      </w:r>
      <w:r w:rsidRPr="003A6F5C">
        <w:rPr>
          <w:rFonts w:eastAsia="SimSun" w:cs="Calibri"/>
          <w:lang w:val="zh-CN" w:eastAsia="zh-CN"/>
        </w:rPr>
        <w:t>正在支持电信和数字经济部开展一项数字技能评估，旨在根据国际电信联盟《数字技能评估指南》中概述的方法评估公共部门内的基本数字技能，</w:t>
      </w:r>
      <w:r w:rsidRPr="003A6F5C">
        <w:rPr>
          <w:rFonts w:eastAsia="SimSun" w:cs="Calibri"/>
          <w:lang w:eastAsia="zh-CN"/>
        </w:rPr>
        <w:t>该指南是一套实用的分步工具，用于衡量国家层面的数字技能供给、需求及差距</w:t>
      </w:r>
      <w:r w:rsidRPr="003A6F5C">
        <w:rPr>
          <w:rFonts w:eastAsia="SimSun" w:cs="Calibri" w:hint="eastAsia"/>
          <w:lang w:eastAsia="zh-CN"/>
        </w:rPr>
        <w:t>。</w:t>
      </w:r>
    </w:p>
    <w:p w14:paraId="2B6479F3"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这种技术援助包括通过培训师培训计划</w:t>
      </w:r>
      <w:r w:rsidRPr="003A6F5C">
        <w:rPr>
          <w:rFonts w:eastAsia="SimSun" w:cs="Calibri" w:hint="eastAsia"/>
          <w:lang w:val="zh-CN" w:eastAsia="zh-CN"/>
        </w:rPr>
        <w:t>，</w:t>
      </w:r>
      <w:r w:rsidRPr="003A6F5C">
        <w:rPr>
          <w:rFonts w:eastAsia="SimSun" w:cs="Calibri"/>
          <w:lang w:val="zh-CN" w:eastAsia="zh-CN"/>
        </w:rPr>
        <w:t>为电信和数字经济部（</w:t>
      </w:r>
      <w:r w:rsidRPr="003A6F5C">
        <w:rPr>
          <w:rFonts w:eastAsia="SimSun" w:cs="Calibri"/>
          <w:lang w:val="zh-CN" w:eastAsia="zh-CN"/>
        </w:rPr>
        <w:t>MTDE</w:t>
      </w:r>
      <w:r w:rsidRPr="003A6F5C">
        <w:rPr>
          <w:rFonts w:eastAsia="SimSun" w:cs="Calibri"/>
          <w:lang w:val="zh-CN" w:eastAsia="zh-CN"/>
        </w:rPr>
        <w:t>）团队成员提供在职培训，使</w:t>
      </w:r>
      <w:r w:rsidRPr="003A6F5C">
        <w:rPr>
          <w:rFonts w:eastAsia="SimSun" w:cs="Calibri"/>
          <w:lang w:eastAsia="zh-CN"/>
        </w:rPr>
        <w:t>其</w:t>
      </w:r>
      <w:r w:rsidRPr="003A6F5C">
        <w:rPr>
          <w:rFonts w:eastAsia="SimSun" w:cs="Calibri"/>
          <w:lang w:val="zh-CN" w:eastAsia="zh-CN"/>
        </w:rPr>
        <w:t>能够独立</w:t>
      </w:r>
      <w:r w:rsidRPr="003A6F5C">
        <w:rPr>
          <w:rFonts w:eastAsia="SimSun" w:cs="Calibri"/>
          <w:lang w:eastAsia="zh-CN"/>
        </w:rPr>
        <w:t>开展</w:t>
      </w:r>
      <w:r w:rsidRPr="003A6F5C">
        <w:rPr>
          <w:rFonts w:eastAsia="SimSun" w:cs="Calibri"/>
          <w:lang w:val="zh-CN" w:eastAsia="zh-CN"/>
        </w:rPr>
        <w:t>评估，应用国际电联模板和评估矩阵，并进行技能和差距分析。</w:t>
      </w:r>
      <w:r w:rsidRPr="003A6F5C">
        <w:rPr>
          <w:rFonts w:eastAsia="SimSun" w:cs="Calibri"/>
          <w:lang w:eastAsia="zh-CN"/>
        </w:rPr>
        <w:t>该支持方案</w:t>
      </w:r>
      <w:r w:rsidRPr="003A6F5C">
        <w:rPr>
          <w:rFonts w:eastAsia="SimSun" w:cs="Calibri"/>
          <w:lang w:val="zh-CN" w:eastAsia="zh-CN"/>
        </w:rPr>
        <w:t>还为团队领导和成员提供每周辅导、指导和能力建设，目标是完成基本技能评估，并在时间允许的情况下，</w:t>
      </w:r>
      <w:r w:rsidRPr="003A6F5C">
        <w:rPr>
          <w:rFonts w:eastAsia="SimSun" w:cs="Calibri"/>
          <w:lang w:eastAsia="zh-CN"/>
        </w:rPr>
        <w:t>在认捐圆桌会议前</w:t>
      </w:r>
      <w:r w:rsidRPr="003A6F5C">
        <w:rPr>
          <w:rFonts w:eastAsia="SimSun" w:cs="Calibri"/>
          <w:lang w:val="zh-CN" w:eastAsia="zh-CN"/>
        </w:rPr>
        <w:t>完成符合国际电联标准的高级技能评估</w:t>
      </w:r>
      <w:r w:rsidRPr="003A6F5C">
        <w:rPr>
          <w:rFonts w:eastAsia="SimSun" w:cs="Calibri" w:hint="eastAsia"/>
          <w:lang w:eastAsia="zh-CN"/>
        </w:rPr>
        <w:t>。</w:t>
      </w:r>
    </w:p>
    <w:p w14:paraId="48A73BBD"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7</w:t>
      </w:r>
      <w:r w:rsidRPr="003A6F5C">
        <w:rPr>
          <w:rFonts w:eastAsia="SimSun" w:cs="Calibri"/>
          <w:bCs/>
          <w:lang w:val="zh-CN" w:eastAsia="zh-CN"/>
        </w:rPr>
        <w:tab/>
      </w:r>
      <w:r w:rsidRPr="003A6F5C">
        <w:rPr>
          <w:rFonts w:eastAsia="SimSun" w:cs="Calibri"/>
          <w:bCs/>
          <w:lang w:val="zh-CN" w:eastAsia="zh-CN"/>
        </w:rPr>
        <w:t>应急通信集群</w:t>
      </w:r>
      <w:r w:rsidRPr="003A6F5C">
        <w:rPr>
          <w:rFonts w:eastAsia="SimSun" w:cs="Calibri" w:hint="eastAsia"/>
          <w:bCs/>
          <w:lang w:val="zh-CN" w:eastAsia="zh-CN"/>
        </w:rPr>
        <w:t>的</w:t>
      </w:r>
      <w:r w:rsidRPr="003A6F5C">
        <w:rPr>
          <w:rFonts w:eastAsia="SimSun" w:cs="Calibri"/>
          <w:bCs/>
          <w:lang w:val="zh-CN" w:eastAsia="zh-CN"/>
        </w:rPr>
        <w:t>活动</w:t>
      </w:r>
    </w:p>
    <w:p w14:paraId="52ABA10B"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在世界粮食计划署的协调下，国际电联与联合国应急通信集群（</w:t>
      </w:r>
      <w:r w:rsidRPr="003A6F5C">
        <w:rPr>
          <w:rFonts w:eastAsia="SimSun" w:cs="Calibri"/>
          <w:lang w:val="zh-CN" w:eastAsia="zh-CN"/>
        </w:rPr>
        <w:t>ETC</w:t>
      </w:r>
      <w:r w:rsidRPr="003A6F5C">
        <w:rPr>
          <w:rFonts w:eastAsia="SimSun" w:cs="Calibri"/>
          <w:lang w:val="zh-CN" w:eastAsia="zh-CN"/>
        </w:rPr>
        <w:t>）密切</w:t>
      </w:r>
      <w:r w:rsidRPr="003A6F5C">
        <w:rPr>
          <w:rFonts w:eastAsia="SimSun" w:cs="Calibri" w:hint="eastAsia"/>
          <w:lang w:val="zh-CN" w:eastAsia="zh-CN"/>
        </w:rPr>
        <w:t>协调</w:t>
      </w:r>
      <w:r w:rsidRPr="003A6F5C">
        <w:rPr>
          <w:rFonts w:eastAsia="SimSun" w:cs="Calibri"/>
          <w:lang w:val="zh-CN" w:eastAsia="zh-CN"/>
        </w:rPr>
        <w:t>，一直致力于为向巴勒斯坦加沙地带运送卫星电话提供便利。</w:t>
      </w:r>
      <w:r w:rsidRPr="003A6F5C">
        <w:rPr>
          <w:rFonts w:eastAsia="SimSun" w:cs="Calibri"/>
          <w:lang w:val="zh-CN" w:eastAsia="zh-CN"/>
        </w:rPr>
        <w:t>2025</w:t>
      </w:r>
      <w:r w:rsidRPr="003A6F5C">
        <w:rPr>
          <w:rFonts w:eastAsia="SimSun" w:cs="Calibri"/>
          <w:lang w:val="zh-CN" w:eastAsia="zh-CN"/>
        </w:rPr>
        <w:t>年</w:t>
      </w:r>
      <w:r w:rsidRPr="003A6F5C">
        <w:rPr>
          <w:rFonts w:eastAsia="SimSun" w:cs="Calibri"/>
          <w:lang w:val="zh-CN" w:eastAsia="zh-CN"/>
        </w:rPr>
        <w:t>11</w:t>
      </w:r>
      <w:r w:rsidRPr="003A6F5C">
        <w:rPr>
          <w:rFonts w:eastAsia="SimSun" w:cs="Calibri"/>
          <w:lang w:val="zh-CN" w:eastAsia="zh-CN"/>
        </w:rPr>
        <w:t>月，</w:t>
      </w:r>
      <w:r w:rsidRPr="003A6F5C">
        <w:rPr>
          <w:rFonts w:eastAsia="SimSun" w:cs="Calibri" w:hint="eastAsia"/>
          <w:lang w:val="zh-CN" w:eastAsia="zh-CN"/>
        </w:rPr>
        <w:t>二十</w:t>
      </w:r>
      <w:r w:rsidRPr="003A6F5C">
        <w:rPr>
          <w:rFonts w:eastAsia="SimSun" w:cs="Calibri"/>
          <w:lang w:val="zh-CN" w:eastAsia="zh-CN"/>
        </w:rPr>
        <w:t>台设备抵达耶路撒冷，目前正在等待有关当局的必要批准，以便将其转移</w:t>
      </w:r>
      <w:r w:rsidRPr="003A6F5C">
        <w:rPr>
          <w:rFonts w:eastAsia="SimSun" w:cs="Calibri" w:hint="eastAsia"/>
          <w:lang w:val="zh-CN" w:eastAsia="zh-CN"/>
        </w:rPr>
        <w:t>至</w:t>
      </w:r>
      <w:r w:rsidRPr="003A6F5C">
        <w:rPr>
          <w:rFonts w:eastAsia="SimSun" w:cs="Calibri"/>
          <w:lang w:val="zh-CN" w:eastAsia="zh-CN"/>
        </w:rPr>
        <w:t>加</w:t>
      </w:r>
      <w:r w:rsidRPr="003A6F5C">
        <w:rPr>
          <w:rFonts w:eastAsia="SimSun" w:cs="Calibri"/>
          <w:lang w:val="zh-CN" w:eastAsia="zh-CN"/>
        </w:rPr>
        <w:lastRenderedPageBreak/>
        <w:t>沙。</w:t>
      </w:r>
      <w:r w:rsidRPr="003A6F5C">
        <w:rPr>
          <w:rFonts w:eastAsia="SimSun" w:cs="Calibri"/>
          <w:lang w:eastAsia="zh-CN"/>
        </w:rPr>
        <w:t>这项关键举措旨在保障该地区关键通信服务的连续性，有助于确保联合国机构和人道主义组织拥有可靠的通信网络，从而有效开展</w:t>
      </w:r>
      <w:r w:rsidRPr="003A6F5C">
        <w:rPr>
          <w:rFonts w:eastAsia="SimSun" w:cs="Calibri"/>
          <w:lang w:val="zh-CN" w:eastAsia="zh-CN"/>
        </w:rPr>
        <w:t>救济</w:t>
      </w:r>
      <w:r w:rsidRPr="003A6F5C">
        <w:rPr>
          <w:rFonts w:eastAsia="SimSun" w:cs="Calibri"/>
          <w:lang w:eastAsia="zh-CN"/>
        </w:rPr>
        <w:t>行动。</w:t>
      </w:r>
      <w:r w:rsidRPr="003A6F5C">
        <w:rPr>
          <w:rFonts w:eastAsia="SimSun" w:cs="Calibri"/>
          <w:lang w:val="zh-CN" w:eastAsia="zh-CN"/>
        </w:rPr>
        <w:t>国际电联一直积极参加</w:t>
      </w:r>
      <w:r w:rsidRPr="003A6F5C">
        <w:rPr>
          <w:rFonts w:eastAsia="SimSun" w:cs="Calibri"/>
          <w:lang w:val="zh-CN" w:eastAsia="zh-CN"/>
        </w:rPr>
        <w:t>ETC</w:t>
      </w:r>
      <w:r w:rsidRPr="003A6F5C">
        <w:rPr>
          <w:rFonts w:eastAsia="SimSun" w:cs="Calibri"/>
          <w:lang w:val="zh-CN" w:eastAsia="zh-CN"/>
        </w:rPr>
        <w:t>会议，以使国际电联开展的工作与</w:t>
      </w:r>
      <w:r w:rsidRPr="003A6F5C">
        <w:rPr>
          <w:rFonts w:eastAsia="SimSun" w:cs="Calibri"/>
          <w:lang w:val="zh-CN" w:eastAsia="zh-CN"/>
        </w:rPr>
        <w:t>ETC</w:t>
      </w:r>
      <w:r w:rsidRPr="003A6F5C">
        <w:rPr>
          <w:rFonts w:eastAsia="SimSun" w:cs="Calibri"/>
          <w:lang w:val="zh-CN" w:eastAsia="zh-CN"/>
        </w:rPr>
        <w:t>其他成员的工作保持一致。</w:t>
      </w:r>
    </w:p>
    <w:p w14:paraId="1D4E059B"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8</w:t>
      </w:r>
      <w:r w:rsidRPr="003A6F5C">
        <w:rPr>
          <w:rFonts w:eastAsia="SimSun" w:cs="Calibri"/>
          <w:bCs/>
          <w:lang w:val="zh-CN" w:eastAsia="zh-CN"/>
        </w:rPr>
        <w:tab/>
      </w:r>
      <w:r w:rsidRPr="003A6F5C">
        <w:rPr>
          <w:rFonts w:eastAsia="SimSun" w:cs="Calibri"/>
          <w:bCs/>
          <w:lang w:val="zh-CN" w:eastAsia="zh-CN"/>
        </w:rPr>
        <w:t>临时损害评估</w:t>
      </w:r>
    </w:p>
    <w:p w14:paraId="5539C048"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国际电信联盟建立了定期协调机制，并与包括世界银行和联合国在内的国际伙伴合作，对巴勒斯坦的电信基础设施进行</w:t>
      </w:r>
      <w:r w:rsidRPr="003A6F5C">
        <w:rPr>
          <w:rFonts w:eastAsia="SimSun" w:cs="Calibri" w:hint="eastAsia"/>
          <w:lang w:val="zh-CN" w:eastAsia="zh-CN"/>
        </w:rPr>
        <w:t>损害</w:t>
      </w:r>
      <w:r w:rsidRPr="003A6F5C">
        <w:rPr>
          <w:rFonts w:eastAsia="SimSun" w:cs="Calibri"/>
          <w:lang w:val="zh-CN" w:eastAsia="zh-CN"/>
        </w:rPr>
        <w:t>评估。国际电联</w:t>
      </w:r>
      <w:r w:rsidRPr="003A6F5C">
        <w:rPr>
          <w:rFonts w:eastAsia="SimSun" w:cs="Calibri" w:hint="eastAsia"/>
          <w:lang w:val="zh-CN" w:eastAsia="zh-CN"/>
        </w:rPr>
        <w:t>对</w:t>
      </w:r>
      <w:r w:rsidRPr="003A6F5C">
        <w:rPr>
          <w:rFonts w:eastAsia="SimSun" w:cs="Calibri"/>
          <w:lang w:val="zh-CN" w:eastAsia="zh-CN"/>
        </w:rPr>
        <w:t>这些评估得出的具体电信研究结果</w:t>
      </w:r>
      <w:r w:rsidRPr="003A6F5C">
        <w:rPr>
          <w:rFonts w:eastAsia="SimSun" w:cs="Calibri"/>
          <w:lang w:eastAsia="zh-CN"/>
        </w:rPr>
        <w:t>进行审查和调整</w:t>
      </w:r>
      <w:r w:rsidRPr="003A6F5C">
        <w:rPr>
          <w:rFonts w:eastAsia="SimSun" w:cs="Calibri"/>
          <w:lang w:val="zh-CN" w:eastAsia="zh-CN"/>
        </w:rPr>
        <w:t>，以确保</w:t>
      </w:r>
      <w:r w:rsidRPr="003A6F5C">
        <w:rPr>
          <w:rFonts w:eastAsia="SimSun" w:cs="Calibri"/>
          <w:lang w:eastAsia="zh-CN"/>
        </w:rPr>
        <w:t>其</w:t>
      </w:r>
      <w:r w:rsidRPr="003A6F5C">
        <w:rPr>
          <w:rFonts w:eastAsia="SimSun" w:cs="Calibri"/>
          <w:lang w:val="zh-CN" w:eastAsia="zh-CN"/>
        </w:rPr>
        <w:t>适用于政策制定和重建规划，同时确保对</w:t>
      </w:r>
      <w:r w:rsidRPr="003A6F5C">
        <w:rPr>
          <w:rFonts w:eastAsia="SimSun" w:cs="Calibri"/>
          <w:lang w:val="zh-CN" w:eastAsia="zh-CN"/>
        </w:rPr>
        <w:t>ICT</w:t>
      </w:r>
      <w:r w:rsidRPr="003A6F5C">
        <w:rPr>
          <w:rFonts w:eastAsia="SimSun" w:cs="Calibri"/>
          <w:lang w:val="zh-CN" w:eastAsia="zh-CN"/>
        </w:rPr>
        <w:t>损害的估算符合国际电联的监管框架、频谱管理规则和网络规划标准。</w:t>
      </w:r>
    </w:p>
    <w:p w14:paraId="2392741B"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9</w:t>
      </w:r>
      <w:r w:rsidRPr="003A6F5C">
        <w:rPr>
          <w:rFonts w:eastAsia="SimSun" w:cs="Calibri"/>
          <w:bCs/>
          <w:lang w:val="zh-CN" w:eastAsia="zh-CN"/>
        </w:rPr>
        <w:tab/>
      </w:r>
      <w:r w:rsidRPr="003A6F5C">
        <w:rPr>
          <w:rFonts w:eastAsia="SimSun" w:cs="Calibri" w:hint="eastAsia"/>
          <w:bCs/>
          <w:lang w:val="zh-CN" w:eastAsia="zh-CN"/>
        </w:rPr>
        <w:t>巴勒斯坦向国际电联电信标准化部门提交的文稿</w:t>
      </w:r>
    </w:p>
    <w:p w14:paraId="447D0381" w14:textId="60DF39F4" w:rsidR="00187A07" w:rsidRPr="003A6F5C" w:rsidRDefault="00187A07" w:rsidP="00187A07">
      <w:pPr>
        <w:pStyle w:val="enumlev1"/>
        <w:rPr>
          <w:rFonts w:eastAsia="SimSun" w:cs="Calibri"/>
          <w:lang w:eastAsia="zh-CN"/>
        </w:rPr>
      </w:pPr>
      <w:r w:rsidRPr="003A6F5C">
        <w:rPr>
          <w:rFonts w:eastAsia="SimSun" w:cs="Calibri"/>
          <w:lang w:val="zh-CN" w:eastAsia="zh-CN"/>
        </w:rPr>
        <w:tab/>
        <w:t>2026</w:t>
      </w:r>
      <w:r w:rsidRPr="003A6F5C">
        <w:rPr>
          <w:rFonts w:eastAsia="SimSun" w:cs="Calibri"/>
          <w:lang w:val="zh-CN" w:eastAsia="zh-CN"/>
        </w:rPr>
        <w:t>年</w:t>
      </w:r>
      <w:r w:rsidRPr="003A6F5C">
        <w:rPr>
          <w:rFonts w:eastAsia="SimSun" w:cs="Calibri"/>
          <w:lang w:val="zh-CN" w:eastAsia="zh-CN"/>
        </w:rPr>
        <w:t>2</w:t>
      </w:r>
      <w:r w:rsidRPr="003A6F5C">
        <w:rPr>
          <w:rFonts w:eastAsia="SimSun" w:cs="Calibri"/>
          <w:lang w:val="zh-CN" w:eastAsia="zh-CN"/>
        </w:rPr>
        <w:t>月，</w:t>
      </w:r>
      <w:r w:rsidRPr="003A6F5C">
        <w:rPr>
          <w:rFonts w:eastAsia="SimSun" w:cs="Calibri" w:hint="eastAsia"/>
          <w:lang w:val="zh-CN" w:eastAsia="zh-CN"/>
        </w:rPr>
        <w:t>负责</w:t>
      </w:r>
      <w:r w:rsidR="00F070FA" w:rsidRPr="003A6F5C">
        <w:rPr>
          <w:rFonts w:eastAsia="SimSun" w:cs="Calibri" w:hint="eastAsia"/>
          <w:lang w:val="zh-CN" w:eastAsia="zh-CN"/>
        </w:rPr>
        <w:t>“</w:t>
      </w:r>
      <w:r w:rsidRPr="003A6F5C">
        <w:rPr>
          <w:rFonts w:eastAsia="SimSun" w:cs="Calibri"/>
          <w:lang w:val="zh-CN" w:eastAsia="zh-CN"/>
        </w:rPr>
        <w:t>电信和</w:t>
      </w:r>
      <w:r w:rsidRPr="003A6F5C">
        <w:rPr>
          <w:rFonts w:eastAsia="SimSun" w:cs="Calibri"/>
          <w:lang w:val="zh-CN" w:eastAsia="zh-CN"/>
        </w:rPr>
        <w:t>ICT</w:t>
      </w:r>
      <w:r w:rsidRPr="003A6F5C">
        <w:rPr>
          <w:rFonts w:eastAsia="SimSun" w:cs="Calibri"/>
          <w:lang w:val="zh-CN" w:eastAsia="zh-CN"/>
        </w:rPr>
        <w:t>运营方面</w:t>
      </w:r>
      <w:r w:rsidR="00F070FA" w:rsidRPr="003A6F5C">
        <w:rPr>
          <w:rFonts w:eastAsia="SimSun" w:cs="Calibri" w:hint="eastAsia"/>
          <w:lang w:val="zh-CN" w:eastAsia="zh-CN"/>
        </w:rPr>
        <w:t>”</w:t>
      </w:r>
      <w:r w:rsidRPr="003A6F5C">
        <w:rPr>
          <w:rFonts w:eastAsia="SimSun" w:cs="Calibri"/>
          <w:lang w:val="zh-CN" w:eastAsia="zh-CN"/>
        </w:rPr>
        <w:t>的</w:t>
      </w:r>
      <w:r w:rsidRPr="003A6F5C">
        <w:rPr>
          <w:rFonts w:eastAsia="SimSun" w:cs="Calibri"/>
          <w:lang w:val="zh-CN" w:eastAsia="zh-CN"/>
        </w:rPr>
        <w:t>ITU-T</w:t>
      </w:r>
      <w:r w:rsidRPr="003A6F5C">
        <w:rPr>
          <w:rFonts w:eastAsia="SimSun" w:cs="Calibri"/>
          <w:lang w:val="zh-CN" w:eastAsia="zh-CN"/>
        </w:rPr>
        <w:t>第</w:t>
      </w:r>
      <w:r w:rsidRPr="003A6F5C">
        <w:rPr>
          <w:rFonts w:eastAsia="SimSun" w:cs="Calibri"/>
          <w:lang w:val="zh-CN" w:eastAsia="zh-CN"/>
        </w:rPr>
        <w:t>2</w:t>
      </w:r>
      <w:r w:rsidRPr="003A6F5C">
        <w:rPr>
          <w:rFonts w:eastAsia="SimSun" w:cs="Calibri"/>
          <w:lang w:val="zh-CN" w:eastAsia="zh-CN"/>
        </w:rPr>
        <w:t>研究组收到了电信和数字经济部提交的一份题为</w:t>
      </w:r>
      <w:r w:rsidR="00F070FA" w:rsidRPr="003A6F5C">
        <w:rPr>
          <w:rFonts w:eastAsia="SimSun" w:cs="Calibri" w:hint="eastAsia"/>
          <w:lang w:val="zh-CN" w:eastAsia="zh-CN"/>
        </w:rPr>
        <w:t>“</w:t>
      </w:r>
      <w:r w:rsidRPr="003A6F5C">
        <w:rPr>
          <w:rFonts w:eastAsia="SimSun" w:cs="Calibri"/>
          <w:lang w:val="zh-CN" w:eastAsia="zh-CN"/>
        </w:rPr>
        <w:t>与</w:t>
      </w:r>
      <w:r w:rsidRPr="003A6F5C">
        <w:rPr>
          <w:rFonts w:eastAsia="SimSun" w:cs="Calibri"/>
          <w:lang w:val="zh-CN" w:eastAsia="zh-CN"/>
        </w:rPr>
        <w:t>E.164</w:t>
      </w:r>
      <w:r w:rsidRPr="003A6F5C">
        <w:rPr>
          <w:rFonts w:eastAsia="SimSun" w:cs="Calibri"/>
          <w:lang w:val="zh-CN" w:eastAsia="zh-CN"/>
        </w:rPr>
        <w:t>国家代码</w:t>
      </w:r>
      <w:r w:rsidRPr="003A6F5C">
        <w:rPr>
          <w:rFonts w:eastAsia="SimSun" w:cs="Calibri"/>
          <w:lang w:val="zh-CN" w:eastAsia="zh-CN"/>
        </w:rPr>
        <w:t>+970</w:t>
      </w:r>
      <w:r w:rsidRPr="003A6F5C">
        <w:rPr>
          <w:rFonts w:eastAsia="SimSun" w:cs="Calibri"/>
          <w:lang w:val="zh-CN" w:eastAsia="zh-CN"/>
        </w:rPr>
        <w:t>的国际使用和巴勒斯坦国更新的国家编号方案相关的运营考虑</w:t>
      </w:r>
      <w:r w:rsidR="00F070FA" w:rsidRPr="003A6F5C">
        <w:rPr>
          <w:rFonts w:eastAsia="SimSun" w:cs="Calibri" w:hint="eastAsia"/>
          <w:lang w:val="zh-CN" w:eastAsia="zh-CN"/>
        </w:rPr>
        <w:t>”</w:t>
      </w:r>
      <w:r w:rsidRPr="003A6F5C">
        <w:rPr>
          <w:rFonts w:eastAsia="SimSun" w:cs="Calibri"/>
          <w:lang w:val="zh-CN" w:eastAsia="zh-CN"/>
        </w:rPr>
        <w:t>的文稿（</w:t>
      </w:r>
      <w:r w:rsidRPr="003A6F5C">
        <w:rPr>
          <w:rFonts w:eastAsia="SimSun" w:cs="Calibri"/>
          <w:lang w:val="zh-CN" w:eastAsia="zh-CN"/>
        </w:rPr>
        <w:t>145</w:t>
      </w:r>
      <w:r w:rsidRPr="003A6F5C">
        <w:rPr>
          <w:rFonts w:eastAsia="SimSun" w:cs="Calibri"/>
          <w:lang w:val="zh-CN" w:eastAsia="zh-CN"/>
        </w:rPr>
        <w:t>号文稿</w:t>
      </w:r>
      <w:r w:rsidRPr="003A6F5C">
        <w:rPr>
          <w:rFonts w:eastAsia="SimSun" w:cs="Calibri"/>
          <w:lang w:val="zh-CN" w:eastAsia="zh-CN"/>
        </w:rPr>
        <w:t xml:space="preserve"> – </w:t>
      </w:r>
      <w:r>
        <w:fldChar w:fldCharType="begin"/>
      </w:r>
      <w:r>
        <w:rPr>
          <w:lang w:eastAsia="zh-CN"/>
        </w:rPr>
        <w:instrText>HYPERLINK "https://www.itu.int/md/T25-SG02-C-0145/en" \h</w:instrText>
      </w:r>
      <w:r>
        <w:fldChar w:fldCharType="separate"/>
      </w:r>
      <w:r w:rsidRPr="003A6F5C">
        <w:rPr>
          <w:rStyle w:val="Hyperlink"/>
          <w:rFonts w:eastAsia="SimSun" w:cs="Calibri"/>
          <w:lang w:eastAsia="zh-CN"/>
        </w:rPr>
        <w:t>SG2-</w:t>
      </w:r>
      <w:proofErr w:type="spellStart"/>
      <w:r w:rsidRPr="003A6F5C">
        <w:rPr>
          <w:rStyle w:val="Hyperlink"/>
          <w:rFonts w:eastAsia="SimSun" w:cs="Calibri"/>
          <w:lang w:eastAsia="zh-CN"/>
        </w:rPr>
        <w:t>C145</w:t>
      </w:r>
      <w:proofErr w:type="spellEnd"/>
      <w:r>
        <w:fldChar w:fldCharType="end"/>
      </w:r>
      <w:r w:rsidRPr="003A6F5C">
        <w:rPr>
          <w:rFonts w:eastAsia="SimSun" w:cs="Calibri"/>
          <w:lang w:val="zh-CN" w:eastAsia="zh-CN"/>
        </w:rPr>
        <w:t>）。然而，没有巴勒斯坦代表出席会议，因此该文件既未得到介绍也未得到讨论。</w:t>
      </w:r>
      <w:hyperlink r:id="rId11"/>
    </w:p>
    <w:p w14:paraId="0AFC4196"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10</w:t>
      </w:r>
      <w:r w:rsidRPr="003A6F5C">
        <w:rPr>
          <w:rFonts w:eastAsia="SimSun" w:cs="Calibri"/>
          <w:bCs/>
          <w:lang w:val="zh-CN" w:eastAsia="zh-CN"/>
        </w:rPr>
        <w:tab/>
      </w:r>
      <w:r w:rsidRPr="003A6F5C">
        <w:rPr>
          <w:rFonts w:eastAsia="SimSun" w:cs="Calibri"/>
          <w:bCs/>
          <w:lang w:val="zh-CN" w:eastAsia="zh-CN"/>
        </w:rPr>
        <w:t>通过有针对性的与会补贴支持开展的活动</w:t>
      </w:r>
    </w:p>
    <w:p w14:paraId="0A6CC32E"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根据国际电联理事会第</w:t>
      </w:r>
      <w:r w:rsidRPr="003A6F5C">
        <w:rPr>
          <w:rFonts w:eastAsia="SimSun" w:cs="Calibri"/>
          <w:lang w:val="zh-CN" w:eastAsia="zh-CN"/>
        </w:rPr>
        <w:t>1424</w:t>
      </w:r>
      <w:r w:rsidRPr="003A6F5C">
        <w:rPr>
          <w:rFonts w:eastAsia="SimSun" w:cs="Calibri"/>
          <w:lang w:val="zh-CN" w:eastAsia="zh-CN"/>
        </w:rPr>
        <w:t>号决议，国际电信联盟继续支持巴勒斯坦国积极参与国际电联的活动。</w:t>
      </w:r>
      <w:r w:rsidRPr="003A6F5C">
        <w:rPr>
          <w:rFonts w:eastAsia="SimSun" w:cs="Calibri"/>
          <w:lang w:val="zh-CN" w:eastAsia="zh-CN"/>
        </w:rPr>
        <w:t>2025</w:t>
      </w:r>
      <w:r w:rsidRPr="003A6F5C">
        <w:rPr>
          <w:rFonts w:eastAsia="SimSun" w:cs="Calibri"/>
          <w:lang w:val="zh-CN" w:eastAsia="zh-CN"/>
        </w:rPr>
        <w:t>年，向巴勒斯坦代表发放了</w:t>
      </w:r>
      <w:r w:rsidRPr="003A6F5C">
        <w:rPr>
          <w:rFonts w:eastAsia="SimSun" w:cs="Calibri"/>
          <w:lang w:val="zh-CN" w:eastAsia="zh-CN"/>
        </w:rPr>
        <w:t>12</w:t>
      </w:r>
      <w:r w:rsidRPr="003A6F5C">
        <w:rPr>
          <w:rFonts w:eastAsia="SimSun" w:cs="Calibri"/>
          <w:lang w:val="zh-CN" w:eastAsia="zh-CN"/>
        </w:rPr>
        <w:t>份与会补贴，使他们能够参与重要的研究组、论坛和能力建设举措。</w:t>
      </w:r>
      <w:r w:rsidRPr="003A6F5C">
        <w:rPr>
          <w:rFonts w:eastAsia="SimSun" w:cs="Calibri" w:hint="eastAsia"/>
          <w:lang w:val="zh-CN" w:eastAsia="zh-CN"/>
        </w:rPr>
        <w:t>这项</w:t>
      </w:r>
      <w:r w:rsidRPr="003A6F5C">
        <w:rPr>
          <w:rFonts w:eastAsia="SimSun" w:cs="Calibri"/>
          <w:lang w:val="zh-CN" w:eastAsia="zh-CN"/>
        </w:rPr>
        <w:t>支持</w:t>
      </w:r>
      <w:r w:rsidRPr="003A6F5C">
        <w:rPr>
          <w:rFonts w:eastAsia="SimSun" w:cs="Calibri" w:hint="eastAsia"/>
          <w:lang w:val="zh-CN" w:eastAsia="zh-CN"/>
        </w:rPr>
        <w:t>工作</w:t>
      </w:r>
      <w:r w:rsidRPr="003A6F5C">
        <w:rPr>
          <w:rFonts w:eastAsia="SimSun" w:cs="Calibri"/>
          <w:lang w:val="zh-CN" w:eastAsia="zh-CN"/>
        </w:rPr>
        <w:t>确保调动</w:t>
      </w:r>
      <w:r w:rsidRPr="003A6F5C">
        <w:rPr>
          <w:rFonts w:eastAsia="SimSun" w:cs="Calibri" w:hint="eastAsia"/>
          <w:lang w:val="zh-CN" w:eastAsia="zh-CN"/>
        </w:rPr>
        <w:t>财务</w:t>
      </w:r>
      <w:r w:rsidRPr="003A6F5C">
        <w:rPr>
          <w:rFonts w:eastAsia="SimSun" w:cs="Calibri"/>
          <w:lang w:val="zh-CN" w:eastAsia="zh-CN"/>
        </w:rPr>
        <w:t>和人力资源，加强巴勒斯坦的电信和</w:t>
      </w:r>
      <w:r w:rsidRPr="003A6F5C">
        <w:rPr>
          <w:rFonts w:eastAsia="SimSun" w:cs="Calibri"/>
          <w:lang w:val="zh-CN" w:eastAsia="zh-CN"/>
        </w:rPr>
        <w:t>ICT</w:t>
      </w:r>
      <w:r w:rsidRPr="003A6F5C">
        <w:rPr>
          <w:rFonts w:eastAsia="SimSun" w:cs="Calibri"/>
          <w:lang w:val="zh-CN" w:eastAsia="zh-CN"/>
        </w:rPr>
        <w:t>部门，</w:t>
      </w:r>
      <w:r w:rsidRPr="003A6F5C">
        <w:rPr>
          <w:rFonts w:eastAsia="SimSun" w:cs="Calibri"/>
          <w:lang w:eastAsia="zh-CN"/>
        </w:rPr>
        <w:t>并确保在持续面临挑战的情况下仍能保持有效参与</w:t>
      </w:r>
      <w:r w:rsidRPr="003A6F5C">
        <w:rPr>
          <w:rFonts w:eastAsia="SimSun" w:cs="Calibri" w:hint="eastAsia"/>
          <w:lang w:eastAsia="zh-CN"/>
        </w:rPr>
        <w:t>。</w:t>
      </w:r>
    </w:p>
    <w:p w14:paraId="09886B38" w14:textId="77777777" w:rsidR="00187A07" w:rsidRPr="003A6F5C" w:rsidRDefault="00187A07" w:rsidP="00187A07">
      <w:pPr>
        <w:pStyle w:val="Headingb"/>
        <w:ind w:left="567" w:hanging="567"/>
        <w:rPr>
          <w:rFonts w:eastAsia="SimSun" w:cs="Calibri"/>
          <w:lang w:eastAsia="zh-CN"/>
        </w:rPr>
      </w:pPr>
      <w:r w:rsidRPr="003A6F5C">
        <w:rPr>
          <w:rFonts w:eastAsia="SimSun" w:cs="Calibri"/>
          <w:bCs/>
          <w:lang w:val="zh-CN" w:eastAsia="zh-CN"/>
        </w:rPr>
        <w:t>11</w:t>
      </w:r>
      <w:r w:rsidRPr="003A6F5C">
        <w:rPr>
          <w:rFonts w:eastAsia="SimSun" w:cs="Calibri"/>
          <w:bCs/>
          <w:lang w:val="zh-CN" w:eastAsia="zh-CN"/>
        </w:rPr>
        <w:tab/>
      </w:r>
      <w:r w:rsidRPr="003A6F5C">
        <w:rPr>
          <w:rFonts w:eastAsia="SimSun" w:cs="Calibri"/>
          <w:bCs/>
          <w:lang w:val="zh-CN" w:eastAsia="zh-CN"/>
        </w:rPr>
        <w:t>连通性规划平台（</w:t>
      </w:r>
      <w:r w:rsidRPr="003A6F5C">
        <w:rPr>
          <w:rFonts w:eastAsia="SimSun" w:cs="Calibri"/>
          <w:bCs/>
          <w:lang w:val="zh-CN" w:eastAsia="zh-CN"/>
        </w:rPr>
        <w:t>CPP</w:t>
      </w:r>
      <w:r w:rsidRPr="003A6F5C">
        <w:rPr>
          <w:rFonts w:eastAsia="SimSun" w:cs="Calibri"/>
          <w:bCs/>
          <w:lang w:val="zh-CN" w:eastAsia="zh-CN"/>
        </w:rPr>
        <w:t>）</w:t>
      </w:r>
      <w:r w:rsidRPr="003A6F5C">
        <w:rPr>
          <w:rFonts w:eastAsia="SimSun" w:cs="Calibri" w:hint="eastAsia"/>
          <w:bCs/>
          <w:lang w:val="zh-CN" w:eastAsia="zh-CN"/>
        </w:rPr>
        <w:t>与</w:t>
      </w:r>
      <w:r w:rsidRPr="003A6F5C">
        <w:rPr>
          <w:rFonts w:eastAsia="SimSun" w:cs="Calibri"/>
          <w:bCs/>
          <w:lang w:val="zh-CN" w:eastAsia="zh-CN"/>
        </w:rPr>
        <w:t>巴勒斯坦国的合作</w:t>
      </w:r>
    </w:p>
    <w:p w14:paraId="5185FCF6"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继</w:t>
      </w:r>
      <w:r w:rsidRPr="003A6F5C">
        <w:rPr>
          <w:rFonts w:eastAsia="SimSun" w:cs="Calibri"/>
          <w:lang w:val="zh-CN" w:eastAsia="zh-CN"/>
        </w:rPr>
        <w:t>2026</w:t>
      </w:r>
      <w:r w:rsidRPr="003A6F5C">
        <w:rPr>
          <w:rFonts w:eastAsia="SimSun" w:cs="Calibri"/>
          <w:lang w:val="zh-CN" w:eastAsia="zh-CN"/>
        </w:rPr>
        <w:t>年</w:t>
      </w:r>
      <w:r w:rsidRPr="003A6F5C">
        <w:rPr>
          <w:rFonts w:eastAsia="SimSun" w:cs="Calibri"/>
          <w:lang w:val="zh-CN" w:eastAsia="zh-CN"/>
        </w:rPr>
        <w:t>2</w:t>
      </w:r>
      <w:r w:rsidRPr="003A6F5C">
        <w:rPr>
          <w:rFonts w:eastAsia="SimSun" w:cs="Calibri"/>
          <w:lang w:val="zh-CN" w:eastAsia="zh-CN"/>
        </w:rPr>
        <w:t>月与</w:t>
      </w:r>
      <w:r w:rsidRPr="003A6F5C">
        <w:rPr>
          <w:rFonts w:eastAsia="SimSun" w:cs="Calibri"/>
          <w:lang w:val="zh-CN" w:eastAsia="zh-CN"/>
        </w:rPr>
        <w:t>MTDE</w:t>
      </w:r>
      <w:r w:rsidRPr="003A6F5C">
        <w:rPr>
          <w:rFonts w:eastAsia="SimSun" w:cs="Calibri"/>
          <w:lang w:val="zh-CN" w:eastAsia="zh-CN"/>
        </w:rPr>
        <w:t>副部长阁下举行会议之后，国际电联在推动巴勒斯坦国</w:t>
      </w:r>
      <w:r w:rsidRPr="003A6F5C">
        <w:rPr>
          <w:rFonts w:eastAsia="SimSun" w:cs="Calibri" w:hint="eastAsia"/>
          <w:lang w:val="zh-CN" w:eastAsia="zh-CN"/>
        </w:rPr>
        <w:t>参与</w:t>
      </w:r>
      <w:r w:rsidRPr="003A6F5C">
        <w:rPr>
          <w:rFonts w:eastAsia="SimSun" w:cs="Calibri"/>
          <w:lang w:val="zh-CN" w:eastAsia="zh-CN"/>
        </w:rPr>
        <w:t>连通性规划平台（</w:t>
      </w:r>
      <w:r w:rsidRPr="003A6F5C">
        <w:rPr>
          <w:rFonts w:eastAsia="SimSun" w:cs="Calibri"/>
          <w:lang w:val="zh-CN" w:eastAsia="zh-CN"/>
        </w:rPr>
        <w:t>CPP</w:t>
      </w:r>
      <w:r w:rsidRPr="003A6F5C">
        <w:rPr>
          <w:rFonts w:eastAsia="SimSun" w:cs="Calibri"/>
          <w:lang w:val="zh-CN" w:eastAsia="zh-CN"/>
        </w:rPr>
        <w:t>）</w:t>
      </w:r>
      <w:r w:rsidRPr="003A6F5C">
        <w:rPr>
          <w:rFonts w:eastAsia="SimSun" w:cs="Calibri" w:hint="eastAsia"/>
          <w:lang w:val="zh-CN" w:eastAsia="zh-CN"/>
        </w:rPr>
        <w:t>方面</w:t>
      </w:r>
      <w:r w:rsidRPr="003A6F5C">
        <w:rPr>
          <w:rFonts w:eastAsia="SimSun" w:cs="Calibri"/>
          <w:lang w:val="zh-CN" w:eastAsia="zh-CN"/>
        </w:rPr>
        <w:t>取得了实质性进展。</w:t>
      </w:r>
    </w:p>
    <w:p w14:paraId="1C465D5C" w14:textId="77777777" w:rsidR="00187A07" w:rsidRPr="003A6F5C" w:rsidRDefault="00187A07" w:rsidP="00187A07">
      <w:pPr>
        <w:pStyle w:val="enumlev1"/>
        <w:rPr>
          <w:rFonts w:eastAsia="SimSun" w:cs="Calibri"/>
          <w:spacing w:val="-2"/>
          <w:lang w:eastAsia="zh-CN"/>
        </w:rPr>
      </w:pPr>
      <w:r w:rsidRPr="003A6F5C">
        <w:rPr>
          <w:rFonts w:eastAsia="SimSun" w:cs="Calibri"/>
          <w:lang w:val="zh-CN" w:eastAsia="zh-CN"/>
        </w:rPr>
        <w:tab/>
        <w:t>2026</w:t>
      </w:r>
      <w:r w:rsidRPr="003A6F5C">
        <w:rPr>
          <w:rFonts w:eastAsia="SimSun" w:cs="Calibri"/>
          <w:lang w:val="zh-CN" w:eastAsia="zh-CN"/>
        </w:rPr>
        <w:t>年</w:t>
      </w:r>
      <w:r w:rsidRPr="003A6F5C">
        <w:rPr>
          <w:rFonts w:eastAsia="SimSun" w:cs="Calibri"/>
          <w:lang w:val="zh-CN" w:eastAsia="zh-CN"/>
        </w:rPr>
        <w:t>3</w:t>
      </w:r>
      <w:r w:rsidRPr="003A6F5C">
        <w:rPr>
          <w:rFonts w:eastAsia="SimSun" w:cs="Calibri"/>
          <w:lang w:val="zh-CN" w:eastAsia="zh-CN"/>
        </w:rPr>
        <w:t>月，与该部的高级官员和技术人员举行了一次介绍会，期间介绍了平台的功能，并讨论了国家连通性的优先事项。随后，该部正式指定四名高级联系人领导国家参与</w:t>
      </w:r>
      <w:r w:rsidRPr="003A6F5C">
        <w:rPr>
          <w:rFonts w:eastAsia="SimSun" w:cs="Calibri" w:hint="eastAsia"/>
          <w:lang w:val="zh-CN" w:eastAsia="zh-CN"/>
        </w:rPr>
        <w:t>工作</w:t>
      </w:r>
      <w:r w:rsidRPr="003A6F5C">
        <w:rPr>
          <w:rFonts w:eastAsia="SimSun" w:cs="Calibri"/>
          <w:lang w:val="zh-CN" w:eastAsia="zh-CN"/>
        </w:rPr>
        <w:t>。正式创建了用户账户，批准了对平台的访问权，并为应对初始登录问题提供了技术支持。</w:t>
      </w:r>
    </w:p>
    <w:p w14:paraId="52784CCA"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后续技术会议定于</w:t>
      </w:r>
      <w:r w:rsidRPr="003A6F5C">
        <w:rPr>
          <w:rFonts w:eastAsia="SimSun" w:cs="Calibri"/>
          <w:lang w:val="zh-CN" w:eastAsia="zh-CN"/>
        </w:rPr>
        <w:t>2026</w:t>
      </w:r>
      <w:r w:rsidRPr="003A6F5C">
        <w:rPr>
          <w:rFonts w:eastAsia="SimSun" w:cs="Calibri"/>
          <w:lang w:val="zh-CN" w:eastAsia="zh-CN"/>
        </w:rPr>
        <w:t>年</w:t>
      </w:r>
      <w:r w:rsidRPr="003A6F5C">
        <w:rPr>
          <w:rFonts w:eastAsia="SimSun" w:cs="Calibri"/>
          <w:lang w:val="zh-CN" w:eastAsia="zh-CN"/>
        </w:rPr>
        <w:t>4</w:t>
      </w:r>
      <w:r w:rsidRPr="003A6F5C">
        <w:rPr>
          <w:rFonts w:eastAsia="SimSun" w:cs="Calibri"/>
          <w:lang w:val="zh-CN" w:eastAsia="zh-CN"/>
        </w:rPr>
        <w:t>月</w:t>
      </w:r>
      <w:r w:rsidRPr="003A6F5C">
        <w:rPr>
          <w:rFonts w:eastAsia="SimSun" w:cs="Calibri"/>
          <w:lang w:val="zh-CN" w:eastAsia="zh-CN"/>
        </w:rPr>
        <w:t>15</w:t>
      </w:r>
      <w:r w:rsidRPr="003A6F5C">
        <w:rPr>
          <w:rFonts w:eastAsia="SimSun" w:cs="Calibri"/>
          <w:lang w:val="zh-CN" w:eastAsia="zh-CN"/>
        </w:rPr>
        <w:t>日举行，旨在更深入地了解该平台并探索可用数据集的使用</w:t>
      </w:r>
      <w:r w:rsidRPr="003A6F5C">
        <w:rPr>
          <w:rFonts w:eastAsia="SimSun" w:cs="Calibri" w:hint="eastAsia"/>
          <w:lang w:val="zh-CN" w:eastAsia="zh-CN"/>
        </w:rPr>
        <w:t>情况</w:t>
      </w:r>
      <w:r w:rsidRPr="003A6F5C">
        <w:rPr>
          <w:rFonts w:eastAsia="SimSun" w:cs="Calibri"/>
          <w:lang w:val="zh-CN" w:eastAsia="zh-CN"/>
        </w:rPr>
        <w:t>。根据国际电联相关决议，这一协作直接有助于加强巴勒斯坦在数据驱动型基础设施规划方面的能力。</w:t>
      </w:r>
    </w:p>
    <w:p w14:paraId="6C26CE54" w14:textId="77777777" w:rsidR="00187A07" w:rsidRPr="003A6F5C" w:rsidRDefault="00187A07" w:rsidP="00187A07">
      <w:pPr>
        <w:pStyle w:val="Headingb"/>
        <w:rPr>
          <w:rFonts w:eastAsia="SimSun" w:cs="Calibri"/>
          <w:lang w:eastAsia="zh-CN"/>
        </w:rPr>
      </w:pPr>
      <w:r w:rsidRPr="003A6F5C">
        <w:rPr>
          <w:rFonts w:eastAsia="SimSun" w:cs="Calibri"/>
          <w:bCs/>
          <w:lang w:val="zh-CN" w:eastAsia="zh-CN"/>
        </w:rPr>
        <w:t>12</w:t>
      </w:r>
      <w:r w:rsidRPr="003A6F5C">
        <w:rPr>
          <w:rFonts w:eastAsia="SimSun" w:cs="Calibri"/>
          <w:bCs/>
          <w:lang w:val="zh-CN" w:eastAsia="zh-CN"/>
        </w:rPr>
        <w:tab/>
      </w:r>
      <w:r w:rsidRPr="003A6F5C">
        <w:rPr>
          <w:rFonts w:eastAsia="SimSun" w:cs="Calibri"/>
          <w:bCs/>
          <w:lang w:val="zh-CN" w:eastAsia="zh-CN"/>
        </w:rPr>
        <w:t>巴勒斯坦的数字创新概况</w:t>
      </w:r>
    </w:p>
    <w:p w14:paraId="27C64A67"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t>2025</w:t>
      </w:r>
      <w:r w:rsidRPr="003A6F5C">
        <w:rPr>
          <w:rFonts w:eastAsia="SimSun" w:cs="Calibri"/>
          <w:lang w:val="zh-CN" w:eastAsia="zh-CN"/>
        </w:rPr>
        <w:t>年与巴勒斯坦国</w:t>
      </w:r>
      <w:r w:rsidRPr="003A6F5C">
        <w:rPr>
          <w:rFonts w:eastAsia="SimSun" w:cs="Calibri" w:hint="eastAsia"/>
          <w:lang w:val="zh-CN" w:eastAsia="zh-CN"/>
        </w:rPr>
        <w:t>电信和数字经济</w:t>
      </w:r>
      <w:r w:rsidRPr="003A6F5C">
        <w:rPr>
          <w:rFonts w:eastAsia="SimSun" w:cs="Calibri"/>
          <w:lang w:val="zh-CN" w:eastAsia="zh-CN"/>
        </w:rPr>
        <w:t>部密切合作，</w:t>
      </w:r>
      <w:r w:rsidRPr="003A6F5C">
        <w:rPr>
          <w:rFonts w:eastAsia="SimSun" w:cs="Calibri"/>
          <w:lang w:eastAsia="zh-CN"/>
        </w:rPr>
        <w:t>启动了一项援助项目</w:t>
      </w:r>
      <w:r w:rsidRPr="003A6F5C">
        <w:rPr>
          <w:rFonts w:eastAsia="SimSun" w:cs="Calibri"/>
          <w:lang w:val="zh-CN" w:eastAsia="zh-CN"/>
        </w:rPr>
        <w:t>，以支持</w:t>
      </w:r>
      <w:r w:rsidRPr="003A6F5C">
        <w:rPr>
          <w:rFonts w:eastAsia="SimSun" w:cs="Calibri"/>
          <w:lang w:eastAsia="zh-CN"/>
        </w:rPr>
        <w:t>编制</w:t>
      </w:r>
      <w:r w:rsidRPr="003A6F5C">
        <w:rPr>
          <w:rFonts w:eastAsia="SimSun" w:cs="Calibri" w:hint="eastAsia"/>
          <w:lang w:eastAsia="zh-CN"/>
        </w:rPr>
        <w:t>《</w:t>
      </w:r>
      <w:r w:rsidRPr="003A6F5C">
        <w:rPr>
          <w:rFonts w:eastAsia="SimSun" w:cs="Calibri"/>
          <w:lang w:val="zh-CN" w:eastAsia="zh-CN"/>
        </w:rPr>
        <w:t>巴勒斯坦国数字创新概况</w:t>
      </w:r>
      <w:r w:rsidRPr="003A6F5C">
        <w:rPr>
          <w:rFonts w:eastAsia="SimSun" w:cs="Calibri" w:hint="eastAsia"/>
          <w:lang w:val="zh-CN" w:eastAsia="zh-CN"/>
        </w:rPr>
        <w:t>》</w:t>
      </w:r>
      <w:r w:rsidRPr="003A6F5C">
        <w:rPr>
          <w:rFonts w:eastAsia="SimSun" w:cs="Calibri"/>
          <w:lang w:val="zh-CN" w:eastAsia="zh-CN"/>
        </w:rPr>
        <w:t>。此数字创新概况对巴勒斯坦国以</w:t>
      </w:r>
      <w:r w:rsidRPr="003A6F5C">
        <w:rPr>
          <w:rFonts w:eastAsia="SimSun" w:cs="Calibri"/>
          <w:lang w:val="zh-CN" w:eastAsia="zh-CN"/>
        </w:rPr>
        <w:t>ICT</w:t>
      </w:r>
      <w:r w:rsidRPr="003A6F5C">
        <w:rPr>
          <w:rFonts w:eastAsia="SimSun" w:cs="Calibri"/>
          <w:lang w:val="zh-CN" w:eastAsia="zh-CN"/>
        </w:rPr>
        <w:t>为中心的创新</w:t>
      </w:r>
      <w:r w:rsidRPr="003A6F5C">
        <w:rPr>
          <w:rFonts w:eastAsia="SimSun" w:cs="Calibri" w:hint="eastAsia"/>
          <w:lang w:val="zh-CN" w:eastAsia="zh-CN"/>
        </w:rPr>
        <w:t>格局</w:t>
      </w:r>
      <w:r w:rsidRPr="003A6F5C">
        <w:rPr>
          <w:rFonts w:eastAsia="SimSun" w:cs="Calibri"/>
          <w:lang w:val="zh-CN" w:eastAsia="zh-CN"/>
        </w:rPr>
        <w:t>进行了</w:t>
      </w:r>
      <w:r w:rsidRPr="003A6F5C">
        <w:rPr>
          <w:rFonts w:eastAsia="SimSun" w:cs="Calibri"/>
          <w:lang w:eastAsia="zh-CN"/>
        </w:rPr>
        <w:t>基于</w:t>
      </w:r>
      <w:r w:rsidRPr="003A6F5C">
        <w:rPr>
          <w:rFonts w:eastAsia="SimSun" w:cs="Calibri"/>
          <w:lang w:val="zh-CN" w:eastAsia="zh-CN"/>
        </w:rPr>
        <w:t>数据和</w:t>
      </w:r>
      <w:r w:rsidRPr="003A6F5C">
        <w:rPr>
          <w:rFonts w:eastAsia="SimSun" w:cs="Calibri"/>
          <w:lang w:eastAsia="zh-CN"/>
        </w:rPr>
        <w:t>充分吸纳</w:t>
      </w:r>
      <w:r w:rsidRPr="003A6F5C">
        <w:rPr>
          <w:rFonts w:eastAsia="SimSun" w:cs="Calibri"/>
          <w:lang w:val="zh-CN" w:eastAsia="zh-CN"/>
        </w:rPr>
        <w:t>利益攸关方</w:t>
      </w:r>
      <w:r w:rsidRPr="003A6F5C">
        <w:rPr>
          <w:rFonts w:eastAsia="SimSun" w:cs="Calibri"/>
          <w:lang w:eastAsia="zh-CN"/>
        </w:rPr>
        <w:t>意见</w:t>
      </w:r>
      <w:r w:rsidRPr="003A6F5C">
        <w:rPr>
          <w:rFonts w:eastAsia="SimSun" w:cs="Calibri"/>
          <w:lang w:val="zh-CN" w:eastAsia="zh-CN"/>
        </w:rPr>
        <w:t>的评估。</w:t>
      </w:r>
    </w:p>
    <w:p w14:paraId="7D211BD1"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该报告</w:t>
      </w:r>
      <w:r w:rsidRPr="003A6F5C">
        <w:rPr>
          <w:rFonts w:eastAsia="SimSun" w:cs="Calibri" w:hint="eastAsia"/>
          <w:lang w:val="zh-CN" w:eastAsia="zh-CN"/>
        </w:rPr>
        <w:t>基于在</w:t>
      </w:r>
      <w:r w:rsidRPr="003A6F5C">
        <w:rPr>
          <w:rFonts w:eastAsia="SimSun" w:cs="Calibri"/>
          <w:lang w:val="zh-CN" w:eastAsia="zh-CN"/>
        </w:rPr>
        <w:t>政府、私营部门、学术界、民间团体和国际合作伙伴</w:t>
      </w:r>
      <w:r w:rsidRPr="003A6F5C">
        <w:rPr>
          <w:rFonts w:eastAsia="SimSun" w:cs="Calibri" w:hint="eastAsia"/>
          <w:lang w:val="zh-CN" w:eastAsia="zh-CN"/>
        </w:rPr>
        <w:t>中开展</w:t>
      </w:r>
      <w:r w:rsidRPr="003A6F5C">
        <w:rPr>
          <w:rFonts w:eastAsia="SimSun" w:cs="Calibri"/>
          <w:lang w:val="zh-CN" w:eastAsia="zh-CN"/>
        </w:rPr>
        <w:t>的</w:t>
      </w:r>
      <w:r w:rsidRPr="003A6F5C">
        <w:rPr>
          <w:rFonts w:eastAsia="SimSun" w:cs="Calibri"/>
          <w:lang w:val="zh-CN" w:eastAsia="zh-CN"/>
        </w:rPr>
        <w:t>30</w:t>
      </w:r>
      <w:r w:rsidRPr="003A6F5C">
        <w:rPr>
          <w:rFonts w:eastAsia="SimSun" w:cs="Calibri"/>
          <w:lang w:val="zh-CN" w:eastAsia="zh-CN"/>
        </w:rPr>
        <w:t>多次磋商，确定了主要优势、挑战和优先干预领域。它既</w:t>
      </w:r>
      <w:r w:rsidRPr="003A6F5C">
        <w:rPr>
          <w:rFonts w:eastAsia="SimSun" w:cs="Calibri" w:hint="eastAsia"/>
          <w:lang w:val="zh-CN" w:eastAsia="zh-CN"/>
        </w:rPr>
        <w:t>是</w:t>
      </w:r>
      <w:r w:rsidRPr="003A6F5C">
        <w:rPr>
          <w:rFonts w:eastAsia="SimSun" w:cs="Calibri"/>
          <w:lang w:val="zh-CN" w:eastAsia="zh-CN"/>
        </w:rPr>
        <w:t>诊断工具，又</w:t>
      </w:r>
      <w:r w:rsidRPr="003A6F5C">
        <w:rPr>
          <w:rFonts w:eastAsia="SimSun" w:cs="Calibri" w:hint="eastAsia"/>
          <w:lang w:val="zh-CN" w:eastAsia="zh-CN"/>
        </w:rPr>
        <w:t>是</w:t>
      </w:r>
      <w:r w:rsidRPr="003A6F5C">
        <w:rPr>
          <w:rFonts w:eastAsia="SimSun" w:cs="Calibri"/>
          <w:lang w:val="zh-CN" w:eastAsia="zh-CN"/>
        </w:rPr>
        <w:t>战略指南，旨在为循证决策和投资规划提供</w:t>
      </w:r>
      <w:r w:rsidRPr="003A6F5C">
        <w:rPr>
          <w:rFonts w:eastAsia="SimSun" w:cs="Calibri"/>
          <w:lang w:eastAsia="zh-CN"/>
        </w:rPr>
        <w:t>依据</w:t>
      </w:r>
      <w:r w:rsidRPr="003A6F5C">
        <w:rPr>
          <w:rFonts w:eastAsia="SimSun" w:cs="Calibri"/>
          <w:lang w:val="zh-CN" w:eastAsia="zh-CN"/>
        </w:rPr>
        <w:t>。</w:t>
      </w:r>
    </w:p>
    <w:p w14:paraId="7A352F49" w14:textId="77777777" w:rsidR="00187A07" w:rsidRPr="003A6F5C" w:rsidRDefault="00187A07" w:rsidP="00187A07">
      <w:pPr>
        <w:pStyle w:val="enumlev1"/>
        <w:rPr>
          <w:rFonts w:eastAsia="SimSun" w:cs="Calibri"/>
          <w:lang w:eastAsia="zh-CN"/>
        </w:rPr>
      </w:pPr>
      <w:r w:rsidRPr="003A6F5C">
        <w:rPr>
          <w:rFonts w:eastAsia="SimSun" w:cs="Calibri"/>
          <w:lang w:val="zh-CN" w:eastAsia="zh-CN"/>
        </w:rPr>
        <w:tab/>
      </w:r>
      <w:r w:rsidRPr="003A6F5C">
        <w:rPr>
          <w:rFonts w:eastAsia="SimSun" w:cs="Calibri"/>
          <w:lang w:val="zh-CN" w:eastAsia="zh-CN"/>
        </w:rPr>
        <w:t>该报告预计将于</w:t>
      </w:r>
      <w:r w:rsidRPr="003A6F5C">
        <w:rPr>
          <w:rFonts w:eastAsia="SimSun" w:cs="Calibri"/>
          <w:lang w:val="zh-CN" w:eastAsia="zh-CN"/>
        </w:rPr>
        <w:t>2026</w:t>
      </w:r>
      <w:r w:rsidRPr="003A6F5C">
        <w:rPr>
          <w:rFonts w:eastAsia="SimSun" w:cs="Calibri"/>
          <w:lang w:val="zh-CN" w:eastAsia="zh-CN"/>
        </w:rPr>
        <w:t>年第三季度定稿并发布。</w:t>
      </w:r>
    </w:p>
    <w:p w14:paraId="65640837" w14:textId="77777777" w:rsidR="00187A07" w:rsidRPr="003A6F5C" w:rsidRDefault="00187A07" w:rsidP="00803C09">
      <w:pPr>
        <w:spacing w:before="360"/>
        <w:jc w:val="center"/>
        <w:rPr>
          <w:rFonts w:eastAsia="SimSun" w:cs="Calibri"/>
        </w:rPr>
      </w:pPr>
      <w:r w:rsidRPr="003A6F5C">
        <w:rPr>
          <w:rFonts w:eastAsia="SimSun" w:cs="Calibri"/>
          <w:lang w:val="zh-CN"/>
        </w:rPr>
        <w:t>______________</w:t>
      </w:r>
    </w:p>
    <w:sectPr w:rsidR="00187A07" w:rsidRPr="003A6F5C"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DB19" w14:textId="77777777" w:rsidR="00F51992" w:rsidRDefault="00F51992">
      <w:r>
        <w:separator/>
      </w:r>
    </w:p>
  </w:endnote>
  <w:endnote w:type="continuationSeparator" w:id="0">
    <w:p w14:paraId="17DFEE95" w14:textId="77777777" w:rsidR="00F51992" w:rsidRDefault="00F5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42595A25" w:rsidR="00EE49E8" w:rsidRPr="00E82E09" w:rsidRDefault="00B464AF" w:rsidP="00EE49E8">
          <w:pPr>
            <w:pStyle w:val="Header"/>
            <w:jc w:val="left"/>
            <w:rPr>
              <w:rFonts w:eastAsiaTheme="minorEastAsia"/>
              <w:noProof/>
              <w:lang w:eastAsia="zh-CN"/>
            </w:rPr>
          </w:pPr>
          <w:r>
            <w:rPr>
              <w:noProof/>
            </w:rPr>
            <w:t>R</w:t>
          </w:r>
          <w:r w:rsidR="009B5D72">
            <w:rPr>
              <w:noProof/>
            </w:rPr>
            <w:t>2600</w:t>
          </w:r>
          <w:r w:rsidR="00E82E09">
            <w:rPr>
              <w:rFonts w:eastAsiaTheme="minorEastAsia" w:hint="eastAsia"/>
              <w:noProof/>
              <w:lang w:eastAsia="zh-CN"/>
            </w:rPr>
            <w:t>742</w:t>
          </w:r>
        </w:p>
      </w:tc>
      <w:tc>
        <w:tcPr>
          <w:tcW w:w="8261" w:type="dxa"/>
        </w:tcPr>
        <w:p w14:paraId="3E7590DE" w14:textId="4B08E0E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803C09">
            <w:rPr>
              <w:rFonts w:eastAsiaTheme="minorEastAsia"/>
              <w:bCs/>
              <w:lang w:eastAsia="zh-CN"/>
            </w:rPr>
            <w:t>69</w:t>
          </w:r>
          <w:r w:rsidRPr="00623AE3">
            <w:rPr>
              <w:bCs/>
            </w:rPr>
            <w:t>-</w:t>
          </w:r>
          <w:r w:rsidR="009B784E">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0AE14C1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803C09">
            <w:rPr>
              <w:bCs/>
            </w:rPr>
            <w:t>69</w:t>
          </w:r>
          <w:r w:rsidRPr="00623AE3">
            <w:rPr>
              <w:bCs/>
            </w:rPr>
            <w:t>-</w:t>
          </w:r>
          <w:r w:rsidR="009B784E">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D5A0" w14:textId="77777777" w:rsidR="00F51992" w:rsidRDefault="00F51992">
      <w:r>
        <w:t>____________________</w:t>
      </w:r>
    </w:p>
  </w:footnote>
  <w:footnote w:type="continuationSeparator" w:id="0">
    <w:p w14:paraId="2091F77B" w14:textId="77777777" w:rsidR="00F51992" w:rsidRDefault="00F51992">
      <w:r>
        <w:continuationSeparator/>
      </w:r>
    </w:p>
  </w:footnote>
  <w:footnote w:id="1">
    <w:p w14:paraId="103E71E8" w14:textId="681586C2" w:rsidR="00F070FA" w:rsidRPr="005C276E" w:rsidRDefault="00F070FA" w:rsidP="00F070FA">
      <w:pPr>
        <w:pStyle w:val="FootnoteText"/>
        <w:rPr>
          <w:rFonts w:eastAsia="SimSun" w:cs="Calibri"/>
          <w:lang w:eastAsia="zh-CN"/>
        </w:rPr>
      </w:pPr>
      <w:r>
        <w:rPr>
          <w:rStyle w:val="FootnoteReference"/>
          <w:lang w:eastAsia="zh-CN"/>
        </w:rPr>
        <w:t>1</w:t>
      </w:r>
      <w:r>
        <w:rPr>
          <w:lang w:eastAsia="zh-CN"/>
        </w:rPr>
        <w:tab/>
      </w:r>
      <w:hyperlink r:id="rId1" w:history="1">
        <w:r>
          <w:rPr>
            <w:rStyle w:val="Hyperlink"/>
            <w:rFonts w:eastAsia="SimSun" w:cs="Calibri" w:hint="eastAsia"/>
            <w:sz w:val="20"/>
            <w:lang w:eastAsia="zh-CN"/>
          </w:rPr>
          <w:t>《加沙与约旦河西岸临时快速损害和需求评估》（</w:t>
        </w:r>
        <w:r>
          <w:rPr>
            <w:rStyle w:val="Hyperlink"/>
            <w:rFonts w:eastAsia="SimSun" w:cs="Calibri" w:hint="eastAsia"/>
            <w:sz w:val="20"/>
            <w:lang w:eastAsia="zh-CN"/>
          </w:rPr>
          <w:t>2025</w:t>
        </w:r>
        <w:r>
          <w:rPr>
            <w:rStyle w:val="Hyperlink"/>
            <w:rFonts w:eastAsia="SimSun" w:cs="Calibri" w:hint="eastAsia"/>
            <w:sz w:val="20"/>
            <w:lang w:eastAsia="zh-CN"/>
          </w:rPr>
          <w:t>年</w:t>
        </w:r>
        <w:r>
          <w:rPr>
            <w:rStyle w:val="Hyperlink"/>
            <w:rFonts w:eastAsia="SimSun" w:cs="Calibri" w:hint="eastAsia"/>
            <w:sz w:val="20"/>
            <w:lang w:eastAsia="zh-CN"/>
          </w:rPr>
          <w:t>2</w:t>
        </w:r>
        <w:r>
          <w:rPr>
            <w:rStyle w:val="Hyperlink"/>
            <w:rFonts w:eastAsia="SimSun" w:cs="Calibri" w:hint="eastAsia"/>
            <w:sz w:val="20"/>
            <w:lang w:eastAsia="zh-CN"/>
          </w:rPr>
          <w:t>月）</w:t>
        </w:r>
      </w:hyperlink>
      <w:r>
        <w:rPr>
          <w:lang w:val="zh-CN" w:eastAsia="zh-CN"/>
        </w:rPr>
        <w:t>。</w:t>
      </w:r>
    </w:p>
  </w:footnote>
  <w:footnote w:id="2">
    <w:p w14:paraId="19947A13" w14:textId="4E09AF3A" w:rsidR="00F070FA" w:rsidRPr="005C276E" w:rsidRDefault="00F070FA" w:rsidP="00F070FA">
      <w:pPr>
        <w:pStyle w:val="FootnoteText"/>
        <w:spacing w:before="40"/>
        <w:rPr>
          <w:rFonts w:eastAsia="SimSun" w:cs="Calibri"/>
          <w:lang w:eastAsia="zh-CN"/>
        </w:rPr>
      </w:pPr>
      <w:r w:rsidRPr="005C276E">
        <w:rPr>
          <w:rStyle w:val="FootnoteReference"/>
          <w:rFonts w:eastAsia="SimSun" w:cs="Calibri"/>
          <w:lang w:eastAsia="zh-CN"/>
        </w:rPr>
        <w:t>2</w:t>
      </w:r>
      <w:r w:rsidRPr="005C276E">
        <w:rPr>
          <w:rFonts w:eastAsia="SimSun" w:cs="Calibri"/>
          <w:lang w:eastAsia="zh-CN"/>
        </w:rPr>
        <w:tab/>
      </w:r>
      <w:r>
        <w:fldChar w:fldCharType="begin"/>
      </w:r>
      <w:r>
        <w:rPr>
          <w:lang w:eastAsia="zh-CN"/>
        </w:rPr>
        <w:instrText>HYPERLINK "https://thedocs.worldbank.org/en/doc/133c3304e29086819c1119fe8e85366b-0280012025/original/Gaza-RDNA-final-med.pdf"</w:instrText>
      </w:r>
      <w:r>
        <w:fldChar w:fldCharType="separate"/>
      </w:r>
      <w:r w:rsidRPr="005C276E">
        <w:rPr>
          <w:rStyle w:val="Hyperlink"/>
          <w:rFonts w:eastAsia="SimSun" w:cs="Calibri" w:hint="eastAsia"/>
          <w:sz w:val="20"/>
          <w:lang w:eastAsia="zh-CN"/>
        </w:rPr>
        <w:t>《加沙与约旦河西岸临时快速损害和需求评估》（</w:t>
      </w:r>
      <w:r w:rsidRPr="005C276E">
        <w:rPr>
          <w:rStyle w:val="Hyperlink"/>
          <w:rFonts w:eastAsia="SimSun" w:cs="Calibri"/>
          <w:sz w:val="20"/>
          <w:lang w:eastAsia="zh-CN"/>
        </w:rPr>
        <w:t>2025</w:t>
      </w:r>
      <w:r w:rsidRPr="005C276E">
        <w:rPr>
          <w:rStyle w:val="Hyperlink"/>
          <w:rFonts w:eastAsia="SimSun" w:cs="Calibri" w:hint="eastAsia"/>
          <w:sz w:val="20"/>
          <w:lang w:eastAsia="zh-CN"/>
        </w:rPr>
        <w:t>年</w:t>
      </w:r>
      <w:r w:rsidRPr="005C276E">
        <w:rPr>
          <w:rStyle w:val="Hyperlink"/>
          <w:rFonts w:eastAsia="SimSun" w:cs="Calibri"/>
          <w:sz w:val="20"/>
          <w:lang w:eastAsia="zh-CN"/>
        </w:rPr>
        <w:t>2</w:t>
      </w:r>
      <w:r w:rsidRPr="005C276E">
        <w:rPr>
          <w:rStyle w:val="Hyperlink"/>
          <w:rFonts w:eastAsia="SimSun" w:cs="Calibri" w:hint="eastAsia"/>
          <w:sz w:val="20"/>
          <w:lang w:eastAsia="zh-CN"/>
        </w:rPr>
        <w:t>月）</w:t>
      </w:r>
      <w:r>
        <w:fldChar w:fldCharType="end"/>
      </w:r>
      <w:r>
        <w:rPr>
          <w:lang w:val="zh-CN" w:eastAsia="zh-CN"/>
        </w:rPr>
        <w:t>。</w:t>
      </w:r>
    </w:p>
  </w:footnote>
  <w:footnote w:id="3">
    <w:p w14:paraId="56283B34" w14:textId="3566A560" w:rsidR="00F070FA" w:rsidRPr="0074582F" w:rsidRDefault="00F070FA" w:rsidP="00F070FA">
      <w:pPr>
        <w:pStyle w:val="FootnoteText"/>
        <w:spacing w:before="40"/>
        <w:rPr>
          <w:lang w:eastAsia="zh-CN"/>
        </w:rPr>
      </w:pPr>
      <w:r w:rsidRPr="005C276E">
        <w:rPr>
          <w:rStyle w:val="FootnoteReference"/>
          <w:rFonts w:eastAsia="SimSun" w:cs="Calibri"/>
          <w:lang w:eastAsia="zh-CN"/>
        </w:rPr>
        <w:t>3</w:t>
      </w:r>
      <w:r w:rsidRPr="005C276E">
        <w:rPr>
          <w:rFonts w:eastAsia="SimSun" w:cs="Calibri"/>
          <w:lang w:eastAsia="zh-CN"/>
        </w:rPr>
        <w:tab/>
      </w:r>
      <w:r>
        <w:fldChar w:fldCharType="begin"/>
      </w:r>
      <w:r>
        <w:rPr>
          <w:lang w:eastAsia="zh-CN"/>
        </w:rPr>
        <w:instrText>HYPERLINK "https://thedocs.worldbank.org/en/doc/133c3304e29086819c1119fe8e85366b-0280012025/original/Gaza-RDNA-final-med.pdf"</w:instrText>
      </w:r>
      <w:r>
        <w:fldChar w:fldCharType="separate"/>
      </w:r>
      <w:r w:rsidRPr="005C276E">
        <w:rPr>
          <w:rStyle w:val="Hyperlink"/>
          <w:rFonts w:eastAsia="SimSun" w:cs="Calibri" w:hint="eastAsia"/>
          <w:sz w:val="20"/>
          <w:lang w:eastAsia="zh-CN"/>
        </w:rPr>
        <w:t>《加沙与约旦河西岸临时快速损害和需求评估》（</w:t>
      </w:r>
      <w:r w:rsidRPr="005C276E">
        <w:rPr>
          <w:rStyle w:val="Hyperlink"/>
          <w:rFonts w:eastAsia="SimSun" w:cs="Calibri"/>
          <w:sz w:val="20"/>
          <w:lang w:eastAsia="zh-CN"/>
        </w:rPr>
        <w:t>2025</w:t>
      </w:r>
      <w:r w:rsidRPr="005C276E">
        <w:rPr>
          <w:rStyle w:val="Hyperlink"/>
          <w:rFonts w:eastAsia="SimSun" w:cs="Calibri" w:hint="eastAsia"/>
          <w:sz w:val="20"/>
          <w:lang w:eastAsia="zh-CN"/>
        </w:rPr>
        <w:t>年</w:t>
      </w:r>
      <w:r w:rsidRPr="005C276E">
        <w:rPr>
          <w:rStyle w:val="Hyperlink"/>
          <w:rFonts w:eastAsia="SimSun" w:cs="Calibri"/>
          <w:sz w:val="20"/>
          <w:lang w:eastAsia="zh-CN"/>
        </w:rPr>
        <w:t>2</w:t>
      </w:r>
      <w:r w:rsidRPr="005C276E">
        <w:rPr>
          <w:rStyle w:val="Hyperlink"/>
          <w:rFonts w:eastAsia="SimSun" w:cs="Calibri" w:hint="eastAsia"/>
          <w:sz w:val="20"/>
          <w:lang w:eastAsia="zh-CN"/>
        </w:rPr>
        <w:t>月）</w:t>
      </w:r>
      <w:r>
        <w:fldChar w:fldCharType="end"/>
      </w:r>
      <w:r>
        <w:rPr>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7AAE14BC" w:rsidR="00AD3606" w:rsidRPr="00512087" w:rsidRDefault="009B5D72" w:rsidP="0049369C">
    <w:pPr>
      <w:pStyle w:val="Header"/>
    </w:pPr>
    <w:r>
      <w:rPr>
        <w:noProof/>
      </w:rPr>
      <w:drawing>
        <wp:inline distT="0" distB="0" distL="0" distR="0" wp14:anchorId="035E7CB7" wp14:editId="5FBA3732">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0163"/>
    <w:rsid w:val="000210D4"/>
    <w:rsid w:val="000264CF"/>
    <w:rsid w:val="0006007D"/>
    <w:rsid w:val="00063016"/>
    <w:rsid w:val="00066795"/>
    <w:rsid w:val="00076AF6"/>
    <w:rsid w:val="00085CD5"/>
    <w:rsid w:val="00085CF2"/>
    <w:rsid w:val="000A52ED"/>
    <w:rsid w:val="000B1705"/>
    <w:rsid w:val="000D21F8"/>
    <w:rsid w:val="000D4AF5"/>
    <w:rsid w:val="000D75B2"/>
    <w:rsid w:val="000E0596"/>
    <w:rsid w:val="000E3517"/>
    <w:rsid w:val="000E372C"/>
    <w:rsid w:val="000F25AA"/>
    <w:rsid w:val="000F5DDB"/>
    <w:rsid w:val="000F60F9"/>
    <w:rsid w:val="001121F5"/>
    <w:rsid w:val="0011538F"/>
    <w:rsid w:val="0011634E"/>
    <w:rsid w:val="001400DC"/>
    <w:rsid w:val="00140CE1"/>
    <w:rsid w:val="0015189A"/>
    <w:rsid w:val="00152828"/>
    <w:rsid w:val="0017539C"/>
    <w:rsid w:val="00175AC2"/>
    <w:rsid w:val="0017609F"/>
    <w:rsid w:val="00176F47"/>
    <w:rsid w:val="00187A07"/>
    <w:rsid w:val="001A3154"/>
    <w:rsid w:val="001A7D1D"/>
    <w:rsid w:val="001B14C1"/>
    <w:rsid w:val="001B51DD"/>
    <w:rsid w:val="001C628E"/>
    <w:rsid w:val="001D14BA"/>
    <w:rsid w:val="001E0F7B"/>
    <w:rsid w:val="001F5569"/>
    <w:rsid w:val="0020487B"/>
    <w:rsid w:val="00205BD2"/>
    <w:rsid w:val="002076D0"/>
    <w:rsid w:val="002119FD"/>
    <w:rsid w:val="002130E0"/>
    <w:rsid w:val="00221F46"/>
    <w:rsid w:val="00237882"/>
    <w:rsid w:val="00262FDC"/>
    <w:rsid w:val="00264425"/>
    <w:rsid w:val="00265875"/>
    <w:rsid w:val="0027303B"/>
    <w:rsid w:val="00276851"/>
    <w:rsid w:val="00277DEA"/>
    <w:rsid w:val="0028109B"/>
    <w:rsid w:val="002916B4"/>
    <w:rsid w:val="00291BE6"/>
    <w:rsid w:val="002A0615"/>
    <w:rsid w:val="002A133E"/>
    <w:rsid w:val="002A2188"/>
    <w:rsid w:val="002B1F58"/>
    <w:rsid w:val="002C1C7A"/>
    <w:rsid w:val="002C2EC7"/>
    <w:rsid w:val="002C3B0F"/>
    <w:rsid w:val="002C3F32"/>
    <w:rsid w:val="002C54E2"/>
    <w:rsid w:val="002F0B62"/>
    <w:rsid w:val="0030160F"/>
    <w:rsid w:val="00317862"/>
    <w:rsid w:val="00320223"/>
    <w:rsid w:val="00322D0D"/>
    <w:rsid w:val="00357D4F"/>
    <w:rsid w:val="00361465"/>
    <w:rsid w:val="00372DAD"/>
    <w:rsid w:val="003843C7"/>
    <w:rsid w:val="003877F5"/>
    <w:rsid w:val="003936D3"/>
    <w:rsid w:val="003942D4"/>
    <w:rsid w:val="003958A8"/>
    <w:rsid w:val="003A6F5C"/>
    <w:rsid w:val="003B29C2"/>
    <w:rsid w:val="003B4FAF"/>
    <w:rsid w:val="003B5D54"/>
    <w:rsid w:val="003C2533"/>
    <w:rsid w:val="003D5A7F"/>
    <w:rsid w:val="003F0228"/>
    <w:rsid w:val="0040435A"/>
    <w:rsid w:val="00416A24"/>
    <w:rsid w:val="004208BA"/>
    <w:rsid w:val="00431D9E"/>
    <w:rsid w:val="00433CE8"/>
    <w:rsid w:val="00434A5C"/>
    <w:rsid w:val="00453079"/>
    <w:rsid w:val="004543B5"/>
    <w:rsid w:val="004544D9"/>
    <w:rsid w:val="00472BAD"/>
    <w:rsid w:val="00484009"/>
    <w:rsid w:val="00490E72"/>
    <w:rsid w:val="00491157"/>
    <w:rsid w:val="00491BA9"/>
    <w:rsid w:val="004921C8"/>
    <w:rsid w:val="0049369C"/>
    <w:rsid w:val="004942DE"/>
    <w:rsid w:val="00495615"/>
    <w:rsid w:val="00495B0B"/>
    <w:rsid w:val="004A1B8B"/>
    <w:rsid w:val="004D1851"/>
    <w:rsid w:val="004D599D"/>
    <w:rsid w:val="004E2EA5"/>
    <w:rsid w:val="004E3AEB"/>
    <w:rsid w:val="004E5076"/>
    <w:rsid w:val="004F4DDB"/>
    <w:rsid w:val="0050223C"/>
    <w:rsid w:val="00511A28"/>
    <w:rsid w:val="00511A4D"/>
    <w:rsid w:val="00512087"/>
    <w:rsid w:val="005243FF"/>
    <w:rsid w:val="00564FBC"/>
    <w:rsid w:val="00565F61"/>
    <w:rsid w:val="005800BC"/>
    <w:rsid w:val="00582442"/>
    <w:rsid w:val="005A1A13"/>
    <w:rsid w:val="005D08DD"/>
    <w:rsid w:val="005E5B93"/>
    <w:rsid w:val="005F3269"/>
    <w:rsid w:val="0061071E"/>
    <w:rsid w:val="00623AE3"/>
    <w:rsid w:val="0064737F"/>
    <w:rsid w:val="006535F1"/>
    <w:rsid w:val="0065557D"/>
    <w:rsid w:val="00660D50"/>
    <w:rsid w:val="00662984"/>
    <w:rsid w:val="006716BB"/>
    <w:rsid w:val="00675659"/>
    <w:rsid w:val="00683AB7"/>
    <w:rsid w:val="00691DCE"/>
    <w:rsid w:val="006A2F4B"/>
    <w:rsid w:val="006B1859"/>
    <w:rsid w:val="006B6680"/>
    <w:rsid w:val="006B6DCC"/>
    <w:rsid w:val="006B77F1"/>
    <w:rsid w:val="006F14FD"/>
    <w:rsid w:val="00702DEF"/>
    <w:rsid w:val="00706861"/>
    <w:rsid w:val="00722551"/>
    <w:rsid w:val="00743713"/>
    <w:rsid w:val="0075051B"/>
    <w:rsid w:val="00765C89"/>
    <w:rsid w:val="0077110E"/>
    <w:rsid w:val="007717AD"/>
    <w:rsid w:val="00793188"/>
    <w:rsid w:val="00794D34"/>
    <w:rsid w:val="007A3FCD"/>
    <w:rsid w:val="007A511B"/>
    <w:rsid w:val="007B19CF"/>
    <w:rsid w:val="007C60B1"/>
    <w:rsid w:val="007D01AF"/>
    <w:rsid w:val="007D023F"/>
    <w:rsid w:val="007D32D5"/>
    <w:rsid w:val="007D61B6"/>
    <w:rsid w:val="00803C09"/>
    <w:rsid w:val="00805828"/>
    <w:rsid w:val="00813E5E"/>
    <w:rsid w:val="00820ED8"/>
    <w:rsid w:val="0083581B"/>
    <w:rsid w:val="00836231"/>
    <w:rsid w:val="0084546D"/>
    <w:rsid w:val="00863874"/>
    <w:rsid w:val="00863CE1"/>
    <w:rsid w:val="00864AFF"/>
    <w:rsid w:val="00865925"/>
    <w:rsid w:val="008A3520"/>
    <w:rsid w:val="008A6B9F"/>
    <w:rsid w:val="008B4A6A"/>
    <w:rsid w:val="008C7E27"/>
    <w:rsid w:val="008F7448"/>
    <w:rsid w:val="0090147A"/>
    <w:rsid w:val="00915EDB"/>
    <w:rsid w:val="009173EF"/>
    <w:rsid w:val="00924AD5"/>
    <w:rsid w:val="00932906"/>
    <w:rsid w:val="0094555A"/>
    <w:rsid w:val="00945F10"/>
    <w:rsid w:val="009520C2"/>
    <w:rsid w:val="00954C49"/>
    <w:rsid w:val="00961B0B"/>
    <w:rsid w:val="00962D33"/>
    <w:rsid w:val="00976C8A"/>
    <w:rsid w:val="009842A1"/>
    <w:rsid w:val="009A29E1"/>
    <w:rsid w:val="009A76A8"/>
    <w:rsid w:val="009B38C3"/>
    <w:rsid w:val="009B5D72"/>
    <w:rsid w:val="009B784E"/>
    <w:rsid w:val="009E17BD"/>
    <w:rsid w:val="009E485A"/>
    <w:rsid w:val="009E5B2B"/>
    <w:rsid w:val="009E719C"/>
    <w:rsid w:val="009F5E91"/>
    <w:rsid w:val="00A04CEC"/>
    <w:rsid w:val="00A109AF"/>
    <w:rsid w:val="00A27F92"/>
    <w:rsid w:val="00A32257"/>
    <w:rsid w:val="00A36D20"/>
    <w:rsid w:val="00A41FCC"/>
    <w:rsid w:val="00A457E7"/>
    <w:rsid w:val="00A45D8F"/>
    <w:rsid w:val="00A514A4"/>
    <w:rsid w:val="00A55622"/>
    <w:rsid w:val="00A60FDA"/>
    <w:rsid w:val="00A8158F"/>
    <w:rsid w:val="00A83502"/>
    <w:rsid w:val="00A94BAB"/>
    <w:rsid w:val="00AD15B3"/>
    <w:rsid w:val="00AD3606"/>
    <w:rsid w:val="00AD466D"/>
    <w:rsid w:val="00AD4A3D"/>
    <w:rsid w:val="00AD5DB9"/>
    <w:rsid w:val="00AF6E49"/>
    <w:rsid w:val="00B04A67"/>
    <w:rsid w:val="00B0583C"/>
    <w:rsid w:val="00B12F85"/>
    <w:rsid w:val="00B21541"/>
    <w:rsid w:val="00B40A81"/>
    <w:rsid w:val="00B44910"/>
    <w:rsid w:val="00B464AF"/>
    <w:rsid w:val="00B72267"/>
    <w:rsid w:val="00B76EB6"/>
    <w:rsid w:val="00B7737B"/>
    <w:rsid w:val="00B824C8"/>
    <w:rsid w:val="00B84B9D"/>
    <w:rsid w:val="00B9131F"/>
    <w:rsid w:val="00B928F6"/>
    <w:rsid w:val="00BA50E4"/>
    <w:rsid w:val="00BA7D95"/>
    <w:rsid w:val="00BB0646"/>
    <w:rsid w:val="00BB56B1"/>
    <w:rsid w:val="00BC251A"/>
    <w:rsid w:val="00BC4A20"/>
    <w:rsid w:val="00BD032B"/>
    <w:rsid w:val="00BE01C6"/>
    <w:rsid w:val="00BE1E1E"/>
    <w:rsid w:val="00BE2640"/>
    <w:rsid w:val="00BE4F29"/>
    <w:rsid w:val="00BF1FDE"/>
    <w:rsid w:val="00BF47AA"/>
    <w:rsid w:val="00BF4843"/>
    <w:rsid w:val="00BF5AD8"/>
    <w:rsid w:val="00C01189"/>
    <w:rsid w:val="00C0458D"/>
    <w:rsid w:val="00C374DE"/>
    <w:rsid w:val="00C47AD4"/>
    <w:rsid w:val="00C52D81"/>
    <w:rsid w:val="00C55198"/>
    <w:rsid w:val="00C574B3"/>
    <w:rsid w:val="00C57B84"/>
    <w:rsid w:val="00C6520B"/>
    <w:rsid w:val="00C84727"/>
    <w:rsid w:val="00C97B69"/>
    <w:rsid w:val="00CA6393"/>
    <w:rsid w:val="00CA7995"/>
    <w:rsid w:val="00CB18FF"/>
    <w:rsid w:val="00CD0C08"/>
    <w:rsid w:val="00CD79DC"/>
    <w:rsid w:val="00CE03FB"/>
    <w:rsid w:val="00CE433C"/>
    <w:rsid w:val="00CF0161"/>
    <w:rsid w:val="00CF33F3"/>
    <w:rsid w:val="00CF4A2B"/>
    <w:rsid w:val="00D024CA"/>
    <w:rsid w:val="00D06183"/>
    <w:rsid w:val="00D22C42"/>
    <w:rsid w:val="00D412D5"/>
    <w:rsid w:val="00D43399"/>
    <w:rsid w:val="00D44B30"/>
    <w:rsid w:val="00D65041"/>
    <w:rsid w:val="00D93829"/>
    <w:rsid w:val="00D93C44"/>
    <w:rsid w:val="00D94E72"/>
    <w:rsid w:val="00D97D83"/>
    <w:rsid w:val="00DA4D77"/>
    <w:rsid w:val="00DA696D"/>
    <w:rsid w:val="00DB1936"/>
    <w:rsid w:val="00DB384B"/>
    <w:rsid w:val="00DC165F"/>
    <w:rsid w:val="00DD4D9D"/>
    <w:rsid w:val="00DE532B"/>
    <w:rsid w:val="00DF0189"/>
    <w:rsid w:val="00E02A25"/>
    <w:rsid w:val="00E03141"/>
    <w:rsid w:val="00E06FD5"/>
    <w:rsid w:val="00E10E80"/>
    <w:rsid w:val="00E124F0"/>
    <w:rsid w:val="00E20C2C"/>
    <w:rsid w:val="00E227F3"/>
    <w:rsid w:val="00E545C6"/>
    <w:rsid w:val="00E60F04"/>
    <w:rsid w:val="00E65B24"/>
    <w:rsid w:val="00E709B5"/>
    <w:rsid w:val="00E72DF8"/>
    <w:rsid w:val="00E82E09"/>
    <w:rsid w:val="00E854E4"/>
    <w:rsid w:val="00E86DBF"/>
    <w:rsid w:val="00E8702B"/>
    <w:rsid w:val="00E969AF"/>
    <w:rsid w:val="00EB0D6F"/>
    <w:rsid w:val="00EB2232"/>
    <w:rsid w:val="00EC0C15"/>
    <w:rsid w:val="00EC5337"/>
    <w:rsid w:val="00EE1642"/>
    <w:rsid w:val="00EE49E8"/>
    <w:rsid w:val="00F070FA"/>
    <w:rsid w:val="00F16BAB"/>
    <w:rsid w:val="00F2150A"/>
    <w:rsid w:val="00F231D8"/>
    <w:rsid w:val="00F44C00"/>
    <w:rsid w:val="00F45D2C"/>
    <w:rsid w:val="00F46C5F"/>
    <w:rsid w:val="00F508E2"/>
    <w:rsid w:val="00F50B01"/>
    <w:rsid w:val="00F51992"/>
    <w:rsid w:val="00F53D74"/>
    <w:rsid w:val="00F632C0"/>
    <w:rsid w:val="00F641E1"/>
    <w:rsid w:val="00F74D0C"/>
    <w:rsid w:val="00F806E4"/>
    <w:rsid w:val="00F92BC6"/>
    <w:rsid w:val="00F94A63"/>
    <w:rsid w:val="00F97326"/>
    <w:rsid w:val="00FA1C28"/>
    <w:rsid w:val="00FB1279"/>
    <w:rsid w:val="00FB6B76"/>
    <w:rsid w:val="00FB7596"/>
    <w:rsid w:val="00FE4077"/>
    <w:rsid w:val="00FE500D"/>
    <w:rsid w:val="00FE77D2"/>
    <w:rsid w:val="00FF3189"/>
    <w:rsid w:val="00FF39B1"/>
    <w:rsid w:val="00FF557D"/>
    <w:rsid w:val="588CE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945F10"/>
    <w:rPr>
      <w:sz w:val="16"/>
      <w:szCs w:val="16"/>
    </w:rPr>
  </w:style>
  <w:style w:type="paragraph" w:styleId="CommentText">
    <w:name w:val="annotation text"/>
    <w:basedOn w:val="Normal"/>
    <w:link w:val="CommentTextChar"/>
    <w:unhideWhenUsed/>
    <w:rsid w:val="00945F10"/>
    <w:rPr>
      <w:rFonts w:eastAsia="SimSun"/>
      <w:sz w:val="20"/>
    </w:rPr>
  </w:style>
  <w:style w:type="character" w:customStyle="1" w:styleId="CommentTextChar">
    <w:name w:val="Comment Text Char"/>
    <w:basedOn w:val="DefaultParagraphFont"/>
    <w:link w:val="CommentText"/>
    <w:rsid w:val="00945F10"/>
    <w:rPr>
      <w:rFonts w:ascii="Calibri" w:eastAsia="SimSun"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T25-SG02-C-0145/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hedocs.worldbank.org/en/doc/133c3304e29086819c1119fe8e85366b-0280012025/original/Gaza-RDNA-final-m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A402E-B659-4794-A47F-EB786F8BE5FF}">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a4c22657-7647-457b-a399-8471255bb166"/>
    <ds:schemaRef ds:uri="http://purl.org/dc/dcmitype/"/>
  </ds:schemaRefs>
</ds:datastoreItem>
</file>

<file path=customXml/itemProps2.xml><?xml version="1.0" encoding="utf-8"?>
<ds:datastoreItem xmlns:ds="http://schemas.openxmlformats.org/officeDocument/2006/customXml" ds:itemID="{380F3975-0E74-4594-A643-DB2D079622CB}">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60D064B1-E427-41AF-A3A3-E92B4FA8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PE_Council26.dotx</Template>
  <TotalTime>1</TotalTime>
  <Pages>4</Pages>
  <Words>3168</Words>
  <Characters>509</Characters>
  <Application>Microsoft Office Word</Application>
  <DocSecurity>0</DocSecurity>
  <Lines>20</Lines>
  <Paragraphs>66</Paragraphs>
  <ScaleCrop>false</ScaleCrop>
  <HeadingPairs>
    <vt:vector size="2" baseType="variant">
      <vt:variant>
        <vt:lpstr>Title</vt:lpstr>
      </vt:variant>
      <vt:variant>
        <vt:i4>1</vt:i4>
      </vt:variant>
    </vt:vector>
  </HeadingPairs>
  <TitlesOfParts>
    <vt:vector size="1" baseType="lpstr">
      <vt:lpstr>Status Report on assistance and support to Palestine (Council Resolution 1424)</vt:lpstr>
    </vt:vector>
  </TitlesOfParts>
  <Manager>General Secretariat</Manager>
  <Company>International Telecommunication Union (ITU)</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on assistance and support to Palestine (Council Resolution 1424)</dc:title>
  <dc:subject>ITU Council 2026</dc:subject>
  <cp:keywords>C26; C2026; Council 2026; PP26</cp:keywords>
  <dc:description/>
  <cp:lastPrinted>2000-07-18T13:30:00Z</cp:lastPrinted>
  <dcterms:created xsi:type="dcterms:W3CDTF">2026-04-07T15:17:00Z</dcterms:created>
  <dcterms:modified xsi:type="dcterms:W3CDTF">2026-04-07T15:18:00Z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