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686441DF" w14:textId="77777777" w:rsidTr="00954C49">
        <w:trPr>
          <w:cantSplit/>
          <w:trHeight w:val="23"/>
        </w:trPr>
        <w:tc>
          <w:tcPr>
            <w:tcW w:w="3969" w:type="dxa"/>
            <w:vMerge w:val="restart"/>
            <w:tcMar>
              <w:left w:w="0" w:type="dxa"/>
            </w:tcMar>
          </w:tcPr>
          <w:p w14:paraId="042C2827" w14:textId="4E909004"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5D3BF7">
              <w:rPr>
                <w:b/>
              </w:rPr>
              <w:t>PL-2</w:t>
            </w:r>
          </w:p>
        </w:tc>
        <w:tc>
          <w:tcPr>
            <w:tcW w:w="5245" w:type="dxa"/>
          </w:tcPr>
          <w:p w14:paraId="2D0D0ACE" w14:textId="50305462"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5D3BF7">
              <w:rPr>
                <w:b/>
              </w:rPr>
              <w:t>68</w:t>
            </w:r>
            <w:r w:rsidRPr="00C0458D">
              <w:rPr>
                <w:b/>
              </w:rPr>
              <w:t>-E</w:t>
            </w:r>
          </w:p>
        </w:tc>
      </w:tr>
      <w:tr w:rsidR="00AD3606" w:rsidRPr="00C0458D" w14:paraId="5BE575DD" w14:textId="77777777" w:rsidTr="00954C49">
        <w:trPr>
          <w:cantSplit/>
        </w:trPr>
        <w:tc>
          <w:tcPr>
            <w:tcW w:w="3969" w:type="dxa"/>
            <w:vMerge/>
          </w:tcPr>
          <w:p w14:paraId="693FFB53"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56998DE5" w14:textId="0A609FDA" w:rsidR="00AD3606" w:rsidRPr="00C0458D" w:rsidRDefault="00D84611" w:rsidP="00954C49">
            <w:pPr>
              <w:tabs>
                <w:tab w:val="left" w:pos="851"/>
              </w:tabs>
              <w:spacing w:before="0"/>
              <w:jc w:val="right"/>
              <w:rPr>
                <w:b/>
              </w:rPr>
            </w:pPr>
            <w:r>
              <w:rPr>
                <w:b/>
              </w:rPr>
              <w:t>26</w:t>
            </w:r>
            <w:r w:rsidR="005D3BF7">
              <w:rPr>
                <w:b/>
              </w:rPr>
              <w:t xml:space="preserve"> March 2026</w:t>
            </w:r>
          </w:p>
        </w:tc>
      </w:tr>
      <w:tr w:rsidR="00AD3606" w:rsidRPr="00C0458D" w14:paraId="3B590004" w14:textId="77777777" w:rsidTr="00954C49">
        <w:trPr>
          <w:cantSplit/>
          <w:trHeight w:val="23"/>
        </w:trPr>
        <w:tc>
          <w:tcPr>
            <w:tcW w:w="3969" w:type="dxa"/>
            <w:vMerge/>
          </w:tcPr>
          <w:p w14:paraId="0CE779CD"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27387122"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4BF2F1CA" w14:textId="77777777" w:rsidTr="00954C49">
        <w:trPr>
          <w:cantSplit/>
          <w:trHeight w:val="23"/>
        </w:trPr>
        <w:tc>
          <w:tcPr>
            <w:tcW w:w="3969" w:type="dxa"/>
          </w:tcPr>
          <w:p w14:paraId="60626B0C" w14:textId="77777777" w:rsidR="00472BAD" w:rsidRPr="00C0458D" w:rsidRDefault="00472BAD" w:rsidP="00954C49">
            <w:pPr>
              <w:tabs>
                <w:tab w:val="left" w:pos="851"/>
              </w:tabs>
              <w:spacing w:line="240" w:lineRule="atLeast"/>
              <w:rPr>
                <w:b/>
              </w:rPr>
            </w:pPr>
          </w:p>
        </w:tc>
        <w:tc>
          <w:tcPr>
            <w:tcW w:w="5245" w:type="dxa"/>
          </w:tcPr>
          <w:p w14:paraId="3AB1A425" w14:textId="77777777" w:rsidR="00472BAD" w:rsidRPr="00C0458D" w:rsidRDefault="00472BAD" w:rsidP="00954C49">
            <w:pPr>
              <w:tabs>
                <w:tab w:val="left" w:pos="851"/>
              </w:tabs>
              <w:spacing w:before="0" w:line="240" w:lineRule="atLeast"/>
              <w:jc w:val="right"/>
              <w:rPr>
                <w:b/>
              </w:rPr>
            </w:pPr>
          </w:p>
        </w:tc>
      </w:tr>
      <w:tr w:rsidR="00AD3606" w:rsidRPr="00C0458D" w14:paraId="2ADB1157" w14:textId="77777777" w:rsidTr="00954C49">
        <w:trPr>
          <w:cantSplit/>
        </w:trPr>
        <w:tc>
          <w:tcPr>
            <w:tcW w:w="9214" w:type="dxa"/>
            <w:gridSpan w:val="2"/>
            <w:tcMar>
              <w:left w:w="0" w:type="dxa"/>
            </w:tcMar>
          </w:tcPr>
          <w:p w14:paraId="42329DC3"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5A29A994" w14:textId="77777777" w:rsidTr="00954C49">
        <w:trPr>
          <w:cantSplit/>
        </w:trPr>
        <w:tc>
          <w:tcPr>
            <w:tcW w:w="9214" w:type="dxa"/>
            <w:gridSpan w:val="2"/>
            <w:tcMar>
              <w:left w:w="0" w:type="dxa"/>
            </w:tcMar>
          </w:tcPr>
          <w:p w14:paraId="313505BB" w14:textId="789C2B9F" w:rsidR="00AD3606" w:rsidRPr="00176F47" w:rsidRDefault="001908ED" w:rsidP="00954C49">
            <w:pPr>
              <w:pStyle w:val="Subtitle"/>
              <w:framePr w:hSpace="0" w:wrap="auto" w:hAnchor="text" w:xAlign="left" w:yAlign="inline"/>
            </w:pPr>
            <w:bookmarkStart w:id="9" w:name="dtitle1" w:colFirst="0" w:colLast="0"/>
            <w:bookmarkEnd w:id="8"/>
            <w:r w:rsidRPr="005D3BF7">
              <w:t>UPDATE ON THE IMPLEMENTATION OF ITU COUNCIL RESOLUTION 1408 ON ASSISTANCE AND SUPPORT TO UKRAINE FOR REBUILDING THEIR TELECOMMUNICATION SECTOR</w:t>
            </w:r>
          </w:p>
        </w:tc>
      </w:tr>
      <w:tr w:rsidR="00AD3606" w:rsidRPr="00C0458D" w14:paraId="6AA9F28B" w14:textId="77777777" w:rsidTr="00954C49">
        <w:trPr>
          <w:cantSplit/>
        </w:trPr>
        <w:tc>
          <w:tcPr>
            <w:tcW w:w="9214" w:type="dxa"/>
            <w:gridSpan w:val="2"/>
            <w:tcBorders>
              <w:top w:val="single" w:sz="4" w:space="0" w:color="auto"/>
              <w:bottom w:val="single" w:sz="4" w:space="0" w:color="auto"/>
            </w:tcBorders>
            <w:tcMar>
              <w:left w:w="0" w:type="dxa"/>
            </w:tcMar>
          </w:tcPr>
          <w:p w14:paraId="0B5B7A05" w14:textId="77777777" w:rsidR="00AD3606" w:rsidRPr="00C0458D" w:rsidRDefault="00F16BAB" w:rsidP="00954C49">
            <w:pPr>
              <w:spacing w:before="160"/>
              <w:rPr>
                <w:b/>
                <w:bCs/>
                <w:sz w:val="26"/>
                <w:szCs w:val="26"/>
              </w:rPr>
            </w:pPr>
            <w:r w:rsidRPr="00C0458D">
              <w:rPr>
                <w:b/>
                <w:bCs/>
                <w:sz w:val="26"/>
                <w:szCs w:val="26"/>
              </w:rPr>
              <w:t>Purpose</w:t>
            </w:r>
          </w:p>
          <w:p w14:paraId="4F64D0D5" w14:textId="02FDD7A7" w:rsidR="00AD3606" w:rsidRPr="00C0458D" w:rsidRDefault="0087436F" w:rsidP="001908ED">
            <w:pPr>
              <w:jc w:val="both"/>
            </w:pPr>
            <w:r w:rsidRPr="0087436F">
              <w:t>This report outlines the activities and developments since the ITU Council in June 2025 on assistance and support to Ukraine for rebuilding their telecommunication sector in response to the modified ITU Council Resolution 1408, focusing on monitoring and reporting, coordination mechanisms, technical assistance, mobilization of resources, and capacity-building activities.</w:t>
            </w:r>
          </w:p>
          <w:p w14:paraId="69AC4C00"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11EC86ED" w14:textId="7ADC7CFF" w:rsidR="00722551" w:rsidRDefault="0087436F" w:rsidP="0087436F">
            <w:pPr>
              <w:jc w:val="both"/>
            </w:pPr>
            <w:r w:rsidRPr="009910B5">
              <w:t>The Council is invited to</w:t>
            </w:r>
            <w:r w:rsidRPr="009910B5">
              <w:rPr>
                <w:b/>
                <w:bCs/>
              </w:rPr>
              <w:t xml:space="preserve"> note</w:t>
            </w:r>
            <w:r w:rsidRPr="009910B5">
              <w:t xml:space="preserve"> this report.</w:t>
            </w:r>
          </w:p>
          <w:p w14:paraId="3A00ED4B"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509C1CC1" w14:textId="046545C3" w:rsidR="00722551" w:rsidRPr="00F16BAB" w:rsidRDefault="0087436F" w:rsidP="0087436F">
            <w:pPr>
              <w:jc w:val="both"/>
            </w:pPr>
            <w:r w:rsidRPr="009910B5">
              <w:t>Provision of technical assistance.</w:t>
            </w:r>
          </w:p>
          <w:p w14:paraId="1007EF09" w14:textId="77777777" w:rsidR="00722551" w:rsidRDefault="00722551" w:rsidP="00954C49">
            <w:pPr>
              <w:spacing w:before="160"/>
              <w:rPr>
                <w:b/>
                <w:bCs/>
                <w:sz w:val="26"/>
                <w:szCs w:val="26"/>
              </w:rPr>
            </w:pPr>
            <w:r>
              <w:rPr>
                <w:b/>
                <w:bCs/>
                <w:sz w:val="26"/>
                <w:szCs w:val="26"/>
              </w:rPr>
              <w:t>Financial implications</w:t>
            </w:r>
          </w:p>
          <w:p w14:paraId="1B69D45C" w14:textId="0FD79F0E" w:rsidR="00453079" w:rsidRPr="0087436F" w:rsidRDefault="0087436F" w:rsidP="0087436F">
            <w:pPr>
              <w:spacing w:before="160"/>
              <w:jc w:val="both"/>
            </w:pPr>
            <w:r>
              <w:t>CHF 346 000 since 2022, including CHF 85 000 from the ITU budget, CHF 191 000 in monetary voluntary contributions, and CHF 70 000 in in-kind contributions.</w:t>
            </w:r>
          </w:p>
          <w:p w14:paraId="460487B7" w14:textId="77777777" w:rsidR="00C0458D" w:rsidRDefault="00C0458D" w:rsidP="00954C49">
            <w:r>
              <w:t>_______________</w:t>
            </w:r>
          </w:p>
          <w:p w14:paraId="36D75D75" w14:textId="77777777" w:rsidR="00AD3606" w:rsidRPr="00C0458D" w:rsidRDefault="00AD3606" w:rsidP="00954C49">
            <w:pPr>
              <w:spacing w:before="160"/>
              <w:rPr>
                <w:b/>
                <w:bCs/>
                <w:sz w:val="26"/>
                <w:szCs w:val="26"/>
              </w:rPr>
            </w:pPr>
            <w:r w:rsidRPr="00C0458D">
              <w:rPr>
                <w:b/>
                <w:bCs/>
                <w:sz w:val="26"/>
                <w:szCs w:val="26"/>
              </w:rPr>
              <w:t>References</w:t>
            </w:r>
          </w:p>
          <w:p w14:paraId="7F293382" w14:textId="3FDFF349" w:rsidR="00AD3606" w:rsidRPr="00722551" w:rsidRDefault="0087436F" w:rsidP="00954C49">
            <w:pPr>
              <w:spacing w:after="160"/>
              <w:rPr>
                <w:i/>
                <w:iCs/>
                <w:sz w:val="22"/>
                <w:szCs w:val="22"/>
              </w:rPr>
            </w:pPr>
            <w:r w:rsidRPr="0087436F">
              <w:rPr>
                <w:i/>
                <w:iCs/>
                <w:sz w:val="22"/>
                <w:szCs w:val="22"/>
              </w:rPr>
              <w:t xml:space="preserve">Council Resolution </w:t>
            </w:r>
            <w:hyperlink r:id="rId11" w:history="1">
              <w:r w:rsidRPr="0087436F">
                <w:rPr>
                  <w:rStyle w:val="Hyperlink"/>
                  <w:i/>
                  <w:iCs/>
                  <w:sz w:val="22"/>
                  <w:szCs w:val="22"/>
                </w:rPr>
                <w:t>1408 (Mod. 2023)</w:t>
              </w:r>
            </w:hyperlink>
            <w:r w:rsidRPr="009910B5">
              <w:rPr>
                <w:i/>
                <w:iCs/>
                <w:sz w:val="22"/>
                <w:szCs w:val="22"/>
              </w:rPr>
              <w:t xml:space="preserve">; Document </w:t>
            </w:r>
            <w:hyperlink r:id="rId12" w:history="1">
              <w:r w:rsidRPr="009910B5">
                <w:rPr>
                  <w:rStyle w:val="Hyperlink"/>
                  <w:i/>
                  <w:iCs/>
                  <w:sz w:val="22"/>
                  <w:szCs w:val="22"/>
                </w:rPr>
                <w:t>C23/59</w:t>
              </w:r>
            </w:hyperlink>
          </w:p>
        </w:tc>
      </w:tr>
    </w:tbl>
    <w:p w14:paraId="14CAA321"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E0DA4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312A56DF" w14:textId="5640F854" w:rsidR="0087436F" w:rsidRPr="009910B5" w:rsidRDefault="0087436F" w:rsidP="0087436F">
      <w:pPr>
        <w:pStyle w:val="Heading1"/>
        <w:rPr>
          <w:lang w:eastAsia="zh-CN"/>
        </w:rPr>
      </w:pPr>
      <w:r>
        <w:rPr>
          <w:lang w:eastAsia="zh-CN"/>
        </w:rPr>
        <w:lastRenderedPageBreak/>
        <w:t>1</w:t>
      </w:r>
      <w:r>
        <w:rPr>
          <w:lang w:eastAsia="zh-CN"/>
        </w:rPr>
        <w:tab/>
      </w:r>
      <w:r w:rsidRPr="009910B5">
        <w:rPr>
          <w:lang w:eastAsia="zh-CN"/>
        </w:rPr>
        <w:t>Introduction</w:t>
      </w:r>
    </w:p>
    <w:p w14:paraId="4053864C" w14:textId="241C0BF9" w:rsidR="0087436F" w:rsidRPr="009910B5" w:rsidRDefault="417ECC8B" w:rsidP="0087436F">
      <w:pPr>
        <w:jc w:val="both"/>
        <w:rPr>
          <w:lang w:eastAsia="zh-CN"/>
        </w:rPr>
      </w:pPr>
      <w:r>
        <w:t xml:space="preserve">At its 2023 session, the ITU Council </w:t>
      </w:r>
      <w:r w:rsidR="12A6452A">
        <w:t xml:space="preserve">adopted </w:t>
      </w:r>
      <w:r>
        <w:t xml:space="preserve">amended </w:t>
      </w:r>
      <w:hyperlink r:id="rId13">
        <w:r w:rsidRPr="39CE4DDA">
          <w:rPr>
            <w:rStyle w:val="Hyperlink"/>
            <w:rFonts w:asciiTheme="minorHAnsi" w:hAnsiTheme="minorHAnsi" w:cstheme="minorBidi"/>
          </w:rPr>
          <w:t>Resolution 1408</w:t>
        </w:r>
      </w:hyperlink>
      <w:r>
        <w:t xml:space="preserve"> on “</w:t>
      </w:r>
      <w:r w:rsidRPr="39CE4DDA">
        <w:rPr>
          <w:b/>
          <w:bCs/>
        </w:rPr>
        <w:t>Assistance and support to Ukraine for rebuilding their telecommunication sector</w:t>
      </w:r>
      <w:r>
        <w:t xml:space="preserve">”. This report summarizes the actions the ITU secretariat has been undertaking since June 2025, to address the </w:t>
      </w:r>
      <w:r w:rsidRPr="39CE4DDA">
        <w:rPr>
          <w:i/>
          <w:iCs/>
        </w:rPr>
        <w:t>resolves</w:t>
      </w:r>
      <w:r>
        <w:t xml:space="preserve"> of this resolution, in particular focusing on monitoring and reporting, coordination mechanisms, technical assistance, mobilization of resources</w:t>
      </w:r>
      <w:r w:rsidRPr="39CE4DDA">
        <w:rPr>
          <w:lang w:eastAsia="zh-CN"/>
        </w:rPr>
        <w:t xml:space="preserve"> and capacity-building activities. </w:t>
      </w:r>
    </w:p>
    <w:p w14:paraId="5F53F0EB" w14:textId="77777777" w:rsidR="0087436F" w:rsidRPr="001908ED" w:rsidRDefault="0087436F" w:rsidP="001908ED">
      <w:pPr>
        <w:pStyle w:val="Heading1"/>
      </w:pPr>
      <w:bookmarkStart w:id="11" w:name="_Toc521108113"/>
      <w:r w:rsidRPr="001908ED">
        <w:t>2</w:t>
      </w:r>
      <w:r w:rsidRPr="001908ED">
        <w:tab/>
        <w:t>Monitoring and reporting</w:t>
      </w:r>
      <w:bookmarkEnd w:id="11"/>
    </w:p>
    <w:p w14:paraId="324E4302" w14:textId="77777777" w:rsidR="0087436F" w:rsidRPr="009910B5" w:rsidRDefault="0087436F" w:rsidP="0087436F">
      <w:pPr>
        <w:jc w:val="both"/>
        <w:rPr>
          <w:rFonts w:asciiTheme="minorHAnsi" w:hAnsiTheme="minorHAnsi" w:cstheme="minorHAnsi"/>
          <w:szCs w:val="24"/>
          <w:lang w:eastAsia="zh-CN"/>
        </w:rPr>
      </w:pPr>
      <w:r w:rsidRPr="009910B5">
        <w:rPr>
          <w:rFonts w:asciiTheme="minorHAnsi" w:hAnsiTheme="minorHAnsi" w:cstheme="minorHAnsi"/>
          <w:szCs w:val="24"/>
        </w:rPr>
        <w:t xml:space="preserve">With </w:t>
      </w:r>
      <w:r w:rsidRPr="009910B5">
        <w:t>the</w:t>
      </w:r>
      <w:r w:rsidRPr="009910B5">
        <w:rPr>
          <w:rFonts w:asciiTheme="minorHAnsi" w:hAnsiTheme="minorHAnsi" w:cstheme="minorHAnsi"/>
          <w:szCs w:val="24"/>
        </w:rPr>
        <w:t xml:space="preserve"> aim of facilitating effective technical assistance, a constant monitoring of digital resilience in Ukraine was introduced. A s</w:t>
      </w:r>
      <w:r w:rsidRPr="009910B5">
        <w:rPr>
          <w:rFonts w:asciiTheme="minorHAnsi" w:hAnsiTheme="minorHAnsi" w:cstheme="minorHAnsi"/>
          <w:szCs w:val="24"/>
          <w:lang w:eastAsia="zh-CN"/>
        </w:rPr>
        <w:t xml:space="preserve">pecial website, dedicated to the implementation of Resolution 1408, was kept updated and is available </w:t>
      </w:r>
      <w:hyperlink r:id="rId14" w:history="1">
        <w:r w:rsidRPr="009910B5">
          <w:rPr>
            <w:rStyle w:val="Hyperlink"/>
            <w:rFonts w:asciiTheme="minorHAnsi" w:hAnsiTheme="minorHAnsi" w:cstheme="minorHAnsi"/>
            <w:szCs w:val="24"/>
            <w:lang w:eastAsia="zh-CN"/>
          </w:rPr>
          <w:t>here</w:t>
        </w:r>
      </w:hyperlink>
      <w:r w:rsidRPr="009910B5">
        <w:rPr>
          <w:rFonts w:asciiTheme="minorHAnsi" w:hAnsiTheme="minorHAnsi" w:cstheme="minorHAnsi"/>
          <w:szCs w:val="24"/>
          <w:lang w:eastAsia="zh-CN"/>
        </w:rPr>
        <w:t>.</w:t>
      </w:r>
    </w:p>
    <w:p w14:paraId="52CBAFCF" w14:textId="77777777" w:rsidR="00AA4F0F" w:rsidRDefault="417ECC8B" w:rsidP="39CE4DDA">
      <w:pPr>
        <w:jc w:val="both"/>
        <w:rPr>
          <w:rFonts w:asciiTheme="minorHAnsi" w:eastAsiaTheme="minorEastAsia" w:hAnsiTheme="minorHAnsi" w:cstheme="minorBidi"/>
          <w:color w:val="000000" w:themeColor="text1"/>
        </w:rPr>
      </w:pPr>
      <w:r w:rsidRPr="39CE4DDA">
        <w:rPr>
          <w:rFonts w:asciiTheme="minorHAnsi" w:eastAsiaTheme="minorEastAsia" w:hAnsiTheme="minorHAnsi" w:cstheme="minorBidi"/>
        </w:rPr>
        <w:t>ITU, as the United Nations (UN) Agency for Digital</w:t>
      </w:r>
      <w:r w:rsidR="00F271C7">
        <w:rPr>
          <w:rFonts w:asciiTheme="minorHAnsi" w:eastAsiaTheme="minorEastAsia" w:hAnsiTheme="minorHAnsi" w:cstheme="minorBidi"/>
        </w:rPr>
        <w:t xml:space="preserve"> Technologies</w:t>
      </w:r>
      <w:r w:rsidRPr="39CE4DDA">
        <w:rPr>
          <w:rFonts w:asciiTheme="minorHAnsi" w:eastAsiaTheme="minorEastAsia" w:hAnsiTheme="minorHAnsi" w:cstheme="minorBidi"/>
        </w:rPr>
        <w:t xml:space="preserve">, continued to contribute to the regular exercise of </w:t>
      </w:r>
      <w:r w:rsidRPr="39CE4DDA">
        <w:rPr>
          <w:rFonts w:asciiTheme="minorHAnsi" w:eastAsiaTheme="minorEastAsia" w:hAnsiTheme="minorHAnsi" w:cstheme="minorBidi"/>
          <w:b/>
          <w:bCs/>
        </w:rPr>
        <w:t>Rapid Damage and Needs Assessment Report (RDNA)</w:t>
      </w:r>
      <w:r w:rsidRPr="39CE4DDA">
        <w:rPr>
          <w:rFonts w:asciiTheme="minorHAnsi" w:eastAsiaTheme="minorEastAsia" w:hAnsiTheme="minorHAnsi" w:cstheme="minorBidi"/>
        </w:rPr>
        <w:t xml:space="preserve">, facilitated by the European </w:t>
      </w:r>
      <w:r>
        <w:t>Commission</w:t>
      </w:r>
      <w:r w:rsidRPr="39CE4DDA">
        <w:rPr>
          <w:rFonts w:asciiTheme="minorHAnsi" w:eastAsiaTheme="minorEastAsia" w:hAnsiTheme="minorHAnsi" w:cstheme="minorBidi"/>
        </w:rPr>
        <w:t>, the World Bank and the UN. ITU’s input mainly focused on the chapter on “Telecommunications</w:t>
      </w:r>
      <w:r w:rsidRPr="39CE4DDA">
        <w:rPr>
          <w:rFonts w:asciiTheme="minorHAnsi" w:eastAsiaTheme="minorEastAsia" w:hAnsiTheme="minorHAnsi" w:cstheme="minorBidi"/>
          <w:color w:val="B6DDE8" w:themeColor="accent5" w:themeTint="66"/>
        </w:rPr>
        <w:t>,</w:t>
      </w:r>
      <w:r w:rsidRPr="39CE4DDA">
        <w:rPr>
          <w:rFonts w:asciiTheme="minorHAnsi" w:eastAsiaTheme="minorEastAsia" w:hAnsiTheme="minorHAnsi" w:cstheme="minorBidi"/>
        </w:rPr>
        <w:t xml:space="preserve"> Digital</w:t>
      </w:r>
      <w:r w:rsidRPr="39CE4DDA">
        <w:rPr>
          <w:rFonts w:eastAsia="Calibri" w:cs="Calibri"/>
        </w:rPr>
        <w:t>, and Media</w:t>
      </w:r>
      <w:r w:rsidRPr="39CE4DDA">
        <w:rPr>
          <w:rFonts w:asciiTheme="minorHAnsi" w:eastAsiaTheme="minorEastAsia" w:hAnsiTheme="minorHAnsi" w:cstheme="minorBidi"/>
        </w:rPr>
        <w:t xml:space="preserve">”. </w:t>
      </w:r>
      <w:r w:rsidRPr="39CE4DDA">
        <w:rPr>
          <w:rFonts w:asciiTheme="minorHAnsi" w:eastAsiaTheme="minorEastAsia" w:hAnsiTheme="minorHAnsi" w:cstheme="minorBidi"/>
          <w:color w:val="000000" w:themeColor="text1"/>
        </w:rPr>
        <w:t>The 5</w:t>
      </w:r>
      <w:r w:rsidRPr="39CE4DDA">
        <w:rPr>
          <w:rFonts w:asciiTheme="minorHAnsi" w:eastAsiaTheme="minorEastAsia" w:hAnsiTheme="minorHAnsi" w:cstheme="minorBidi"/>
          <w:color w:val="000000" w:themeColor="text1"/>
          <w:vertAlign w:val="superscript"/>
        </w:rPr>
        <w:t>th</w:t>
      </w:r>
      <w:r w:rsidRPr="39CE4DDA">
        <w:rPr>
          <w:rFonts w:asciiTheme="minorHAnsi" w:eastAsiaTheme="minorEastAsia" w:hAnsiTheme="minorHAnsi" w:cstheme="minorBidi"/>
          <w:color w:val="000000" w:themeColor="text1"/>
        </w:rPr>
        <w:t xml:space="preserve"> edition of the RDNA was released on 23 February 2026 and serves as a guiding document for the international donor community to assist in Ukraine’s reconstruction process. </w:t>
      </w:r>
    </w:p>
    <w:p w14:paraId="5D580B44" w14:textId="260F6462" w:rsidR="0053622C" w:rsidRPr="0012664B" w:rsidRDefault="417ECC8B" w:rsidP="39CE4DDA">
      <w:pPr>
        <w:jc w:val="both"/>
        <w:rPr>
          <w:rFonts w:asciiTheme="minorHAnsi" w:eastAsiaTheme="minorEastAsia" w:hAnsiTheme="minorHAnsi" w:cstheme="minorBidi"/>
          <w:color w:val="000000" w:themeColor="text1"/>
        </w:rPr>
      </w:pPr>
      <w:r w:rsidRPr="39CE4DDA">
        <w:rPr>
          <w:rFonts w:asciiTheme="minorHAnsi" w:eastAsiaTheme="minorEastAsia" w:hAnsiTheme="minorHAnsi" w:cstheme="minorBidi"/>
          <w:color w:val="000000" w:themeColor="text1"/>
        </w:rPr>
        <w:t>The overall impact on the telecommunications, digital, and media sector as of 31</w:t>
      </w:r>
      <w:r w:rsidR="662E52CC" w:rsidRPr="39CE4DDA">
        <w:rPr>
          <w:rFonts w:asciiTheme="minorHAnsi" w:eastAsiaTheme="minorEastAsia" w:hAnsiTheme="minorHAnsi" w:cstheme="minorBidi"/>
          <w:color w:val="000000" w:themeColor="text1"/>
        </w:rPr>
        <w:t> </w:t>
      </w:r>
      <w:r w:rsidRPr="39CE4DDA">
        <w:rPr>
          <w:rFonts w:asciiTheme="minorHAnsi" w:eastAsiaTheme="minorEastAsia" w:hAnsiTheme="minorHAnsi" w:cstheme="minorBidi"/>
          <w:color w:val="000000" w:themeColor="text1"/>
        </w:rPr>
        <w:t>December 202</w:t>
      </w:r>
      <w:r w:rsidRPr="39CE4DDA">
        <w:rPr>
          <w:rFonts w:asciiTheme="minorHAnsi" w:eastAsiaTheme="minorEastAsia" w:hAnsiTheme="minorHAnsi" w:cstheme="minorBidi"/>
          <w:color w:val="000000" w:themeColor="text1"/>
          <w:lang w:val="uk"/>
        </w:rPr>
        <w:t>5</w:t>
      </w:r>
      <w:r w:rsidRPr="39CE4DDA">
        <w:rPr>
          <w:rFonts w:asciiTheme="minorHAnsi" w:eastAsiaTheme="minorEastAsia" w:hAnsiTheme="minorHAnsi" w:cstheme="minorBidi"/>
          <w:color w:val="000000" w:themeColor="text1"/>
        </w:rPr>
        <w:t>, is estimated at US</w:t>
      </w:r>
      <w:r w:rsidR="00153512">
        <w:rPr>
          <w:rFonts w:asciiTheme="minorHAnsi" w:eastAsiaTheme="minorEastAsia" w:hAnsiTheme="minorHAnsi" w:cstheme="minorBidi"/>
          <w:color w:val="000000" w:themeColor="text1"/>
        </w:rPr>
        <w:t>D</w:t>
      </w:r>
      <w:r w:rsidR="662E52CC" w:rsidRPr="39CE4DDA">
        <w:rPr>
          <w:rFonts w:asciiTheme="minorHAnsi" w:eastAsiaTheme="minorEastAsia" w:hAnsiTheme="minorHAnsi" w:cstheme="minorBidi"/>
          <w:color w:val="000000" w:themeColor="text1"/>
        </w:rPr>
        <w:t> </w:t>
      </w:r>
      <w:r w:rsidRPr="39CE4DDA">
        <w:rPr>
          <w:rFonts w:asciiTheme="minorHAnsi" w:eastAsiaTheme="minorEastAsia" w:hAnsiTheme="minorHAnsi" w:cstheme="minorBidi"/>
          <w:color w:val="000000" w:themeColor="text1"/>
        </w:rPr>
        <w:t xml:space="preserve">2.48 billion </w:t>
      </w:r>
      <w:r w:rsidR="0053622C">
        <w:rPr>
          <w:rFonts w:asciiTheme="minorHAnsi" w:eastAsiaTheme="minorEastAsia" w:hAnsiTheme="minorHAnsi" w:cstheme="minorBidi"/>
          <w:color w:val="000000" w:themeColor="text1"/>
        </w:rPr>
        <w:t xml:space="preserve">and losses are estimated at </w:t>
      </w:r>
      <w:r w:rsidRPr="39CE4DDA">
        <w:rPr>
          <w:rFonts w:asciiTheme="minorHAnsi" w:eastAsiaTheme="minorEastAsia" w:hAnsiTheme="minorHAnsi" w:cstheme="minorBidi"/>
          <w:color w:val="000000" w:themeColor="text1"/>
        </w:rPr>
        <w:t>US</w:t>
      </w:r>
      <w:r w:rsidR="00153512">
        <w:rPr>
          <w:rFonts w:asciiTheme="minorHAnsi" w:eastAsiaTheme="minorEastAsia" w:hAnsiTheme="minorHAnsi" w:cstheme="minorBidi"/>
          <w:color w:val="000000" w:themeColor="text1"/>
        </w:rPr>
        <w:t>D</w:t>
      </w:r>
      <w:r w:rsidR="662E52CC" w:rsidRPr="39CE4DDA">
        <w:rPr>
          <w:rFonts w:asciiTheme="minorHAnsi" w:eastAsiaTheme="minorEastAsia" w:hAnsiTheme="minorHAnsi" w:cstheme="minorBidi"/>
          <w:color w:val="000000" w:themeColor="text1"/>
        </w:rPr>
        <w:t> </w:t>
      </w:r>
      <w:r w:rsidRPr="39CE4DDA">
        <w:rPr>
          <w:rFonts w:asciiTheme="minorHAnsi" w:eastAsiaTheme="minorEastAsia" w:hAnsiTheme="minorHAnsi" w:cstheme="minorBidi"/>
          <w:color w:val="000000" w:themeColor="text1"/>
        </w:rPr>
        <w:t xml:space="preserve">2.69 billion. </w:t>
      </w:r>
      <w:r w:rsidR="00BF59F4" w:rsidRPr="0053622C">
        <w:rPr>
          <w:rFonts w:asciiTheme="minorHAnsi" w:eastAsiaTheme="minorEastAsia" w:hAnsiTheme="minorHAnsi" w:cstheme="minorBidi"/>
          <w:color w:val="000000" w:themeColor="text1"/>
        </w:rPr>
        <w:t>Damage covers mobile and fixed broadband networks,</w:t>
      </w:r>
      <w:r w:rsidR="00BF59F4">
        <w:rPr>
          <w:rFonts w:asciiTheme="minorHAnsi" w:eastAsiaTheme="minorEastAsia" w:hAnsiTheme="minorHAnsi" w:cstheme="minorBidi"/>
          <w:color w:val="000000" w:themeColor="text1"/>
        </w:rPr>
        <w:t xml:space="preserve"> </w:t>
      </w:r>
      <w:r w:rsidR="00BF59F4" w:rsidRPr="0053622C">
        <w:rPr>
          <w:rFonts w:asciiTheme="minorHAnsi" w:eastAsiaTheme="minorEastAsia" w:hAnsiTheme="minorHAnsi" w:cstheme="minorBidi"/>
          <w:color w:val="000000" w:themeColor="text1"/>
        </w:rPr>
        <w:t xml:space="preserve">postal facilities, broadcasting infrastructure, and media. </w:t>
      </w:r>
      <w:r w:rsidR="009A0D90" w:rsidRPr="0053622C">
        <w:rPr>
          <w:rFonts w:asciiTheme="minorHAnsi" w:eastAsiaTheme="minorEastAsia" w:hAnsiTheme="minorHAnsi" w:cstheme="minorBidi"/>
          <w:color w:val="000000" w:themeColor="text1"/>
        </w:rPr>
        <w:t>Loss</w:t>
      </w:r>
      <w:r w:rsidR="009A0D90">
        <w:rPr>
          <w:rFonts w:asciiTheme="minorHAnsi" w:eastAsiaTheme="minorEastAsia" w:hAnsiTheme="minorHAnsi" w:cstheme="minorBidi"/>
          <w:color w:val="000000" w:themeColor="text1"/>
        </w:rPr>
        <w:t xml:space="preserve"> </w:t>
      </w:r>
      <w:r w:rsidR="009A0D90" w:rsidRPr="0053622C">
        <w:rPr>
          <w:rFonts w:asciiTheme="minorHAnsi" w:eastAsiaTheme="minorEastAsia" w:hAnsiTheme="minorHAnsi" w:cstheme="minorBidi"/>
          <w:color w:val="000000" w:themeColor="text1"/>
        </w:rPr>
        <w:t>reflects forgone revenues for private operators and postal service providers, increased operating costs</w:t>
      </w:r>
      <w:r w:rsidR="009A0D90">
        <w:rPr>
          <w:rFonts w:asciiTheme="minorHAnsi" w:eastAsiaTheme="minorEastAsia" w:hAnsiTheme="minorHAnsi" w:cstheme="minorBidi"/>
          <w:color w:val="000000" w:themeColor="text1"/>
        </w:rPr>
        <w:t xml:space="preserve"> </w:t>
      </w:r>
      <w:r w:rsidR="009A0D90" w:rsidRPr="0053622C">
        <w:rPr>
          <w:rFonts w:asciiTheme="minorHAnsi" w:eastAsiaTheme="minorEastAsia" w:hAnsiTheme="minorHAnsi" w:cstheme="minorBidi"/>
          <w:color w:val="000000" w:themeColor="text1"/>
        </w:rPr>
        <w:t>due to repairs, and additional costs for backup electricity generators.</w:t>
      </w:r>
      <w:r w:rsidR="009A0D90">
        <w:rPr>
          <w:rFonts w:asciiTheme="minorHAnsi" w:eastAsiaTheme="minorEastAsia" w:hAnsiTheme="minorHAnsi" w:cstheme="minorBidi"/>
          <w:color w:val="000000" w:themeColor="text1"/>
        </w:rPr>
        <w:t xml:space="preserve"> </w:t>
      </w:r>
      <w:r w:rsidRPr="39CE4DDA">
        <w:rPr>
          <w:rFonts w:asciiTheme="minorHAnsi" w:eastAsiaTheme="minorEastAsia" w:hAnsiTheme="minorHAnsi" w:cstheme="minorBidi"/>
          <w:color w:val="000000" w:themeColor="text1"/>
        </w:rPr>
        <w:t xml:space="preserve">Damage is overwhelmingly borne by the private sector, which has incurred over 90 </w:t>
      </w:r>
      <w:r w:rsidR="580CB123" w:rsidRPr="39CE4DDA">
        <w:rPr>
          <w:rFonts w:asciiTheme="minorHAnsi" w:eastAsiaTheme="minorEastAsia" w:hAnsiTheme="minorHAnsi" w:cstheme="minorBidi"/>
          <w:color w:val="000000" w:themeColor="text1"/>
        </w:rPr>
        <w:t>per cent</w:t>
      </w:r>
      <w:r w:rsidRPr="39CE4DDA">
        <w:rPr>
          <w:rFonts w:asciiTheme="minorHAnsi" w:eastAsiaTheme="minorEastAsia" w:hAnsiTheme="minorHAnsi" w:cstheme="minorBidi"/>
          <w:color w:val="000000" w:themeColor="text1"/>
        </w:rPr>
        <w:t xml:space="preserve"> of the total; damage to public assets is limited mainly to broadcasting infrastructure and a share of postal facilities</w:t>
      </w:r>
      <w:r w:rsidRPr="39CE4DDA">
        <w:rPr>
          <w:rFonts w:asciiTheme="minorHAnsi" w:eastAsiaTheme="minorEastAsia" w:hAnsiTheme="minorHAnsi" w:cstheme="minorBidi"/>
          <w:color w:val="000000" w:themeColor="text1"/>
          <w:lang w:val="uk"/>
        </w:rPr>
        <w:t xml:space="preserve">. </w:t>
      </w:r>
      <w:r w:rsidRPr="39CE4DDA">
        <w:rPr>
          <w:rFonts w:asciiTheme="minorHAnsi" w:eastAsiaTheme="minorEastAsia" w:hAnsiTheme="minorHAnsi" w:cstheme="minorBidi"/>
          <w:color w:val="000000" w:themeColor="text1"/>
        </w:rPr>
        <w:t xml:space="preserve">Fixed broadband and mobile networks account for about 85 </w:t>
      </w:r>
      <w:r w:rsidR="580CB123" w:rsidRPr="39CE4DDA">
        <w:rPr>
          <w:rFonts w:asciiTheme="minorHAnsi" w:eastAsiaTheme="minorEastAsia" w:hAnsiTheme="minorHAnsi" w:cstheme="minorBidi"/>
          <w:color w:val="000000" w:themeColor="text1"/>
        </w:rPr>
        <w:t>per cent</w:t>
      </w:r>
      <w:r w:rsidRPr="39CE4DDA">
        <w:rPr>
          <w:rFonts w:asciiTheme="minorHAnsi" w:eastAsiaTheme="minorEastAsia" w:hAnsiTheme="minorHAnsi" w:cstheme="minorBidi"/>
          <w:color w:val="000000" w:themeColor="text1"/>
        </w:rPr>
        <w:t xml:space="preserve"> of total damage. The growing toll of lost lives has had adverse effects on physical and mental health in the sector. </w:t>
      </w:r>
    </w:p>
    <w:p w14:paraId="0B50369A" w14:textId="52C3865D" w:rsidR="0087436F" w:rsidRPr="0012664B" w:rsidRDefault="0087436F" w:rsidP="516D718C">
      <w:pPr>
        <w:jc w:val="both"/>
        <w:rPr>
          <w:rFonts w:asciiTheme="minorHAnsi" w:eastAsiaTheme="minorEastAsia" w:hAnsiTheme="minorHAnsi" w:cstheme="minorBidi"/>
          <w:color w:val="000000" w:themeColor="text1"/>
        </w:rPr>
      </w:pPr>
      <w:r w:rsidRPr="516D718C">
        <w:rPr>
          <w:rFonts w:asciiTheme="minorHAnsi" w:eastAsiaTheme="minorEastAsia" w:hAnsiTheme="minorHAnsi" w:cstheme="minorBidi"/>
          <w:color w:val="000000" w:themeColor="text1"/>
        </w:rPr>
        <w:t>Total reconstruction and recovery needs for sector are estimated at US</w:t>
      </w:r>
      <w:r w:rsidR="00153512">
        <w:rPr>
          <w:rFonts w:asciiTheme="minorHAnsi" w:eastAsiaTheme="minorEastAsia" w:hAnsiTheme="minorHAnsi" w:cstheme="minorBidi"/>
          <w:color w:val="000000" w:themeColor="text1"/>
        </w:rPr>
        <w:t>D</w:t>
      </w:r>
      <w:r w:rsidR="001908ED" w:rsidRPr="516D718C">
        <w:rPr>
          <w:rFonts w:asciiTheme="minorHAnsi" w:eastAsiaTheme="minorEastAsia" w:hAnsiTheme="minorHAnsi" w:cstheme="minorBidi"/>
          <w:color w:val="000000" w:themeColor="text1"/>
        </w:rPr>
        <w:t> </w:t>
      </w:r>
      <w:r w:rsidRPr="516D718C">
        <w:rPr>
          <w:rFonts w:asciiTheme="minorHAnsi" w:eastAsiaTheme="minorEastAsia" w:hAnsiTheme="minorHAnsi" w:cstheme="minorBidi"/>
          <w:color w:val="000000" w:themeColor="text1"/>
        </w:rPr>
        <w:t>7.10 billion over 2026</w:t>
      </w:r>
      <w:r w:rsidR="27631F82" w:rsidRPr="516D718C">
        <w:rPr>
          <w:rFonts w:asciiTheme="minorHAnsi" w:eastAsiaTheme="minorEastAsia" w:hAnsiTheme="minorHAnsi" w:cstheme="minorBidi"/>
          <w:color w:val="000000" w:themeColor="text1"/>
        </w:rPr>
        <w:t>-</w:t>
      </w:r>
      <w:r w:rsidR="001908ED">
        <w:rPr>
          <w:rFonts w:asciiTheme="minorHAnsi" w:eastAsiaTheme="minorEastAsia" w:hAnsiTheme="minorHAnsi" w:cstheme="minorBidi"/>
          <w:color w:val="000000" w:themeColor="text1"/>
        </w:rPr>
        <w:noBreakHyphen/>
      </w:r>
      <w:r w:rsidRPr="516D718C">
        <w:rPr>
          <w:rFonts w:asciiTheme="minorHAnsi" w:eastAsiaTheme="minorEastAsia" w:hAnsiTheme="minorHAnsi" w:cstheme="minorBidi"/>
          <w:color w:val="000000" w:themeColor="text1"/>
        </w:rPr>
        <w:t>2036, an increase of 21 per</w:t>
      </w:r>
      <w:r w:rsidR="001908ED" w:rsidRPr="516D718C">
        <w:rPr>
          <w:rFonts w:asciiTheme="minorHAnsi" w:eastAsiaTheme="minorEastAsia" w:hAnsiTheme="minorHAnsi" w:cstheme="minorBidi"/>
          <w:color w:val="000000" w:themeColor="text1"/>
        </w:rPr>
        <w:t xml:space="preserve"> </w:t>
      </w:r>
      <w:r w:rsidRPr="516D718C">
        <w:rPr>
          <w:rFonts w:asciiTheme="minorHAnsi" w:eastAsiaTheme="minorEastAsia" w:hAnsiTheme="minorHAnsi" w:cstheme="minorBidi"/>
          <w:color w:val="000000" w:themeColor="text1"/>
        </w:rPr>
        <w:t xml:space="preserve">cent compared to RDNA4. </w:t>
      </w:r>
    </w:p>
    <w:p w14:paraId="1F4B5683" w14:textId="77777777" w:rsidR="0087436F" w:rsidRPr="001908ED" w:rsidRDefault="0087436F" w:rsidP="001908ED">
      <w:pPr>
        <w:pStyle w:val="Heading1"/>
      </w:pPr>
      <w:bookmarkStart w:id="12" w:name="_Toc1291141038"/>
      <w:r w:rsidRPr="001908ED">
        <w:t>3</w:t>
      </w:r>
      <w:r w:rsidRPr="001908ED">
        <w:tab/>
        <w:t>Coordination mechanisms for effective implementation</w:t>
      </w:r>
      <w:bookmarkEnd w:id="12"/>
    </w:p>
    <w:p w14:paraId="2842ABA5" w14:textId="744A2880" w:rsidR="0087436F" w:rsidRPr="009910B5" w:rsidRDefault="417ECC8B" w:rsidP="39CE4DDA">
      <w:pPr>
        <w:jc w:val="both"/>
        <w:rPr>
          <w:rFonts w:asciiTheme="minorHAnsi" w:hAnsiTheme="minorHAnsi" w:cstheme="minorBidi"/>
        </w:rPr>
      </w:pPr>
      <w:r w:rsidRPr="39CE4DDA">
        <w:rPr>
          <w:rFonts w:asciiTheme="minorHAnsi" w:hAnsiTheme="minorHAnsi" w:cstheme="minorBidi"/>
        </w:rPr>
        <w:t xml:space="preserve">At the level of ITU, a </w:t>
      </w:r>
      <w:r w:rsidRPr="39CE4DDA">
        <w:rPr>
          <w:rFonts w:asciiTheme="minorHAnsi" w:hAnsiTheme="minorHAnsi" w:cstheme="minorBidi"/>
          <w:b/>
          <w:bCs/>
        </w:rPr>
        <w:t>Special Task Force on Resolution 1408</w:t>
      </w:r>
      <w:r w:rsidRPr="39CE4DDA">
        <w:rPr>
          <w:rFonts w:asciiTheme="minorHAnsi" w:hAnsiTheme="minorHAnsi" w:cstheme="minorBidi"/>
        </w:rPr>
        <w:t>, chaired by the Deputy Secretary</w:t>
      </w:r>
      <w:r w:rsidR="20CB148E" w:rsidRPr="39CE4DDA">
        <w:rPr>
          <w:rFonts w:asciiTheme="minorHAnsi" w:hAnsiTheme="minorHAnsi" w:cstheme="minorBidi"/>
        </w:rPr>
        <w:t>-</w:t>
      </w:r>
      <w:r w:rsidR="00820D07">
        <w:rPr>
          <w:rFonts w:asciiTheme="minorHAnsi" w:hAnsiTheme="minorHAnsi" w:cstheme="minorBidi"/>
        </w:rPr>
        <w:noBreakHyphen/>
      </w:r>
      <w:r w:rsidRPr="39CE4DDA">
        <w:rPr>
          <w:rFonts w:asciiTheme="minorHAnsi" w:hAnsiTheme="minorHAnsi" w:cstheme="minorBidi"/>
        </w:rPr>
        <w:t>General and serviced by the ITU Office for Europe, continues to provide the platform for intersectoral response to all issues related to the implementation of this resolution.</w:t>
      </w:r>
    </w:p>
    <w:p w14:paraId="20BF9A6E" w14:textId="77777777" w:rsidR="0087436F" w:rsidRPr="009910B5" w:rsidDel="00903B09" w:rsidRDefault="0087436F" w:rsidP="001908ED">
      <w:pPr>
        <w:jc w:val="both"/>
        <w:rPr>
          <w:rFonts w:asciiTheme="minorHAnsi" w:hAnsiTheme="minorHAnsi" w:cstheme="minorHAnsi"/>
          <w:szCs w:val="24"/>
        </w:rPr>
      </w:pPr>
      <w:r w:rsidRPr="009910B5" w:rsidDel="00903B09">
        <w:rPr>
          <w:rFonts w:asciiTheme="minorHAnsi" w:hAnsiTheme="minorHAnsi" w:cstheme="minorHAnsi"/>
          <w:spacing w:val="4"/>
          <w:szCs w:val="24"/>
        </w:rPr>
        <w:t xml:space="preserve">With the aim of ensuring </w:t>
      </w:r>
      <w:r w:rsidRPr="009910B5">
        <w:rPr>
          <w:rFonts w:asciiTheme="minorHAnsi" w:hAnsiTheme="minorHAnsi" w:cstheme="minorHAnsi"/>
          <w:spacing w:val="4"/>
          <w:szCs w:val="24"/>
        </w:rPr>
        <w:t xml:space="preserve">a </w:t>
      </w:r>
      <w:r w:rsidRPr="009910B5" w:rsidDel="00903B09">
        <w:rPr>
          <w:rFonts w:asciiTheme="minorHAnsi" w:hAnsiTheme="minorHAnsi" w:cstheme="minorHAnsi"/>
          <w:spacing w:val="4"/>
          <w:szCs w:val="24"/>
        </w:rPr>
        <w:t xml:space="preserve">coordinated approach for ITU activities in response to </w:t>
      </w:r>
      <w:r w:rsidRPr="009910B5" w:rsidDel="00903B09">
        <w:rPr>
          <w:rFonts w:asciiTheme="minorHAnsi" w:hAnsiTheme="minorHAnsi" w:cstheme="minorHAnsi"/>
          <w:szCs w:val="24"/>
        </w:rPr>
        <w:t>Resolution 1408, a series of coordination mechanisms have been put in place, as follows:</w:t>
      </w:r>
    </w:p>
    <w:p w14:paraId="71943E5B" w14:textId="219A7B16" w:rsidR="0087436F" w:rsidRPr="009910B5" w:rsidDel="00903B09" w:rsidRDefault="0087436F" w:rsidP="0087436F">
      <w:pPr>
        <w:pStyle w:val="enumlev1"/>
        <w:jc w:val="both"/>
      </w:pPr>
      <w:r w:rsidRPr="009910B5">
        <w:t>–</w:t>
      </w:r>
      <w:r w:rsidRPr="009910B5">
        <w:tab/>
        <w:t xml:space="preserve">ITU conducts regular coordination calls with the official focal point of the </w:t>
      </w:r>
      <w:r w:rsidRPr="009910B5">
        <w:rPr>
          <w:b/>
          <w:bCs/>
        </w:rPr>
        <w:t>Ministry of Digital Transformation of Ukraine</w:t>
      </w:r>
      <w:r w:rsidRPr="00820D07">
        <w:t xml:space="preserve">, </w:t>
      </w:r>
      <w:r w:rsidRPr="009910B5">
        <w:t>acting as Administration Member State for ITU. In</w:t>
      </w:r>
      <w:r w:rsidR="00820D07">
        <w:t> </w:t>
      </w:r>
      <w:r w:rsidR="00820D07" w:rsidRPr="009910B5">
        <w:t>addition,</w:t>
      </w:r>
      <w:r w:rsidRPr="009910B5">
        <w:t xml:space="preserve"> ITU continues, upon the needs, to cooperate with </w:t>
      </w:r>
      <w:r w:rsidRPr="009910B5">
        <w:rPr>
          <w:rFonts w:eastAsia="Calibri" w:cs="Calibri"/>
        </w:rPr>
        <w:t xml:space="preserve">the </w:t>
      </w:r>
      <w:r w:rsidRPr="009910B5">
        <w:t xml:space="preserve">State Service of Special Communications and </w:t>
      </w:r>
      <w:r w:rsidRPr="009910B5">
        <w:rPr>
          <w:rFonts w:cstheme="minorHAnsi"/>
        </w:rPr>
        <w:t>Information</w:t>
      </w:r>
      <w:r w:rsidRPr="009910B5">
        <w:t xml:space="preserve"> Protection (SSSICP), the Broadcasting, Radiocommunications and Television Concern, </w:t>
      </w:r>
      <w:r w:rsidRPr="009910B5">
        <w:rPr>
          <w:rFonts w:eastAsia="Calibri" w:cs="Calibri"/>
        </w:rPr>
        <w:t xml:space="preserve">and the </w:t>
      </w:r>
      <w:r w:rsidRPr="009910B5" w:rsidDel="00903B09">
        <w:t>National Commission for the State Regulation of Electronic Communications, Radio Frequency Spectrum and the Provision of Postal Services</w:t>
      </w:r>
      <w:r w:rsidRPr="009910B5">
        <w:t xml:space="preserve">. </w:t>
      </w:r>
    </w:p>
    <w:p w14:paraId="5F292570" w14:textId="075995C3" w:rsidR="0087436F" w:rsidRPr="00586E76" w:rsidRDefault="417ECC8B" w:rsidP="39CE4DDA">
      <w:pPr>
        <w:pStyle w:val="enumlev1"/>
        <w:jc w:val="both"/>
        <w:rPr>
          <w:rFonts w:cstheme="minorBidi"/>
        </w:rPr>
      </w:pPr>
      <w:r>
        <w:t>–</w:t>
      </w:r>
      <w:r w:rsidR="0087436F">
        <w:tab/>
      </w:r>
      <w:r>
        <w:t xml:space="preserve">As a member of the </w:t>
      </w:r>
      <w:r w:rsidRPr="39CE4DDA">
        <w:rPr>
          <w:b/>
          <w:bCs/>
        </w:rPr>
        <w:t>UN Country Team</w:t>
      </w:r>
      <w:r>
        <w:t xml:space="preserve">, ITU continues to coordinate all its actions with the UN system. ITU </w:t>
      </w:r>
      <w:r w:rsidRPr="39CE4DDA">
        <w:rPr>
          <w:rFonts w:eastAsia="Calibri" w:cs="Calibri"/>
          <w:color w:val="000000" w:themeColor="text1"/>
        </w:rPr>
        <w:t xml:space="preserve">has contributed to </w:t>
      </w:r>
      <w:r w:rsidR="39257F28" w:rsidRPr="39CE4DDA">
        <w:rPr>
          <w:rFonts w:eastAsia="Calibri" w:cs="Calibri"/>
          <w:color w:val="000000" w:themeColor="text1"/>
        </w:rPr>
        <w:t xml:space="preserve">the </w:t>
      </w:r>
      <w:r w:rsidRPr="39CE4DDA">
        <w:rPr>
          <w:rFonts w:eastAsia="Calibri" w:cs="Calibri"/>
          <w:color w:val="000000" w:themeColor="text1"/>
        </w:rPr>
        <w:t xml:space="preserve">elaboration </w:t>
      </w:r>
      <w:r w:rsidR="60FD3F22" w:rsidRPr="39CE4DDA">
        <w:rPr>
          <w:rFonts w:eastAsia="Calibri" w:cs="Calibri"/>
          <w:color w:val="000000" w:themeColor="text1"/>
        </w:rPr>
        <w:t xml:space="preserve">of </w:t>
      </w:r>
      <w:r w:rsidRPr="39CE4DDA">
        <w:rPr>
          <w:rFonts w:eastAsia="Calibri" w:cs="Calibri"/>
          <w:color w:val="000000" w:themeColor="text1"/>
        </w:rPr>
        <w:t xml:space="preserve">and signed </w:t>
      </w:r>
      <w:r>
        <w:t xml:space="preserve">the UN Sustainable Development Cooperation Framework 2025-2029. </w:t>
      </w:r>
    </w:p>
    <w:p w14:paraId="488E279B" w14:textId="38F6FDF1" w:rsidR="0087436F" w:rsidRDefault="417ECC8B" w:rsidP="39CE4DDA">
      <w:pPr>
        <w:pStyle w:val="enumlev1"/>
        <w:numPr>
          <w:ilvl w:val="0"/>
          <w:numId w:val="2"/>
        </w:numPr>
        <w:ind w:left="567"/>
        <w:jc w:val="both"/>
        <w:rPr>
          <w:rFonts w:cstheme="minorBidi"/>
        </w:rPr>
      </w:pPr>
      <w:r w:rsidRPr="39CE4DDA">
        <w:rPr>
          <w:rFonts w:cstheme="minorBidi"/>
        </w:rPr>
        <w:t xml:space="preserve">ITU conducts regular coordination with the </w:t>
      </w:r>
      <w:r w:rsidRPr="39CE4DDA">
        <w:rPr>
          <w:rFonts w:cstheme="minorBidi"/>
          <w:b/>
          <w:bCs/>
        </w:rPr>
        <w:t xml:space="preserve">European Commission </w:t>
      </w:r>
      <w:r w:rsidRPr="39CE4DDA">
        <w:rPr>
          <w:rFonts w:cstheme="minorBidi"/>
        </w:rPr>
        <w:t xml:space="preserve">on its ongoing and planned activities in the field of ICT and broadcasting infrastructure reconstruction, roll out of 5G infrastructure and electronic communications. </w:t>
      </w:r>
      <w:r w:rsidR="30391063" w:rsidRPr="39CE4DDA">
        <w:rPr>
          <w:rFonts w:cstheme="minorBidi"/>
        </w:rPr>
        <w:t xml:space="preserve">As further detailed below, </w:t>
      </w:r>
      <w:r w:rsidRPr="39CE4DDA">
        <w:rPr>
          <w:rFonts w:cstheme="minorBidi"/>
        </w:rPr>
        <w:t>ITU, in coordination with the Administration of Ukraine is currently preparing for next TAIEX workshop, building upon positive experience build during the first joint ITU-EU TAIEX workshop was held in December 2024.</w:t>
      </w:r>
    </w:p>
    <w:p w14:paraId="1092510F" w14:textId="77777777" w:rsidR="0087436F" w:rsidRPr="009910B5" w:rsidRDefault="0087436F" w:rsidP="0087436F">
      <w:pPr>
        <w:pStyle w:val="enumlev1"/>
        <w:numPr>
          <w:ilvl w:val="0"/>
          <w:numId w:val="2"/>
        </w:numPr>
        <w:ind w:left="567"/>
        <w:jc w:val="both"/>
        <w:rPr>
          <w:color w:val="000000" w:themeColor="text1"/>
        </w:rPr>
      </w:pPr>
      <w:r w:rsidRPr="00586E76">
        <w:rPr>
          <w:rFonts w:cstheme="minorBidi"/>
        </w:rPr>
        <w:t xml:space="preserve">Following annual active participation in the </w:t>
      </w:r>
      <w:r w:rsidRPr="136AEE13">
        <w:rPr>
          <w:rFonts w:eastAsia="Calibri" w:cstheme="minorBidi"/>
          <w:b/>
        </w:rPr>
        <w:t>Ukraine Recovery Conferences</w:t>
      </w:r>
      <w:r w:rsidRPr="00820D07">
        <w:rPr>
          <w:rFonts w:eastAsia="Calibri" w:cstheme="minorBidi"/>
          <w:bCs/>
        </w:rPr>
        <w:t>,</w:t>
      </w:r>
      <w:r w:rsidRPr="00586E76">
        <w:rPr>
          <w:rFonts w:cstheme="minorBidi"/>
        </w:rPr>
        <w:t xml:space="preserve"> in July 2025, upon the invitation of Italy, ITU contributed to the URC held in Rome. ITU facilitated the organisation of the side event “Building Telecom Resilience: Ukraine’s wartime Transformation and Global Investment Partnerships” with the high-level participation from Ukraine and partners. The event offered an opportunity to highlight the work carried out by ITU to support Ukraine, while seeking effective partnerships to further advance the implementation of the ITU Council Resolution 1408. Preparations have started towards ITU’s contribution to the Ukraine Recovery Conference 2026 to be held in </w:t>
      </w:r>
      <w:r>
        <w:rPr>
          <w:rFonts w:cstheme="minorBidi"/>
        </w:rPr>
        <w:t xml:space="preserve">July, in </w:t>
      </w:r>
      <w:r w:rsidRPr="0795D20D">
        <w:rPr>
          <w:rFonts w:cstheme="minorBidi"/>
        </w:rPr>
        <w:t>Gdansk, Poland.</w:t>
      </w:r>
    </w:p>
    <w:p w14:paraId="583C6791" w14:textId="12D31D6E" w:rsidR="0087436F" w:rsidRPr="009910B5" w:rsidRDefault="417ECC8B" w:rsidP="0087436F">
      <w:pPr>
        <w:pStyle w:val="enumlev1"/>
        <w:numPr>
          <w:ilvl w:val="0"/>
          <w:numId w:val="2"/>
        </w:numPr>
        <w:ind w:left="567"/>
        <w:jc w:val="both"/>
        <w:rPr>
          <w:color w:val="000000" w:themeColor="text1"/>
        </w:rPr>
      </w:pPr>
      <w:r w:rsidRPr="39CE4DDA">
        <w:rPr>
          <w:rFonts w:cstheme="minorBidi"/>
        </w:rPr>
        <w:t xml:space="preserve">With the aim of strengthening human capacities, ITU continues working together with Academia Members, in particular the </w:t>
      </w:r>
      <w:r w:rsidRPr="39CE4DDA">
        <w:rPr>
          <w:rFonts w:cstheme="minorBidi"/>
          <w:b/>
          <w:bCs/>
        </w:rPr>
        <w:t>State University of Information and Communication Technologies of Ukraine (SUICT)</w:t>
      </w:r>
      <w:r w:rsidRPr="39CE4DDA">
        <w:rPr>
          <w:rFonts w:cstheme="minorBidi"/>
        </w:rPr>
        <w:t>. In November 2025</w:t>
      </w:r>
      <w:r w:rsidRPr="39CE4DDA">
        <w:rPr>
          <w:color w:val="000000" w:themeColor="text1"/>
        </w:rPr>
        <w:t xml:space="preserve">, ITU supported and contributed to the organization of the International Scientific and </w:t>
      </w:r>
      <w:r w:rsidRPr="39CE4DDA">
        <w:rPr>
          <w:rFonts w:cstheme="minorBidi"/>
        </w:rPr>
        <w:t>Practical</w:t>
      </w:r>
      <w:r w:rsidRPr="39CE4DDA">
        <w:rPr>
          <w:color w:val="000000" w:themeColor="text1"/>
        </w:rPr>
        <w:t xml:space="preserve"> Conference “Digital Transformation: Strengthening Cybersecurity Capacities in the Modern World” (4</w:t>
      </w:r>
      <w:r w:rsidR="580CB123" w:rsidRPr="39CE4DDA">
        <w:rPr>
          <w:color w:val="000000" w:themeColor="text1"/>
        </w:rPr>
        <w:t>-</w:t>
      </w:r>
      <w:r w:rsidRPr="39CE4DDA">
        <w:rPr>
          <w:color w:val="000000" w:themeColor="text1"/>
        </w:rPr>
        <w:t>5 November 2025), led by SUICT and the University of the National Education Commission of Poland in Krakow. The conference brought together over 100</w:t>
      </w:r>
      <w:r w:rsidR="580CB123" w:rsidRPr="39CE4DDA">
        <w:rPr>
          <w:color w:val="000000" w:themeColor="text1"/>
        </w:rPr>
        <w:t> </w:t>
      </w:r>
      <w:r w:rsidRPr="39CE4DDA">
        <w:rPr>
          <w:color w:val="000000" w:themeColor="text1"/>
        </w:rPr>
        <w:t xml:space="preserve">stakeholders to discuss current cybersecurity and digital transformation challenges. A second conference is planned to be held in </w:t>
      </w:r>
      <w:r w:rsidR="41CD6C8C" w:rsidRPr="39CE4DDA">
        <w:rPr>
          <w:color w:val="000000" w:themeColor="text1"/>
        </w:rPr>
        <w:t>Türkiye</w:t>
      </w:r>
      <w:r w:rsidRPr="39CE4DDA">
        <w:rPr>
          <w:color w:val="000000" w:themeColor="text1"/>
        </w:rPr>
        <w:t xml:space="preserve"> in June 2026, supported by ITU and organized by SUICT in cooperation with other academic partners.</w:t>
      </w:r>
    </w:p>
    <w:p w14:paraId="52EF07CD" w14:textId="77777777" w:rsidR="0087436F" w:rsidRPr="009910B5" w:rsidRDefault="0087436F" w:rsidP="00820D07">
      <w:pPr>
        <w:pStyle w:val="Heading1"/>
      </w:pPr>
      <w:bookmarkStart w:id="13" w:name="_Toc740993895"/>
      <w:r w:rsidRPr="009910B5">
        <w:t>4</w:t>
      </w:r>
      <w:r w:rsidRPr="009910B5">
        <w:tab/>
        <w:t>Technical assistance</w:t>
      </w:r>
      <w:bookmarkEnd w:id="13"/>
      <w:r w:rsidRPr="009910B5">
        <w:t xml:space="preserve"> </w:t>
      </w:r>
      <w:r>
        <w:t xml:space="preserve">and advocacy actions </w:t>
      </w:r>
    </w:p>
    <w:p w14:paraId="370B37E9" w14:textId="50D74DD9" w:rsidR="0087436F" w:rsidRDefault="417ECC8B" w:rsidP="001908ED">
      <w:pPr>
        <w:jc w:val="both"/>
        <w:rPr>
          <w:rFonts w:eastAsia="Calibri" w:cs="Calibri"/>
          <w:color w:val="000000" w:themeColor="text1"/>
        </w:rPr>
      </w:pPr>
      <w:r w:rsidRPr="39CE4DDA">
        <w:rPr>
          <w:rFonts w:eastAsia="Calibri" w:cs="Calibri"/>
          <w:color w:val="000000" w:themeColor="text1"/>
        </w:rPr>
        <w:t xml:space="preserve">Following a series of coordination meetings with the Ministry of Digital Transformation of Ukraine and based on Ukraine’s contribution to </w:t>
      </w:r>
      <w:r w:rsidR="6BD80059" w:rsidRPr="39CE4DDA">
        <w:rPr>
          <w:rFonts w:eastAsia="Calibri" w:cs="Calibri"/>
          <w:color w:val="000000" w:themeColor="text1"/>
        </w:rPr>
        <w:t xml:space="preserve">the </w:t>
      </w:r>
      <w:r w:rsidR="00A435FD">
        <w:rPr>
          <w:rFonts w:eastAsia="Calibri" w:cs="Calibri"/>
          <w:color w:val="000000" w:themeColor="text1"/>
        </w:rPr>
        <w:t xml:space="preserve">2026 </w:t>
      </w:r>
      <w:r w:rsidRPr="39CE4DDA">
        <w:rPr>
          <w:rFonts w:eastAsia="Calibri" w:cs="Calibri"/>
          <w:color w:val="000000" w:themeColor="text1"/>
        </w:rPr>
        <w:t>R</w:t>
      </w:r>
      <w:r w:rsidR="07515A60" w:rsidRPr="39CE4DDA">
        <w:rPr>
          <w:rFonts w:eastAsia="Calibri" w:cs="Calibri"/>
          <w:color w:val="000000" w:themeColor="text1"/>
        </w:rPr>
        <w:t xml:space="preserve">egional </w:t>
      </w:r>
      <w:r w:rsidRPr="39CE4DDA">
        <w:rPr>
          <w:rFonts w:eastAsia="Calibri" w:cs="Calibri"/>
          <w:color w:val="000000" w:themeColor="text1"/>
        </w:rPr>
        <w:t>D</w:t>
      </w:r>
      <w:r w:rsidR="5585766B" w:rsidRPr="39CE4DDA">
        <w:rPr>
          <w:rFonts w:eastAsia="Calibri" w:cs="Calibri"/>
          <w:color w:val="000000" w:themeColor="text1"/>
        </w:rPr>
        <w:t xml:space="preserve">evelopment </w:t>
      </w:r>
      <w:r w:rsidRPr="39CE4DDA">
        <w:rPr>
          <w:rFonts w:eastAsia="Calibri" w:cs="Calibri"/>
          <w:color w:val="000000" w:themeColor="text1"/>
        </w:rPr>
        <w:t>F</w:t>
      </w:r>
      <w:r w:rsidR="03B3A2E2" w:rsidRPr="39CE4DDA">
        <w:rPr>
          <w:rFonts w:eastAsia="Calibri" w:cs="Calibri"/>
          <w:color w:val="000000" w:themeColor="text1"/>
        </w:rPr>
        <w:t>orum</w:t>
      </w:r>
      <w:r w:rsidRPr="39CE4DDA">
        <w:rPr>
          <w:rFonts w:eastAsia="Calibri" w:cs="Calibri"/>
          <w:color w:val="000000" w:themeColor="text1"/>
        </w:rPr>
        <w:t xml:space="preserve"> </w:t>
      </w:r>
      <w:r w:rsidR="00A435FD">
        <w:rPr>
          <w:rFonts w:eastAsia="Calibri" w:cs="Calibri"/>
          <w:color w:val="000000" w:themeColor="text1"/>
        </w:rPr>
        <w:t>for Europe</w:t>
      </w:r>
      <w:r w:rsidRPr="39CE4DDA">
        <w:rPr>
          <w:rFonts w:eastAsia="Calibri" w:cs="Calibri"/>
          <w:color w:val="000000" w:themeColor="text1"/>
        </w:rPr>
        <w:t xml:space="preserve"> and responding to the resolves of the ITU Council Resolution 1408, a set of potential projects was </w:t>
      </w:r>
      <w:r w:rsidR="00F2406C">
        <w:rPr>
          <w:rFonts w:eastAsia="Calibri" w:cs="Calibri"/>
          <w:color w:val="000000" w:themeColor="text1"/>
        </w:rPr>
        <w:t xml:space="preserve">jointly </w:t>
      </w:r>
      <w:r w:rsidRPr="39CE4DDA">
        <w:rPr>
          <w:rFonts w:eastAsia="Calibri" w:cs="Calibri"/>
          <w:color w:val="000000" w:themeColor="text1"/>
        </w:rPr>
        <w:t xml:space="preserve">identified as </w:t>
      </w:r>
      <w:r w:rsidR="00C368CC">
        <w:rPr>
          <w:rFonts w:eastAsia="Calibri" w:cs="Calibri"/>
          <w:color w:val="000000" w:themeColor="text1"/>
        </w:rPr>
        <w:t xml:space="preserve">a </w:t>
      </w:r>
      <w:r w:rsidRPr="39CE4DDA">
        <w:rPr>
          <w:rFonts w:eastAsia="Calibri" w:cs="Calibri"/>
          <w:color w:val="000000" w:themeColor="text1"/>
        </w:rPr>
        <w:t xml:space="preserve">priority for </w:t>
      </w:r>
      <w:r w:rsidR="00FB5F95">
        <w:rPr>
          <w:rFonts w:eastAsia="Calibri" w:cs="Calibri"/>
          <w:color w:val="000000" w:themeColor="text1"/>
        </w:rPr>
        <w:t xml:space="preserve">action </w:t>
      </w:r>
      <w:r w:rsidR="00A00214">
        <w:rPr>
          <w:rFonts w:eastAsia="Calibri" w:cs="Calibri"/>
          <w:color w:val="000000" w:themeColor="text1"/>
        </w:rPr>
        <w:t xml:space="preserve">and </w:t>
      </w:r>
      <w:r w:rsidRPr="39CE4DDA">
        <w:rPr>
          <w:rFonts w:eastAsia="Calibri" w:cs="Calibri"/>
          <w:color w:val="000000" w:themeColor="text1"/>
        </w:rPr>
        <w:t xml:space="preserve">international support. Detailed descriptions </w:t>
      </w:r>
      <w:r w:rsidR="00B23EB0">
        <w:rPr>
          <w:rFonts w:eastAsia="Calibri" w:cs="Calibri"/>
          <w:color w:val="000000" w:themeColor="text1"/>
        </w:rPr>
        <w:t xml:space="preserve">of priority projects </w:t>
      </w:r>
      <w:r w:rsidRPr="39CE4DDA">
        <w:rPr>
          <w:rFonts w:eastAsia="Calibri" w:cs="Calibri"/>
          <w:color w:val="000000" w:themeColor="text1"/>
        </w:rPr>
        <w:t xml:space="preserve">may be made available upon request. </w:t>
      </w:r>
      <w:r w:rsidR="00190850">
        <w:rPr>
          <w:rFonts w:eastAsia="Calibri" w:cs="Calibri"/>
          <w:color w:val="000000" w:themeColor="text1"/>
        </w:rPr>
        <w:t>The set of priority projects includes the following:</w:t>
      </w:r>
    </w:p>
    <w:p w14:paraId="07145064" w14:textId="7B467E14" w:rsidR="00D717B7" w:rsidRPr="00D717B7" w:rsidRDefault="00D717B7" w:rsidP="00D717B7">
      <w:pPr>
        <w:pStyle w:val="enumlev1"/>
        <w:numPr>
          <w:ilvl w:val="0"/>
          <w:numId w:val="2"/>
        </w:numPr>
        <w:ind w:left="567"/>
        <w:jc w:val="both"/>
        <w:rPr>
          <w:color w:val="000000" w:themeColor="text1"/>
        </w:rPr>
      </w:pPr>
      <w:r w:rsidRPr="00D717B7">
        <w:rPr>
          <w:color w:val="000000" w:themeColor="text1"/>
        </w:rPr>
        <w:t xml:space="preserve">Increasing Internet accessibility, including connecting communities to fixed broadband and providing social institutions (schools and medical facilities) with stable, energy-efficient, and high-speed Internet (Financial requirement: </w:t>
      </w:r>
      <w:r w:rsidR="00153512">
        <w:rPr>
          <w:color w:val="000000" w:themeColor="text1"/>
        </w:rPr>
        <w:t>USD </w:t>
      </w:r>
      <w:r w:rsidRPr="00D717B7">
        <w:rPr>
          <w:color w:val="000000" w:themeColor="text1"/>
        </w:rPr>
        <w:t>35 million);</w:t>
      </w:r>
    </w:p>
    <w:p w14:paraId="315CC8A6" w14:textId="1AB136AB" w:rsidR="00D717B7" w:rsidRPr="00D717B7" w:rsidRDefault="00D717B7" w:rsidP="00D717B7">
      <w:pPr>
        <w:pStyle w:val="enumlev1"/>
        <w:numPr>
          <w:ilvl w:val="0"/>
          <w:numId w:val="2"/>
        </w:numPr>
        <w:ind w:left="567"/>
        <w:jc w:val="both"/>
        <w:rPr>
          <w:color w:val="000000" w:themeColor="text1"/>
        </w:rPr>
      </w:pPr>
      <w:r w:rsidRPr="00D717B7">
        <w:rPr>
          <w:color w:val="000000" w:themeColor="text1"/>
        </w:rPr>
        <w:t xml:space="preserve">Institutional capacity building in electronic communications, including coordination of international technical assistance and support to key infrastructure and regulatory projects (Financial requirement: </w:t>
      </w:r>
      <w:r w:rsidR="00153512">
        <w:rPr>
          <w:color w:val="000000" w:themeColor="text1"/>
        </w:rPr>
        <w:t>USD </w:t>
      </w:r>
      <w:r w:rsidRPr="00D717B7">
        <w:rPr>
          <w:color w:val="000000" w:themeColor="text1"/>
        </w:rPr>
        <w:t>1 million);</w:t>
      </w:r>
    </w:p>
    <w:p w14:paraId="4F8A443F" w14:textId="09227B5A" w:rsidR="00D717B7" w:rsidRPr="00D717B7" w:rsidRDefault="00D717B7" w:rsidP="00D717B7">
      <w:pPr>
        <w:pStyle w:val="enumlev1"/>
        <w:numPr>
          <w:ilvl w:val="0"/>
          <w:numId w:val="2"/>
        </w:numPr>
        <w:ind w:left="567"/>
        <w:jc w:val="both"/>
        <w:rPr>
          <w:color w:val="000000" w:themeColor="text1"/>
        </w:rPr>
      </w:pPr>
      <w:r w:rsidRPr="00D717B7">
        <w:rPr>
          <w:color w:val="000000" w:themeColor="text1"/>
        </w:rPr>
        <w:t xml:space="preserve">International communication on the recovery and development of Ukraine’s telecommunications sector (Financial requirement: </w:t>
      </w:r>
      <w:r w:rsidR="00153512" w:rsidRPr="00D717B7">
        <w:rPr>
          <w:color w:val="000000" w:themeColor="text1"/>
        </w:rPr>
        <w:t>USD</w:t>
      </w:r>
      <w:r w:rsidR="00153512" w:rsidRPr="00D717B7">
        <w:rPr>
          <w:color w:val="000000" w:themeColor="text1"/>
        </w:rPr>
        <w:t xml:space="preserve"> </w:t>
      </w:r>
      <w:r w:rsidRPr="00D717B7">
        <w:rPr>
          <w:color w:val="000000" w:themeColor="text1"/>
        </w:rPr>
        <w:t>500 000);</w:t>
      </w:r>
    </w:p>
    <w:p w14:paraId="06690AB8" w14:textId="4B96365C" w:rsidR="00D717B7" w:rsidRPr="00D717B7" w:rsidRDefault="00D717B7" w:rsidP="00D717B7">
      <w:pPr>
        <w:pStyle w:val="enumlev1"/>
        <w:numPr>
          <w:ilvl w:val="0"/>
          <w:numId w:val="2"/>
        </w:numPr>
        <w:ind w:left="567"/>
        <w:jc w:val="both"/>
        <w:rPr>
          <w:color w:val="000000" w:themeColor="text1"/>
        </w:rPr>
      </w:pPr>
      <w:r w:rsidRPr="00D717B7">
        <w:rPr>
          <w:color w:val="000000" w:themeColor="text1"/>
        </w:rPr>
        <w:t xml:space="preserve">Reducing radiophobia and public resistance to mobile network infrastructure (Financial requirement: </w:t>
      </w:r>
      <w:r w:rsidR="00153512" w:rsidRPr="00D717B7">
        <w:rPr>
          <w:color w:val="000000" w:themeColor="text1"/>
        </w:rPr>
        <w:t>USD</w:t>
      </w:r>
      <w:r w:rsidR="00153512" w:rsidRPr="00D717B7">
        <w:rPr>
          <w:color w:val="000000" w:themeColor="text1"/>
        </w:rPr>
        <w:t xml:space="preserve"> </w:t>
      </w:r>
      <w:r w:rsidRPr="00D717B7">
        <w:rPr>
          <w:color w:val="000000" w:themeColor="text1"/>
        </w:rPr>
        <w:t>500 000);</w:t>
      </w:r>
    </w:p>
    <w:p w14:paraId="06CCE28E" w14:textId="025B31F5" w:rsidR="00D717B7" w:rsidRPr="00D717B7" w:rsidRDefault="00D717B7" w:rsidP="00D717B7">
      <w:pPr>
        <w:pStyle w:val="enumlev1"/>
        <w:numPr>
          <w:ilvl w:val="0"/>
          <w:numId w:val="2"/>
        </w:numPr>
        <w:ind w:left="567"/>
        <w:jc w:val="both"/>
        <w:rPr>
          <w:color w:val="000000" w:themeColor="text1"/>
        </w:rPr>
      </w:pPr>
      <w:r w:rsidRPr="00D717B7">
        <w:rPr>
          <w:color w:val="000000" w:themeColor="text1"/>
        </w:rPr>
        <w:t xml:space="preserve">Support programmes for small and medium telecom operators (Financial requirement: </w:t>
      </w:r>
      <w:r w:rsidR="00153512" w:rsidRPr="00D717B7">
        <w:rPr>
          <w:color w:val="000000" w:themeColor="text1"/>
        </w:rPr>
        <w:t>USD</w:t>
      </w:r>
      <w:r w:rsidR="00153512">
        <w:rPr>
          <w:color w:val="000000" w:themeColor="text1"/>
        </w:rPr>
        <w:t> </w:t>
      </w:r>
      <w:r w:rsidRPr="00D717B7">
        <w:rPr>
          <w:color w:val="000000" w:themeColor="text1"/>
        </w:rPr>
        <w:t>50 million);</w:t>
      </w:r>
    </w:p>
    <w:p w14:paraId="7D1C0D6A" w14:textId="77777777" w:rsidR="00D717B7" w:rsidRPr="00D717B7" w:rsidRDefault="00D717B7" w:rsidP="00D717B7">
      <w:pPr>
        <w:pStyle w:val="enumlev1"/>
        <w:numPr>
          <w:ilvl w:val="0"/>
          <w:numId w:val="2"/>
        </w:numPr>
        <w:ind w:left="567"/>
        <w:jc w:val="both"/>
        <w:rPr>
          <w:color w:val="000000" w:themeColor="text1"/>
        </w:rPr>
      </w:pPr>
      <w:r w:rsidRPr="00D717B7">
        <w:rPr>
          <w:color w:val="000000" w:themeColor="text1"/>
        </w:rPr>
        <w:t>Attracting Tier-1 operators to support backbone and transit infrastructure;</w:t>
      </w:r>
    </w:p>
    <w:p w14:paraId="1B793EA1" w14:textId="5C05F41B" w:rsidR="000E5F24" w:rsidRPr="00D717B7" w:rsidRDefault="00D717B7" w:rsidP="00D717B7">
      <w:pPr>
        <w:pStyle w:val="enumlev1"/>
        <w:numPr>
          <w:ilvl w:val="0"/>
          <w:numId w:val="2"/>
        </w:numPr>
        <w:ind w:left="567"/>
        <w:jc w:val="both"/>
        <w:rPr>
          <w:color w:val="000000" w:themeColor="text1"/>
        </w:rPr>
      </w:pPr>
      <w:r w:rsidRPr="00D717B7">
        <w:rPr>
          <w:color w:val="000000" w:themeColor="text1"/>
        </w:rPr>
        <w:t>Support to R&amp;D and localization initiatives for telecom equipment manufacturing, through enabling policy and investment frameworks.</w:t>
      </w:r>
    </w:p>
    <w:p w14:paraId="16665DF8" w14:textId="66DF3175" w:rsidR="0087436F" w:rsidRDefault="0087436F" w:rsidP="001908ED">
      <w:pPr>
        <w:jc w:val="both"/>
        <w:rPr>
          <w:rFonts w:eastAsia="Calibri" w:cs="Calibri"/>
          <w:color w:val="000000" w:themeColor="text1"/>
        </w:rPr>
      </w:pPr>
      <w:r w:rsidRPr="40C30F73">
        <w:rPr>
          <w:rFonts w:eastAsia="Calibri" w:cs="Calibri"/>
          <w:color w:val="000000" w:themeColor="text1"/>
        </w:rPr>
        <w:t>ITU is preparing for the next TAIEX workshop on Telecom Innovation, Cybersecurity and Investment Models for Ukraine’s Recovery in 2026. The workshop will focus on strengthening capacities of Ukrainian stakeholders on policies, financial instruments, and approaches for the rehabilitation and modernization of ICT infrastructure.</w:t>
      </w:r>
    </w:p>
    <w:p w14:paraId="702FB182" w14:textId="77777777" w:rsidR="0087436F" w:rsidRDefault="0087436F" w:rsidP="001908ED">
      <w:pPr>
        <w:jc w:val="both"/>
        <w:rPr>
          <w:rFonts w:eastAsia="Calibri" w:cs="Calibri"/>
          <w:color w:val="000000" w:themeColor="text1"/>
          <w:szCs w:val="24"/>
        </w:rPr>
      </w:pPr>
      <w:r w:rsidRPr="1EE6D0CB">
        <w:rPr>
          <w:rFonts w:eastAsia="Calibri" w:cs="Calibri"/>
          <w:color w:val="000000" w:themeColor="text1"/>
          <w:szCs w:val="24"/>
        </w:rPr>
        <w:t>Since the beginning of 2026, ITU has facilitated Ukraine’s engagement with the ITU-UNICEF Giga initiative, supporting efforts to expand and modernize connectivity for social institutions, in particular schools</w:t>
      </w:r>
      <w:r w:rsidRPr="4BB242D1">
        <w:rPr>
          <w:rFonts w:eastAsia="Calibri" w:cs="Calibri"/>
          <w:color w:val="000000" w:themeColor="text1"/>
          <w:szCs w:val="24"/>
        </w:rPr>
        <w:t xml:space="preserve">. </w:t>
      </w:r>
    </w:p>
    <w:p w14:paraId="70B9ADD4" w14:textId="77777777" w:rsidR="0087436F" w:rsidRDefault="0087436F" w:rsidP="001908ED">
      <w:pPr>
        <w:jc w:val="both"/>
        <w:rPr>
          <w:rFonts w:eastAsia="Calibri" w:cs="Calibri"/>
          <w:color w:val="000000" w:themeColor="text1"/>
          <w:szCs w:val="24"/>
        </w:rPr>
      </w:pPr>
      <w:r w:rsidRPr="1EE6D0CB">
        <w:rPr>
          <w:rFonts w:eastAsia="Calibri" w:cs="Calibri"/>
          <w:color w:val="000000" w:themeColor="text1"/>
          <w:szCs w:val="24"/>
        </w:rPr>
        <w:t>ITU also facilitated Ukraine’s participation in regional policy dialogues to enhance international and regional awareness of Ukraine’s telecommunications recovery, resilience efforts, and reform progress.</w:t>
      </w:r>
    </w:p>
    <w:p w14:paraId="1E4E838C" w14:textId="77777777" w:rsidR="0087436F" w:rsidRPr="00E942E4" w:rsidRDefault="0087436F" w:rsidP="0087436F">
      <w:pPr>
        <w:pStyle w:val="enumlev1"/>
        <w:numPr>
          <w:ilvl w:val="0"/>
          <w:numId w:val="2"/>
        </w:numPr>
        <w:ind w:left="567"/>
        <w:jc w:val="both"/>
        <w:rPr>
          <w:rFonts w:cstheme="minorBidi"/>
        </w:rPr>
      </w:pPr>
      <w:r w:rsidRPr="00E942E4">
        <w:rPr>
          <w:rFonts w:cstheme="minorBidi"/>
        </w:rPr>
        <w:t>In September 2025, ITU, in partnership with the Western Balkans Cyber Capacity Centre (WB3C), organized a regional training in Montenegro on Critical Infrastructure Protection and the Malware Information Sharing Platform (MISP), bringing together experts from the Western Balkans, Georgia, and Ukraine to strengthen national cyber resilience and information-sharing frameworks.</w:t>
      </w:r>
    </w:p>
    <w:p w14:paraId="45194A21" w14:textId="77777777" w:rsidR="0087436F" w:rsidRPr="00E942E4" w:rsidRDefault="0087436F" w:rsidP="0087436F">
      <w:pPr>
        <w:pStyle w:val="enumlev1"/>
        <w:numPr>
          <w:ilvl w:val="0"/>
          <w:numId w:val="2"/>
        </w:numPr>
        <w:ind w:left="567"/>
        <w:jc w:val="both"/>
        <w:rPr>
          <w:rFonts w:cstheme="minorBidi"/>
        </w:rPr>
      </w:pPr>
      <w:r w:rsidRPr="00E942E4">
        <w:rPr>
          <w:rFonts w:cstheme="minorBidi"/>
        </w:rPr>
        <w:t>In February 2026, Ukraine participated in the ITU Regional Radiocommunication Seminar for Europe in Athens, focused on spectrum management, satellite coordination, and emerging technologies, contributing to strengthened regional capacity.</w:t>
      </w:r>
    </w:p>
    <w:p w14:paraId="788D7028" w14:textId="330F0D2D" w:rsidR="003864D4" w:rsidRPr="00E942E4" w:rsidRDefault="003864D4" w:rsidP="0087436F">
      <w:pPr>
        <w:pStyle w:val="enumlev1"/>
        <w:numPr>
          <w:ilvl w:val="0"/>
          <w:numId w:val="2"/>
        </w:numPr>
        <w:ind w:left="567"/>
        <w:jc w:val="both"/>
        <w:rPr>
          <w:rFonts w:cstheme="minorBidi"/>
        </w:rPr>
      </w:pPr>
      <w:r>
        <w:rPr>
          <w:rFonts w:cstheme="minorBidi"/>
        </w:rPr>
        <w:t xml:space="preserve">In March 2026, </w:t>
      </w:r>
      <w:r w:rsidR="00B82AB0">
        <w:rPr>
          <w:rFonts w:cstheme="minorBidi"/>
        </w:rPr>
        <w:t xml:space="preserve">Ukraine’s </w:t>
      </w:r>
      <w:r>
        <w:rPr>
          <w:rFonts w:cstheme="minorBidi"/>
        </w:rPr>
        <w:t>delegation</w:t>
      </w:r>
      <w:r w:rsidR="00B82AB0">
        <w:rPr>
          <w:rFonts w:cstheme="minorBidi"/>
        </w:rPr>
        <w:t xml:space="preserve"> joined the ITU Regional Development Forum for Europe to present a set of priority projects, expressing the call for engagement in the implementation.</w:t>
      </w:r>
    </w:p>
    <w:p w14:paraId="763DBDA2" w14:textId="77777777" w:rsidR="0087436F" w:rsidRPr="009910B5" w:rsidRDefault="0087436F" w:rsidP="00117CF0">
      <w:pPr>
        <w:pStyle w:val="Heading1"/>
        <w:rPr>
          <w:rFonts w:asciiTheme="minorHAnsi" w:hAnsiTheme="minorHAnsi" w:cstheme="minorBidi"/>
        </w:rPr>
      </w:pPr>
      <w:bookmarkStart w:id="14" w:name="_Toc210312260"/>
      <w:r w:rsidRPr="009910B5">
        <w:t>5</w:t>
      </w:r>
      <w:r w:rsidRPr="009910B5">
        <w:tab/>
      </w:r>
      <w:r w:rsidRPr="00117CF0">
        <w:t>Mobilization</w:t>
      </w:r>
      <w:r w:rsidRPr="009910B5">
        <w:t xml:space="preserve"> of resources</w:t>
      </w:r>
      <w:bookmarkEnd w:id="14"/>
    </w:p>
    <w:p w14:paraId="39A0F467" w14:textId="77777777" w:rsidR="0087436F" w:rsidRPr="009910B5" w:rsidRDefault="0087436F" w:rsidP="0087436F">
      <w:pPr>
        <w:jc w:val="both"/>
        <w:rPr>
          <w:rFonts w:asciiTheme="minorHAnsi" w:hAnsiTheme="minorHAnsi" w:cstheme="minorBidi"/>
        </w:rPr>
      </w:pPr>
      <w:r w:rsidRPr="009910B5">
        <w:rPr>
          <w:rFonts w:asciiTheme="minorHAnsi" w:hAnsiTheme="minorHAnsi" w:cstheme="minorBidi"/>
        </w:rPr>
        <w:t>With the aim of facilitating technical assistance to the country, ITU continues to encourage Member States and partners to pledge commitments and financial resources tailored to Ukraine</w:t>
      </w:r>
      <w:r>
        <w:rPr>
          <w:rFonts w:asciiTheme="minorHAnsi" w:hAnsiTheme="minorHAnsi" w:cstheme="minorBidi"/>
        </w:rPr>
        <w:t>’</w:t>
      </w:r>
      <w:r w:rsidRPr="009910B5">
        <w:rPr>
          <w:rFonts w:asciiTheme="minorHAnsi" w:hAnsiTheme="minorHAnsi" w:cstheme="minorBidi"/>
        </w:rPr>
        <w:t xml:space="preserve">s needs with the number of strategic actions: </w:t>
      </w:r>
    </w:p>
    <w:p w14:paraId="42D43B65" w14:textId="14BE34A3" w:rsidR="0087436F" w:rsidRPr="009910B5" w:rsidRDefault="0087436F" w:rsidP="00AA4F0F">
      <w:pPr>
        <w:pStyle w:val="enumlev1"/>
        <w:numPr>
          <w:ilvl w:val="0"/>
          <w:numId w:val="2"/>
        </w:numPr>
        <w:ind w:left="567"/>
        <w:jc w:val="both"/>
        <w:rPr>
          <w:rFonts w:eastAsia="SimSun" w:cstheme="minorBidi"/>
        </w:rPr>
      </w:pPr>
      <w:r w:rsidRPr="1AF47034">
        <w:rPr>
          <w:spacing w:val="-2"/>
        </w:rPr>
        <w:t>ITU continues to advance the</w:t>
      </w:r>
      <w:r>
        <w:rPr>
          <w:spacing w:val="-2"/>
        </w:rPr>
        <w:t xml:space="preserve"> </w:t>
      </w:r>
      <w:r w:rsidRPr="1AF47034">
        <w:rPr>
          <w:spacing w:val="-2"/>
        </w:rPr>
        <w:t xml:space="preserve">Partner2Connect coalition, and its collection of pledges dedicated to </w:t>
      </w:r>
      <w:r w:rsidRPr="1AF47034">
        <w:rPr>
          <w:rFonts w:cstheme="minorBidi"/>
          <w:spacing w:val="-2"/>
        </w:rPr>
        <w:t>support</w:t>
      </w:r>
      <w:r w:rsidRPr="1AF47034">
        <w:rPr>
          <w:spacing w:val="-2"/>
        </w:rPr>
        <w:t xml:space="preserve"> to Ukraine. </w:t>
      </w:r>
      <w:r w:rsidR="417ECC8B" w:rsidRPr="39CE4DDA">
        <w:rPr>
          <w:rFonts w:asciiTheme="minorHAnsi" w:eastAsiaTheme="minorEastAsia" w:hAnsiTheme="minorHAnsi" w:cstheme="minorBidi"/>
          <w:color w:val="000000" w:themeColor="text1"/>
        </w:rPr>
        <w:t xml:space="preserve">As of 2026 overall envelope of collected commitments amounts to over USD 770 million. During the Ukraine Recovery Conference 2025 </w:t>
      </w:r>
      <w:r w:rsidR="417ECC8B" w:rsidRPr="00AA4F0F">
        <w:rPr>
          <w:rFonts w:asciiTheme="minorHAnsi" w:eastAsiaTheme="minorEastAsia" w:hAnsiTheme="minorHAnsi" w:cstheme="minorBidi"/>
          <w:color w:val="000000" w:themeColor="text1"/>
        </w:rPr>
        <w:t xml:space="preserve">Vodafone Ukraine, Nokia, and Finnvera have signed a Memorandum of Understanding to support the modernization of Ukraine’s digital </w:t>
      </w:r>
      <w:r w:rsidR="417ECC8B" w:rsidRPr="39CE4DDA">
        <w:rPr>
          <w:rFonts w:asciiTheme="minorHAnsi" w:eastAsiaTheme="minorEastAsia" w:hAnsiTheme="minorHAnsi" w:cstheme="minorBidi"/>
          <w:color w:val="000000" w:themeColor="text1"/>
        </w:rPr>
        <w:t xml:space="preserve">infrastructure with the commitment of €30 million in financing over the next three years. The announcement was committed as the P2C pledge. </w:t>
      </w:r>
      <w:r w:rsidR="00F32DC5" w:rsidRPr="00AA4F0F">
        <w:rPr>
          <w:rFonts w:asciiTheme="minorHAnsi" w:eastAsiaTheme="minorEastAsia" w:hAnsiTheme="minorHAnsi" w:cstheme="minorBidi"/>
          <w:color w:val="000000" w:themeColor="text1"/>
        </w:rPr>
        <w:t>ITU Regional Development Forum for Europe (Prague, Czech Republic, 24 March 2026) provided an additional opportunity for h</w:t>
      </w:r>
      <w:r w:rsidR="00F32DC5" w:rsidRPr="00F32DC5">
        <w:rPr>
          <w:spacing w:val="-2"/>
        </w:rPr>
        <w:t>ighlighting the needs</w:t>
      </w:r>
      <w:r w:rsidR="002622E6">
        <w:rPr>
          <w:spacing w:val="-2"/>
        </w:rPr>
        <w:t xml:space="preserve"> related to the priority projects </w:t>
      </w:r>
      <w:r w:rsidR="00F32DC5" w:rsidRPr="00F32DC5">
        <w:rPr>
          <w:spacing w:val="-2"/>
        </w:rPr>
        <w:t xml:space="preserve">and </w:t>
      </w:r>
      <w:r w:rsidR="00E33F7B">
        <w:rPr>
          <w:spacing w:val="-2"/>
        </w:rPr>
        <w:t xml:space="preserve">advancing discussions on stakeholders’ </w:t>
      </w:r>
      <w:r w:rsidR="00F32DC5" w:rsidRPr="00F32DC5">
        <w:rPr>
          <w:spacing w:val="-2"/>
        </w:rPr>
        <w:t>commitments.</w:t>
      </w:r>
      <w:r w:rsidR="00F32DC5">
        <w:rPr>
          <w:spacing w:val="-2"/>
        </w:rPr>
        <w:t xml:space="preserve"> </w:t>
      </w:r>
      <w:r w:rsidR="417ECC8B" w:rsidRPr="39CE4DDA">
        <w:rPr>
          <w:rFonts w:asciiTheme="minorHAnsi" w:eastAsiaTheme="minorEastAsia" w:hAnsiTheme="minorHAnsi" w:cstheme="minorBidi"/>
          <w:color w:val="000000" w:themeColor="text1"/>
        </w:rPr>
        <w:t>The</w:t>
      </w:r>
      <w:r w:rsidR="417ECC8B" w:rsidRPr="39CE4DDA">
        <w:rPr>
          <w:rFonts w:cstheme="minorBidi"/>
        </w:rPr>
        <w:t xml:space="preserve"> list of pledges is available </w:t>
      </w:r>
      <w:hyperlink r:id="rId15">
        <w:r w:rsidR="417ECC8B" w:rsidRPr="39CE4DDA">
          <w:rPr>
            <w:rStyle w:val="Hyperlink"/>
            <w:rFonts w:cstheme="minorBidi"/>
          </w:rPr>
          <w:t>here</w:t>
        </w:r>
      </w:hyperlink>
      <w:r w:rsidR="417ECC8B" w:rsidRPr="39CE4DDA">
        <w:rPr>
          <w:rFonts w:cstheme="minorBidi"/>
        </w:rPr>
        <w:t xml:space="preserve">. </w:t>
      </w:r>
    </w:p>
    <w:p w14:paraId="62F77186" w14:textId="202C97DC" w:rsidR="0087436F" w:rsidRPr="001573A7" w:rsidRDefault="417ECC8B" w:rsidP="39CE4DDA">
      <w:pPr>
        <w:pStyle w:val="enumlev1"/>
        <w:jc w:val="both"/>
        <w:rPr>
          <w:rFonts w:asciiTheme="minorHAnsi" w:hAnsiTheme="minorHAnsi" w:cstheme="minorBidi"/>
        </w:rPr>
      </w:pPr>
      <w:r w:rsidRPr="39CE4DDA">
        <w:rPr>
          <w:rFonts w:asciiTheme="minorHAnsi" w:hAnsiTheme="minorHAnsi" w:cstheme="minorBidi"/>
        </w:rPr>
        <w:t>–</w:t>
      </w:r>
      <w:r w:rsidR="0087436F">
        <w:tab/>
      </w:r>
      <w:r w:rsidRPr="39CE4DDA">
        <w:rPr>
          <w:rFonts w:asciiTheme="minorHAnsi" w:hAnsiTheme="minorHAnsi" w:cstheme="minorBidi"/>
        </w:rPr>
        <w:t>ITU is engaged in further mobilization of the contributions to the Special Fund in Trust dedicated to the further implementation of Resolution 1408. For the time being the fund benefited from the contributions by Japan (CHF 100</w:t>
      </w:r>
      <w:r w:rsidR="00153512">
        <w:rPr>
          <w:rFonts w:asciiTheme="minorHAnsi" w:hAnsiTheme="minorHAnsi" w:cstheme="minorBidi"/>
        </w:rPr>
        <w:t> </w:t>
      </w:r>
      <w:r w:rsidRPr="39CE4DDA">
        <w:rPr>
          <w:rFonts w:asciiTheme="minorHAnsi" w:hAnsiTheme="minorHAnsi" w:cstheme="minorBidi"/>
        </w:rPr>
        <w:t>000; 2022), Czech Republic (CHF 57</w:t>
      </w:r>
      <w:r w:rsidR="00153512">
        <w:rPr>
          <w:rFonts w:asciiTheme="minorHAnsi" w:hAnsiTheme="minorHAnsi" w:cstheme="minorBidi"/>
        </w:rPr>
        <w:t> </w:t>
      </w:r>
      <w:r w:rsidRPr="39CE4DDA">
        <w:rPr>
          <w:rFonts w:asciiTheme="minorHAnsi" w:hAnsiTheme="minorHAnsi" w:cstheme="minorBidi"/>
        </w:rPr>
        <w:t>000; 2023/2024/2025), Bulgaria (CHF 16</w:t>
      </w:r>
      <w:r w:rsidR="00153512">
        <w:rPr>
          <w:rFonts w:asciiTheme="minorHAnsi" w:hAnsiTheme="minorHAnsi" w:cstheme="minorBidi"/>
        </w:rPr>
        <w:t> </w:t>
      </w:r>
      <w:r w:rsidRPr="39CE4DDA">
        <w:rPr>
          <w:rFonts w:asciiTheme="minorHAnsi" w:hAnsiTheme="minorHAnsi" w:cstheme="minorBidi"/>
        </w:rPr>
        <w:t>294</w:t>
      </w:r>
      <w:r w:rsidR="00BB49E7">
        <w:rPr>
          <w:rFonts w:asciiTheme="minorHAnsi" w:hAnsiTheme="minorHAnsi" w:cstheme="minorBidi"/>
        </w:rPr>
        <w:t xml:space="preserve">; </w:t>
      </w:r>
      <w:r w:rsidR="00802D1F">
        <w:rPr>
          <w:rFonts w:asciiTheme="minorHAnsi" w:hAnsiTheme="minorHAnsi" w:cstheme="minorBidi"/>
        </w:rPr>
        <w:t>2024</w:t>
      </w:r>
      <w:r w:rsidRPr="39CE4DDA">
        <w:rPr>
          <w:rFonts w:asciiTheme="minorHAnsi" w:hAnsiTheme="minorHAnsi" w:cstheme="minorBidi"/>
        </w:rPr>
        <w:t>), and Lithuania (CHF </w:t>
      </w:r>
      <w:r w:rsidRPr="39CE4DDA">
        <w:rPr>
          <w:rFonts w:asciiTheme="minorHAnsi" w:hAnsiTheme="minorHAnsi" w:cstheme="minorBidi"/>
          <w:color w:val="000000" w:themeColor="text1"/>
        </w:rPr>
        <w:t>18</w:t>
      </w:r>
      <w:r w:rsidR="00153512">
        <w:rPr>
          <w:rFonts w:asciiTheme="minorHAnsi" w:hAnsiTheme="minorHAnsi" w:cstheme="minorBidi"/>
          <w:color w:val="000000" w:themeColor="text1"/>
        </w:rPr>
        <w:t> </w:t>
      </w:r>
      <w:r w:rsidRPr="39CE4DDA">
        <w:rPr>
          <w:rFonts w:asciiTheme="minorHAnsi" w:hAnsiTheme="minorHAnsi" w:cstheme="minorBidi"/>
          <w:color w:val="000000" w:themeColor="text1"/>
        </w:rPr>
        <w:t>335</w:t>
      </w:r>
      <w:r w:rsidR="00802D1F">
        <w:rPr>
          <w:rFonts w:asciiTheme="minorHAnsi" w:hAnsiTheme="minorHAnsi" w:cstheme="minorBidi"/>
          <w:color w:val="000000" w:themeColor="text1"/>
        </w:rPr>
        <w:t>; 202</w:t>
      </w:r>
      <w:r w:rsidR="00D04BBC">
        <w:rPr>
          <w:rFonts w:asciiTheme="minorHAnsi" w:hAnsiTheme="minorHAnsi" w:cstheme="minorBidi"/>
          <w:color w:val="000000" w:themeColor="text1"/>
        </w:rPr>
        <w:t>4</w:t>
      </w:r>
      <w:r w:rsidRPr="39CE4DDA">
        <w:rPr>
          <w:rFonts w:asciiTheme="minorHAnsi" w:hAnsiTheme="minorHAnsi" w:cstheme="minorBidi"/>
        </w:rPr>
        <w:t>).</w:t>
      </w:r>
    </w:p>
    <w:p w14:paraId="49CB07BB" w14:textId="1E894F91" w:rsidR="0087436F" w:rsidRPr="009910B5" w:rsidRDefault="417ECC8B" w:rsidP="0087436F">
      <w:pPr>
        <w:pStyle w:val="enumlev1"/>
        <w:jc w:val="both"/>
        <w:rPr>
          <w:rFonts w:eastAsia="SimSun"/>
        </w:rPr>
      </w:pPr>
      <w:r>
        <w:t>–</w:t>
      </w:r>
      <w:r w:rsidR="0087436F">
        <w:tab/>
      </w:r>
      <w:r>
        <w:t>Since 2022, ITU has allocated CHF 85</w:t>
      </w:r>
      <w:r w:rsidR="00153512">
        <w:t> </w:t>
      </w:r>
      <w:r>
        <w:t xml:space="preserve">000 from the operating budget annually to allow to </w:t>
      </w:r>
      <w:r w:rsidRPr="39CE4DDA">
        <w:rPr>
          <w:rFonts w:cstheme="minorBidi"/>
        </w:rPr>
        <w:t>continue</w:t>
      </w:r>
      <w:r>
        <w:t xml:space="preserve"> </w:t>
      </w:r>
      <w:r w:rsidRPr="39CE4DDA">
        <w:rPr>
          <w:rFonts w:asciiTheme="minorHAnsi" w:hAnsiTheme="minorHAnsi" w:cstheme="minorBidi"/>
        </w:rPr>
        <w:t>the</w:t>
      </w:r>
      <w:r>
        <w:t xml:space="preserve"> implementation work. </w:t>
      </w:r>
    </w:p>
    <w:p w14:paraId="0CF479E9" w14:textId="77777777" w:rsidR="0087436F" w:rsidRPr="005C373A" w:rsidRDefault="0087436F" w:rsidP="0087436F">
      <w:pPr>
        <w:pStyle w:val="enumlev1"/>
        <w:jc w:val="both"/>
        <w:rPr>
          <w:rFonts w:eastAsia="SimSun"/>
          <w:color w:val="000000" w:themeColor="text1"/>
        </w:rPr>
      </w:pPr>
      <w:r w:rsidRPr="009910B5">
        <w:t>–</w:t>
      </w:r>
      <w:r w:rsidRPr="009910B5">
        <w:tab/>
      </w:r>
      <w:r w:rsidRPr="005C373A">
        <w:rPr>
          <w:color w:val="000000" w:themeColor="text1"/>
        </w:rPr>
        <w:t>ITU has facilitated the European Commission’s and Republic of Poland’s in-kind contribution</w:t>
      </w:r>
      <w:r w:rsidRPr="005C373A" w:rsidDel="00BC54D4">
        <w:rPr>
          <w:color w:val="000000" w:themeColor="text1"/>
        </w:rPr>
        <w:t xml:space="preserve"> </w:t>
      </w:r>
      <w:r w:rsidRPr="005C373A">
        <w:rPr>
          <w:color w:val="000000" w:themeColor="text1"/>
        </w:rPr>
        <w:t xml:space="preserve">to the </w:t>
      </w:r>
      <w:r w:rsidRPr="005C373A">
        <w:rPr>
          <w:rFonts w:cstheme="minorBidi"/>
          <w:color w:val="000000" w:themeColor="text1"/>
        </w:rPr>
        <w:t>conduct</w:t>
      </w:r>
      <w:r w:rsidRPr="005C373A">
        <w:rPr>
          <w:color w:val="000000" w:themeColor="text1"/>
        </w:rPr>
        <w:t xml:space="preserve"> of the TAIEX programs for Ukrainian Officials and hosting the meetings in Poland. </w:t>
      </w:r>
    </w:p>
    <w:p w14:paraId="19F5A57B" w14:textId="77777777" w:rsidR="0087436F" w:rsidRPr="00AC76C7" w:rsidRDefault="0087436F" w:rsidP="0087436F">
      <w:pPr>
        <w:pStyle w:val="enumlev1"/>
        <w:jc w:val="both"/>
        <w:rPr>
          <w:color w:val="000000" w:themeColor="text1"/>
        </w:rPr>
      </w:pPr>
      <w:r w:rsidRPr="00AC76C7">
        <w:rPr>
          <w:color w:val="000000" w:themeColor="text1"/>
        </w:rPr>
        <w:t>–</w:t>
      </w:r>
      <w:r w:rsidRPr="00AC76C7">
        <w:rPr>
          <w:color w:val="000000" w:themeColor="text1"/>
        </w:rPr>
        <w:tab/>
        <w:t>ITU continues regular bilateral discussions with</w:t>
      </w:r>
      <w:r w:rsidRPr="00AC76C7" w:rsidDel="00983741">
        <w:rPr>
          <w:color w:val="000000" w:themeColor="text1"/>
        </w:rPr>
        <w:t xml:space="preserve"> </w:t>
      </w:r>
      <w:r w:rsidRPr="00AC76C7">
        <w:rPr>
          <w:color w:val="000000" w:themeColor="text1"/>
        </w:rPr>
        <w:t>Member States and partners to safeguard the financial resources for the continuation of ITU operations related to Resolution 1408 and the rehabilitation of the ICT infrastructure.</w:t>
      </w:r>
      <w:bookmarkStart w:id="15" w:name="_Toc2037035869"/>
    </w:p>
    <w:p w14:paraId="7FDA1E3F" w14:textId="77777777" w:rsidR="0087436F" w:rsidRPr="009910B5" w:rsidRDefault="0087436F" w:rsidP="00117CF0">
      <w:pPr>
        <w:pStyle w:val="Heading1"/>
      </w:pPr>
      <w:r w:rsidRPr="009910B5">
        <w:t>6</w:t>
      </w:r>
      <w:r w:rsidRPr="009910B5">
        <w:tab/>
      </w:r>
      <w:r w:rsidRPr="00117CF0">
        <w:t>Conclusions</w:t>
      </w:r>
      <w:bookmarkEnd w:id="15"/>
    </w:p>
    <w:p w14:paraId="6DC74A6C" w14:textId="77777777" w:rsidR="0087436F" w:rsidRPr="009910B5" w:rsidRDefault="0087436F" w:rsidP="0087436F">
      <w:pPr>
        <w:jc w:val="both"/>
        <w:rPr>
          <w:rFonts w:asciiTheme="minorHAnsi" w:hAnsiTheme="minorHAnsi" w:cstheme="minorHAnsi"/>
          <w:szCs w:val="24"/>
        </w:rPr>
      </w:pPr>
      <w:r w:rsidRPr="009910B5">
        <w:rPr>
          <w:rFonts w:asciiTheme="minorHAnsi" w:hAnsiTheme="minorHAnsi" w:cstheme="minorHAnsi"/>
          <w:szCs w:val="24"/>
        </w:rPr>
        <w:t xml:space="preserve">ITU has continued to build-up the activities aimed at the implementation of Resolution 1408 with </w:t>
      </w:r>
      <w:r w:rsidRPr="009910B5">
        <w:rPr>
          <w:rFonts w:asciiTheme="minorHAnsi" w:hAnsiTheme="minorHAnsi" w:cstheme="minorBidi"/>
        </w:rPr>
        <w:t>strengthened</w:t>
      </w:r>
      <w:r w:rsidRPr="009910B5">
        <w:rPr>
          <w:rFonts w:asciiTheme="minorHAnsi" w:hAnsiTheme="minorHAnsi" w:cstheme="minorHAnsi"/>
          <w:szCs w:val="24"/>
        </w:rPr>
        <w:t xml:space="preserve"> partnerships and established well-coordinated mechanisms to advance on the roll-out of activities and mobilisation of financial resources. </w:t>
      </w:r>
    </w:p>
    <w:p w14:paraId="117F1509" w14:textId="77777777" w:rsidR="0087436F" w:rsidRPr="009910B5" w:rsidRDefault="0087436F" w:rsidP="0087436F">
      <w:pPr>
        <w:jc w:val="both"/>
        <w:rPr>
          <w:rFonts w:asciiTheme="minorHAnsi" w:hAnsiTheme="minorHAnsi" w:cstheme="minorHAnsi"/>
          <w:szCs w:val="24"/>
        </w:rPr>
      </w:pPr>
      <w:r w:rsidRPr="009910B5">
        <w:rPr>
          <w:rFonts w:asciiTheme="minorHAnsi" w:hAnsiTheme="minorHAnsi" w:cstheme="minorHAnsi"/>
          <w:szCs w:val="24"/>
        </w:rPr>
        <w:t xml:space="preserve">All stakeholders are kindly invited to support global cooperation and activities of ITU in </w:t>
      </w:r>
      <w:r w:rsidRPr="009910B5">
        <w:rPr>
          <w:rFonts w:asciiTheme="minorHAnsi" w:hAnsiTheme="minorHAnsi" w:cstheme="minorBidi"/>
        </w:rPr>
        <w:t>response</w:t>
      </w:r>
      <w:r w:rsidRPr="009910B5">
        <w:rPr>
          <w:rFonts w:asciiTheme="minorHAnsi" w:hAnsiTheme="minorHAnsi" w:cstheme="minorHAnsi"/>
          <w:szCs w:val="24"/>
        </w:rPr>
        <w:t xml:space="preserve"> to the Resolution 1408, in particular the following:</w:t>
      </w:r>
    </w:p>
    <w:p w14:paraId="47FEBC1C" w14:textId="77777777" w:rsidR="00422574" w:rsidRDefault="417ECC8B" w:rsidP="00422574">
      <w:pPr>
        <w:pStyle w:val="enumlev1"/>
        <w:jc w:val="both"/>
      </w:pPr>
      <w:r>
        <w:t>–</w:t>
      </w:r>
      <w:r w:rsidR="0087436F">
        <w:tab/>
      </w:r>
      <w:r>
        <w:t>committing to providing technical assistance, capacity-building and financial support to Ukraine for rehabilitation and modernization of their telecommunication sector</w:t>
      </w:r>
      <w:r w:rsidR="61FC5F60">
        <w:t>;</w:t>
      </w:r>
    </w:p>
    <w:p w14:paraId="4BA0B2A1" w14:textId="062EBC64" w:rsidR="00150C81" w:rsidRPr="000E5F24" w:rsidRDefault="00422574" w:rsidP="000E5F24">
      <w:pPr>
        <w:pStyle w:val="enumlev1"/>
        <w:numPr>
          <w:ilvl w:val="0"/>
          <w:numId w:val="7"/>
        </w:numPr>
        <w:ind w:left="567" w:hanging="567"/>
        <w:jc w:val="both"/>
        <w:rPr>
          <w:rFonts w:eastAsia="Calibri" w:cs="Calibri"/>
          <w:color w:val="000000" w:themeColor="text1"/>
        </w:rPr>
      </w:pPr>
      <w:r w:rsidRPr="39CE4DDA">
        <w:rPr>
          <w:rFonts w:eastAsia="Calibri" w:cs="Calibri"/>
          <w:color w:val="000000" w:themeColor="text1"/>
        </w:rPr>
        <w:t xml:space="preserve">supporting financially and/or with in-kind contributions the </w:t>
      </w:r>
      <w:r w:rsidR="000E5F24">
        <w:rPr>
          <w:rFonts w:eastAsia="Calibri" w:cs="Calibri"/>
          <w:color w:val="000000" w:themeColor="text1"/>
        </w:rPr>
        <w:t xml:space="preserve">set of </w:t>
      </w:r>
      <w:r w:rsidR="00AA4F0F">
        <w:rPr>
          <w:rFonts w:eastAsia="Calibri" w:cs="Calibri"/>
          <w:color w:val="000000" w:themeColor="text1"/>
        </w:rPr>
        <w:t>above-mentioned</w:t>
      </w:r>
      <w:r w:rsidR="000E5F24">
        <w:rPr>
          <w:rFonts w:eastAsia="Calibri" w:cs="Calibri"/>
          <w:color w:val="000000" w:themeColor="text1"/>
        </w:rPr>
        <w:t xml:space="preserve"> </w:t>
      </w:r>
      <w:r w:rsidRPr="39CE4DDA">
        <w:rPr>
          <w:rFonts w:eastAsia="Calibri" w:cs="Calibri"/>
          <w:color w:val="000000" w:themeColor="text1"/>
        </w:rPr>
        <w:t>priority projects</w:t>
      </w:r>
      <w:r w:rsidR="00AA4F0F">
        <w:rPr>
          <w:rFonts w:eastAsia="Calibri" w:cs="Calibri"/>
          <w:color w:val="000000" w:themeColor="text1"/>
        </w:rPr>
        <w:t xml:space="preserve"> (see </w:t>
      </w:r>
      <w:r w:rsidR="003F798C">
        <w:rPr>
          <w:rFonts w:eastAsia="Calibri" w:cs="Calibri"/>
          <w:color w:val="000000" w:themeColor="text1"/>
        </w:rPr>
        <w:t xml:space="preserve">Section </w:t>
      </w:r>
      <w:r w:rsidR="00AA4F0F">
        <w:rPr>
          <w:rFonts w:eastAsia="Calibri" w:cs="Calibri"/>
          <w:color w:val="000000" w:themeColor="text1"/>
        </w:rPr>
        <w:t>4)</w:t>
      </w:r>
      <w:r w:rsidR="000E5F24">
        <w:rPr>
          <w:rFonts w:eastAsia="Calibri" w:cs="Calibri"/>
          <w:color w:val="000000" w:themeColor="text1"/>
        </w:rPr>
        <w:t>;</w:t>
      </w:r>
    </w:p>
    <w:p w14:paraId="423FA86F" w14:textId="0ED0E8C6" w:rsidR="0087436F" w:rsidRPr="00D84611" w:rsidDel="00950F78" w:rsidRDefault="0087436F" w:rsidP="00D84611">
      <w:pPr>
        <w:pStyle w:val="enumlev1"/>
        <w:numPr>
          <w:ilvl w:val="0"/>
          <w:numId w:val="7"/>
        </w:numPr>
        <w:ind w:left="567" w:hanging="567"/>
        <w:jc w:val="both"/>
      </w:pPr>
      <w:r w:rsidRPr="009910B5" w:rsidDel="00950F78">
        <w:rPr>
          <w:szCs w:val="24"/>
        </w:rPr>
        <w:t>providing a financial contribution to the Special Fund in Trust, enabling the continuation and scaling-up of the implementation of Resolution 1408</w:t>
      </w:r>
      <w:r>
        <w:rPr>
          <w:szCs w:val="24"/>
        </w:rPr>
        <w:t>;</w:t>
      </w:r>
    </w:p>
    <w:p w14:paraId="1F2D866A" w14:textId="77777777" w:rsidR="0087436F" w:rsidRDefault="0087436F" w:rsidP="0087436F">
      <w:pPr>
        <w:pStyle w:val="enumlev1"/>
        <w:jc w:val="both"/>
      </w:pPr>
      <w:r w:rsidRPr="009910B5">
        <w:t>–</w:t>
      </w:r>
      <w:r w:rsidRPr="009910B5">
        <w:tab/>
        <w:t xml:space="preserve">joining Partner2Connect initiative and providing pledges focusing on Ukraine through online system available </w:t>
      </w:r>
      <w:hyperlink r:id="rId16">
        <w:r w:rsidRPr="009910B5">
          <w:rPr>
            <w:rStyle w:val="Hyperlink"/>
            <w:rFonts w:cstheme="minorHAnsi"/>
            <w:szCs w:val="24"/>
          </w:rPr>
          <w:t>here</w:t>
        </w:r>
      </w:hyperlink>
      <w:r w:rsidRPr="009910B5">
        <w:t>.</w:t>
      </w:r>
    </w:p>
    <w:p w14:paraId="22308BB8" w14:textId="77777777" w:rsidR="0087436F" w:rsidRPr="0067291D" w:rsidRDefault="0087436F" w:rsidP="0087436F">
      <w:pPr>
        <w:pStyle w:val="enumlev1"/>
        <w:jc w:val="both"/>
      </w:pPr>
    </w:p>
    <w:p w14:paraId="1D3E6C0C" w14:textId="77777777" w:rsidR="007A3FCD" w:rsidRPr="00C0458D" w:rsidRDefault="007A3FCD" w:rsidP="007A3FCD">
      <w:pPr>
        <w:jc w:val="center"/>
      </w:pPr>
      <w:r>
        <w:t>______________</w:t>
      </w:r>
    </w:p>
    <w:sectPr w:rsidR="007A3FCD" w:rsidRPr="00C0458D" w:rsidSect="00AD360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911D" w14:textId="77777777" w:rsidR="00C27302" w:rsidRDefault="00C27302">
      <w:r>
        <w:separator/>
      </w:r>
    </w:p>
  </w:endnote>
  <w:endnote w:type="continuationSeparator" w:id="0">
    <w:p w14:paraId="2057A045" w14:textId="77777777" w:rsidR="00C27302" w:rsidRDefault="00C2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A3AE77A" w14:textId="77777777" w:rsidTr="006C6E3B">
      <w:trPr>
        <w:jc w:val="center"/>
      </w:trPr>
      <w:tc>
        <w:tcPr>
          <w:tcW w:w="1803" w:type="dxa"/>
          <w:vAlign w:val="center"/>
        </w:tcPr>
        <w:p w14:paraId="32D14851" w14:textId="77777777" w:rsidR="00EE49E8" w:rsidRDefault="00C6520B" w:rsidP="00EE49E8">
          <w:pPr>
            <w:pStyle w:val="Header"/>
            <w:jc w:val="left"/>
            <w:rPr>
              <w:noProof/>
            </w:rPr>
          </w:pPr>
          <w:r>
            <w:rPr>
              <w:noProof/>
            </w:rPr>
            <w:t>gDoc #</w:t>
          </w:r>
        </w:p>
      </w:tc>
      <w:tc>
        <w:tcPr>
          <w:tcW w:w="8261" w:type="dxa"/>
        </w:tcPr>
        <w:p w14:paraId="21D02C29" w14:textId="50759C5F"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87436F">
            <w:rPr>
              <w:bCs/>
            </w:rPr>
            <w:t>68</w:t>
          </w:r>
          <w:r w:rsidRPr="00623AE3">
            <w:rPr>
              <w:bCs/>
            </w:rPr>
            <w:t>-E</w:t>
          </w:r>
          <w:r>
            <w:rPr>
              <w:bCs/>
            </w:rPr>
            <w:tab/>
          </w:r>
          <w:r>
            <w:fldChar w:fldCharType="begin"/>
          </w:r>
          <w:r>
            <w:instrText>PAGE</w:instrText>
          </w:r>
          <w:r>
            <w:fldChar w:fldCharType="separate"/>
          </w:r>
          <w:r>
            <w:t>1</w:t>
          </w:r>
          <w:r>
            <w:rPr>
              <w:noProof/>
            </w:rPr>
            <w:fldChar w:fldCharType="end"/>
          </w:r>
        </w:p>
      </w:tc>
    </w:tr>
  </w:tbl>
  <w:p w14:paraId="50CF1134"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436A2997" w14:textId="77777777" w:rsidTr="006B77F1">
      <w:trPr>
        <w:jc w:val="center"/>
      </w:trPr>
      <w:tc>
        <w:tcPr>
          <w:tcW w:w="1803" w:type="dxa"/>
          <w:vAlign w:val="center"/>
        </w:tcPr>
        <w:p w14:paraId="5F36FA18"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B255CE8" w14:textId="2A159E75"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87436F">
            <w:rPr>
              <w:bCs/>
            </w:rPr>
            <w:t>68</w:t>
          </w:r>
          <w:r w:rsidRPr="00623AE3">
            <w:rPr>
              <w:bCs/>
            </w:rPr>
            <w:t>-E</w:t>
          </w:r>
          <w:r>
            <w:rPr>
              <w:bCs/>
            </w:rPr>
            <w:tab/>
          </w:r>
          <w:r>
            <w:fldChar w:fldCharType="begin"/>
          </w:r>
          <w:r>
            <w:instrText>PAGE</w:instrText>
          </w:r>
          <w:r>
            <w:fldChar w:fldCharType="separate"/>
          </w:r>
          <w:r>
            <w:t>1</w:t>
          </w:r>
          <w:r>
            <w:rPr>
              <w:noProof/>
            </w:rPr>
            <w:fldChar w:fldCharType="end"/>
          </w:r>
        </w:p>
      </w:tc>
    </w:tr>
  </w:tbl>
  <w:p w14:paraId="5ACA629E"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1DAB" w14:textId="77777777" w:rsidR="00C27302" w:rsidRDefault="00C27302">
      <w:r>
        <w:t>____________________</w:t>
      </w:r>
    </w:p>
  </w:footnote>
  <w:footnote w:type="continuationSeparator" w:id="0">
    <w:p w14:paraId="0BAB5A8F" w14:textId="77777777" w:rsidR="00C27302" w:rsidRDefault="00C27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7D2A" w14:textId="77777777" w:rsidR="00AD3606" w:rsidRPr="00512087" w:rsidRDefault="00512087" w:rsidP="0049369C">
    <w:pPr>
      <w:pStyle w:val="Header"/>
    </w:pPr>
    <w:r>
      <w:rPr>
        <w:noProof/>
      </w:rPr>
      <w:drawing>
        <wp:inline distT="0" distB="0" distL="0" distR="0" wp14:anchorId="6F3A61FB" wp14:editId="2DCDDC69">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4C6BF7"/>
    <w:multiLevelType w:val="hybridMultilevel"/>
    <w:tmpl w:val="7C24D552"/>
    <w:lvl w:ilvl="0" w:tplc="399A5008">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4CD1128"/>
    <w:multiLevelType w:val="hybridMultilevel"/>
    <w:tmpl w:val="DED404B4"/>
    <w:lvl w:ilvl="0" w:tplc="A512262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2C7305D"/>
    <w:multiLevelType w:val="hybridMultilevel"/>
    <w:tmpl w:val="1660BD7E"/>
    <w:lvl w:ilvl="0" w:tplc="A5122620">
      <w:numFmt w:val="bullet"/>
      <w:lvlText w:val="–"/>
      <w:lvlJc w:val="left"/>
      <w:pPr>
        <w:ind w:left="930" w:hanging="57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6E11E44"/>
    <w:multiLevelType w:val="hybridMultilevel"/>
    <w:tmpl w:val="9E2A514A"/>
    <w:lvl w:ilvl="0" w:tplc="399A5008">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7111CD3"/>
    <w:multiLevelType w:val="hybridMultilevel"/>
    <w:tmpl w:val="324CFCB6"/>
    <w:lvl w:ilvl="0" w:tplc="399A5008">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F69791C"/>
    <w:multiLevelType w:val="hybridMultilevel"/>
    <w:tmpl w:val="AAD895CE"/>
    <w:lvl w:ilvl="0" w:tplc="399A5008">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1820347184">
    <w:abstractNumId w:val="3"/>
  </w:num>
  <w:num w:numId="3" w16cid:durableId="1217820874">
    <w:abstractNumId w:val="6"/>
  </w:num>
  <w:num w:numId="4" w16cid:durableId="448819388">
    <w:abstractNumId w:val="1"/>
  </w:num>
  <w:num w:numId="5" w16cid:durableId="1962297596">
    <w:abstractNumId w:val="4"/>
  </w:num>
  <w:num w:numId="6" w16cid:durableId="1231042440">
    <w:abstractNumId w:val="5"/>
  </w:num>
  <w:num w:numId="7" w16cid:durableId="2003968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86"/>
    <w:rsid w:val="0000060A"/>
    <w:rsid w:val="000210D4"/>
    <w:rsid w:val="000215DF"/>
    <w:rsid w:val="00043243"/>
    <w:rsid w:val="0006007D"/>
    <w:rsid w:val="00063016"/>
    <w:rsid w:val="000660FC"/>
    <w:rsid w:val="00066795"/>
    <w:rsid w:val="00076AF6"/>
    <w:rsid w:val="00085CF2"/>
    <w:rsid w:val="000B1705"/>
    <w:rsid w:val="000D75B2"/>
    <w:rsid w:val="000E372C"/>
    <w:rsid w:val="000E5F24"/>
    <w:rsid w:val="000E7E82"/>
    <w:rsid w:val="000F5DDB"/>
    <w:rsid w:val="001121F5"/>
    <w:rsid w:val="00115DA7"/>
    <w:rsid w:val="00117CF0"/>
    <w:rsid w:val="001400DC"/>
    <w:rsid w:val="00140CE1"/>
    <w:rsid w:val="00141F5E"/>
    <w:rsid w:val="00150C81"/>
    <w:rsid w:val="0015189A"/>
    <w:rsid w:val="00153512"/>
    <w:rsid w:val="0017539C"/>
    <w:rsid w:val="00175AC2"/>
    <w:rsid w:val="0017609F"/>
    <w:rsid w:val="00176F47"/>
    <w:rsid w:val="00190850"/>
    <w:rsid w:val="001908ED"/>
    <w:rsid w:val="00192B51"/>
    <w:rsid w:val="001A3154"/>
    <w:rsid w:val="001A7D1D"/>
    <w:rsid w:val="001B51DD"/>
    <w:rsid w:val="001C628E"/>
    <w:rsid w:val="001E0F7B"/>
    <w:rsid w:val="001E504A"/>
    <w:rsid w:val="001F5569"/>
    <w:rsid w:val="0020487B"/>
    <w:rsid w:val="002119FD"/>
    <w:rsid w:val="002130E0"/>
    <w:rsid w:val="00221F46"/>
    <w:rsid w:val="002622E6"/>
    <w:rsid w:val="00264425"/>
    <w:rsid w:val="00265875"/>
    <w:rsid w:val="0027303B"/>
    <w:rsid w:val="00277DEA"/>
    <w:rsid w:val="0028109B"/>
    <w:rsid w:val="002853F4"/>
    <w:rsid w:val="002916B4"/>
    <w:rsid w:val="002A0615"/>
    <w:rsid w:val="002A133E"/>
    <w:rsid w:val="002A2188"/>
    <w:rsid w:val="002A685C"/>
    <w:rsid w:val="002B1F58"/>
    <w:rsid w:val="002C1C7A"/>
    <w:rsid w:val="002C3F32"/>
    <w:rsid w:val="002C54E2"/>
    <w:rsid w:val="0030160F"/>
    <w:rsid w:val="00320223"/>
    <w:rsid w:val="00322D0D"/>
    <w:rsid w:val="0032603F"/>
    <w:rsid w:val="00361465"/>
    <w:rsid w:val="00373CAF"/>
    <w:rsid w:val="003864D4"/>
    <w:rsid w:val="003877F5"/>
    <w:rsid w:val="003936D3"/>
    <w:rsid w:val="003942D4"/>
    <w:rsid w:val="003958A8"/>
    <w:rsid w:val="003B29C2"/>
    <w:rsid w:val="003B4FAF"/>
    <w:rsid w:val="003C2533"/>
    <w:rsid w:val="003D5A7F"/>
    <w:rsid w:val="003F0228"/>
    <w:rsid w:val="003F798C"/>
    <w:rsid w:val="0040435A"/>
    <w:rsid w:val="00412588"/>
    <w:rsid w:val="00416A24"/>
    <w:rsid w:val="00422574"/>
    <w:rsid w:val="00425927"/>
    <w:rsid w:val="00431D9E"/>
    <w:rsid w:val="00433CE8"/>
    <w:rsid w:val="00434A5C"/>
    <w:rsid w:val="00453079"/>
    <w:rsid w:val="004544D9"/>
    <w:rsid w:val="00465C35"/>
    <w:rsid w:val="00472BAD"/>
    <w:rsid w:val="00484009"/>
    <w:rsid w:val="00490E72"/>
    <w:rsid w:val="00491157"/>
    <w:rsid w:val="00491BA9"/>
    <w:rsid w:val="00491D4C"/>
    <w:rsid w:val="004921C8"/>
    <w:rsid w:val="0049369C"/>
    <w:rsid w:val="00495615"/>
    <w:rsid w:val="00495B0B"/>
    <w:rsid w:val="00496874"/>
    <w:rsid w:val="004A1B8B"/>
    <w:rsid w:val="004D1851"/>
    <w:rsid w:val="004D599D"/>
    <w:rsid w:val="004E2EA5"/>
    <w:rsid w:val="004E3AEB"/>
    <w:rsid w:val="004E6BF5"/>
    <w:rsid w:val="004F2F00"/>
    <w:rsid w:val="0050223C"/>
    <w:rsid w:val="00512087"/>
    <w:rsid w:val="005243FF"/>
    <w:rsid w:val="0053622C"/>
    <w:rsid w:val="00556CA0"/>
    <w:rsid w:val="00564FBC"/>
    <w:rsid w:val="005711ED"/>
    <w:rsid w:val="005800BC"/>
    <w:rsid w:val="00582442"/>
    <w:rsid w:val="005A69F8"/>
    <w:rsid w:val="005D3BF7"/>
    <w:rsid w:val="005F3269"/>
    <w:rsid w:val="0061071E"/>
    <w:rsid w:val="0062145D"/>
    <w:rsid w:val="00623AE3"/>
    <w:rsid w:val="0064737F"/>
    <w:rsid w:val="006535F1"/>
    <w:rsid w:val="0065557D"/>
    <w:rsid w:val="00660D50"/>
    <w:rsid w:val="00662984"/>
    <w:rsid w:val="006716BB"/>
    <w:rsid w:val="006976E4"/>
    <w:rsid w:val="006A2F4B"/>
    <w:rsid w:val="006B1859"/>
    <w:rsid w:val="006B1D61"/>
    <w:rsid w:val="006B6680"/>
    <w:rsid w:val="006B6DCC"/>
    <w:rsid w:val="006B77F1"/>
    <w:rsid w:val="006C07FB"/>
    <w:rsid w:val="006C6E3B"/>
    <w:rsid w:val="006F5BD9"/>
    <w:rsid w:val="006F7862"/>
    <w:rsid w:val="00700703"/>
    <w:rsid w:val="00702DEF"/>
    <w:rsid w:val="00706861"/>
    <w:rsid w:val="007115A0"/>
    <w:rsid w:val="00720631"/>
    <w:rsid w:val="00722551"/>
    <w:rsid w:val="0075051B"/>
    <w:rsid w:val="00765C89"/>
    <w:rsid w:val="0077110E"/>
    <w:rsid w:val="0077700F"/>
    <w:rsid w:val="00781665"/>
    <w:rsid w:val="007847FF"/>
    <w:rsid w:val="00793188"/>
    <w:rsid w:val="00794D34"/>
    <w:rsid w:val="007A3FCD"/>
    <w:rsid w:val="007B19CF"/>
    <w:rsid w:val="007D01AF"/>
    <w:rsid w:val="00800378"/>
    <w:rsid w:val="00802D1F"/>
    <w:rsid w:val="0080344D"/>
    <w:rsid w:val="00813E5E"/>
    <w:rsid w:val="00814E18"/>
    <w:rsid w:val="00817625"/>
    <w:rsid w:val="00820D07"/>
    <w:rsid w:val="00820ED8"/>
    <w:rsid w:val="00821A02"/>
    <w:rsid w:val="0083581B"/>
    <w:rsid w:val="008440AA"/>
    <w:rsid w:val="0084546D"/>
    <w:rsid w:val="00850F6E"/>
    <w:rsid w:val="00863874"/>
    <w:rsid w:val="00864AFF"/>
    <w:rsid w:val="00865925"/>
    <w:rsid w:val="00872517"/>
    <w:rsid w:val="0087436F"/>
    <w:rsid w:val="008B4A6A"/>
    <w:rsid w:val="008C7E27"/>
    <w:rsid w:val="008F7448"/>
    <w:rsid w:val="0090147A"/>
    <w:rsid w:val="009173EF"/>
    <w:rsid w:val="009279D2"/>
    <w:rsid w:val="00927D86"/>
    <w:rsid w:val="00932906"/>
    <w:rsid w:val="00954C49"/>
    <w:rsid w:val="00961B0B"/>
    <w:rsid w:val="00962D33"/>
    <w:rsid w:val="00970606"/>
    <w:rsid w:val="009841C7"/>
    <w:rsid w:val="009842A1"/>
    <w:rsid w:val="009A0D90"/>
    <w:rsid w:val="009A76A8"/>
    <w:rsid w:val="009B1B4B"/>
    <w:rsid w:val="009B38C3"/>
    <w:rsid w:val="009D2EBB"/>
    <w:rsid w:val="009D4CAA"/>
    <w:rsid w:val="009E17BD"/>
    <w:rsid w:val="009E485A"/>
    <w:rsid w:val="00A00214"/>
    <w:rsid w:val="00A04CEC"/>
    <w:rsid w:val="00A109AF"/>
    <w:rsid w:val="00A2126C"/>
    <w:rsid w:val="00A27F92"/>
    <w:rsid w:val="00A32257"/>
    <w:rsid w:val="00A36D20"/>
    <w:rsid w:val="00A435FD"/>
    <w:rsid w:val="00A43EA0"/>
    <w:rsid w:val="00A514A4"/>
    <w:rsid w:val="00A55622"/>
    <w:rsid w:val="00A623DD"/>
    <w:rsid w:val="00A648AA"/>
    <w:rsid w:val="00A83502"/>
    <w:rsid w:val="00A94BAB"/>
    <w:rsid w:val="00AA4F0F"/>
    <w:rsid w:val="00AD15B3"/>
    <w:rsid w:val="00AD3606"/>
    <w:rsid w:val="00AD4A3D"/>
    <w:rsid w:val="00AF35B8"/>
    <w:rsid w:val="00AF6E49"/>
    <w:rsid w:val="00B04A67"/>
    <w:rsid w:val="00B0583C"/>
    <w:rsid w:val="00B23EB0"/>
    <w:rsid w:val="00B312F3"/>
    <w:rsid w:val="00B40A81"/>
    <w:rsid w:val="00B44910"/>
    <w:rsid w:val="00B72267"/>
    <w:rsid w:val="00B76EB6"/>
    <w:rsid w:val="00B7737B"/>
    <w:rsid w:val="00B824C8"/>
    <w:rsid w:val="00B82AB0"/>
    <w:rsid w:val="00B84B9D"/>
    <w:rsid w:val="00B84BB1"/>
    <w:rsid w:val="00B9131F"/>
    <w:rsid w:val="00BA7AE5"/>
    <w:rsid w:val="00BB0646"/>
    <w:rsid w:val="00BB49E7"/>
    <w:rsid w:val="00BC251A"/>
    <w:rsid w:val="00BC4A20"/>
    <w:rsid w:val="00BD032B"/>
    <w:rsid w:val="00BE01C6"/>
    <w:rsid w:val="00BE2640"/>
    <w:rsid w:val="00BF1FDE"/>
    <w:rsid w:val="00BF59F4"/>
    <w:rsid w:val="00C01189"/>
    <w:rsid w:val="00C044F7"/>
    <w:rsid w:val="00C0458D"/>
    <w:rsid w:val="00C12091"/>
    <w:rsid w:val="00C27302"/>
    <w:rsid w:val="00C368CC"/>
    <w:rsid w:val="00C374DE"/>
    <w:rsid w:val="00C47AD4"/>
    <w:rsid w:val="00C52D81"/>
    <w:rsid w:val="00C55198"/>
    <w:rsid w:val="00C5605F"/>
    <w:rsid w:val="00C6520B"/>
    <w:rsid w:val="00CA26FC"/>
    <w:rsid w:val="00CA6393"/>
    <w:rsid w:val="00CA7995"/>
    <w:rsid w:val="00CB0237"/>
    <w:rsid w:val="00CB0BE4"/>
    <w:rsid w:val="00CB18FF"/>
    <w:rsid w:val="00CB312E"/>
    <w:rsid w:val="00CD0C08"/>
    <w:rsid w:val="00CE03FB"/>
    <w:rsid w:val="00CE433C"/>
    <w:rsid w:val="00CF0161"/>
    <w:rsid w:val="00CF33F3"/>
    <w:rsid w:val="00CF4A2B"/>
    <w:rsid w:val="00D00209"/>
    <w:rsid w:val="00D024CA"/>
    <w:rsid w:val="00D04BBC"/>
    <w:rsid w:val="00D06183"/>
    <w:rsid w:val="00D22C42"/>
    <w:rsid w:val="00D65041"/>
    <w:rsid w:val="00D717B7"/>
    <w:rsid w:val="00D84611"/>
    <w:rsid w:val="00DB1936"/>
    <w:rsid w:val="00DB384B"/>
    <w:rsid w:val="00DC78E0"/>
    <w:rsid w:val="00DE532B"/>
    <w:rsid w:val="00DF0189"/>
    <w:rsid w:val="00E06FD5"/>
    <w:rsid w:val="00E10E80"/>
    <w:rsid w:val="00E124F0"/>
    <w:rsid w:val="00E12F3E"/>
    <w:rsid w:val="00E227F3"/>
    <w:rsid w:val="00E33F7B"/>
    <w:rsid w:val="00E36546"/>
    <w:rsid w:val="00E545C6"/>
    <w:rsid w:val="00E60F04"/>
    <w:rsid w:val="00E65B24"/>
    <w:rsid w:val="00E854E4"/>
    <w:rsid w:val="00E86DBF"/>
    <w:rsid w:val="00E969AF"/>
    <w:rsid w:val="00EA07C6"/>
    <w:rsid w:val="00EB0D6F"/>
    <w:rsid w:val="00EB2232"/>
    <w:rsid w:val="00EC5337"/>
    <w:rsid w:val="00ED402E"/>
    <w:rsid w:val="00EE49E8"/>
    <w:rsid w:val="00EF4DBB"/>
    <w:rsid w:val="00F16BAB"/>
    <w:rsid w:val="00F2150A"/>
    <w:rsid w:val="00F2286B"/>
    <w:rsid w:val="00F231D8"/>
    <w:rsid w:val="00F2406C"/>
    <w:rsid w:val="00F271C7"/>
    <w:rsid w:val="00F32DC5"/>
    <w:rsid w:val="00F44C00"/>
    <w:rsid w:val="00F45BB3"/>
    <w:rsid w:val="00F45D2C"/>
    <w:rsid w:val="00F46C5F"/>
    <w:rsid w:val="00F632C0"/>
    <w:rsid w:val="00F641E1"/>
    <w:rsid w:val="00F94A63"/>
    <w:rsid w:val="00FA1C28"/>
    <w:rsid w:val="00FB1279"/>
    <w:rsid w:val="00FB5F95"/>
    <w:rsid w:val="00FB6B76"/>
    <w:rsid w:val="00FB7596"/>
    <w:rsid w:val="00FC44D0"/>
    <w:rsid w:val="00FE4077"/>
    <w:rsid w:val="00FE500D"/>
    <w:rsid w:val="00FE77D2"/>
    <w:rsid w:val="00FF39B1"/>
    <w:rsid w:val="010E78E3"/>
    <w:rsid w:val="03B3A2E2"/>
    <w:rsid w:val="07515A60"/>
    <w:rsid w:val="0BDA29A2"/>
    <w:rsid w:val="0D47980D"/>
    <w:rsid w:val="12A6452A"/>
    <w:rsid w:val="19E040CF"/>
    <w:rsid w:val="20CB148E"/>
    <w:rsid w:val="21853CFC"/>
    <w:rsid w:val="2271CEFA"/>
    <w:rsid w:val="27631F82"/>
    <w:rsid w:val="28E8F13B"/>
    <w:rsid w:val="30391063"/>
    <w:rsid w:val="34632780"/>
    <w:rsid w:val="39257F28"/>
    <w:rsid w:val="39CE4DDA"/>
    <w:rsid w:val="3D8D682C"/>
    <w:rsid w:val="410A4B1C"/>
    <w:rsid w:val="413443AA"/>
    <w:rsid w:val="417ECC8B"/>
    <w:rsid w:val="41C43623"/>
    <w:rsid w:val="41CD6C8C"/>
    <w:rsid w:val="42C3F507"/>
    <w:rsid w:val="43BCE0B7"/>
    <w:rsid w:val="4413B8FE"/>
    <w:rsid w:val="50636528"/>
    <w:rsid w:val="516D718C"/>
    <w:rsid w:val="53037414"/>
    <w:rsid w:val="5585766B"/>
    <w:rsid w:val="580CB123"/>
    <w:rsid w:val="58BB2026"/>
    <w:rsid w:val="59A73E2B"/>
    <w:rsid w:val="5B3E1CC7"/>
    <w:rsid w:val="5D7FC8F2"/>
    <w:rsid w:val="60FD3F22"/>
    <w:rsid w:val="61FC5F60"/>
    <w:rsid w:val="662E52CC"/>
    <w:rsid w:val="6BD80059"/>
    <w:rsid w:val="74CEE9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00665"/>
  <w15:docId w15:val="{91A64031-8929-42DD-84C1-3F0F9D7A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412588"/>
    <w:rPr>
      <w:b/>
      <w:bCs/>
    </w:rPr>
  </w:style>
  <w:style w:type="character" w:customStyle="1" w:styleId="CommentSubjectChar">
    <w:name w:val="Comment Subject Char"/>
    <w:basedOn w:val="CommentTextChar"/>
    <w:link w:val="CommentSubject"/>
    <w:semiHidden/>
    <w:rsid w:val="00412588"/>
    <w:rPr>
      <w:rFonts w:ascii="Calibri" w:hAnsi="Calibri"/>
      <w:b/>
      <w:bCs/>
      <w:lang w:val="en-GB" w:eastAsia="en-US"/>
    </w:rPr>
  </w:style>
  <w:style w:type="character" w:styleId="Mention">
    <w:name w:val="Mention"/>
    <w:basedOn w:val="DefaultParagraphFont"/>
    <w:uiPriority w:val="99"/>
    <w:unhideWhenUsed/>
    <w:rsid w:val="004125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3-CL-C-0122/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md/S23-CL-C-0059/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partner2connect-pled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3-CL-C-0122/en" TargetMode="External"/><Relationship Id="rId5" Type="http://schemas.openxmlformats.org/officeDocument/2006/relationships/numbering" Target="numbering.xml"/><Relationship Id="rId15"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D/Regional-Presence/Europe/Pages/Projects/2022/Council%20Resolution%20on%20Ukraine%20-%20Coordination%20and%20Implementation/Council-Resolution-on-Ukraine---Coordination-and-Implementation.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CB2CDB52-6A12-4316-9619-0E24193D2B84}">
  <ds:schemaRefs>
    <ds:schemaRef ds:uri="http://schemas.microsoft.com/sharepoint/v3/contenttype/forms"/>
  </ds:schemaRefs>
</ds:datastoreItem>
</file>

<file path=customXml/itemProps3.xml><?xml version="1.0" encoding="utf-8"?>
<ds:datastoreItem xmlns:ds="http://schemas.openxmlformats.org/officeDocument/2006/customXml" ds:itemID="{2AED3E10-74D5-4F0E-9BEB-4297D6BFAC35}">
  <ds:schemaRefs>
    <ds:schemaRef ds:uri="http://schemas.microsoft.com/office/2006/documentManagement/types"/>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a4c22657-7647-457b-a399-8471255bb16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C13FB6B-CCD0-4F88-B501-4E6B705C6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PE_Council26</Template>
  <TotalTime>5</TotalTime>
  <Pages>5</Pages>
  <Words>1764</Words>
  <Characters>11510</Characters>
  <Application>Microsoft Office Word</Application>
  <DocSecurity>0</DocSecurity>
  <Lines>198</Lines>
  <Paragraphs>75</Paragraphs>
  <ScaleCrop>false</ScaleCrop>
  <Manager>General Secretariat</Manager>
  <Company>International Telecommunication Union (ITU)</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on the implementation of ITU Council Resolution 1408 on assistance and support to Ukraine for rebuilding their telecommunication sector</dc:title>
  <dc:subject>ITU Council 2026</dc:subject>
  <dc:creator>GBS-LRT</dc:creator>
  <cp:keywords>C26; C2026; Council 2026; PP26</cp:keywords>
  <dc:description/>
  <cp:lastModifiedBy>GBS</cp:lastModifiedBy>
  <cp:revision>3</cp:revision>
  <cp:lastPrinted>2000-07-18T04:30:00Z</cp:lastPrinted>
  <dcterms:created xsi:type="dcterms:W3CDTF">2026-03-26T19:27:00Z</dcterms:created>
  <dcterms:modified xsi:type="dcterms:W3CDTF">2026-03-26T19:31:00Z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