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08DAF189" w14:textId="77777777" w:rsidTr="00555C29">
        <w:trPr>
          <w:cantSplit/>
          <w:trHeight w:val="23"/>
        </w:trPr>
        <w:tc>
          <w:tcPr>
            <w:tcW w:w="3969" w:type="dxa"/>
            <w:vMerge w:val="restart"/>
            <w:tcMar>
              <w:left w:w="0" w:type="dxa"/>
            </w:tcMar>
          </w:tcPr>
          <w:p w14:paraId="6E6DDBF4" w14:textId="5D21F7C3"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r w:rsidRPr="00E24D59">
              <w:rPr>
                <w:rFonts w:cstheme="minorHAnsi" w:hint="eastAsia"/>
                <w:b/>
                <w:bCs/>
                <w:lang w:val="ru-RU"/>
              </w:rPr>
              <w:t>议项：</w:t>
            </w:r>
            <w:r w:rsidR="00CC6EEA">
              <w:t xml:space="preserve"> </w:t>
            </w:r>
            <w:r w:rsidR="00CC6EEA" w:rsidRPr="00CC6EEA">
              <w:rPr>
                <w:rFonts w:cstheme="minorHAnsi"/>
                <w:b/>
                <w:bCs/>
                <w:lang w:val="ru-RU"/>
              </w:rPr>
              <w:t>PL 2</w:t>
            </w:r>
          </w:p>
        </w:tc>
        <w:tc>
          <w:tcPr>
            <w:tcW w:w="5245" w:type="dxa"/>
          </w:tcPr>
          <w:p w14:paraId="079C0E3D" w14:textId="56D033D3"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CC6EEA">
              <w:rPr>
                <w:b/>
                <w:lang w:val="fr-CH"/>
              </w:rPr>
              <w:t>68</w:t>
            </w:r>
            <w:r w:rsidRPr="00E24D59">
              <w:rPr>
                <w:b/>
                <w:lang w:val="fr-CH"/>
              </w:rPr>
              <w:t>-C</w:t>
            </w:r>
          </w:p>
        </w:tc>
      </w:tr>
      <w:tr w:rsidR="00E24D59" w:rsidRPr="00813E5E" w14:paraId="38F48254" w14:textId="77777777" w:rsidTr="00555C29">
        <w:trPr>
          <w:cantSplit/>
        </w:trPr>
        <w:tc>
          <w:tcPr>
            <w:tcW w:w="3969" w:type="dxa"/>
            <w:vMerge/>
          </w:tcPr>
          <w:p w14:paraId="5270D129"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D14FB2B" w14:textId="11F6431F" w:rsidR="00E24D59" w:rsidRPr="00E85629" w:rsidRDefault="00CC6EE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26</w:t>
            </w:r>
            <w:r>
              <w:rPr>
                <w:rFonts w:hint="eastAsia"/>
                <w:b/>
                <w:lang w:eastAsia="zh-CN"/>
              </w:rPr>
              <w:t>日</w:t>
            </w:r>
          </w:p>
        </w:tc>
      </w:tr>
      <w:tr w:rsidR="00E24D59" w:rsidRPr="00813E5E" w14:paraId="442EB532" w14:textId="77777777" w:rsidTr="00555C29">
        <w:trPr>
          <w:cantSplit/>
          <w:trHeight w:val="23"/>
        </w:trPr>
        <w:tc>
          <w:tcPr>
            <w:tcW w:w="3969" w:type="dxa"/>
            <w:vMerge/>
          </w:tcPr>
          <w:p w14:paraId="1738A4F6"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731D400A" w14:textId="46AF25DA"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CC6EEA">
              <w:rPr>
                <w:rFonts w:hint="eastAsia"/>
                <w:b/>
                <w:lang w:eastAsia="zh-CN"/>
              </w:rPr>
              <w:t>英文</w:t>
            </w:r>
          </w:p>
        </w:tc>
      </w:tr>
      <w:tr w:rsidR="00E24D59" w:rsidRPr="00813E5E" w14:paraId="704A17E0" w14:textId="77777777" w:rsidTr="00555C29">
        <w:trPr>
          <w:cantSplit/>
          <w:trHeight w:val="23"/>
        </w:trPr>
        <w:tc>
          <w:tcPr>
            <w:tcW w:w="3969" w:type="dxa"/>
          </w:tcPr>
          <w:p w14:paraId="4EEA18DA" w14:textId="77777777" w:rsidR="00E24D59" w:rsidRPr="00813E5E" w:rsidRDefault="00E24D59" w:rsidP="00555C29">
            <w:pPr>
              <w:tabs>
                <w:tab w:val="left" w:pos="851"/>
              </w:tabs>
              <w:spacing w:line="240" w:lineRule="atLeast"/>
              <w:rPr>
                <w:b/>
              </w:rPr>
            </w:pPr>
          </w:p>
        </w:tc>
        <w:tc>
          <w:tcPr>
            <w:tcW w:w="5245" w:type="dxa"/>
          </w:tcPr>
          <w:p w14:paraId="05C84D4C" w14:textId="77777777" w:rsidR="00E24D59" w:rsidRDefault="00E24D59" w:rsidP="00555C29">
            <w:pPr>
              <w:tabs>
                <w:tab w:val="left" w:pos="851"/>
              </w:tabs>
              <w:spacing w:before="0" w:line="240" w:lineRule="atLeast"/>
              <w:jc w:val="right"/>
              <w:rPr>
                <w:b/>
              </w:rPr>
            </w:pPr>
          </w:p>
        </w:tc>
      </w:tr>
      <w:tr w:rsidR="00E24D59" w:rsidRPr="00813E5E" w14:paraId="68E070ED" w14:textId="77777777" w:rsidTr="00555C29">
        <w:trPr>
          <w:cantSplit/>
        </w:trPr>
        <w:tc>
          <w:tcPr>
            <w:tcW w:w="9214" w:type="dxa"/>
            <w:gridSpan w:val="2"/>
            <w:tcMar>
              <w:left w:w="0" w:type="dxa"/>
            </w:tcMar>
          </w:tcPr>
          <w:p w14:paraId="6582E036"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44E89CD1" w14:textId="77777777" w:rsidTr="00555C29">
        <w:trPr>
          <w:cantSplit/>
        </w:trPr>
        <w:tc>
          <w:tcPr>
            <w:tcW w:w="9214" w:type="dxa"/>
            <w:gridSpan w:val="2"/>
            <w:tcMar>
              <w:left w:w="0" w:type="dxa"/>
            </w:tcMar>
          </w:tcPr>
          <w:p w14:paraId="055910DD" w14:textId="5EB22219" w:rsidR="00E24D59" w:rsidRPr="00C24DAC" w:rsidRDefault="00CC6EEA" w:rsidP="00CC6EEA">
            <w:pPr>
              <w:pStyle w:val="Subtitle"/>
              <w:framePr w:hSpace="0" w:wrap="auto" w:vAnchor="margin" w:hAnchor="text" w:xAlign="left" w:yAlign="inline"/>
            </w:pPr>
            <w:bookmarkStart w:id="6" w:name="dtitle1" w:colFirst="0" w:colLast="0"/>
            <w:bookmarkEnd w:id="5"/>
            <w:r>
              <w:rPr>
                <w:rFonts w:hint="eastAsia"/>
              </w:rPr>
              <w:t>国际电联理事会关于帮助和支持乌克兰重建</w:t>
            </w:r>
            <w:r>
              <w:br/>
            </w:r>
            <w:r>
              <w:rPr>
                <w:rFonts w:hint="eastAsia"/>
              </w:rPr>
              <w:t>其电信行业的第</w:t>
            </w:r>
            <w:r>
              <w:rPr>
                <w:rFonts w:hint="eastAsia"/>
              </w:rPr>
              <w:t>1408</w:t>
            </w:r>
            <w:r>
              <w:rPr>
                <w:rFonts w:hint="eastAsia"/>
              </w:rPr>
              <w:t>号决议的最新实施情况</w:t>
            </w:r>
          </w:p>
        </w:tc>
      </w:tr>
      <w:tr w:rsidR="00E24D59" w:rsidRPr="00813E5E" w14:paraId="6FE7D6FF" w14:textId="77777777" w:rsidTr="00555C29">
        <w:trPr>
          <w:cantSplit/>
        </w:trPr>
        <w:tc>
          <w:tcPr>
            <w:tcW w:w="9214" w:type="dxa"/>
            <w:gridSpan w:val="2"/>
            <w:tcBorders>
              <w:top w:val="single" w:sz="4" w:space="0" w:color="auto"/>
              <w:bottom w:val="single" w:sz="4" w:space="0" w:color="auto"/>
            </w:tcBorders>
            <w:tcMar>
              <w:left w:w="0" w:type="dxa"/>
            </w:tcMar>
          </w:tcPr>
          <w:p w14:paraId="2AD4D00C" w14:textId="72D2F29E" w:rsidR="003F086E" w:rsidRPr="00477D57" w:rsidRDefault="003F086E" w:rsidP="00555C29">
            <w:pPr>
              <w:rPr>
                <w:b/>
                <w:bCs/>
                <w:lang w:eastAsia="zh-CN"/>
              </w:rPr>
            </w:pPr>
            <w:r w:rsidRPr="00477D57">
              <w:rPr>
                <w:b/>
                <w:bCs/>
                <w:lang w:eastAsia="zh-CN"/>
              </w:rPr>
              <w:t>目的</w:t>
            </w:r>
          </w:p>
          <w:p w14:paraId="413E3932" w14:textId="55238565" w:rsidR="003F086E" w:rsidRPr="00477D57" w:rsidRDefault="00CC6EEA" w:rsidP="00CC6EEA">
            <w:pPr>
              <w:ind w:firstLineChars="200" w:firstLine="480"/>
              <w:rPr>
                <w:rFonts w:asciiTheme="majorEastAsia" w:eastAsiaTheme="majorEastAsia" w:hAnsiTheme="majorEastAsia"/>
                <w:lang w:eastAsia="zh-CN"/>
              </w:rPr>
            </w:pPr>
            <w:r w:rsidRPr="00CC6EEA">
              <w:rPr>
                <w:rFonts w:asciiTheme="majorEastAsia" w:eastAsiaTheme="majorEastAsia" w:hAnsiTheme="majorEastAsia" w:hint="eastAsia"/>
                <w:lang w:eastAsia="zh-CN"/>
              </w:rPr>
              <w:t>本报告概述了自</w:t>
            </w:r>
            <w:r w:rsidRPr="00CC6EEA">
              <w:rPr>
                <w:rFonts w:eastAsiaTheme="majorEastAsia" w:cs="Calibri"/>
                <w:lang w:eastAsia="zh-CN"/>
              </w:rPr>
              <w:t>2025</w:t>
            </w:r>
            <w:r w:rsidRPr="00CC6EEA">
              <w:rPr>
                <w:rFonts w:asciiTheme="majorEastAsia" w:eastAsiaTheme="majorEastAsia" w:hAnsiTheme="majorEastAsia" w:hint="eastAsia"/>
                <w:lang w:eastAsia="zh-CN"/>
              </w:rPr>
              <w:t>年</w:t>
            </w:r>
            <w:r w:rsidRPr="00CC6EEA">
              <w:rPr>
                <w:rFonts w:eastAsiaTheme="majorEastAsia" w:cs="Calibri"/>
                <w:lang w:eastAsia="zh-CN"/>
              </w:rPr>
              <w:t>6</w:t>
            </w:r>
            <w:r w:rsidRPr="00CC6EEA">
              <w:rPr>
                <w:rFonts w:asciiTheme="majorEastAsia" w:eastAsiaTheme="majorEastAsia" w:hAnsiTheme="majorEastAsia" w:hint="eastAsia"/>
                <w:lang w:eastAsia="zh-CN"/>
              </w:rPr>
              <w:t>月国际电联理事会以来，根据经修订的国际电联理事会第</w:t>
            </w:r>
            <w:r w:rsidRPr="00CC6EEA">
              <w:rPr>
                <w:rFonts w:eastAsiaTheme="majorEastAsia" w:cs="Calibri"/>
                <w:lang w:eastAsia="zh-CN"/>
              </w:rPr>
              <w:t>1408</w:t>
            </w:r>
            <w:r w:rsidRPr="00CC6EEA">
              <w:rPr>
                <w:rFonts w:asciiTheme="majorEastAsia" w:eastAsiaTheme="majorEastAsia" w:hAnsiTheme="majorEastAsia" w:hint="eastAsia"/>
                <w:lang w:eastAsia="zh-CN"/>
              </w:rPr>
              <w:t>号决议，在帮助和支持乌克兰重建其电信行业方面开展的活动和取得的发展，重点是监测和报告、协调机制、技术援助、资源筹措和能力建设活动。</w:t>
            </w:r>
          </w:p>
          <w:p w14:paraId="0B250F08" w14:textId="77777777" w:rsidR="003F086E" w:rsidRPr="00477D57" w:rsidRDefault="003F086E" w:rsidP="00555C29">
            <w:pPr>
              <w:rPr>
                <w:b/>
                <w:bCs/>
                <w:lang w:eastAsia="zh-CN"/>
              </w:rPr>
            </w:pPr>
            <w:r w:rsidRPr="00477D57">
              <w:rPr>
                <w:b/>
                <w:bCs/>
                <w:lang w:eastAsia="zh-CN"/>
              </w:rPr>
              <w:t>理事会需采取的行动</w:t>
            </w:r>
          </w:p>
          <w:p w14:paraId="27BE4D8C" w14:textId="6F03779E" w:rsidR="003F086E" w:rsidRPr="00477D57" w:rsidRDefault="00CC6EEA" w:rsidP="00CC6EEA">
            <w:pPr>
              <w:ind w:firstLineChars="200" w:firstLine="480"/>
              <w:rPr>
                <w:rFonts w:asciiTheme="majorEastAsia" w:eastAsiaTheme="majorEastAsia" w:hAnsiTheme="majorEastAsia"/>
                <w:lang w:eastAsia="zh-CN"/>
              </w:rPr>
            </w:pPr>
            <w:r w:rsidRPr="00CC6EEA">
              <w:rPr>
                <w:rFonts w:asciiTheme="majorEastAsia" w:eastAsiaTheme="majorEastAsia" w:hAnsiTheme="majorEastAsia" w:hint="eastAsia"/>
                <w:lang w:eastAsia="zh-CN"/>
              </w:rPr>
              <w:t>请理事会将本报告</w:t>
            </w:r>
            <w:r w:rsidRPr="00CC6EEA">
              <w:rPr>
                <w:rFonts w:asciiTheme="majorEastAsia" w:eastAsiaTheme="majorEastAsia" w:hAnsiTheme="majorEastAsia" w:hint="eastAsia"/>
                <w:b/>
                <w:bCs/>
                <w:lang w:eastAsia="zh-CN"/>
              </w:rPr>
              <w:t>记录在案</w:t>
            </w:r>
            <w:r w:rsidRPr="00CC6EEA">
              <w:rPr>
                <w:rFonts w:asciiTheme="majorEastAsia" w:eastAsiaTheme="majorEastAsia" w:hAnsiTheme="majorEastAsia" w:hint="eastAsia"/>
                <w:lang w:eastAsia="zh-CN"/>
              </w:rPr>
              <w:t>。</w:t>
            </w:r>
          </w:p>
          <w:p w14:paraId="4AB1AAB5"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1CEEBA19" w14:textId="786C3223" w:rsidR="003F086E" w:rsidRPr="00477D57" w:rsidRDefault="00CC6EEA" w:rsidP="00CC6EEA">
            <w:pPr>
              <w:ind w:firstLineChars="200" w:firstLine="480"/>
              <w:rPr>
                <w:rFonts w:asciiTheme="majorEastAsia" w:eastAsiaTheme="majorEastAsia" w:hAnsiTheme="majorEastAsia"/>
                <w:lang w:eastAsia="zh-CN"/>
              </w:rPr>
            </w:pPr>
            <w:r w:rsidRPr="00CC6EEA">
              <w:rPr>
                <w:rFonts w:asciiTheme="majorEastAsia" w:eastAsiaTheme="majorEastAsia" w:hAnsiTheme="majorEastAsia" w:hint="eastAsia"/>
                <w:lang w:eastAsia="zh-CN"/>
              </w:rPr>
              <w:t>提供技术援助。</w:t>
            </w:r>
          </w:p>
          <w:p w14:paraId="0D660A7B" w14:textId="77777777" w:rsidR="003F086E" w:rsidRPr="00477D57" w:rsidRDefault="003F086E" w:rsidP="00555C29">
            <w:pPr>
              <w:rPr>
                <w:b/>
                <w:bCs/>
                <w:lang w:eastAsia="zh-CN"/>
              </w:rPr>
            </w:pPr>
            <w:r w:rsidRPr="00477D57">
              <w:rPr>
                <w:b/>
                <w:bCs/>
                <w:lang w:eastAsia="zh-CN"/>
              </w:rPr>
              <w:t>财务影响</w:t>
            </w:r>
          </w:p>
          <w:p w14:paraId="1EACC968" w14:textId="115FCED8" w:rsidR="008F64AD" w:rsidRPr="00477D57" w:rsidRDefault="00CC6EEA" w:rsidP="00CC6EEA">
            <w:pPr>
              <w:ind w:firstLineChars="200" w:firstLine="480"/>
              <w:rPr>
                <w:rFonts w:asciiTheme="majorEastAsia" w:eastAsiaTheme="majorEastAsia" w:hAnsiTheme="majorEastAsia"/>
                <w:lang w:eastAsia="zh-CN"/>
              </w:rPr>
            </w:pPr>
            <w:r w:rsidRPr="00CC6EEA">
              <w:rPr>
                <w:rFonts w:asciiTheme="majorEastAsia" w:eastAsiaTheme="majorEastAsia" w:hAnsiTheme="majorEastAsia" w:hint="eastAsia"/>
                <w:lang w:eastAsia="zh-CN"/>
              </w:rPr>
              <w:t>自</w:t>
            </w:r>
            <w:r w:rsidRPr="00CC6EEA">
              <w:rPr>
                <w:rFonts w:eastAsiaTheme="majorEastAsia" w:cs="Calibri"/>
                <w:lang w:eastAsia="zh-CN"/>
              </w:rPr>
              <w:t>2022</w:t>
            </w:r>
            <w:r w:rsidRPr="00CC6EEA">
              <w:rPr>
                <w:rFonts w:asciiTheme="majorEastAsia" w:eastAsiaTheme="majorEastAsia" w:hAnsiTheme="majorEastAsia" w:hint="eastAsia"/>
                <w:lang w:eastAsia="zh-CN"/>
              </w:rPr>
              <w:t>年以来，</w:t>
            </w:r>
            <w:r w:rsidRPr="00CC6EEA">
              <w:rPr>
                <w:rFonts w:eastAsiaTheme="majorEastAsia" w:cs="Calibri"/>
                <w:lang w:eastAsia="zh-CN"/>
              </w:rPr>
              <w:t>346 000</w:t>
            </w:r>
            <w:r w:rsidRPr="00CC6EEA">
              <w:rPr>
                <w:rFonts w:asciiTheme="majorEastAsia" w:eastAsiaTheme="majorEastAsia" w:hAnsiTheme="majorEastAsia" w:hint="eastAsia"/>
                <w:lang w:eastAsia="zh-CN"/>
              </w:rPr>
              <w:t>瑞郎，其中包括来自国际电联预算的</w:t>
            </w:r>
            <w:r w:rsidRPr="00CC6EEA">
              <w:rPr>
                <w:rFonts w:eastAsiaTheme="majorEastAsia" w:cs="Calibri"/>
                <w:lang w:eastAsia="zh-CN"/>
              </w:rPr>
              <w:t>85 000</w:t>
            </w:r>
            <w:r w:rsidRPr="00CC6EEA">
              <w:rPr>
                <w:rFonts w:asciiTheme="majorEastAsia" w:eastAsiaTheme="majorEastAsia" w:hAnsiTheme="majorEastAsia" w:hint="eastAsia"/>
                <w:lang w:eastAsia="zh-CN"/>
              </w:rPr>
              <w:t>瑞郎、</w:t>
            </w:r>
            <w:r w:rsidRPr="00CC6EEA">
              <w:rPr>
                <w:rFonts w:eastAsiaTheme="majorEastAsia" w:cs="Calibri"/>
                <w:lang w:eastAsia="zh-CN"/>
              </w:rPr>
              <w:t>191 000</w:t>
            </w:r>
            <w:r w:rsidRPr="00CC6EEA">
              <w:rPr>
                <w:rFonts w:asciiTheme="majorEastAsia" w:eastAsiaTheme="majorEastAsia" w:hAnsiTheme="majorEastAsia" w:hint="eastAsia"/>
                <w:lang w:eastAsia="zh-CN"/>
              </w:rPr>
              <w:t>瑞郎的自愿捐款和</w:t>
            </w:r>
            <w:r w:rsidRPr="00CC6EEA">
              <w:rPr>
                <w:rFonts w:eastAsiaTheme="majorEastAsia" w:cs="Calibri"/>
                <w:lang w:eastAsia="zh-CN"/>
              </w:rPr>
              <w:t>70 000</w:t>
            </w:r>
            <w:r w:rsidRPr="00CC6EEA">
              <w:rPr>
                <w:rFonts w:asciiTheme="majorEastAsia" w:eastAsiaTheme="majorEastAsia" w:hAnsiTheme="majorEastAsia" w:hint="eastAsia"/>
                <w:lang w:eastAsia="zh-CN"/>
              </w:rPr>
              <w:t>瑞郎的实物捐助。</w:t>
            </w:r>
          </w:p>
          <w:p w14:paraId="65B76183" w14:textId="77777777" w:rsidR="00E24D59" w:rsidRPr="00DA2D30" w:rsidRDefault="00DA2D30" w:rsidP="00DA2D30">
            <w:pPr>
              <w:rPr>
                <w:lang w:eastAsia="zh-CN"/>
              </w:rPr>
            </w:pPr>
            <w:r>
              <w:rPr>
                <w:lang w:eastAsia="zh-CN"/>
              </w:rPr>
              <w:t>_______________</w:t>
            </w:r>
          </w:p>
          <w:p w14:paraId="4724CA69" w14:textId="77777777" w:rsidR="00E24D59" w:rsidRPr="00477D57" w:rsidRDefault="00E24D59" w:rsidP="00555C29">
            <w:pPr>
              <w:rPr>
                <w:b/>
                <w:bCs/>
                <w:lang w:eastAsia="zh-CN"/>
              </w:rPr>
            </w:pPr>
            <w:r w:rsidRPr="00477D57">
              <w:rPr>
                <w:rFonts w:hint="eastAsia"/>
                <w:b/>
                <w:bCs/>
                <w:lang w:eastAsia="zh-CN"/>
              </w:rPr>
              <w:t>参考文件</w:t>
            </w:r>
          </w:p>
          <w:p w14:paraId="69760698" w14:textId="7A793788" w:rsidR="00E24D59" w:rsidRPr="00CC6EEA" w:rsidRDefault="00CC6EEA" w:rsidP="00CC6EEA">
            <w:pPr>
              <w:spacing w:after="120"/>
              <w:ind w:firstLineChars="200" w:firstLine="480"/>
              <w:rPr>
                <w:rFonts w:ascii="STKaiti" w:eastAsia="STKaiti" w:hAnsi="STKaiti"/>
                <w:sz w:val="22"/>
                <w:szCs w:val="22"/>
                <w:lang w:eastAsia="zh-CN"/>
              </w:rPr>
            </w:pPr>
            <w:r>
              <w:fldChar w:fldCharType="begin"/>
            </w:r>
            <w:r>
              <w:rPr>
                <w:lang w:eastAsia="zh-CN"/>
              </w:rPr>
              <w:instrText>HYPERLINK "https://www.itu.int/md/S23-CL-C-0122/en"</w:instrText>
            </w:r>
            <w:r>
              <w:fldChar w:fldCharType="separate"/>
            </w:r>
            <w:r w:rsidRPr="00CC6EEA">
              <w:rPr>
                <w:rStyle w:val="Hyperlink"/>
                <w:rFonts w:ascii="STKaiti" w:eastAsia="STKaiti" w:hAnsi="STKaiti" w:hint="eastAsia"/>
                <w:noProof w:val="0"/>
                <w:sz w:val="22"/>
                <w:szCs w:val="22"/>
                <w:u w:val="single"/>
                <w:lang w:eastAsia="zh-CN"/>
              </w:rPr>
              <w:t>理事会第</w:t>
            </w:r>
            <w:r w:rsidRPr="00CC6EEA">
              <w:rPr>
                <w:rStyle w:val="Hyperlink"/>
                <w:rFonts w:eastAsia="STKaiti" w:cs="Calibri" w:hint="eastAsia"/>
                <w:noProof w:val="0"/>
                <w:sz w:val="22"/>
                <w:szCs w:val="22"/>
                <w:u w:val="single"/>
                <w:lang w:eastAsia="zh-CN"/>
              </w:rPr>
              <w:t>1408</w:t>
            </w:r>
            <w:r w:rsidRPr="00CC6EEA">
              <w:rPr>
                <w:rStyle w:val="Hyperlink"/>
                <w:rFonts w:ascii="STKaiti" w:eastAsia="STKaiti" w:hAnsi="STKaiti" w:hint="eastAsia"/>
                <w:noProof w:val="0"/>
                <w:sz w:val="22"/>
                <w:szCs w:val="22"/>
                <w:u w:val="single"/>
                <w:lang w:eastAsia="zh-CN"/>
              </w:rPr>
              <w:t>号决议（</w:t>
            </w:r>
            <w:r w:rsidRPr="00CC6EEA">
              <w:rPr>
                <w:rStyle w:val="Hyperlink"/>
                <w:rFonts w:eastAsia="STKaiti" w:cs="Calibri" w:hint="eastAsia"/>
                <w:noProof w:val="0"/>
                <w:sz w:val="22"/>
                <w:szCs w:val="22"/>
                <w:u w:val="single"/>
                <w:lang w:eastAsia="zh-CN"/>
              </w:rPr>
              <w:t>2023</w:t>
            </w:r>
            <w:r w:rsidRPr="00CC6EEA">
              <w:rPr>
                <w:rStyle w:val="Hyperlink"/>
                <w:rFonts w:ascii="STKaiti" w:eastAsia="STKaiti" w:hAnsi="STKaiti" w:hint="eastAsia"/>
                <w:noProof w:val="0"/>
                <w:sz w:val="22"/>
                <w:szCs w:val="22"/>
                <w:u w:val="single"/>
                <w:lang w:eastAsia="zh-CN"/>
              </w:rPr>
              <w:t>年修订）</w:t>
            </w:r>
            <w:r>
              <w:fldChar w:fldCharType="end"/>
            </w:r>
            <w:r w:rsidRPr="00CC6EEA">
              <w:rPr>
                <w:rFonts w:ascii="STKaiti" w:eastAsia="STKaiti" w:hAnsi="STKaiti" w:hint="eastAsia"/>
                <w:sz w:val="22"/>
                <w:szCs w:val="22"/>
                <w:lang w:eastAsia="zh-CN"/>
              </w:rPr>
              <w:t>；</w:t>
            </w:r>
            <w:r>
              <w:fldChar w:fldCharType="begin"/>
            </w:r>
            <w:r>
              <w:rPr>
                <w:lang w:eastAsia="zh-CN"/>
              </w:rPr>
              <w:instrText>HYPERLINK "https://www.itu.int/md/S23-CL-C-0059/en"</w:instrText>
            </w:r>
            <w:r>
              <w:fldChar w:fldCharType="separate"/>
            </w:r>
            <w:r w:rsidRPr="00CC6EEA">
              <w:rPr>
                <w:rStyle w:val="Hyperlink"/>
                <w:rFonts w:eastAsia="STKaiti" w:cs="Calibri" w:hint="eastAsia"/>
                <w:noProof w:val="0"/>
                <w:sz w:val="22"/>
                <w:szCs w:val="22"/>
                <w:u w:val="single"/>
                <w:lang w:eastAsia="zh-CN"/>
              </w:rPr>
              <w:t>C23/59</w:t>
            </w:r>
            <w:r>
              <w:fldChar w:fldCharType="end"/>
            </w:r>
            <w:r w:rsidRPr="00CC6EEA">
              <w:rPr>
                <w:rFonts w:ascii="STKaiti" w:eastAsia="STKaiti" w:hAnsi="STKaiti" w:hint="eastAsia"/>
                <w:sz w:val="22"/>
                <w:szCs w:val="22"/>
                <w:lang w:eastAsia="zh-CN"/>
              </w:rPr>
              <w:t>号文件</w:t>
            </w:r>
          </w:p>
        </w:tc>
      </w:tr>
      <w:bookmarkEnd w:id="2"/>
      <w:bookmarkEnd w:id="6"/>
    </w:tbl>
    <w:p w14:paraId="2C2FF66A"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470D0B1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684D1069" w14:textId="77777777" w:rsidR="00CC6EEA" w:rsidRDefault="00CC6EEA" w:rsidP="00CC6EEA">
      <w:pPr>
        <w:pStyle w:val="Heading1"/>
        <w:rPr>
          <w:lang w:eastAsia="zh-CN"/>
        </w:rPr>
      </w:pPr>
      <w:r>
        <w:rPr>
          <w:rFonts w:hint="eastAsia"/>
          <w:lang w:eastAsia="zh-CN"/>
        </w:rPr>
        <w:lastRenderedPageBreak/>
        <w:t>1</w:t>
      </w:r>
      <w:r>
        <w:rPr>
          <w:rFonts w:hint="eastAsia"/>
          <w:lang w:eastAsia="zh-CN"/>
        </w:rPr>
        <w:tab/>
      </w:r>
      <w:r>
        <w:rPr>
          <w:rFonts w:hint="eastAsia"/>
          <w:lang w:eastAsia="zh-CN"/>
        </w:rPr>
        <w:t>引言</w:t>
      </w:r>
    </w:p>
    <w:p w14:paraId="388F5DFA" w14:textId="1BC40538" w:rsidR="00E323D0" w:rsidRDefault="00CC6EEA" w:rsidP="00732D04">
      <w:pPr>
        <w:ind w:firstLineChars="200" w:firstLine="480"/>
        <w:jc w:val="both"/>
        <w:rPr>
          <w:lang w:eastAsia="zh-CN"/>
        </w:rPr>
      </w:pPr>
      <w:r>
        <w:rPr>
          <w:rFonts w:hint="eastAsia"/>
          <w:lang w:eastAsia="zh-CN"/>
        </w:rPr>
        <w:t>国际电联理事会</w:t>
      </w:r>
      <w:r>
        <w:rPr>
          <w:rFonts w:hint="eastAsia"/>
          <w:lang w:eastAsia="zh-CN"/>
        </w:rPr>
        <w:t>2023</w:t>
      </w:r>
      <w:r>
        <w:rPr>
          <w:rFonts w:hint="eastAsia"/>
          <w:lang w:eastAsia="zh-CN"/>
        </w:rPr>
        <w:t>年会议通过了关于</w:t>
      </w:r>
      <w:r w:rsidRPr="00CC6EEA">
        <w:rPr>
          <w:rFonts w:hint="eastAsia"/>
          <w:b/>
          <w:bCs/>
          <w:lang w:eastAsia="zh-CN"/>
        </w:rPr>
        <w:t>“帮助和支持乌克兰重建其电信行业”</w:t>
      </w:r>
      <w:r>
        <w:rPr>
          <w:rFonts w:hint="eastAsia"/>
          <w:lang w:eastAsia="zh-CN"/>
        </w:rPr>
        <w:t>的</w:t>
      </w:r>
      <w:r w:rsidRPr="00CC6EEA">
        <w:rPr>
          <w:u w:val="single"/>
          <w:lang w:eastAsia="zh-CN"/>
        </w:rPr>
        <w:fldChar w:fldCharType="begin"/>
      </w:r>
      <w:r w:rsidRPr="00CC6EEA">
        <w:rPr>
          <w:u w:val="single"/>
          <w:lang w:eastAsia="zh-CN"/>
        </w:rPr>
        <w:instrText xml:space="preserve"> </w:instrText>
      </w:r>
      <w:r w:rsidRPr="00CC6EEA">
        <w:rPr>
          <w:rFonts w:hint="eastAsia"/>
          <w:u w:val="single"/>
          <w:lang w:eastAsia="zh-CN"/>
        </w:rPr>
        <w:instrText>HYPERLINK "https://www.itu.int/md/S23-CL-C-0122/en"</w:instrText>
      </w:r>
      <w:r w:rsidRPr="00CC6EEA">
        <w:rPr>
          <w:u w:val="single"/>
          <w:lang w:eastAsia="zh-CN"/>
        </w:rPr>
        <w:instrText xml:space="preserve"> </w:instrText>
      </w:r>
      <w:r w:rsidRPr="00CC6EEA">
        <w:rPr>
          <w:u w:val="single"/>
          <w:lang w:eastAsia="zh-CN"/>
        </w:rPr>
      </w:r>
      <w:r w:rsidRPr="00CC6EEA">
        <w:rPr>
          <w:u w:val="single"/>
          <w:lang w:eastAsia="zh-CN"/>
        </w:rPr>
        <w:fldChar w:fldCharType="separate"/>
      </w:r>
      <w:r w:rsidRPr="00CC6EEA">
        <w:rPr>
          <w:rStyle w:val="Hyperlink"/>
          <w:rFonts w:eastAsia="SimSun" w:hint="eastAsia"/>
          <w:noProof w:val="0"/>
          <w:u w:val="single"/>
          <w:lang w:eastAsia="zh-CN"/>
        </w:rPr>
        <w:t>第</w:t>
      </w:r>
      <w:r w:rsidRPr="00CC6EEA">
        <w:rPr>
          <w:rStyle w:val="Hyperlink"/>
          <w:rFonts w:eastAsia="SimSun" w:hint="eastAsia"/>
          <w:noProof w:val="0"/>
          <w:u w:val="single"/>
          <w:lang w:eastAsia="zh-CN"/>
        </w:rPr>
        <w:t>1408</w:t>
      </w:r>
      <w:r w:rsidRPr="00CC6EEA">
        <w:rPr>
          <w:rStyle w:val="Hyperlink"/>
          <w:rFonts w:eastAsia="SimSun" w:hint="eastAsia"/>
          <w:noProof w:val="0"/>
          <w:u w:val="single"/>
          <w:lang w:eastAsia="zh-CN"/>
        </w:rPr>
        <w:t>号决议</w:t>
      </w:r>
      <w:r w:rsidRPr="00CC6EEA">
        <w:rPr>
          <w:u w:val="single"/>
          <w:lang w:eastAsia="zh-CN"/>
        </w:rPr>
        <w:fldChar w:fldCharType="end"/>
      </w:r>
      <w:r>
        <w:rPr>
          <w:rFonts w:hint="eastAsia"/>
          <w:lang w:eastAsia="zh-CN"/>
        </w:rPr>
        <w:t>修正案。本报告总结了国际电联秘书处自</w:t>
      </w:r>
      <w:r>
        <w:rPr>
          <w:rFonts w:hint="eastAsia"/>
          <w:lang w:eastAsia="zh-CN"/>
        </w:rPr>
        <w:t>2025</w:t>
      </w:r>
      <w:r>
        <w:rPr>
          <w:rFonts w:hint="eastAsia"/>
          <w:lang w:eastAsia="zh-CN"/>
        </w:rPr>
        <w:t>年</w:t>
      </w:r>
      <w:r>
        <w:rPr>
          <w:rFonts w:hint="eastAsia"/>
          <w:lang w:eastAsia="zh-CN"/>
        </w:rPr>
        <w:t>6</w:t>
      </w:r>
      <w:r>
        <w:rPr>
          <w:rFonts w:hint="eastAsia"/>
          <w:lang w:eastAsia="zh-CN"/>
        </w:rPr>
        <w:t>月以来为落实该决议的做出决议部分而采取的行动，特别侧重于监测和报告、协调机制、技术援助、资源筹措和能力建设活动。</w:t>
      </w:r>
    </w:p>
    <w:p w14:paraId="7321634A" w14:textId="77777777" w:rsidR="00CC6EEA" w:rsidRDefault="00CC6EEA" w:rsidP="00CC6EEA">
      <w:pPr>
        <w:pStyle w:val="Heading1"/>
        <w:rPr>
          <w:lang w:eastAsia="zh-CN"/>
        </w:rPr>
      </w:pPr>
      <w:r>
        <w:rPr>
          <w:rFonts w:hint="eastAsia"/>
          <w:lang w:eastAsia="zh-CN"/>
        </w:rPr>
        <w:t>2</w:t>
      </w:r>
      <w:r>
        <w:rPr>
          <w:rFonts w:hint="eastAsia"/>
          <w:lang w:eastAsia="zh-CN"/>
        </w:rPr>
        <w:tab/>
      </w:r>
      <w:r>
        <w:rPr>
          <w:rFonts w:hint="eastAsia"/>
          <w:lang w:eastAsia="zh-CN"/>
        </w:rPr>
        <w:t>监测和报告</w:t>
      </w:r>
    </w:p>
    <w:p w14:paraId="62EB0E02" w14:textId="527D9DCC" w:rsidR="00CC6EEA" w:rsidRDefault="00CC6EEA" w:rsidP="00732D04">
      <w:pPr>
        <w:ind w:firstLineChars="200" w:firstLine="480"/>
        <w:jc w:val="both"/>
        <w:rPr>
          <w:lang w:eastAsia="zh-CN"/>
        </w:rPr>
      </w:pPr>
      <w:r>
        <w:rPr>
          <w:rFonts w:hint="eastAsia"/>
          <w:lang w:eastAsia="zh-CN"/>
        </w:rPr>
        <w:t>为了促进有效的技术援助，对乌克兰的数字复原力进行了持续监测，同时不断更新旨在落实第</w:t>
      </w:r>
      <w:r>
        <w:rPr>
          <w:rFonts w:hint="eastAsia"/>
          <w:lang w:eastAsia="zh-CN"/>
        </w:rPr>
        <w:t>1408</w:t>
      </w:r>
      <w:r>
        <w:rPr>
          <w:rFonts w:hint="eastAsia"/>
          <w:lang w:eastAsia="zh-CN"/>
        </w:rPr>
        <w:t>号决议的专门网站，网站可访问</w:t>
      </w:r>
      <w:r w:rsidR="001D5735" w:rsidRPr="001D5735">
        <w:rPr>
          <w:u w:val="single"/>
          <w:lang w:eastAsia="zh-CN"/>
        </w:rPr>
        <w:fldChar w:fldCharType="begin"/>
      </w:r>
      <w:r w:rsidR="001D5735" w:rsidRPr="001D5735">
        <w:rPr>
          <w:u w:val="single"/>
          <w:lang w:eastAsia="zh-CN"/>
        </w:rPr>
        <w:instrText xml:space="preserve"> </w:instrText>
      </w:r>
      <w:r w:rsidR="001D5735" w:rsidRPr="001D5735">
        <w:rPr>
          <w:rFonts w:hint="eastAsia"/>
          <w:u w:val="single"/>
          <w:lang w:eastAsia="zh-CN"/>
        </w:rPr>
        <w:instrText>HYPERLINK "https://www.itu.int/en/ITU-D/Regional-Presence/Europe/Pages/Projects/2022/Council%20Resolution%20on%20Ukraine%20-%20Coordination%20and%20Implementation/Council-Resolution-on-Ukraine---Coordination-and-Implementation.aspx"</w:instrText>
      </w:r>
      <w:r w:rsidR="001D5735" w:rsidRPr="001D5735">
        <w:rPr>
          <w:u w:val="single"/>
          <w:lang w:eastAsia="zh-CN"/>
        </w:rPr>
        <w:instrText xml:space="preserve"> </w:instrText>
      </w:r>
      <w:r w:rsidR="001D5735" w:rsidRPr="001D5735">
        <w:rPr>
          <w:u w:val="single"/>
          <w:lang w:eastAsia="zh-CN"/>
        </w:rPr>
      </w:r>
      <w:r w:rsidR="001D5735" w:rsidRPr="001D5735">
        <w:rPr>
          <w:u w:val="single"/>
          <w:lang w:eastAsia="zh-CN"/>
        </w:rPr>
        <w:fldChar w:fldCharType="separate"/>
      </w:r>
      <w:r w:rsidRPr="001D5735">
        <w:rPr>
          <w:rStyle w:val="Hyperlink"/>
          <w:rFonts w:eastAsia="SimSun" w:hint="eastAsia"/>
          <w:noProof w:val="0"/>
          <w:u w:val="single"/>
          <w:lang w:eastAsia="zh-CN"/>
        </w:rPr>
        <w:t>此处</w:t>
      </w:r>
      <w:r w:rsidR="001D5735" w:rsidRPr="001D5735">
        <w:rPr>
          <w:u w:val="single"/>
          <w:lang w:eastAsia="zh-CN"/>
        </w:rPr>
        <w:fldChar w:fldCharType="end"/>
      </w:r>
      <w:r>
        <w:rPr>
          <w:rFonts w:hint="eastAsia"/>
          <w:lang w:eastAsia="zh-CN"/>
        </w:rPr>
        <w:t>。</w:t>
      </w:r>
    </w:p>
    <w:p w14:paraId="6E8553F1" w14:textId="77777777" w:rsidR="00CC6EEA" w:rsidRDefault="00CC6EEA" w:rsidP="00732D04">
      <w:pPr>
        <w:ind w:firstLineChars="200" w:firstLine="480"/>
        <w:jc w:val="both"/>
        <w:rPr>
          <w:lang w:eastAsia="zh-CN"/>
        </w:rPr>
      </w:pPr>
      <w:r>
        <w:rPr>
          <w:rFonts w:hint="eastAsia"/>
          <w:lang w:eastAsia="zh-CN"/>
        </w:rPr>
        <w:t>作为联合国（</w:t>
      </w:r>
      <w:r>
        <w:rPr>
          <w:rFonts w:hint="eastAsia"/>
          <w:lang w:eastAsia="zh-CN"/>
        </w:rPr>
        <w:t>UN</w:t>
      </w:r>
      <w:r>
        <w:rPr>
          <w:rFonts w:hint="eastAsia"/>
          <w:lang w:eastAsia="zh-CN"/>
        </w:rPr>
        <w:t>）的数字技术机构，国际电联在欧盟委员会、世界银行和联合国的协助下，继续为</w:t>
      </w:r>
      <w:r w:rsidRPr="00CC6EEA">
        <w:rPr>
          <w:rFonts w:hint="eastAsia"/>
          <w:b/>
          <w:bCs/>
          <w:lang w:eastAsia="zh-CN"/>
        </w:rPr>
        <w:t>《快速损害和需求评估报告》（</w:t>
      </w:r>
      <w:r w:rsidRPr="00CC6EEA">
        <w:rPr>
          <w:rFonts w:hint="eastAsia"/>
          <w:b/>
          <w:bCs/>
          <w:lang w:eastAsia="zh-CN"/>
        </w:rPr>
        <w:t>RDNA</w:t>
      </w:r>
      <w:r w:rsidRPr="00CC6EEA">
        <w:rPr>
          <w:rFonts w:hint="eastAsia"/>
          <w:b/>
          <w:bCs/>
          <w:lang w:eastAsia="zh-CN"/>
        </w:rPr>
        <w:t>）</w:t>
      </w:r>
      <w:r>
        <w:rPr>
          <w:rFonts w:hint="eastAsia"/>
          <w:lang w:eastAsia="zh-CN"/>
        </w:rPr>
        <w:t>的定期编制工作做出贡献。国际电联的输入意见主要集中在《电信、数字和媒体》一章。第</w:t>
      </w:r>
      <w:r>
        <w:rPr>
          <w:rFonts w:hint="eastAsia"/>
          <w:lang w:eastAsia="zh-CN"/>
        </w:rPr>
        <w:t>5</w:t>
      </w:r>
      <w:r>
        <w:rPr>
          <w:rFonts w:hint="eastAsia"/>
          <w:lang w:eastAsia="zh-CN"/>
        </w:rPr>
        <w:t>版</w:t>
      </w:r>
      <w:r>
        <w:rPr>
          <w:rFonts w:hint="eastAsia"/>
          <w:lang w:eastAsia="zh-CN"/>
        </w:rPr>
        <w:t>RDNA</w:t>
      </w:r>
      <w:r>
        <w:rPr>
          <w:rFonts w:hint="eastAsia"/>
          <w:lang w:eastAsia="zh-CN"/>
        </w:rPr>
        <w:t>于</w:t>
      </w:r>
      <w:r>
        <w:rPr>
          <w:rFonts w:hint="eastAsia"/>
          <w:lang w:eastAsia="zh-CN"/>
        </w:rPr>
        <w:t>2026</w:t>
      </w:r>
      <w:r>
        <w:rPr>
          <w:rFonts w:hint="eastAsia"/>
          <w:lang w:eastAsia="zh-CN"/>
        </w:rPr>
        <w:t>年</w:t>
      </w:r>
      <w:r>
        <w:rPr>
          <w:rFonts w:hint="eastAsia"/>
          <w:lang w:eastAsia="zh-CN"/>
        </w:rPr>
        <w:t>2</w:t>
      </w:r>
      <w:r>
        <w:rPr>
          <w:rFonts w:hint="eastAsia"/>
          <w:lang w:eastAsia="zh-CN"/>
        </w:rPr>
        <w:t>月</w:t>
      </w:r>
      <w:r>
        <w:rPr>
          <w:rFonts w:hint="eastAsia"/>
          <w:lang w:eastAsia="zh-CN"/>
        </w:rPr>
        <w:t>23</w:t>
      </w:r>
      <w:r>
        <w:rPr>
          <w:rFonts w:hint="eastAsia"/>
          <w:lang w:eastAsia="zh-CN"/>
        </w:rPr>
        <w:t>日发布，作为国际捐助界协助乌克兰重建进程的指导文件。</w:t>
      </w:r>
    </w:p>
    <w:p w14:paraId="0BF23000" w14:textId="77777777" w:rsidR="00CC6EEA" w:rsidRPr="00732D04" w:rsidRDefault="00CC6EEA" w:rsidP="00732D04">
      <w:pPr>
        <w:ind w:firstLineChars="200" w:firstLine="472"/>
        <w:jc w:val="both"/>
        <w:rPr>
          <w:spacing w:val="-2"/>
          <w:lang w:eastAsia="zh-CN"/>
        </w:rPr>
      </w:pPr>
      <w:r w:rsidRPr="00732D04">
        <w:rPr>
          <w:rFonts w:hint="eastAsia"/>
          <w:spacing w:val="-2"/>
          <w:lang w:eastAsia="zh-CN"/>
        </w:rPr>
        <w:t>截至</w:t>
      </w:r>
      <w:r w:rsidRPr="00732D04">
        <w:rPr>
          <w:rFonts w:hint="eastAsia"/>
          <w:spacing w:val="-2"/>
          <w:lang w:eastAsia="zh-CN"/>
        </w:rPr>
        <w:t>2025</w:t>
      </w:r>
      <w:r w:rsidRPr="00732D04">
        <w:rPr>
          <w:rFonts w:hint="eastAsia"/>
          <w:spacing w:val="-2"/>
          <w:lang w:eastAsia="zh-CN"/>
        </w:rPr>
        <w:t>年</w:t>
      </w:r>
      <w:r w:rsidRPr="00732D04">
        <w:rPr>
          <w:rFonts w:hint="eastAsia"/>
          <w:spacing w:val="-2"/>
          <w:lang w:eastAsia="zh-CN"/>
        </w:rPr>
        <w:t>12</w:t>
      </w:r>
      <w:r w:rsidRPr="00732D04">
        <w:rPr>
          <w:rFonts w:hint="eastAsia"/>
          <w:spacing w:val="-2"/>
          <w:lang w:eastAsia="zh-CN"/>
        </w:rPr>
        <w:t>月</w:t>
      </w:r>
      <w:r w:rsidRPr="00732D04">
        <w:rPr>
          <w:rFonts w:hint="eastAsia"/>
          <w:spacing w:val="-2"/>
          <w:lang w:eastAsia="zh-CN"/>
        </w:rPr>
        <w:t>31</w:t>
      </w:r>
      <w:r w:rsidRPr="00732D04">
        <w:rPr>
          <w:rFonts w:hint="eastAsia"/>
          <w:spacing w:val="-2"/>
          <w:lang w:eastAsia="zh-CN"/>
        </w:rPr>
        <w:t>日，电信、数字和媒体行业遭受的总体影响估计为</w:t>
      </w:r>
      <w:r w:rsidRPr="00732D04">
        <w:rPr>
          <w:rFonts w:hint="eastAsia"/>
          <w:spacing w:val="-2"/>
          <w:lang w:eastAsia="zh-CN"/>
        </w:rPr>
        <w:t>24.8</w:t>
      </w:r>
      <w:r w:rsidRPr="00732D04">
        <w:rPr>
          <w:rFonts w:hint="eastAsia"/>
          <w:spacing w:val="-2"/>
          <w:lang w:eastAsia="zh-CN"/>
        </w:rPr>
        <w:t>亿美元，损失估计为</w:t>
      </w:r>
      <w:r w:rsidRPr="00732D04">
        <w:rPr>
          <w:rFonts w:hint="eastAsia"/>
          <w:spacing w:val="-2"/>
          <w:lang w:eastAsia="zh-CN"/>
        </w:rPr>
        <w:t>26.9</w:t>
      </w:r>
      <w:r w:rsidRPr="00732D04">
        <w:rPr>
          <w:rFonts w:hint="eastAsia"/>
          <w:spacing w:val="-2"/>
          <w:lang w:eastAsia="zh-CN"/>
        </w:rPr>
        <w:t>亿美元。受损范围涵盖移动和固定宽带网络、邮政设施、广播基础设施以及媒体。损失包括私营运营商和邮政服务提供商损失的收入、因维修导致的运营成本增加，以及备用发电机产生的额外成本。损失主要由私营部门承担，其承担了总损失的</w:t>
      </w:r>
      <w:r w:rsidRPr="00732D04">
        <w:rPr>
          <w:rFonts w:hint="eastAsia"/>
          <w:spacing w:val="-2"/>
          <w:lang w:eastAsia="zh-CN"/>
        </w:rPr>
        <w:t>90%</w:t>
      </w:r>
      <w:r w:rsidRPr="00732D04">
        <w:rPr>
          <w:rFonts w:hint="eastAsia"/>
          <w:spacing w:val="-2"/>
          <w:lang w:eastAsia="zh-CN"/>
        </w:rPr>
        <w:t>以上；公共资产的损失主要限于广播基础设施及部分邮政设施。固定宽带和移动网络占总损害的约</w:t>
      </w:r>
      <w:r w:rsidRPr="00732D04">
        <w:rPr>
          <w:rFonts w:hint="eastAsia"/>
          <w:spacing w:val="-2"/>
          <w:lang w:eastAsia="zh-CN"/>
        </w:rPr>
        <w:t>85%</w:t>
      </w:r>
      <w:r w:rsidRPr="00732D04">
        <w:rPr>
          <w:rFonts w:hint="eastAsia"/>
          <w:spacing w:val="-2"/>
          <w:lang w:eastAsia="zh-CN"/>
        </w:rPr>
        <w:t>。不断攀升的死亡人数对该行业的身心健康产生了不利影响。</w:t>
      </w:r>
    </w:p>
    <w:p w14:paraId="4A09018C" w14:textId="46011668" w:rsidR="00CC6EEA" w:rsidRDefault="00CC6EEA" w:rsidP="00732D04">
      <w:pPr>
        <w:ind w:firstLineChars="200" w:firstLine="480"/>
        <w:jc w:val="both"/>
        <w:rPr>
          <w:lang w:eastAsia="zh-CN"/>
        </w:rPr>
      </w:pPr>
      <w:r>
        <w:rPr>
          <w:rFonts w:hint="eastAsia"/>
          <w:lang w:eastAsia="zh-CN"/>
        </w:rPr>
        <w:t>据估计，</w:t>
      </w:r>
      <w:r>
        <w:rPr>
          <w:rFonts w:hint="eastAsia"/>
          <w:lang w:eastAsia="zh-CN"/>
        </w:rPr>
        <w:t>2026</w:t>
      </w:r>
      <w:r>
        <w:rPr>
          <w:rFonts w:hint="eastAsia"/>
          <w:lang w:eastAsia="zh-CN"/>
        </w:rPr>
        <w:t>年至</w:t>
      </w:r>
      <w:r>
        <w:rPr>
          <w:rFonts w:hint="eastAsia"/>
          <w:lang w:eastAsia="zh-CN"/>
        </w:rPr>
        <w:t>2036</w:t>
      </w:r>
      <w:r>
        <w:rPr>
          <w:rFonts w:hint="eastAsia"/>
          <w:lang w:eastAsia="zh-CN"/>
        </w:rPr>
        <w:t>年间该领域的重建和恢复总需求为</w:t>
      </w:r>
      <w:r>
        <w:rPr>
          <w:rFonts w:hint="eastAsia"/>
          <w:lang w:eastAsia="zh-CN"/>
        </w:rPr>
        <w:t>71</w:t>
      </w:r>
      <w:r>
        <w:rPr>
          <w:rFonts w:hint="eastAsia"/>
          <w:lang w:eastAsia="zh-CN"/>
        </w:rPr>
        <w:t>亿美元，与</w:t>
      </w:r>
      <w:r>
        <w:rPr>
          <w:rFonts w:hint="eastAsia"/>
          <w:lang w:eastAsia="zh-CN"/>
        </w:rPr>
        <w:t>RDNA4</w:t>
      </w:r>
      <w:r>
        <w:rPr>
          <w:rFonts w:hint="eastAsia"/>
          <w:lang w:eastAsia="zh-CN"/>
        </w:rPr>
        <w:t>相比增加了</w:t>
      </w:r>
      <w:r>
        <w:rPr>
          <w:rFonts w:hint="eastAsia"/>
          <w:lang w:eastAsia="zh-CN"/>
        </w:rPr>
        <w:t>21%</w:t>
      </w:r>
      <w:r>
        <w:rPr>
          <w:rFonts w:hint="eastAsia"/>
          <w:lang w:eastAsia="zh-CN"/>
        </w:rPr>
        <w:t>。</w:t>
      </w:r>
    </w:p>
    <w:p w14:paraId="7D673600" w14:textId="77777777" w:rsidR="00CC6EEA" w:rsidRDefault="00CC6EEA" w:rsidP="00732D04">
      <w:pPr>
        <w:pStyle w:val="Heading1"/>
        <w:rPr>
          <w:lang w:eastAsia="zh-CN"/>
        </w:rPr>
      </w:pPr>
      <w:r>
        <w:rPr>
          <w:rFonts w:hint="eastAsia"/>
          <w:lang w:eastAsia="zh-CN"/>
        </w:rPr>
        <w:t>3</w:t>
      </w:r>
      <w:r>
        <w:rPr>
          <w:rFonts w:hint="eastAsia"/>
          <w:lang w:eastAsia="zh-CN"/>
        </w:rPr>
        <w:tab/>
      </w:r>
      <w:r>
        <w:rPr>
          <w:rFonts w:hint="eastAsia"/>
          <w:lang w:eastAsia="zh-CN"/>
        </w:rPr>
        <w:t>协调机制推动有效落实</w:t>
      </w:r>
    </w:p>
    <w:p w14:paraId="7B8F9C1A" w14:textId="77777777" w:rsidR="00CC6EEA" w:rsidRDefault="00CC6EEA" w:rsidP="00732D04">
      <w:pPr>
        <w:ind w:firstLineChars="200" w:firstLine="480"/>
        <w:jc w:val="both"/>
        <w:rPr>
          <w:lang w:eastAsia="zh-CN"/>
        </w:rPr>
      </w:pPr>
      <w:r>
        <w:rPr>
          <w:rFonts w:hint="eastAsia"/>
          <w:lang w:eastAsia="zh-CN"/>
        </w:rPr>
        <w:t>在国际电联层面，由副秘书长担任主席并由国际电联欧洲区域代表处提供服务的</w:t>
      </w:r>
      <w:r w:rsidRPr="006D5204">
        <w:rPr>
          <w:rFonts w:hint="eastAsia"/>
          <w:b/>
          <w:bCs/>
          <w:lang w:eastAsia="zh-CN"/>
        </w:rPr>
        <w:t>第</w:t>
      </w:r>
      <w:r w:rsidRPr="006D5204">
        <w:rPr>
          <w:rFonts w:hint="eastAsia"/>
          <w:b/>
          <w:bCs/>
          <w:lang w:eastAsia="zh-CN"/>
        </w:rPr>
        <w:t>1408</w:t>
      </w:r>
      <w:r w:rsidRPr="006D5204">
        <w:rPr>
          <w:rFonts w:hint="eastAsia"/>
          <w:b/>
          <w:bCs/>
          <w:lang w:eastAsia="zh-CN"/>
        </w:rPr>
        <w:t>号决议特别任务组</w:t>
      </w:r>
      <w:r>
        <w:rPr>
          <w:rFonts w:hint="eastAsia"/>
          <w:lang w:eastAsia="zh-CN"/>
        </w:rPr>
        <w:t>继续为跨部门应对与落实该决议相关的所有问题提供平台。</w:t>
      </w:r>
    </w:p>
    <w:p w14:paraId="4F648642" w14:textId="77777777" w:rsidR="00CC6EEA" w:rsidRDefault="00CC6EEA" w:rsidP="00732D04">
      <w:pPr>
        <w:ind w:firstLineChars="200" w:firstLine="480"/>
        <w:jc w:val="both"/>
        <w:rPr>
          <w:lang w:eastAsia="zh-CN"/>
        </w:rPr>
      </w:pPr>
      <w:r>
        <w:rPr>
          <w:rFonts w:hint="eastAsia"/>
          <w:lang w:eastAsia="zh-CN"/>
        </w:rPr>
        <w:t>为确保国际电联针对第</w:t>
      </w:r>
      <w:r>
        <w:rPr>
          <w:rFonts w:hint="eastAsia"/>
          <w:lang w:eastAsia="zh-CN"/>
        </w:rPr>
        <w:t>1408</w:t>
      </w:r>
      <w:r>
        <w:rPr>
          <w:rFonts w:hint="eastAsia"/>
          <w:lang w:eastAsia="zh-CN"/>
        </w:rPr>
        <w:t>号决议开展的活动具有协调一致性，现已建立如下一系列协调机制：</w:t>
      </w:r>
    </w:p>
    <w:p w14:paraId="5E7F72B5" w14:textId="7D992FB2" w:rsidR="00CC6EEA" w:rsidRDefault="00CC6EEA" w:rsidP="00732D04">
      <w:pPr>
        <w:pStyle w:val="enumlev1"/>
        <w:jc w:val="both"/>
        <w:rPr>
          <w:lang w:eastAsia="zh-CN"/>
        </w:rPr>
      </w:pPr>
      <w:r>
        <w:rPr>
          <w:lang w:eastAsia="zh-CN"/>
        </w:rPr>
        <w:t>–</w:t>
      </w:r>
      <w:r>
        <w:rPr>
          <w:rFonts w:hint="eastAsia"/>
          <w:lang w:eastAsia="zh-CN"/>
        </w:rPr>
        <w:tab/>
      </w:r>
      <w:r>
        <w:rPr>
          <w:rFonts w:hint="eastAsia"/>
          <w:lang w:eastAsia="zh-CN"/>
        </w:rPr>
        <w:t>国际电联定期与作为国际电联成员国主管部门的</w:t>
      </w:r>
      <w:r w:rsidRPr="006D5204">
        <w:rPr>
          <w:rFonts w:hint="eastAsia"/>
          <w:b/>
          <w:bCs/>
          <w:lang w:eastAsia="zh-CN"/>
        </w:rPr>
        <w:t>乌克兰数字化转型部</w:t>
      </w:r>
      <w:r>
        <w:rPr>
          <w:rFonts w:hint="eastAsia"/>
          <w:lang w:eastAsia="zh-CN"/>
        </w:rPr>
        <w:t>的官方联系人进行协调通话。此外，国际电联继续按需与以下机构合作：国家特殊通信和信息保护局（</w:t>
      </w:r>
      <w:r>
        <w:rPr>
          <w:rFonts w:hint="eastAsia"/>
          <w:lang w:eastAsia="zh-CN"/>
        </w:rPr>
        <w:t>SSSICP</w:t>
      </w:r>
      <w:r>
        <w:rPr>
          <w:rFonts w:hint="eastAsia"/>
          <w:lang w:eastAsia="zh-CN"/>
        </w:rPr>
        <w:t>），广播、无线电通信和电视问题部门，以及国家电子通信、无线电频谱和邮政服务监管委员会。</w:t>
      </w:r>
    </w:p>
    <w:p w14:paraId="5A6076B3" w14:textId="34B5B709" w:rsidR="00CC6EEA" w:rsidRDefault="00CC6EEA" w:rsidP="00732D04">
      <w:pPr>
        <w:pStyle w:val="enumlev1"/>
        <w:jc w:val="both"/>
        <w:rPr>
          <w:lang w:eastAsia="zh-CN"/>
        </w:rPr>
      </w:pPr>
      <w:r>
        <w:rPr>
          <w:lang w:eastAsia="zh-CN"/>
        </w:rPr>
        <w:t>–</w:t>
      </w:r>
      <w:r>
        <w:rPr>
          <w:rFonts w:hint="eastAsia"/>
          <w:lang w:eastAsia="zh-CN"/>
        </w:rPr>
        <w:tab/>
      </w:r>
      <w:r>
        <w:rPr>
          <w:rFonts w:hint="eastAsia"/>
          <w:lang w:eastAsia="zh-CN"/>
        </w:rPr>
        <w:t>作为</w:t>
      </w:r>
      <w:r w:rsidRPr="006D5204">
        <w:rPr>
          <w:rFonts w:hint="eastAsia"/>
          <w:b/>
          <w:bCs/>
          <w:lang w:eastAsia="zh-CN"/>
        </w:rPr>
        <w:t>联合国国家工作队</w:t>
      </w:r>
      <w:r>
        <w:rPr>
          <w:rFonts w:hint="eastAsia"/>
          <w:lang w:eastAsia="zh-CN"/>
        </w:rPr>
        <w:t>的成员，国际电联持续与联合国系统协调其所有行动。国际电联为制定《</w:t>
      </w:r>
      <w:r>
        <w:rPr>
          <w:rFonts w:hint="eastAsia"/>
          <w:lang w:eastAsia="zh-CN"/>
        </w:rPr>
        <w:t>2025-2029</w:t>
      </w:r>
      <w:r>
        <w:rPr>
          <w:rFonts w:hint="eastAsia"/>
          <w:lang w:eastAsia="zh-CN"/>
        </w:rPr>
        <w:t>年联合国可持续发展合作框架》做出了贡献，并已签署该框架。</w:t>
      </w:r>
    </w:p>
    <w:p w14:paraId="41B68EEA" w14:textId="1E373DFC" w:rsidR="00CC6EEA" w:rsidRDefault="00CC6EEA" w:rsidP="00732D04">
      <w:pPr>
        <w:pStyle w:val="enumlev1"/>
        <w:jc w:val="both"/>
        <w:rPr>
          <w:lang w:eastAsia="zh-CN"/>
        </w:rPr>
      </w:pPr>
      <w:r>
        <w:rPr>
          <w:lang w:eastAsia="zh-CN"/>
        </w:rPr>
        <w:t>–</w:t>
      </w:r>
      <w:r>
        <w:rPr>
          <w:rFonts w:hint="eastAsia"/>
          <w:lang w:eastAsia="zh-CN"/>
        </w:rPr>
        <w:tab/>
      </w:r>
      <w:r>
        <w:rPr>
          <w:rFonts w:hint="eastAsia"/>
          <w:lang w:eastAsia="zh-CN"/>
        </w:rPr>
        <w:t>国际电联就其在</w:t>
      </w:r>
      <w:r>
        <w:rPr>
          <w:rFonts w:hint="eastAsia"/>
          <w:lang w:eastAsia="zh-CN"/>
        </w:rPr>
        <w:t>ICT</w:t>
      </w:r>
      <w:r>
        <w:rPr>
          <w:rFonts w:hint="eastAsia"/>
          <w:lang w:eastAsia="zh-CN"/>
        </w:rPr>
        <w:t>和广播基础设施重建、</w:t>
      </w:r>
      <w:r>
        <w:rPr>
          <w:rFonts w:hint="eastAsia"/>
          <w:lang w:eastAsia="zh-CN"/>
        </w:rPr>
        <w:t>5G</w:t>
      </w:r>
      <w:r>
        <w:rPr>
          <w:rFonts w:hint="eastAsia"/>
          <w:lang w:eastAsia="zh-CN"/>
        </w:rPr>
        <w:t>基础设施部署以及电子通信领域正在开展和计划开展的活动，与</w:t>
      </w:r>
      <w:r w:rsidRPr="006D5204">
        <w:rPr>
          <w:rFonts w:hint="eastAsia"/>
          <w:b/>
          <w:bCs/>
          <w:lang w:eastAsia="zh-CN"/>
        </w:rPr>
        <w:t>欧盟委员会</w:t>
      </w:r>
      <w:r>
        <w:rPr>
          <w:rFonts w:hint="eastAsia"/>
          <w:lang w:eastAsia="zh-CN"/>
        </w:rPr>
        <w:t>定期进行协调。如下文所述，国际电联与乌克兰主管部门协调，目前正在筹备下一期</w:t>
      </w:r>
      <w:r>
        <w:rPr>
          <w:rFonts w:hint="eastAsia"/>
          <w:lang w:eastAsia="zh-CN"/>
        </w:rPr>
        <w:t>TAIEX</w:t>
      </w:r>
      <w:r>
        <w:rPr>
          <w:rFonts w:hint="eastAsia"/>
          <w:lang w:eastAsia="zh-CN"/>
        </w:rPr>
        <w:t>讲习班，以此延续</w:t>
      </w:r>
      <w:r>
        <w:rPr>
          <w:rFonts w:hint="eastAsia"/>
          <w:lang w:eastAsia="zh-CN"/>
        </w:rPr>
        <w:t>2024</w:t>
      </w:r>
      <w:r>
        <w:rPr>
          <w:rFonts w:hint="eastAsia"/>
          <w:lang w:eastAsia="zh-CN"/>
        </w:rPr>
        <w:t>年</w:t>
      </w:r>
      <w:r>
        <w:rPr>
          <w:rFonts w:hint="eastAsia"/>
          <w:lang w:eastAsia="zh-CN"/>
        </w:rPr>
        <w:t>12</w:t>
      </w:r>
      <w:r>
        <w:rPr>
          <w:rFonts w:hint="eastAsia"/>
          <w:lang w:eastAsia="zh-CN"/>
        </w:rPr>
        <w:t>月举办的首次国际电联</w:t>
      </w:r>
      <w:r>
        <w:rPr>
          <w:rFonts w:hint="eastAsia"/>
          <w:lang w:eastAsia="zh-CN"/>
        </w:rPr>
        <w:t>-</w:t>
      </w:r>
      <w:r>
        <w:rPr>
          <w:rFonts w:hint="eastAsia"/>
          <w:lang w:eastAsia="zh-CN"/>
        </w:rPr>
        <w:t>欧盟</w:t>
      </w:r>
      <w:r>
        <w:rPr>
          <w:rFonts w:hint="eastAsia"/>
          <w:lang w:eastAsia="zh-CN"/>
        </w:rPr>
        <w:t>TAIEX</w:t>
      </w:r>
      <w:r>
        <w:rPr>
          <w:rFonts w:hint="eastAsia"/>
          <w:lang w:eastAsia="zh-CN"/>
        </w:rPr>
        <w:t>联合讲习班所积累的积极经验。</w:t>
      </w:r>
    </w:p>
    <w:p w14:paraId="13957157" w14:textId="00E77BAA" w:rsidR="00CC6EEA" w:rsidRDefault="00CC6EEA" w:rsidP="00732D04">
      <w:pPr>
        <w:pStyle w:val="enumlev1"/>
        <w:jc w:val="both"/>
        <w:rPr>
          <w:lang w:eastAsia="zh-CN"/>
        </w:rPr>
      </w:pPr>
      <w:r>
        <w:rPr>
          <w:lang w:eastAsia="zh-CN"/>
        </w:rPr>
        <w:t>–</w:t>
      </w:r>
      <w:r>
        <w:rPr>
          <w:rFonts w:hint="eastAsia"/>
          <w:lang w:eastAsia="zh-CN"/>
        </w:rPr>
        <w:tab/>
      </w:r>
      <w:r>
        <w:rPr>
          <w:rFonts w:hint="eastAsia"/>
          <w:lang w:eastAsia="zh-CN"/>
        </w:rPr>
        <w:t>继每年积极参加</w:t>
      </w:r>
      <w:r w:rsidRPr="006D5204">
        <w:rPr>
          <w:rFonts w:hint="eastAsia"/>
          <w:b/>
          <w:bCs/>
          <w:lang w:eastAsia="zh-CN"/>
        </w:rPr>
        <w:t>乌克兰重建大会</w:t>
      </w:r>
      <w:r>
        <w:rPr>
          <w:rFonts w:hint="eastAsia"/>
          <w:lang w:eastAsia="zh-CN"/>
        </w:rPr>
        <w:t>之后，国际电联于</w:t>
      </w:r>
      <w:r>
        <w:rPr>
          <w:rFonts w:hint="eastAsia"/>
          <w:lang w:eastAsia="zh-CN"/>
        </w:rPr>
        <w:t>2025</w:t>
      </w:r>
      <w:r>
        <w:rPr>
          <w:rFonts w:hint="eastAsia"/>
          <w:lang w:eastAsia="zh-CN"/>
        </w:rPr>
        <w:t>年</w:t>
      </w:r>
      <w:r>
        <w:rPr>
          <w:rFonts w:hint="eastAsia"/>
          <w:lang w:eastAsia="zh-CN"/>
        </w:rPr>
        <w:t>7</w:t>
      </w:r>
      <w:r>
        <w:rPr>
          <w:rFonts w:hint="eastAsia"/>
          <w:lang w:eastAsia="zh-CN"/>
        </w:rPr>
        <w:t>月应意大利的邀请为在罗马举行的</w:t>
      </w:r>
      <w:r>
        <w:rPr>
          <w:rFonts w:hint="eastAsia"/>
          <w:lang w:eastAsia="zh-CN"/>
        </w:rPr>
        <w:t>URC</w:t>
      </w:r>
      <w:r>
        <w:rPr>
          <w:rFonts w:hint="eastAsia"/>
          <w:lang w:eastAsia="zh-CN"/>
        </w:rPr>
        <w:t>做出了贡献。国际电联协助组织了主题为“建设电信复原</w:t>
      </w:r>
      <w:r>
        <w:rPr>
          <w:rFonts w:hint="eastAsia"/>
          <w:lang w:eastAsia="zh-CN"/>
        </w:rPr>
        <w:lastRenderedPageBreak/>
        <w:t>力：</w:t>
      </w:r>
      <w:proofErr w:type="gramStart"/>
      <w:r>
        <w:rPr>
          <w:rFonts w:hint="eastAsia"/>
          <w:lang w:eastAsia="zh-CN"/>
        </w:rPr>
        <w:t>乌克兰的战时转型和全球投资伙伴关系”的会外活动</w:t>
      </w:r>
      <w:proofErr w:type="gramEnd"/>
      <w:r>
        <w:rPr>
          <w:rFonts w:hint="eastAsia"/>
          <w:lang w:eastAsia="zh-CN"/>
        </w:rPr>
        <w:t>，乌克兰及其合作伙伴的高级别代表参加了该项活动。此次活动不仅为展示国际电联支持乌克兰所开展的工作提供了契机，同时也致力于寻求有效的合作伙伴关系，以进一步推进国际电联理事会第</w:t>
      </w:r>
      <w:r>
        <w:rPr>
          <w:rFonts w:hint="eastAsia"/>
          <w:lang w:eastAsia="zh-CN"/>
        </w:rPr>
        <w:t>1408</w:t>
      </w:r>
      <w:r>
        <w:rPr>
          <w:rFonts w:hint="eastAsia"/>
          <w:lang w:eastAsia="zh-CN"/>
        </w:rPr>
        <w:t>号决议的落实。目前，国际电联已着手筹备将于</w:t>
      </w:r>
      <w:r>
        <w:rPr>
          <w:rFonts w:hint="eastAsia"/>
          <w:lang w:eastAsia="zh-CN"/>
        </w:rPr>
        <w:t>2026</w:t>
      </w:r>
      <w:r>
        <w:rPr>
          <w:rFonts w:hint="eastAsia"/>
          <w:lang w:eastAsia="zh-CN"/>
        </w:rPr>
        <w:t>年</w:t>
      </w:r>
      <w:r>
        <w:rPr>
          <w:rFonts w:hint="eastAsia"/>
          <w:lang w:eastAsia="zh-CN"/>
        </w:rPr>
        <w:t>7</w:t>
      </w:r>
      <w:proofErr w:type="gramStart"/>
      <w:r>
        <w:rPr>
          <w:rFonts w:hint="eastAsia"/>
          <w:lang w:eastAsia="zh-CN"/>
        </w:rPr>
        <w:t>月在波兰格但斯克举行的“乌克兰重建大会”，</w:t>
      </w:r>
      <w:proofErr w:type="gramEnd"/>
      <w:r>
        <w:rPr>
          <w:rFonts w:hint="eastAsia"/>
          <w:lang w:eastAsia="zh-CN"/>
        </w:rPr>
        <w:t>以期为该会议作出贡献。</w:t>
      </w:r>
    </w:p>
    <w:p w14:paraId="32C580BA" w14:textId="24D8360C" w:rsidR="00CC6EEA" w:rsidRDefault="00CC6EEA" w:rsidP="00732D04">
      <w:pPr>
        <w:pStyle w:val="enumlev1"/>
        <w:jc w:val="both"/>
        <w:rPr>
          <w:lang w:eastAsia="zh-CN"/>
        </w:rPr>
      </w:pPr>
      <w:r>
        <w:rPr>
          <w:lang w:eastAsia="zh-CN"/>
        </w:rPr>
        <w:t>–</w:t>
      </w:r>
      <w:r>
        <w:rPr>
          <w:rFonts w:hint="eastAsia"/>
          <w:lang w:eastAsia="zh-CN"/>
        </w:rPr>
        <w:tab/>
      </w:r>
      <w:r>
        <w:rPr>
          <w:rFonts w:hint="eastAsia"/>
          <w:lang w:eastAsia="zh-CN"/>
        </w:rPr>
        <w:t>为加强人员能力，国际电联继续与学术成员，特别是</w:t>
      </w:r>
      <w:r w:rsidRPr="006D5204">
        <w:rPr>
          <w:rFonts w:hint="eastAsia"/>
          <w:b/>
          <w:bCs/>
          <w:lang w:eastAsia="zh-CN"/>
        </w:rPr>
        <w:t>乌克兰国立信息通信技术大学（</w:t>
      </w:r>
      <w:r w:rsidRPr="006D5204">
        <w:rPr>
          <w:rFonts w:hint="eastAsia"/>
          <w:b/>
          <w:bCs/>
          <w:lang w:eastAsia="zh-CN"/>
        </w:rPr>
        <w:t>SUICT</w:t>
      </w:r>
      <w:r w:rsidRPr="006D5204">
        <w:rPr>
          <w:rFonts w:hint="eastAsia"/>
          <w:b/>
          <w:bCs/>
          <w:lang w:eastAsia="zh-CN"/>
        </w:rPr>
        <w:t>）</w:t>
      </w:r>
      <w:r>
        <w:rPr>
          <w:rFonts w:hint="eastAsia"/>
          <w:lang w:eastAsia="zh-CN"/>
        </w:rPr>
        <w:t>开展合作。</w:t>
      </w:r>
      <w:r>
        <w:rPr>
          <w:rFonts w:hint="eastAsia"/>
          <w:lang w:eastAsia="zh-CN"/>
        </w:rPr>
        <w:t>2025</w:t>
      </w:r>
      <w:r>
        <w:rPr>
          <w:rFonts w:hint="eastAsia"/>
          <w:lang w:eastAsia="zh-CN"/>
        </w:rPr>
        <w:t>年</w:t>
      </w:r>
      <w:r>
        <w:rPr>
          <w:rFonts w:hint="eastAsia"/>
          <w:lang w:eastAsia="zh-CN"/>
        </w:rPr>
        <w:t>11</w:t>
      </w:r>
      <w:r>
        <w:rPr>
          <w:rFonts w:hint="eastAsia"/>
          <w:lang w:eastAsia="zh-CN"/>
        </w:rPr>
        <w:t>月，</w:t>
      </w:r>
      <w:proofErr w:type="gramStart"/>
      <w:r>
        <w:rPr>
          <w:rFonts w:hint="eastAsia"/>
          <w:lang w:eastAsia="zh-CN"/>
        </w:rPr>
        <w:t>国际电联支持并协助组织了“</w:t>
      </w:r>
      <w:proofErr w:type="gramEnd"/>
      <w:r>
        <w:rPr>
          <w:rFonts w:hint="eastAsia"/>
          <w:lang w:eastAsia="zh-CN"/>
        </w:rPr>
        <w:t>数字化转型：</w:t>
      </w:r>
      <w:proofErr w:type="gramStart"/>
      <w:r>
        <w:rPr>
          <w:rFonts w:hint="eastAsia"/>
          <w:lang w:eastAsia="zh-CN"/>
        </w:rPr>
        <w:t>加强现代世界的网络安全能力”国际科学与实践大会</w:t>
      </w:r>
      <w:proofErr w:type="gramEnd"/>
      <w:r>
        <w:rPr>
          <w:rFonts w:hint="eastAsia"/>
          <w:lang w:eastAsia="zh-CN"/>
        </w:rPr>
        <w:t>（</w:t>
      </w:r>
      <w:r>
        <w:rPr>
          <w:rFonts w:hint="eastAsia"/>
          <w:lang w:eastAsia="zh-CN"/>
        </w:rPr>
        <w:t>2025</w:t>
      </w:r>
      <w:r>
        <w:rPr>
          <w:rFonts w:hint="eastAsia"/>
          <w:lang w:eastAsia="zh-CN"/>
        </w:rPr>
        <w:t>年</w:t>
      </w:r>
      <w:r>
        <w:rPr>
          <w:rFonts w:hint="eastAsia"/>
          <w:lang w:eastAsia="zh-CN"/>
        </w:rPr>
        <w:t>11</w:t>
      </w:r>
      <w:r>
        <w:rPr>
          <w:rFonts w:hint="eastAsia"/>
          <w:lang w:eastAsia="zh-CN"/>
        </w:rPr>
        <w:t>月</w:t>
      </w:r>
      <w:r>
        <w:rPr>
          <w:rFonts w:hint="eastAsia"/>
          <w:lang w:eastAsia="zh-CN"/>
        </w:rPr>
        <w:t>4</w:t>
      </w:r>
      <w:r>
        <w:rPr>
          <w:rFonts w:hint="eastAsia"/>
          <w:lang w:eastAsia="zh-CN"/>
        </w:rPr>
        <w:t>日至</w:t>
      </w:r>
      <w:r>
        <w:rPr>
          <w:rFonts w:hint="eastAsia"/>
          <w:lang w:eastAsia="zh-CN"/>
        </w:rPr>
        <w:t>5</w:t>
      </w:r>
      <w:r>
        <w:rPr>
          <w:rFonts w:hint="eastAsia"/>
          <w:lang w:eastAsia="zh-CN"/>
        </w:rPr>
        <w:t>日），该大会由</w:t>
      </w:r>
      <w:r>
        <w:rPr>
          <w:rFonts w:hint="eastAsia"/>
          <w:lang w:eastAsia="zh-CN"/>
        </w:rPr>
        <w:t>SUICT</w:t>
      </w:r>
      <w:r>
        <w:rPr>
          <w:rFonts w:hint="eastAsia"/>
          <w:lang w:eastAsia="zh-CN"/>
        </w:rPr>
        <w:t>和波兰国家教育委员会大学牵头在克拉科夫召开。大会汇聚了</w:t>
      </w:r>
      <w:r>
        <w:rPr>
          <w:rFonts w:hint="eastAsia"/>
          <w:lang w:eastAsia="zh-CN"/>
        </w:rPr>
        <w:t>100</w:t>
      </w:r>
      <w:r>
        <w:rPr>
          <w:rFonts w:hint="eastAsia"/>
          <w:lang w:eastAsia="zh-CN"/>
        </w:rPr>
        <w:t>多名利益攸关方，共同探讨当前网络安全和数字化转型面临的挑战。第二届大会计划于</w:t>
      </w:r>
      <w:r>
        <w:rPr>
          <w:rFonts w:hint="eastAsia"/>
          <w:lang w:eastAsia="zh-CN"/>
        </w:rPr>
        <w:t>2026</w:t>
      </w:r>
      <w:r>
        <w:rPr>
          <w:rFonts w:hint="eastAsia"/>
          <w:lang w:eastAsia="zh-CN"/>
        </w:rPr>
        <w:t>年</w:t>
      </w:r>
      <w:r>
        <w:rPr>
          <w:rFonts w:hint="eastAsia"/>
          <w:lang w:eastAsia="zh-CN"/>
        </w:rPr>
        <w:t>6</w:t>
      </w:r>
      <w:r>
        <w:rPr>
          <w:rFonts w:hint="eastAsia"/>
          <w:lang w:eastAsia="zh-CN"/>
        </w:rPr>
        <w:t>月在土耳其举行，由国际电联提供支持，并由</w:t>
      </w:r>
      <w:r>
        <w:rPr>
          <w:rFonts w:hint="eastAsia"/>
          <w:lang w:eastAsia="zh-CN"/>
        </w:rPr>
        <w:t>SUICT</w:t>
      </w:r>
      <w:r>
        <w:rPr>
          <w:rFonts w:hint="eastAsia"/>
          <w:lang w:eastAsia="zh-CN"/>
        </w:rPr>
        <w:t>与其他学术合作伙伴共同组织。</w:t>
      </w:r>
    </w:p>
    <w:p w14:paraId="11CB3415" w14:textId="77777777" w:rsidR="006D5204" w:rsidRDefault="006D5204" w:rsidP="006D5204">
      <w:pPr>
        <w:pStyle w:val="Heading1"/>
        <w:rPr>
          <w:lang w:eastAsia="zh-CN"/>
        </w:rPr>
      </w:pPr>
      <w:r>
        <w:rPr>
          <w:rFonts w:hint="eastAsia"/>
          <w:lang w:eastAsia="zh-CN"/>
        </w:rPr>
        <w:t>4</w:t>
      </w:r>
      <w:r>
        <w:rPr>
          <w:rFonts w:hint="eastAsia"/>
          <w:lang w:eastAsia="zh-CN"/>
        </w:rPr>
        <w:tab/>
      </w:r>
      <w:r>
        <w:rPr>
          <w:rFonts w:hint="eastAsia"/>
          <w:lang w:eastAsia="zh-CN"/>
        </w:rPr>
        <w:t>技术援助和宣传行动</w:t>
      </w:r>
    </w:p>
    <w:p w14:paraId="3B99B89C" w14:textId="77777777" w:rsidR="006D5204" w:rsidRDefault="006D5204" w:rsidP="00732D04">
      <w:pPr>
        <w:ind w:firstLineChars="200" w:firstLine="480"/>
        <w:jc w:val="both"/>
        <w:rPr>
          <w:lang w:eastAsia="zh-CN"/>
        </w:rPr>
      </w:pPr>
      <w:r>
        <w:rPr>
          <w:rFonts w:hint="eastAsia"/>
          <w:lang w:eastAsia="zh-CN"/>
        </w:rPr>
        <w:t>在与乌克兰数字化转型部举行了一系列协调会议后，基于乌克兰对</w:t>
      </w:r>
      <w:r>
        <w:rPr>
          <w:rFonts w:hint="eastAsia"/>
          <w:lang w:eastAsia="zh-CN"/>
        </w:rPr>
        <w:t>2026</w:t>
      </w:r>
      <w:r>
        <w:rPr>
          <w:rFonts w:hint="eastAsia"/>
          <w:lang w:eastAsia="zh-CN"/>
        </w:rPr>
        <w:t>年欧洲区域发展论坛的贡献，并响应国际电联理事会第</w:t>
      </w:r>
      <w:r>
        <w:rPr>
          <w:rFonts w:hint="eastAsia"/>
          <w:lang w:eastAsia="zh-CN"/>
        </w:rPr>
        <w:t>1408</w:t>
      </w:r>
      <w:r>
        <w:rPr>
          <w:rFonts w:hint="eastAsia"/>
          <w:lang w:eastAsia="zh-CN"/>
        </w:rPr>
        <w:t>号决议的做出决议部分，各方共同确定了一系列潜在项目，作为优先行动和国际支持的重点。如需了解优先项目的详细说明，可提出申请。这一系列优先项目包括以下内容：</w:t>
      </w:r>
    </w:p>
    <w:p w14:paraId="134C0E3E" w14:textId="12364F23" w:rsidR="006D5204" w:rsidRDefault="006D5204" w:rsidP="00732D04">
      <w:pPr>
        <w:pStyle w:val="enumlev1"/>
        <w:jc w:val="both"/>
        <w:rPr>
          <w:lang w:eastAsia="zh-CN"/>
        </w:rPr>
      </w:pPr>
      <w:r>
        <w:rPr>
          <w:lang w:eastAsia="zh-CN"/>
        </w:rPr>
        <w:t>–</w:t>
      </w:r>
      <w:r>
        <w:rPr>
          <w:rFonts w:hint="eastAsia"/>
          <w:lang w:eastAsia="zh-CN"/>
        </w:rPr>
        <w:tab/>
      </w:r>
      <w:r>
        <w:rPr>
          <w:rFonts w:hint="eastAsia"/>
          <w:lang w:eastAsia="zh-CN"/>
        </w:rPr>
        <w:t>提高互联网的无障碍获取，包括将社区连接到固定宽带，并向社会机构（学校和医疗机构）提供稳定、节能和高速的互联网（资金需求：</w:t>
      </w:r>
      <w:r>
        <w:rPr>
          <w:rFonts w:hint="eastAsia"/>
          <w:lang w:eastAsia="zh-CN"/>
        </w:rPr>
        <w:t>3500</w:t>
      </w:r>
      <w:r>
        <w:rPr>
          <w:rFonts w:hint="eastAsia"/>
          <w:lang w:eastAsia="zh-CN"/>
        </w:rPr>
        <w:t>万美元）；</w:t>
      </w:r>
    </w:p>
    <w:p w14:paraId="67CB24A2" w14:textId="3FD7A10A" w:rsidR="006D5204" w:rsidRDefault="006D5204" w:rsidP="00732D04">
      <w:pPr>
        <w:pStyle w:val="enumlev1"/>
        <w:jc w:val="both"/>
        <w:rPr>
          <w:lang w:eastAsia="zh-CN"/>
        </w:rPr>
      </w:pPr>
      <w:r>
        <w:rPr>
          <w:lang w:eastAsia="zh-CN"/>
        </w:rPr>
        <w:t>–</w:t>
      </w:r>
      <w:r>
        <w:rPr>
          <w:rFonts w:hint="eastAsia"/>
          <w:lang w:eastAsia="zh-CN"/>
        </w:rPr>
        <w:tab/>
      </w:r>
      <w:r>
        <w:rPr>
          <w:rFonts w:hint="eastAsia"/>
          <w:lang w:eastAsia="zh-CN"/>
        </w:rPr>
        <w:t>电子通信领域的机构能力建设，包括协调国际技术援助，以及对关键基础设施和监管项目的支持（资金需求：</w:t>
      </w:r>
      <w:r>
        <w:rPr>
          <w:rFonts w:hint="eastAsia"/>
          <w:lang w:eastAsia="zh-CN"/>
        </w:rPr>
        <w:t>100</w:t>
      </w:r>
      <w:r>
        <w:rPr>
          <w:rFonts w:hint="eastAsia"/>
          <w:lang w:eastAsia="zh-CN"/>
        </w:rPr>
        <w:t>万美元）</w:t>
      </w:r>
      <w:r>
        <w:rPr>
          <w:rFonts w:asciiTheme="minorEastAsia" w:eastAsiaTheme="minorEastAsia" w:hAnsiTheme="minorEastAsia"/>
          <w:lang w:val="en-US" w:eastAsia="zh-CN"/>
        </w:rPr>
        <w:t>；</w:t>
      </w:r>
    </w:p>
    <w:p w14:paraId="774938F5" w14:textId="01C9D0BA" w:rsidR="006D5204" w:rsidRDefault="006D5204" w:rsidP="00732D04">
      <w:pPr>
        <w:pStyle w:val="enumlev1"/>
        <w:jc w:val="both"/>
        <w:rPr>
          <w:lang w:eastAsia="zh-CN"/>
        </w:rPr>
      </w:pPr>
      <w:r>
        <w:rPr>
          <w:lang w:eastAsia="zh-CN"/>
        </w:rPr>
        <w:t>–</w:t>
      </w:r>
      <w:r>
        <w:rPr>
          <w:rFonts w:hint="eastAsia"/>
          <w:lang w:eastAsia="zh-CN"/>
        </w:rPr>
        <w:tab/>
      </w:r>
      <w:r>
        <w:rPr>
          <w:rFonts w:hint="eastAsia"/>
          <w:lang w:eastAsia="zh-CN"/>
        </w:rPr>
        <w:t>关于恢复和发展乌克兰电信行业的国际通信（资金需求：</w:t>
      </w:r>
      <w:r>
        <w:rPr>
          <w:rFonts w:hint="eastAsia"/>
          <w:lang w:eastAsia="zh-CN"/>
        </w:rPr>
        <w:t>500 000</w:t>
      </w:r>
      <w:r>
        <w:rPr>
          <w:rFonts w:hint="eastAsia"/>
          <w:lang w:eastAsia="zh-CN"/>
        </w:rPr>
        <w:t>美元）</w:t>
      </w:r>
      <w:r>
        <w:rPr>
          <w:lang w:val="en-US" w:eastAsia="zh-CN"/>
        </w:rPr>
        <w:t>；</w:t>
      </w:r>
    </w:p>
    <w:p w14:paraId="4F1B149A" w14:textId="15FE2563" w:rsidR="006D5204" w:rsidRDefault="006D5204" w:rsidP="00732D04">
      <w:pPr>
        <w:pStyle w:val="enumlev1"/>
        <w:jc w:val="both"/>
        <w:rPr>
          <w:lang w:eastAsia="zh-CN"/>
        </w:rPr>
      </w:pPr>
      <w:r>
        <w:rPr>
          <w:lang w:eastAsia="zh-CN"/>
        </w:rPr>
        <w:t>–</w:t>
      </w:r>
      <w:r>
        <w:rPr>
          <w:rFonts w:hint="eastAsia"/>
          <w:lang w:eastAsia="zh-CN"/>
        </w:rPr>
        <w:tab/>
      </w:r>
      <w:r>
        <w:rPr>
          <w:rFonts w:hint="eastAsia"/>
          <w:lang w:eastAsia="zh-CN"/>
        </w:rPr>
        <w:t>缓解公众对辐射的恐惧及对移动网络基础设施的抵触情绪（资金需求：</w:t>
      </w:r>
      <w:r>
        <w:rPr>
          <w:rFonts w:hint="eastAsia"/>
          <w:lang w:eastAsia="zh-CN"/>
        </w:rPr>
        <w:t>500 000</w:t>
      </w:r>
      <w:r>
        <w:rPr>
          <w:rFonts w:hint="eastAsia"/>
          <w:lang w:eastAsia="zh-CN"/>
        </w:rPr>
        <w:t>美元）</w:t>
      </w:r>
      <w:r>
        <w:rPr>
          <w:lang w:val="en-US" w:eastAsia="zh-CN"/>
        </w:rPr>
        <w:t>；</w:t>
      </w:r>
    </w:p>
    <w:p w14:paraId="5CF22CB0" w14:textId="0EB4ABAB" w:rsidR="006D5204" w:rsidRDefault="006D5204" w:rsidP="00732D04">
      <w:pPr>
        <w:pStyle w:val="enumlev1"/>
        <w:jc w:val="both"/>
        <w:rPr>
          <w:lang w:eastAsia="zh-CN"/>
        </w:rPr>
      </w:pPr>
      <w:r>
        <w:rPr>
          <w:lang w:eastAsia="zh-CN"/>
        </w:rPr>
        <w:t>–</w:t>
      </w:r>
      <w:r>
        <w:rPr>
          <w:rFonts w:hint="eastAsia"/>
          <w:lang w:eastAsia="zh-CN"/>
        </w:rPr>
        <w:tab/>
      </w:r>
      <w:r>
        <w:rPr>
          <w:rFonts w:hint="eastAsia"/>
          <w:lang w:eastAsia="zh-CN"/>
        </w:rPr>
        <w:t>针对中小型电信运营商的支持项目（资金需求：</w:t>
      </w:r>
      <w:r>
        <w:rPr>
          <w:rFonts w:hint="eastAsia"/>
          <w:lang w:eastAsia="zh-CN"/>
        </w:rPr>
        <w:t>5 000</w:t>
      </w:r>
      <w:r>
        <w:rPr>
          <w:rFonts w:hint="eastAsia"/>
          <w:lang w:eastAsia="zh-CN"/>
        </w:rPr>
        <w:t>万美元）</w:t>
      </w:r>
      <w:r>
        <w:rPr>
          <w:lang w:val="en-US" w:eastAsia="zh-CN"/>
        </w:rPr>
        <w:t>；</w:t>
      </w:r>
    </w:p>
    <w:p w14:paraId="51A9467C" w14:textId="2EA0050B" w:rsidR="006D5204" w:rsidRDefault="006D5204" w:rsidP="00732D04">
      <w:pPr>
        <w:pStyle w:val="enumlev1"/>
        <w:jc w:val="both"/>
        <w:rPr>
          <w:lang w:eastAsia="zh-CN"/>
        </w:rPr>
      </w:pPr>
      <w:r>
        <w:rPr>
          <w:lang w:eastAsia="zh-CN"/>
        </w:rPr>
        <w:t>–</w:t>
      </w:r>
      <w:r>
        <w:rPr>
          <w:rFonts w:hint="eastAsia"/>
          <w:lang w:eastAsia="zh-CN"/>
        </w:rPr>
        <w:tab/>
      </w:r>
      <w:r>
        <w:rPr>
          <w:rFonts w:hint="eastAsia"/>
          <w:lang w:eastAsia="zh-CN"/>
        </w:rPr>
        <w:t>吸引一级运营商支持骨干和转接基础设施</w:t>
      </w:r>
      <w:r>
        <w:rPr>
          <w:lang w:val="en-US" w:eastAsia="zh-CN"/>
        </w:rPr>
        <w:t>；</w:t>
      </w:r>
    </w:p>
    <w:p w14:paraId="6601E820" w14:textId="721535F2" w:rsidR="006D5204" w:rsidRDefault="006D5204" w:rsidP="00732D04">
      <w:pPr>
        <w:pStyle w:val="enumlev1"/>
        <w:jc w:val="both"/>
        <w:rPr>
          <w:lang w:eastAsia="zh-CN"/>
        </w:rPr>
      </w:pPr>
      <w:r>
        <w:rPr>
          <w:lang w:eastAsia="zh-CN"/>
        </w:rPr>
        <w:t>–</w:t>
      </w:r>
      <w:r>
        <w:rPr>
          <w:rFonts w:hint="eastAsia"/>
          <w:lang w:eastAsia="zh-CN"/>
        </w:rPr>
        <w:tab/>
      </w:r>
      <w:r>
        <w:rPr>
          <w:rFonts w:hint="eastAsia"/>
          <w:lang w:eastAsia="zh-CN"/>
        </w:rPr>
        <w:t>通过有利的政策和投资框架，支持电信设备制造的研发和本地化举措。</w:t>
      </w:r>
    </w:p>
    <w:p w14:paraId="7232EEBC" w14:textId="77777777" w:rsidR="006D5204" w:rsidRDefault="006D5204" w:rsidP="00732D04">
      <w:pPr>
        <w:ind w:firstLineChars="200" w:firstLine="480"/>
        <w:jc w:val="both"/>
        <w:rPr>
          <w:lang w:eastAsia="zh-CN"/>
        </w:rPr>
      </w:pPr>
      <w:r>
        <w:rPr>
          <w:rFonts w:hint="eastAsia"/>
          <w:lang w:eastAsia="zh-CN"/>
        </w:rPr>
        <w:t>国际电联正在筹备将于</w:t>
      </w:r>
      <w:r>
        <w:rPr>
          <w:rFonts w:hint="eastAsia"/>
          <w:lang w:eastAsia="zh-CN"/>
        </w:rPr>
        <w:t>2026</w:t>
      </w:r>
      <w:r>
        <w:rPr>
          <w:rFonts w:hint="eastAsia"/>
          <w:lang w:eastAsia="zh-CN"/>
        </w:rPr>
        <w:t>年举办的下一次关于乌克兰重建的电信创新、网络安全与投资模式的</w:t>
      </w:r>
      <w:r>
        <w:rPr>
          <w:rFonts w:hint="eastAsia"/>
          <w:lang w:eastAsia="zh-CN"/>
        </w:rPr>
        <w:t>TAIEX</w:t>
      </w:r>
      <w:r>
        <w:rPr>
          <w:rFonts w:hint="eastAsia"/>
          <w:lang w:eastAsia="zh-CN"/>
        </w:rPr>
        <w:t>讲习班。讲习班将重点关注加强乌克兰利益攸关方在</w:t>
      </w:r>
      <w:r>
        <w:rPr>
          <w:rFonts w:hint="eastAsia"/>
          <w:lang w:eastAsia="zh-CN"/>
        </w:rPr>
        <w:t>ICT</w:t>
      </w:r>
      <w:r>
        <w:rPr>
          <w:rFonts w:hint="eastAsia"/>
          <w:lang w:eastAsia="zh-CN"/>
        </w:rPr>
        <w:t>基础设施重建与现代化方面的政策、金融工具及方法的能力建设。</w:t>
      </w:r>
    </w:p>
    <w:p w14:paraId="26FD9DB5" w14:textId="77777777" w:rsidR="006D5204" w:rsidRDefault="006D5204" w:rsidP="00732D04">
      <w:pPr>
        <w:ind w:firstLineChars="200" w:firstLine="480"/>
        <w:jc w:val="both"/>
        <w:rPr>
          <w:lang w:eastAsia="zh-CN"/>
        </w:rPr>
      </w:pPr>
      <w:r>
        <w:rPr>
          <w:rFonts w:hint="eastAsia"/>
          <w:lang w:eastAsia="zh-CN"/>
        </w:rPr>
        <w:t>自</w:t>
      </w:r>
      <w:r>
        <w:rPr>
          <w:rFonts w:hint="eastAsia"/>
          <w:lang w:eastAsia="zh-CN"/>
        </w:rPr>
        <w:t>2026</w:t>
      </w:r>
      <w:r>
        <w:rPr>
          <w:rFonts w:hint="eastAsia"/>
          <w:lang w:eastAsia="zh-CN"/>
        </w:rPr>
        <w:t>年初以来，国际电联为乌克兰参与国际电联</w:t>
      </w:r>
      <w:r>
        <w:rPr>
          <w:rFonts w:hint="eastAsia"/>
          <w:lang w:eastAsia="zh-CN"/>
        </w:rPr>
        <w:t>-</w:t>
      </w:r>
      <w:r>
        <w:rPr>
          <w:rFonts w:hint="eastAsia"/>
          <w:lang w:eastAsia="zh-CN"/>
        </w:rPr>
        <w:t>联合国儿童基金会</w:t>
      </w:r>
      <w:r>
        <w:rPr>
          <w:rFonts w:hint="eastAsia"/>
          <w:lang w:eastAsia="zh-CN"/>
        </w:rPr>
        <w:t>Giga</w:t>
      </w:r>
      <w:r>
        <w:rPr>
          <w:rFonts w:hint="eastAsia"/>
          <w:lang w:eastAsia="zh-CN"/>
        </w:rPr>
        <w:t>举措提供便利，支持扩大社会机构（特别是学校）的连通性并使之现代化。</w:t>
      </w:r>
    </w:p>
    <w:p w14:paraId="6A97E285" w14:textId="77777777" w:rsidR="006D5204" w:rsidRDefault="006D5204" w:rsidP="00732D04">
      <w:pPr>
        <w:ind w:firstLineChars="200" w:firstLine="480"/>
        <w:jc w:val="both"/>
        <w:rPr>
          <w:lang w:eastAsia="zh-CN"/>
        </w:rPr>
      </w:pPr>
      <w:r>
        <w:rPr>
          <w:rFonts w:hint="eastAsia"/>
          <w:lang w:eastAsia="zh-CN"/>
        </w:rPr>
        <w:t>国际电联还为乌克兰参与区域政策对话提供便利，以提升国际社会和区域各国对乌克兰电信恢复、韧性建设及改革进展的认识。</w:t>
      </w:r>
    </w:p>
    <w:p w14:paraId="5FDA0A3E" w14:textId="004989F4" w:rsidR="006D5204" w:rsidRDefault="006D5204" w:rsidP="00732D04">
      <w:pPr>
        <w:pStyle w:val="enumlev1"/>
        <w:jc w:val="both"/>
        <w:rPr>
          <w:lang w:eastAsia="zh-CN"/>
        </w:rPr>
      </w:pPr>
      <w:r>
        <w:rPr>
          <w:lang w:eastAsia="zh-CN"/>
        </w:rPr>
        <w:t>–</w:t>
      </w:r>
      <w:r>
        <w:rPr>
          <w:rFonts w:hint="eastAsia"/>
          <w:lang w:eastAsia="zh-CN"/>
        </w:rPr>
        <w:tab/>
        <w:t>2025</w:t>
      </w:r>
      <w:r>
        <w:rPr>
          <w:rFonts w:hint="eastAsia"/>
          <w:lang w:eastAsia="zh-CN"/>
        </w:rPr>
        <w:t>年</w:t>
      </w:r>
      <w:r>
        <w:rPr>
          <w:rFonts w:hint="eastAsia"/>
          <w:lang w:eastAsia="zh-CN"/>
        </w:rPr>
        <w:t>9</w:t>
      </w:r>
      <w:r>
        <w:rPr>
          <w:rFonts w:hint="eastAsia"/>
          <w:lang w:eastAsia="zh-CN"/>
        </w:rPr>
        <w:t>月，国际电联与西巴尔干网络能力中心（</w:t>
      </w:r>
      <w:r>
        <w:rPr>
          <w:rFonts w:hint="eastAsia"/>
          <w:lang w:eastAsia="zh-CN"/>
        </w:rPr>
        <w:t>WB3C</w:t>
      </w:r>
      <w:r>
        <w:rPr>
          <w:rFonts w:hint="eastAsia"/>
          <w:lang w:eastAsia="zh-CN"/>
        </w:rPr>
        <w:t>）合作，在黑山组织了一次关于关键基础设施保护和恶意软件信息共享平台（</w:t>
      </w:r>
      <w:r>
        <w:rPr>
          <w:rFonts w:hint="eastAsia"/>
          <w:lang w:eastAsia="zh-CN"/>
        </w:rPr>
        <w:t>MISP</w:t>
      </w:r>
      <w:r>
        <w:rPr>
          <w:rFonts w:hint="eastAsia"/>
          <w:lang w:eastAsia="zh-CN"/>
        </w:rPr>
        <w:t>）的区域性培训，汇集了来自西巴尔干、格鲁吉亚和乌克兰的专家，以加强国家网络复原力和信息共享框架。</w:t>
      </w:r>
    </w:p>
    <w:p w14:paraId="4AC7C503" w14:textId="0524AA45" w:rsidR="006D5204" w:rsidRPr="00732D04" w:rsidRDefault="006D5204" w:rsidP="00732D04">
      <w:pPr>
        <w:pStyle w:val="enumlev1"/>
        <w:jc w:val="both"/>
        <w:rPr>
          <w:spacing w:val="-2"/>
          <w:lang w:eastAsia="zh-CN"/>
        </w:rPr>
      </w:pPr>
      <w:r w:rsidRPr="00732D04">
        <w:rPr>
          <w:spacing w:val="-2"/>
          <w:lang w:eastAsia="zh-CN"/>
        </w:rPr>
        <w:lastRenderedPageBreak/>
        <w:t>–</w:t>
      </w:r>
      <w:r w:rsidRPr="00732D04">
        <w:rPr>
          <w:rFonts w:hint="eastAsia"/>
          <w:spacing w:val="-2"/>
          <w:lang w:eastAsia="zh-CN"/>
        </w:rPr>
        <w:tab/>
        <w:t>2026</w:t>
      </w:r>
      <w:r w:rsidRPr="00732D04">
        <w:rPr>
          <w:rFonts w:hint="eastAsia"/>
          <w:spacing w:val="-2"/>
          <w:lang w:eastAsia="zh-CN"/>
        </w:rPr>
        <w:t>年</w:t>
      </w:r>
      <w:r w:rsidRPr="00732D04">
        <w:rPr>
          <w:rFonts w:hint="eastAsia"/>
          <w:spacing w:val="-2"/>
          <w:lang w:eastAsia="zh-CN"/>
        </w:rPr>
        <w:t>2</w:t>
      </w:r>
      <w:r w:rsidRPr="00732D04">
        <w:rPr>
          <w:rFonts w:hint="eastAsia"/>
          <w:spacing w:val="-2"/>
          <w:lang w:eastAsia="zh-CN"/>
        </w:rPr>
        <w:t>月，乌克兰参加了在雅典举行的国际电联欧洲区域无线电通信研讨会，重点讨论了频谱管理、卫星协调和新兴技术，为加强区域能力做出了贡献。</w:t>
      </w:r>
    </w:p>
    <w:p w14:paraId="6CDDF1C8" w14:textId="4CB29FEA" w:rsidR="006D5204" w:rsidRDefault="006D5204" w:rsidP="00732D04">
      <w:pPr>
        <w:pStyle w:val="enumlev1"/>
        <w:jc w:val="both"/>
        <w:rPr>
          <w:lang w:eastAsia="zh-CN"/>
        </w:rPr>
      </w:pPr>
      <w:r>
        <w:rPr>
          <w:lang w:eastAsia="zh-CN"/>
        </w:rPr>
        <w:t>–</w:t>
      </w:r>
      <w:r>
        <w:rPr>
          <w:rFonts w:hint="eastAsia"/>
          <w:lang w:eastAsia="zh-CN"/>
        </w:rPr>
        <w:tab/>
        <w:t>2026</w:t>
      </w:r>
      <w:r>
        <w:rPr>
          <w:rFonts w:hint="eastAsia"/>
          <w:lang w:eastAsia="zh-CN"/>
        </w:rPr>
        <w:t>年</w:t>
      </w:r>
      <w:r>
        <w:rPr>
          <w:rFonts w:hint="eastAsia"/>
          <w:lang w:eastAsia="zh-CN"/>
        </w:rPr>
        <w:t>3</w:t>
      </w:r>
      <w:r>
        <w:rPr>
          <w:rFonts w:hint="eastAsia"/>
          <w:lang w:eastAsia="zh-CN"/>
        </w:rPr>
        <w:t>月，乌克兰代表团参加了国际电联欧洲区域发展论坛，介绍了一系列优先项目，呼吁各方参与落实。</w:t>
      </w:r>
    </w:p>
    <w:p w14:paraId="199182DD" w14:textId="77777777" w:rsidR="006D5204" w:rsidRDefault="006D5204" w:rsidP="00175058">
      <w:pPr>
        <w:pStyle w:val="Heading1"/>
        <w:rPr>
          <w:lang w:eastAsia="zh-CN"/>
        </w:rPr>
      </w:pPr>
      <w:r>
        <w:rPr>
          <w:rFonts w:hint="eastAsia"/>
          <w:lang w:eastAsia="zh-CN"/>
        </w:rPr>
        <w:t>5</w:t>
      </w:r>
      <w:r>
        <w:rPr>
          <w:rFonts w:hint="eastAsia"/>
          <w:lang w:eastAsia="zh-CN"/>
        </w:rPr>
        <w:tab/>
      </w:r>
      <w:r>
        <w:rPr>
          <w:rFonts w:hint="eastAsia"/>
          <w:lang w:eastAsia="zh-CN"/>
        </w:rPr>
        <w:t>资源筹措</w:t>
      </w:r>
    </w:p>
    <w:p w14:paraId="7E561FD7" w14:textId="77777777" w:rsidR="006D5204" w:rsidRDefault="006D5204" w:rsidP="00732D04">
      <w:pPr>
        <w:ind w:firstLineChars="200" w:firstLine="480"/>
        <w:jc w:val="both"/>
        <w:rPr>
          <w:lang w:eastAsia="zh-CN"/>
        </w:rPr>
      </w:pPr>
      <w:r>
        <w:rPr>
          <w:rFonts w:hint="eastAsia"/>
          <w:lang w:eastAsia="zh-CN"/>
        </w:rPr>
        <w:t>为促进向乌克兰提供技术援助，国际电联持续鼓励成员国和合作伙伴通过一系列战略行动，为满足乌克兰的需求做出承诺并认捐财务资源：</w:t>
      </w:r>
    </w:p>
    <w:p w14:paraId="491066DA" w14:textId="57E57A1D"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国际电联继续推进伙伴关系促进互联互通（</w:t>
      </w:r>
      <w:r w:rsidR="006D5204">
        <w:rPr>
          <w:rFonts w:hint="eastAsia"/>
          <w:lang w:eastAsia="zh-CN"/>
        </w:rPr>
        <w:t>Partner2Connect</w:t>
      </w:r>
      <w:r w:rsidR="006D5204">
        <w:rPr>
          <w:rFonts w:hint="eastAsia"/>
          <w:lang w:eastAsia="zh-CN"/>
        </w:rPr>
        <w:t>）联盟及其一系列致力于支持乌克兰的认捐。截至</w:t>
      </w:r>
      <w:r w:rsidR="006D5204">
        <w:rPr>
          <w:rFonts w:hint="eastAsia"/>
          <w:lang w:eastAsia="zh-CN"/>
        </w:rPr>
        <w:t>2026</w:t>
      </w:r>
      <w:r w:rsidR="006D5204">
        <w:rPr>
          <w:rFonts w:hint="eastAsia"/>
          <w:lang w:eastAsia="zh-CN"/>
        </w:rPr>
        <w:t>年，收到的承诺总额超过</w:t>
      </w:r>
      <w:r w:rsidR="006D5204">
        <w:rPr>
          <w:rFonts w:hint="eastAsia"/>
          <w:lang w:eastAsia="zh-CN"/>
        </w:rPr>
        <w:t>7.7</w:t>
      </w:r>
      <w:r w:rsidR="006D5204">
        <w:rPr>
          <w:rFonts w:hint="eastAsia"/>
          <w:lang w:eastAsia="zh-CN"/>
        </w:rPr>
        <w:t>亿美元。在</w:t>
      </w:r>
      <w:r w:rsidR="006D5204">
        <w:rPr>
          <w:rFonts w:hint="eastAsia"/>
          <w:lang w:eastAsia="zh-CN"/>
        </w:rPr>
        <w:t>2025</w:t>
      </w:r>
      <w:r w:rsidR="006D5204">
        <w:rPr>
          <w:rFonts w:hint="eastAsia"/>
          <w:lang w:eastAsia="zh-CN"/>
        </w:rPr>
        <w:t>年乌克兰重建大会期间，沃达丰乌克兰、诺基亚和</w:t>
      </w:r>
      <w:proofErr w:type="spellStart"/>
      <w:r w:rsidR="006D5204">
        <w:rPr>
          <w:rFonts w:hint="eastAsia"/>
          <w:lang w:eastAsia="zh-CN"/>
        </w:rPr>
        <w:t>Finnvera</w:t>
      </w:r>
      <w:proofErr w:type="spellEnd"/>
      <w:r w:rsidR="006D5204">
        <w:rPr>
          <w:rFonts w:hint="eastAsia"/>
          <w:lang w:eastAsia="zh-CN"/>
        </w:rPr>
        <w:t>签署了一项谅解备忘录，承诺在未来三年内提供</w:t>
      </w:r>
      <w:r w:rsidR="006D5204">
        <w:rPr>
          <w:rFonts w:hint="eastAsia"/>
          <w:lang w:eastAsia="zh-CN"/>
        </w:rPr>
        <w:t>3000</w:t>
      </w:r>
      <w:r w:rsidR="006D5204">
        <w:rPr>
          <w:rFonts w:hint="eastAsia"/>
          <w:lang w:eastAsia="zh-CN"/>
        </w:rPr>
        <w:t>万欧元的融资，以支持乌克兰数字基础设施的现代化。该公告作为“</w:t>
      </w:r>
      <w:r w:rsidR="006D5204">
        <w:rPr>
          <w:rFonts w:hint="eastAsia"/>
          <w:lang w:eastAsia="zh-CN"/>
        </w:rPr>
        <w:t>P2C</w:t>
      </w:r>
      <w:r w:rsidR="006D5204">
        <w:rPr>
          <w:rFonts w:hint="eastAsia"/>
          <w:lang w:eastAsia="zh-CN"/>
        </w:rPr>
        <w:t>认捐”予以公布。国际电联欧洲区域发展论坛（</w:t>
      </w:r>
      <w:r w:rsidR="006D5204">
        <w:rPr>
          <w:rFonts w:hint="eastAsia"/>
          <w:lang w:eastAsia="zh-CN"/>
        </w:rPr>
        <w:t>2026</w:t>
      </w:r>
      <w:r w:rsidR="006D5204">
        <w:rPr>
          <w:rFonts w:hint="eastAsia"/>
          <w:lang w:eastAsia="zh-CN"/>
        </w:rPr>
        <w:t>年</w:t>
      </w:r>
      <w:r w:rsidR="006D5204">
        <w:rPr>
          <w:rFonts w:hint="eastAsia"/>
          <w:lang w:eastAsia="zh-CN"/>
        </w:rPr>
        <w:t>3</w:t>
      </w:r>
      <w:r w:rsidR="006D5204">
        <w:rPr>
          <w:rFonts w:hint="eastAsia"/>
          <w:lang w:eastAsia="zh-CN"/>
        </w:rPr>
        <w:t>月</w:t>
      </w:r>
      <w:r w:rsidR="006D5204">
        <w:rPr>
          <w:rFonts w:hint="eastAsia"/>
          <w:lang w:eastAsia="zh-CN"/>
        </w:rPr>
        <w:t>24</w:t>
      </w:r>
      <w:r w:rsidR="006D5204">
        <w:rPr>
          <w:rFonts w:hint="eastAsia"/>
          <w:lang w:eastAsia="zh-CN"/>
        </w:rPr>
        <w:t>日，捷克共和国布拉格）为强调与优先项目有关的需求和推进利益攸关方承诺的讨论提供了又一契机。认捐清单可查阅</w:t>
      </w:r>
      <w:hyperlink r:id="rId8" w:history="1">
        <w:r w:rsidR="006D5204" w:rsidRPr="00175058">
          <w:rPr>
            <w:rStyle w:val="Hyperlink"/>
            <w:rFonts w:eastAsia="SimSun" w:hint="eastAsia"/>
            <w:noProof w:val="0"/>
            <w:u w:val="single"/>
            <w:lang w:eastAsia="zh-CN"/>
          </w:rPr>
          <w:t>此处</w:t>
        </w:r>
      </w:hyperlink>
      <w:r w:rsidR="006D5204">
        <w:rPr>
          <w:rFonts w:hint="eastAsia"/>
          <w:lang w:eastAsia="zh-CN"/>
        </w:rPr>
        <w:t>。</w:t>
      </w:r>
    </w:p>
    <w:p w14:paraId="15469AD4" w14:textId="7196D8B8"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国际电联正在进一步筹措专门用于进一步落实第</w:t>
      </w:r>
      <w:r w:rsidR="006D5204">
        <w:rPr>
          <w:rFonts w:hint="eastAsia"/>
          <w:lang w:eastAsia="zh-CN"/>
        </w:rPr>
        <w:t>1408</w:t>
      </w:r>
      <w:r w:rsidR="006D5204">
        <w:rPr>
          <w:rFonts w:hint="eastAsia"/>
          <w:lang w:eastAsia="zh-CN"/>
        </w:rPr>
        <w:t>号决议的专项信托基金的捐款。目前，该基金获得了日本（</w:t>
      </w:r>
      <w:r w:rsidR="006D5204">
        <w:rPr>
          <w:rFonts w:hint="eastAsia"/>
          <w:lang w:eastAsia="zh-CN"/>
        </w:rPr>
        <w:t>100 000</w:t>
      </w:r>
      <w:r w:rsidR="006D5204">
        <w:rPr>
          <w:rFonts w:hint="eastAsia"/>
          <w:lang w:eastAsia="zh-CN"/>
        </w:rPr>
        <w:t>瑞郎，</w:t>
      </w:r>
      <w:r w:rsidR="006D5204">
        <w:rPr>
          <w:rFonts w:hint="eastAsia"/>
          <w:lang w:eastAsia="zh-CN"/>
        </w:rPr>
        <w:t>2022</w:t>
      </w:r>
      <w:r w:rsidR="006D5204">
        <w:rPr>
          <w:rFonts w:hint="eastAsia"/>
          <w:lang w:eastAsia="zh-CN"/>
        </w:rPr>
        <w:t>年）、捷克共和国（</w:t>
      </w:r>
      <w:r w:rsidR="006D5204">
        <w:rPr>
          <w:rFonts w:hint="eastAsia"/>
          <w:lang w:eastAsia="zh-CN"/>
        </w:rPr>
        <w:t>57 000</w:t>
      </w:r>
      <w:r w:rsidR="006D5204">
        <w:rPr>
          <w:rFonts w:hint="eastAsia"/>
          <w:lang w:eastAsia="zh-CN"/>
        </w:rPr>
        <w:t>瑞郎，</w:t>
      </w:r>
      <w:r w:rsidR="006D5204">
        <w:rPr>
          <w:rFonts w:hint="eastAsia"/>
          <w:lang w:eastAsia="zh-CN"/>
        </w:rPr>
        <w:t>2023/2024/2025</w:t>
      </w:r>
      <w:r w:rsidR="006D5204">
        <w:rPr>
          <w:rFonts w:hint="eastAsia"/>
          <w:lang w:eastAsia="zh-CN"/>
        </w:rPr>
        <w:t>年）、保加利亚（</w:t>
      </w:r>
      <w:r w:rsidR="006D5204">
        <w:rPr>
          <w:rFonts w:hint="eastAsia"/>
          <w:lang w:eastAsia="zh-CN"/>
        </w:rPr>
        <w:t>16 294</w:t>
      </w:r>
      <w:r w:rsidR="006D5204">
        <w:rPr>
          <w:rFonts w:hint="eastAsia"/>
          <w:lang w:eastAsia="zh-CN"/>
        </w:rPr>
        <w:t>瑞郎，</w:t>
      </w:r>
      <w:r w:rsidR="006D5204">
        <w:rPr>
          <w:rFonts w:hint="eastAsia"/>
          <w:lang w:eastAsia="zh-CN"/>
        </w:rPr>
        <w:t>2024</w:t>
      </w:r>
      <w:r w:rsidR="006D5204">
        <w:rPr>
          <w:rFonts w:hint="eastAsia"/>
          <w:lang w:eastAsia="zh-CN"/>
        </w:rPr>
        <w:t>年）和立陶宛（</w:t>
      </w:r>
      <w:r w:rsidR="006D5204">
        <w:rPr>
          <w:rFonts w:hint="eastAsia"/>
          <w:lang w:eastAsia="zh-CN"/>
        </w:rPr>
        <w:t>18 335</w:t>
      </w:r>
      <w:r w:rsidR="006D5204">
        <w:rPr>
          <w:rFonts w:hint="eastAsia"/>
          <w:lang w:eastAsia="zh-CN"/>
        </w:rPr>
        <w:t>瑞郎，</w:t>
      </w:r>
      <w:r w:rsidR="006D5204">
        <w:rPr>
          <w:rFonts w:hint="eastAsia"/>
          <w:lang w:eastAsia="zh-CN"/>
        </w:rPr>
        <w:t>2024</w:t>
      </w:r>
      <w:r w:rsidR="006D5204">
        <w:rPr>
          <w:rFonts w:hint="eastAsia"/>
          <w:lang w:eastAsia="zh-CN"/>
        </w:rPr>
        <w:t>年）的捐款。</w:t>
      </w:r>
    </w:p>
    <w:p w14:paraId="50AE847E" w14:textId="2FBA08D2"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自</w:t>
      </w:r>
      <w:r w:rsidR="006D5204">
        <w:rPr>
          <w:rFonts w:hint="eastAsia"/>
          <w:lang w:eastAsia="zh-CN"/>
        </w:rPr>
        <w:t>2022</w:t>
      </w:r>
      <w:r w:rsidR="006D5204">
        <w:rPr>
          <w:rFonts w:hint="eastAsia"/>
          <w:lang w:eastAsia="zh-CN"/>
        </w:rPr>
        <w:t>年以来，国际电联每年从运作预算中拨款</w:t>
      </w:r>
      <w:r w:rsidR="006D5204">
        <w:rPr>
          <w:rFonts w:hint="eastAsia"/>
          <w:lang w:eastAsia="zh-CN"/>
        </w:rPr>
        <w:t>85 000</w:t>
      </w:r>
      <w:r w:rsidR="006D5204">
        <w:rPr>
          <w:rFonts w:hint="eastAsia"/>
          <w:lang w:eastAsia="zh-CN"/>
        </w:rPr>
        <w:t>瑞郎，用于继续开展落实工作。</w:t>
      </w:r>
    </w:p>
    <w:p w14:paraId="521DA892" w14:textId="54505830"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国际电联协助欧盟委员会和波兰共和国以实物形式为针对乌克兰官员的</w:t>
      </w:r>
      <w:r w:rsidR="006D5204">
        <w:rPr>
          <w:rFonts w:hint="eastAsia"/>
          <w:lang w:eastAsia="zh-CN"/>
        </w:rPr>
        <w:t>TAIEX</w:t>
      </w:r>
      <w:r w:rsidR="006D5204">
        <w:rPr>
          <w:rFonts w:hint="eastAsia"/>
          <w:lang w:eastAsia="zh-CN"/>
        </w:rPr>
        <w:t>项目以及在波兰举办会议提供支持。</w:t>
      </w:r>
    </w:p>
    <w:p w14:paraId="56D8B7DD" w14:textId="1AE8801C"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国际电联继续与成员国和合作伙伴定期进行双边讨论，以确保获得必要的财务资源，从而继续开展国际电联与第</w:t>
      </w:r>
      <w:r w:rsidR="006D5204">
        <w:rPr>
          <w:rFonts w:hint="eastAsia"/>
          <w:lang w:eastAsia="zh-CN"/>
        </w:rPr>
        <w:t>1408</w:t>
      </w:r>
      <w:r w:rsidR="006D5204">
        <w:rPr>
          <w:rFonts w:hint="eastAsia"/>
          <w:lang w:eastAsia="zh-CN"/>
        </w:rPr>
        <w:t>号决议相关的运作并恢复</w:t>
      </w:r>
      <w:r w:rsidR="006D5204">
        <w:rPr>
          <w:rFonts w:hint="eastAsia"/>
          <w:lang w:eastAsia="zh-CN"/>
        </w:rPr>
        <w:t>ICT</w:t>
      </w:r>
      <w:r w:rsidR="006D5204">
        <w:rPr>
          <w:rFonts w:hint="eastAsia"/>
          <w:lang w:eastAsia="zh-CN"/>
        </w:rPr>
        <w:t>基础设施。</w:t>
      </w:r>
    </w:p>
    <w:p w14:paraId="5312766C" w14:textId="77777777" w:rsidR="006D5204" w:rsidRDefault="006D5204" w:rsidP="00175058">
      <w:pPr>
        <w:pStyle w:val="Heading1"/>
        <w:rPr>
          <w:lang w:eastAsia="zh-CN"/>
        </w:rPr>
      </w:pPr>
      <w:r>
        <w:rPr>
          <w:rFonts w:hint="eastAsia"/>
          <w:lang w:eastAsia="zh-CN"/>
        </w:rPr>
        <w:t>6</w:t>
      </w:r>
      <w:r>
        <w:rPr>
          <w:rFonts w:hint="eastAsia"/>
          <w:lang w:eastAsia="zh-CN"/>
        </w:rPr>
        <w:tab/>
      </w:r>
      <w:r>
        <w:rPr>
          <w:rFonts w:hint="eastAsia"/>
          <w:lang w:eastAsia="zh-CN"/>
        </w:rPr>
        <w:t>结论</w:t>
      </w:r>
    </w:p>
    <w:p w14:paraId="0655DE9C" w14:textId="77777777" w:rsidR="006D5204" w:rsidRDefault="006D5204" w:rsidP="00732D04">
      <w:pPr>
        <w:ind w:firstLineChars="200" w:firstLine="480"/>
        <w:jc w:val="both"/>
        <w:rPr>
          <w:lang w:eastAsia="zh-CN"/>
        </w:rPr>
      </w:pPr>
      <w:r>
        <w:rPr>
          <w:rFonts w:hint="eastAsia"/>
          <w:lang w:eastAsia="zh-CN"/>
        </w:rPr>
        <w:t>国际电联持续推进旨在落实第</w:t>
      </w:r>
      <w:r>
        <w:rPr>
          <w:rFonts w:hint="eastAsia"/>
          <w:lang w:eastAsia="zh-CN"/>
        </w:rPr>
        <w:t>1408</w:t>
      </w:r>
      <w:r>
        <w:rPr>
          <w:rFonts w:hint="eastAsia"/>
          <w:lang w:eastAsia="zh-CN"/>
        </w:rPr>
        <w:t>号决议的活动，通过加强伙伴关系并建立高效协调机制，推进各项活动的实施及财务资源的筹措。</w:t>
      </w:r>
    </w:p>
    <w:p w14:paraId="2749C431" w14:textId="77777777" w:rsidR="006D5204" w:rsidRDefault="006D5204" w:rsidP="00732D04">
      <w:pPr>
        <w:ind w:firstLineChars="200" w:firstLine="480"/>
        <w:jc w:val="both"/>
        <w:rPr>
          <w:lang w:eastAsia="zh-CN"/>
        </w:rPr>
      </w:pPr>
      <w:r>
        <w:rPr>
          <w:rFonts w:hint="eastAsia"/>
          <w:lang w:eastAsia="zh-CN"/>
        </w:rPr>
        <w:t>恳请所有利益攸关方支持国际电联针对第</w:t>
      </w:r>
      <w:r>
        <w:rPr>
          <w:rFonts w:hint="eastAsia"/>
          <w:lang w:eastAsia="zh-CN"/>
        </w:rPr>
        <w:t>1408</w:t>
      </w:r>
      <w:r>
        <w:rPr>
          <w:rFonts w:hint="eastAsia"/>
          <w:lang w:eastAsia="zh-CN"/>
        </w:rPr>
        <w:t>号决议开展的全球合作和活动，特别是以下活动：</w:t>
      </w:r>
    </w:p>
    <w:p w14:paraId="53F84425" w14:textId="7EEF5A4A"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承诺为乌克兰电信行业的恢复和现代化提供技术援助、能力建设和财务支持；</w:t>
      </w:r>
    </w:p>
    <w:p w14:paraId="765B300E" w14:textId="0C26FC55"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为上述优先项目提供资金和</w:t>
      </w:r>
      <w:r w:rsidR="006D5204">
        <w:rPr>
          <w:rFonts w:hint="eastAsia"/>
          <w:lang w:eastAsia="zh-CN"/>
        </w:rPr>
        <w:t>/</w:t>
      </w:r>
      <w:r w:rsidR="006D5204">
        <w:rPr>
          <w:rFonts w:hint="eastAsia"/>
          <w:lang w:eastAsia="zh-CN"/>
        </w:rPr>
        <w:t>或实物捐助支持（见第</w:t>
      </w:r>
      <w:r w:rsidR="006D5204">
        <w:rPr>
          <w:rFonts w:hint="eastAsia"/>
          <w:lang w:eastAsia="zh-CN"/>
        </w:rPr>
        <w:t>4</w:t>
      </w:r>
      <w:r w:rsidR="006D5204">
        <w:rPr>
          <w:rFonts w:hint="eastAsia"/>
          <w:lang w:eastAsia="zh-CN"/>
        </w:rPr>
        <w:t>节）；</w:t>
      </w:r>
    </w:p>
    <w:p w14:paraId="234F8984" w14:textId="0F0AB2F8"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向专项信托基金提供财务捐助，以便继续实施第</w:t>
      </w:r>
      <w:r w:rsidR="006D5204">
        <w:rPr>
          <w:rFonts w:hint="eastAsia"/>
          <w:lang w:eastAsia="zh-CN"/>
        </w:rPr>
        <w:t>1408</w:t>
      </w:r>
      <w:r w:rsidR="006D5204">
        <w:rPr>
          <w:rFonts w:hint="eastAsia"/>
          <w:lang w:eastAsia="zh-CN"/>
        </w:rPr>
        <w:t>号决议并扩大其实施范围；</w:t>
      </w:r>
    </w:p>
    <w:p w14:paraId="159E3AC3" w14:textId="3259B381" w:rsidR="006D5204" w:rsidRDefault="00175058" w:rsidP="00732D04">
      <w:pPr>
        <w:pStyle w:val="enumlev1"/>
        <w:jc w:val="both"/>
        <w:rPr>
          <w:lang w:eastAsia="zh-CN"/>
        </w:rPr>
      </w:pPr>
      <w:r>
        <w:rPr>
          <w:lang w:eastAsia="zh-CN"/>
        </w:rPr>
        <w:t>–</w:t>
      </w:r>
      <w:r w:rsidR="006D5204">
        <w:rPr>
          <w:rFonts w:hint="eastAsia"/>
          <w:lang w:eastAsia="zh-CN"/>
        </w:rPr>
        <w:tab/>
      </w:r>
      <w:r w:rsidR="006D5204">
        <w:rPr>
          <w:rFonts w:hint="eastAsia"/>
          <w:lang w:eastAsia="zh-CN"/>
        </w:rPr>
        <w:t>加入</w:t>
      </w:r>
      <w:r w:rsidR="006D5204">
        <w:rPr>
          <w:rFonts w:hint="eastAsia"/>
          <w:lang w:eastAsia="zh-CN"/>
        </w:rPr>
        <w:t>Partner2Connect</w:t>
      </w:r>
      <w:r w:rsidR="006D5204">
        <w:rPr>
          <w:rFonts w:hint="eastAsia"/>
          <w:lang w:eastAsia="zh-CN"/>
        </w:rPr>
        <w:t>举措，并通过点击</w:t>
      </w:r>
      <w:hyperlink r:id="rId9" w:history="1">
        <w:r w:rsidR="006D5204" w:rsidRPr="00EF1BE0">
          <w:rPr>
            <w:rStyle w:val="Hyperlink"/>
            <w:rFonts w:eastAsia="SimSun" w:hint="eastAsia"/>
            <w:noProof w:val="0"/>
            <w:u w:val="single"/>
            <w:lang w:eastAsia="zh-CN"/>
          </w:rPr>
          <w:t>此处</w:t>
        </w:r>
      </w:hyperlink>
      <w:r w:rsidR="006D5204">
        <w:rPr>
          <w:rFonts w:hint="eastAsia"/>
          <w:lang w:eastAsia="zh-CN"/>
        </w:rPr>
        <w:t>的在线系统提供重点针对乌克兰的认捐。</w:t>
      </w:r>
    </w:p>
    <w:p w14:paraId="6F150115" w14:textId="77777777" w:rsidR="00E323D0" w:rsidRPr="00E323D0" w:rsidRDefault="00E323D0" w:rsidP="00E323D0">
      <w:pPr>
        <w:jc w:val="center"/>
      </w:pPr>
      <w:r>
        <w:t>______________</w:t>
      </w:r>
    </w:p>
    <w:sectPr w:rsidR="00E323D0" w:rsidRPr="00E323D0"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B98E" w14:textId="77777777" w:rsidR="00BC611B" w:rsidRDefault="00BC611B">
      <w:r>
        <w:separator/>
      </w:r>
    </w:p>
  </w:endnote>
  <w:endnote w:type="continuationSeparator" w:id="0">
    <w:p w14:paraId="43CD664E" w14:textId="77777777" w:rsidR="00BC611B" w:rsidRDefault="00BC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CB89362" w14:textId="77777777" w:rsidTr="00E31DCE">
      <w:trPr>
        <w:jc w:val="center"/>
      </w:trPr>
      <w:tc>
        <w:tcPr>
          <w:tcW w:w="1803" w:type="dxa"/>
          <w:vAlign w:val="center"/>
        </w:tcPr>
        <w:p w14:paraId="01267C81" w14:textId="77777777"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p>
      </w:tc>
      <w:tc>
        <w:tcPr>
          <w:tcW w:w="8261" w:type="dxa"/>
        </w:tcPr>
        <w:p w14:paraId="3C831B3C" w14:textId="2D2E45F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CC6EEA">
            <w:rPr>
              <w:bCs/>
              <w:color w:val="808080" w:themeColor="background1" w:themeShade="80"/>
            </w:rPr>
            <w:t>68</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FFAD997"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FF2CE0F" w14:textId="77777777" w:rsidTr="00E31DCE">
      <w:trPr>
        <w:jc w:val="center"/>
      </w:trPr>
      <w:tc>
        <w:tcPr>
          <w:tcW w:w="1803" w:type="dxa"/>
          <w:vAlign w:val="center"/>
        </w:tcPr>
        <w:p w14:paraId="2BEF7A7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1D3AB307" w14:textId="1D66C4BF"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CC6EEA">
            <w:rPr>
              <w:bCs/>
              <w:color w:val="808080" w:themeColor="background1" w:themeShade="80"/>
            </w:rPr>
            <w:t>68</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50D81055"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647D" w14:textId="77777777" w:rsidR="00BC611B" w:rsidRDefault="00BC611B">
      <w:r>
        <w:t>____________________</w:t>
      </w:r>
    </w:p>
  </w:footnote>
  <w:footnote w:type="continuationSeparator" w:id="0">
    <w:p w14:paraId="562CC122" w14:textId="77777777" w:rsidR="00BC611B" w:rsidRDefault="00BC6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99F1" w14:textId="77777777" w:rsidR="00E24D59" w:rsidRPr="00602842" w:rsidRDefault="00602842" w:rsidP="00602842">
    <w:pPr>
      <w:pStyle w:val="Header"/>
    </w:pPr>
    <w:r>
      <w:rPr>
        <w:noProof/>
      </w:rPr>
      <w:drawing>
        <wp:inline distT="0" distB="0" distL="0" distR="0" wp14:anchorId="7DCAE176" wp14:editId="6B3871D6">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1B"/>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60C25"/>
    <w:rsid w:val="00175058"/>
    <w:rsid w:val="0018251A"/>
    <w:rsid w:val="00190272"/>
    <w:rsid w:val="00193244"/>
    <w:rsid w:val="00195C6C"/>
    <w:rsid w:val="00195FED"/>
    <w:rsid w:val="001A4BD6"/>
    <w:rsid w:val="001B6E2B"/>
    <w:rsid w:val="001D5735"/>
    <w:rsid w:val="001D5A18"/>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A72E1"/>
    <w:rsid w:val="005C6632"/>
    <w:rsid w:val="005D1C9E"/>
    <w:rsid w:val="005E627B"/>
    <w:rsid w:val="00602842"/>
    <w:rsid w:val="00630DD5"/>
    <w:rsid w:val="00637584"/>
    <w:rsid w:val="00654257"/>
    <w:rsid w:val="0065435A"/>
    <w:rsid w:val="00670D8A"/>
    <w:rsid w:val="006A2DD3"/>
    <w:rsid w:val="006A5113"/>
    <w:rsid w:val="006A5AF8"/>
    <w:rsid w:val="006C36CD"/>
    <w:rsid w:val="006D5204"/>
    <w:rsid w:val="00700D1F"/>
    <w:rsid w:val="007205CB"/>
    <w:rsid w:val="0072138B"/>
    <w:rsid w:val="00726073"/>
    <w:rsid w:val="00732D04"/>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2E6F"/>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B6E96"/>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C611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C6EEA"/>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96383"/>
    <w:rsid w:val="00EE5706"/>
    <w:rsid w:val="00EF1BE0"/>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68AA9"/>
  <w15:docId w15:val="{6605C8FE-AE4C-4AF5-9558-EBF72D73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732D04"/>
    <w:pPr>
      <w:keepNext/>
      <w:keepLines/>
      <w:spacing w:before="36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32D04"/>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partner2connect-pledg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AppData\Local\Microsoft\Olk\Attachments\ooa-951059e7-9722-4bcd-8563-9a270cf97ca0\d741fe739eeb2ec881f003bd87e04786c179759eef4bb14cfa5db300f289d7aa\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4</Pages>
  <Words>697</Words>
  <Characters>3860</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4535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implementation of ITU Council Resolution 1408 on assistance and support to Ukraine for rebuilding their telecommunication sector</dc:title>
  <dc:subject>ITU Council 2026</dc:subject>
  <cp:keywords>C26; C2026; Council 2026; PP26</cp:keywords>
  <dc:description/>
  <cp:lastPrinted>2015-02-24T13:23:00Z</cp:lastPrinted>
  <dcterms:created xsi:type="dcterms:W3CDTF">2026-04-02T11:24:00Z</dcterms:created>
  <dcterms:modified xsi:type="dcterms:W3CDTF">2026-04-02T11:24:00Z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