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5"/>
        <w:gridCol w:w="2966"/>
      </w:tblGrid>
      <w:tr w:rsidR="007B0AA0" w14:paraId="6B2CBACB" w14:textId="77777777" w:rsidTr="00F363FE">
        <w:tc>
          <w:tcPr>
            <w:tcW w:w="6512" w:type="dxa"/>
          </w:tcPr>
          <w:p w14:paraId="0B6CF354" w14:textId="3DC06B14" w:rsidR="007B0AA0" w:rsidRPr="007B0AA0" w:rsidRDefault="007B0AA0" w:rsidP="00F363FE">
            <w:pPr>
              <w:spacing w:before="60" w:after="60" w:line="260" w:lineRule="exact"/>
              <w:rPr>
                <w:b/>
                <w:bCs/>
                <w:lang w:bidi="ar-EG"/>
              </w:rPr>
            </w:pPr>
            <w:r w:rsidRPr="007B0AA0">
              <w:rPr>
                <w:rFonts w:hint="cs"/>
                <w:b/>
                <w:bCs/>
                <w:rtl/>
                <w:lang w:bidi="ar-EG"/>
              </w:rPr>
              <w:t>بند جدول الأعمال:</w:t>
            </w:r>
            <w:r w:rsidR="002F45D0">
              <w:rPr>
                <w:rFonts w:hint="cs"/>
                <w:b/>
                <w:bCs/>
                <w:rtl/>
                <w:lang w:bidi="ar-EG"/>
              </w:rPr>
              <w:t xml:space="preserve"> </w:t>
            </w:r>
            <w:r w:rsidR="002F45D0">
              <w:rPr>
                <w:b/>
                <w:bCs/>
                <w:lang w:bidi="ar-EG"/>
              </w:rPr>
              <w:t>PL-2</w:t>
            </w:r>
          </w:p>
        </w:tc>
        <w:tc>
          <w:tcPr>
            <w:tcW w:w="3117" w:type="dxa"/>
          </w:tcPr>
          <w:p w14:paraId="6DBF9E67" w14:textId="1879FEF2" w:rsidR="007B0AA0" w:rsidRPr="007B0AA0" w:rsidRDefault="007B0AA0" w:rsidP="00F363FE">
            <w:pPr>
              <w:spacing w:before="60" w:after="60" w:line="260" w:lineRule="exact"/>
              <w:rPr>
                <w:b/>
                <w:bCs/>
                <w:lang w:bidi="ar-EG"/>
              </w:rPr>
            </w:pPr>
            <w:r w:rsidRPr="007B0AA0">
              <w:rPr>
                <w:rFonts w:hint="cs"/>
                <w:b/>
                <w:bCs/>
                <w:rtl/>
                <w:lang w:bidi="ar-EG"/>
              </w:rPr>
              <w:t xml:space="preserve">الوثيقة </w:t>
            </w:r>
            <w:r w:rsidRPr="007B0AA0">
              <w:rPr>
                <w:b/>
                <w:bCs/>
                <w:lang w:bidi="ar-EG"/>
              </w:rPr>
              <w:t>C2</w:t>
            </w:r>
            <w:r w:rsidR="000116AF">
              <w:rPr>
                <w:b/>
                <w:bCs/>
                <w:lang w:bidi="ar-EG"/>
              </w:rPr>
              <w:t>6</w:t>
            </w:r>
            <w:r w:rsidRPr="007B0AA0">
              <w:rPr>
                <w:b/>
                <w:bCs/>
                <w:lang w:bidi="ar-EG"/>
              </w:rPr>
              <w:t>/</w:t>
            </w:r>
            <w:r w:rsidR="000B4FE5">
              <w:rPr>
                <w:b/>
                <w:bCs/>
                <w:lang w:bidi="ar-EG"/>
              </w:rPr>
              <w:t>68</w:t>
            </w:r>
            <w:r w:rsidRPr="007B0AA0">
              <w:rPr>
                <w:b/>
                <w:bCs/>
                <w:lang w:bidi="ar-EG"/>
              </w:rPr>
              <w:t>-A</w:t>
            </w:r>
          </w:p>
        </w:tc>
      </w:tr>
      <w:tr w:rsidR="007B0AA0" w14:paraId="4C8FC0E0" w14:textId="77777777" w:rsidTr="00F363FE">
        <w:tc>
          <w:tcPr>
            <w:tcW w:w="6512" w:type="dxa"/>
          </w:tcPr>
          <w:p w14:paraId="2E06F4CF" w14:textId="77777777" w:rsidR="007B0AA0" w:rsidRPr="007B0AA0" w:rsidRDefault="007B0AA0" w:rsidP="00F363FE">
            <w:pPr>
              <w:spacing w:before="60" w:after="60" w:line="260" w:lineRule="exact"/>
              <w:rPr>
                <w:b/>
                <w:bCs/>
                <w:rtl/>
                <w:lang w:bidi="ar-EG"/>
              </w:rPr>
            </w:pPr>
          </w:p>
        </w:tc>
        <w:tc>
          <w:tcPr>
            <w:tcW w:w="3117" w:type="dxa"/>
          </w:tcPr>
          <w:p w14:paraId="5BEA74CD" w14:textId="1B2038C8" w:rsidR="007B0AA0" w:rsidRPr="007B0AA0" w:rsidRDefault="000B4FE5" w:rsidP="00F363FE">
            <w:pPr>
              <w:spacing w:before="60" w:after="60" w:line="260" w:lineRule="exact"/>
              <w:rPr>
                <w:b/>
                <w:bCs/>
                <w:rtl/>
                <w:lang w:bidi="ar-EG"/>
              </w:rPr>
            </w:pPr>
            <w:r>
              <w:rPr>
                <w:rFonts w:hint="cs"/>
                <w:b/>
                <w:bCs/>
                <w:rtl/>
              </w:rPr>
              <w:t>‏26‏ مارس‏ 2026</w:t>
            </w:r>
          </w:p>
        </w:tc>
      </w:tr>
      <w:tr w:rsidR="007B0AA0" w14:paraId="706277C0" w14:textId="77777777" w:rsidTr="00F363FE">
        <w:tc>
          <w:tcPr>
            <w:tcW w:w="6512" w:type="dxa"/>
          </w:tcPr>
          <w:p w14:paraId="41E73A80" w14:textId="77777777" w:rsidR="007B0AA0" w:rsidRPr="007B0AA0" w:rsidRDefault="007B0AA0" w:rsidP="00F363FE">
            <w:pPr>
              <w:spacing w:before="60" w:after="60" w:line="260" w:lineRule="exact"/>
              <w:rPr>
                <w:b/>
                <w:bCs/>
                <w:rtl/>
                <w:lang w:bidi="ar-EG"/>
              </w:rPr>
            </w:pPr>
          </w:p>
        </w:tc>
        <w:tc>
          <w:tcPr>
            <w:tcW w:w="3117" w:type="dxa"/>
          </w:tcPr>
          <w:p w14:paraId="5EBC1445" w14:textId="77777777" w:rsidR="007B0AA0" w:rsidRPr="007B0AA0" w:rsidRDefault="001D64C7" w:rsidP="00F363FE">
            <w:pPr>
              <w:spacing w:before="60" w:after="60" w:line="260" w:lineRule="exact"/>
              <w:rPr>
                <w:b/>
                <w:bCs/>
                <w:rtl/>
                <w:lang w:bidi="ar-EG"/>
              </w:rPr>
            </w:pPr>
            <w:r w:rsidRPr="007B0AA0">
              <w:rPr>
                <w:rFonts w:hint="cs"/>
                <w:b/>
                <w:bCs/>
                <w:rtl/>
                <w:lang w:bidi="ar-EG"/>
              </w:rPr>
              <w:t>الأصل: بالإنكليزية</w:t>
            </w:r>
          </w:p>
        </w:tc>
      </w:tr>
      <w:tr w:rsidR="007B0AA0" w14:paraId="2BFAABD7" w14:textId="77777777" w:rsidTr="00F363FE">
        <w:tc>
          <w:tcPr>
            <w:tcW w:w="6512" w:type="dxa"/>
          </w:tcPr>
          <w:p w14:paraId="0C98F50B" w14:textId="77777777" w:rsidR="007B0AA0" w:rsidRDefault="007B0AA0" w:rsidP="00F363FE">
            <w:pPr>
              <w:spacing w:before="60" w:after="60" w:line="260" w:lineRule="exact"/>
              <w:rPr>
                <w:lang w:bidi="ar-EG"/>
              </w:rPr>
            </w:pPr>
          </w:p>
        </w:tc>
        <w:tc>
          <w:tcPr>
            <w:tcW w:w="3117" w:type="dxa"/>
          </w:tcPr>
          <w:p w14:paraId="62FD56E0" w14:textId="77777777" w:rsidR="007B0AA0" w:rsidRDefault="007B0AA0" w:rsidP="00F363FE">
            <w:pPr>
              <w:spacing w:before="60" w:after="60" w:line="260" w:lineRule="exact"/>
              <w:rPr>
                <w:rtl/>
                <w:lang w:bidi="ar-EG"/>
              </w:rPr>
            </w:pPr>
          </w:p>
        </w:tc>
      </w:tr>
      <w:tr w:rsidR="007B0AA0" w14:paraId="533A7E3B" w14:textId="77777777" w:rsidTr="00EE7446">
        <w:tc>
          <w:tcPr>
            <w:tcW w:w="9629" w:type="dxa"/>
            <w:gridSpan w:val="2"/>
          </w:tcPr>
          <w:p w14:paraId="4A9F1020" w14:textId="77777777" w:rsidR="007B0AA0" w:rsidRDefault="001D64C7" w:rsidP="007B0AA0">
            <w:pPr>
              <w:pStyle w:val="Source"/>
              <w:jc w:val="left"/>
              <w:rPr>
                <w:lang w:bidi="ar-EG"/>
              </w:rPr>
            </w:pPr>
            <w:r>
              <w:rPr>
                <w:rFonts w:hint="cs"/>
                <w:rtl/>
                <w:lang w:bidi="ar-EG"/>
              </w:rPr>
              <w:t>تقرير من الأمينة العامة</w:t>
            </w:r>
          </w:p>
        </w:tc>
      </w:tr>
      <w:tr w:rsidR="007B0AA0" w14:paraId="346B0784" w14:textId="77777777" w:rsidTr="007B0AA0">
        <w:tc>
          <w:tcPr>
            <w:tcW w:w="9629" w:type="dxa"/>
            <w:gridSpan w:val="2"/>
            <w:tcBorders>
              <w:bottom w:val="single" w:sz="4" w:space="0" w:color="auto"/>
            </w:tcBorders>
          </w:tcPr>
          <w:p w14:paraId="060978C6" w14:textId="30BF8C6E" w:rsidR="007B0AA0" w:rsidRPr="005546CF" w:rsidRDefault="000B4FE5" w:rsidP="000B4FE5">
            <w:pPr>
              <w:pStyle w:val="Subtitle0"/>
              <w:rPr>
                <w:sz w:val="32"/>
                <w:szCs w:val="32"/>
              </w:rPr>
            </w:pPr>
            <w:r w:rsidRPr="000B4FE5">
              <w:rPr>
                <w:sz w:val="32"/>
                <w:szCs w:val="32"/>
                <w:rtl/>
                <w:lang w:bidi="ar-SA"/>
              </w:rPr>
              <w:t>معلومات محدَّثة عن تنفيذ قرار مجلس الاتحاد 1408 بشأن تقديم المساعدة والدعم إلى أوكرانيا لإعادة بناء قطاع اتصالاتها</w:t>
            </w:r>
          </w:p>
        </w:tc>
      </w:tr>
      <w:tr w:rsidR="007B0AA0" w14:paraId="5AFDA317" w14:textId="77777777" w:rsidTr="007B0AA0">
        <w:tc>
          <w:tcPr>
            <w:tcW w:w="9629" w:type="dxa"/>
            <w:gridSpan w:val="2"/>
            <w:tcBorders>
              <w:top w:val="single" w:sz="4" w:space="0" w:color="auto"/>
              <w:bottom w:val="single" w:sz="4" w:space="0" w:color="auto"/>
            </w:tcBorders>
          </w:tcPr>
          <w:p w14:paraId="090C26A7" w14:textId="77777777" w:rsidR="007B0AA0" w:rsidRPr="007B0AA0" w:rsidRDefault="007B0AA0" w:rsidP="007B0AA0">
            <w:pPr>
              <w:rPr>
                <w:b/>
                <w:bCs/>
                <w:rtl/>
              </w:rPr>
            </w:pPr>
            <w:r w:rsidRPr="00494119">
              <w:rPr>
                <w:rFonts w:hint="cs"/>
                <w:b/>
                <w:bCs/>
                <w:rtl/>
              </w:rPr>
              <w:t>الغرض</w:t>
            </w:r>
          </w:p>
          <w:p w14:paraId="32338406" w14:textId="75EC5B07" w:rsidR="007B0AA0" w:rsidRDefault="000B4FE5" w:rsidP="000B4FE5">
            <w:pPr>
              <w:rPr>
                <w:rtl/>
              </w:rPr>
            </w:pPr>
            <w:r w:rsidRPr="000B4FE5">
              <w:rPr>
                <w:rtl/>
              </w:rPr>
              <w:t>يعرض هذا التقرير الأنشطة والتطورات منذ انعقاد دورة مجلس الاتحاد في يونيو 2025 فيما يتعلق بتقديم المساعدة والدعم إلى أوكرانيا لإعادة بناء قطاع اتصالاتها استجابةً للقرار 1408 المعدَّل الصادر عن مجلس الاتحاد، مع التركيز على الرصد والإبلاغ وآليات التنسيق، والمساعدة التقنية، وتعبئة الموارد وأنشطة بناء القدرات.</w:t>
            </w:r>
          </w:p>
          <w:p w14:paraId="7D5CAC39" w14:textId="77777777" w:rsidR="007B0AA0" w:rsidRPr="007B0AA0" w:rsidRDefault="007B0AA0" w:rsidP="007B0AA0">
            <w:pPr>
              <w:rPr>
                <w:b/>
                <w:bCs/>
                <w:rtl/>
              </w:rPr>
            </w:pPr>
            <w:r w:rsidRPr="007B0AA0">
              <w:rPr>
                <w:rFonts w:hint="cs"/>
                <w:b/>
                <w:bCs/>
                <w:rtl/>
              </w:rPr>
              <w:t>الإجراء المطلوب من المجلس</w:t>
            </w:r>
          </w:p>
          <w:p w14:paraId="674802F0" w14:textId="7A4CEAE6" w:rsidR="007B0AA0" w:rsidRDefault="000B4FE5" w:rsidP="000B4FE5">
            <w:pPr>
              <w:rPr>
                <w:rtl/>
              </w:rPr>
            </w:pPr>
            <w:r w:rsidRPr="000B4FE5">
              <w:rPr>
                <w:rtl/>
              </w:rPr>
              <w:t xml:space="preserve">يُدعى المجلس إلى </w:t>
            </w:r>
            <w:r w:rsidRPr="000B4FE5">
              <w:rPr>
                <w:b/>
                <w:bCs/>
                <w:rtl/>
              </w:rPr>
              <w:t>الإحاطة علماً</w:t>
            </w:r>
            <w:r w:rsidRPr="000B4FE5">
              <w:rPr>
                <w:rtl/>
              </w:rPr>
              <w:t xml:space="preserve"> بهذا التقرير.</w:t>
            </w:r>
          </w:p>
          <w:p w14:paraId="50A59152" w14:textId="77777777" w:rsidR="007B0AA0" w:rsidRPr="007B0AA0" w:rsidRDefault="00494119" w:rsidP="007B0AA0">
            <w:pPr>
              <w:rPr>
                <w:b/>
                <w:bCs/>
                <w:rtl/>
              </w:rPr>
            </w:pPr>
            <w:r>
              <w:rPr>
                <w:rFonts w:hint="cs"/>
                <w:b/>
                <w:bCs/>
                <w:rtl/>
                <w:lang w:bidi="ar-EG"/>
              </w:rPr>
              <w:t>الصلة</w:t>
            </w:r>
            <w:r w:rsidR="007B0AA0" w:rsidRPr="007B0AA0">
              <w:rPr>
                <w:b/>
                <w:bCs/>
                <w:rtl/>
              </w:rPr>
              <w:t xml:space="preserve"> بالخطة ال</w:t>
            </w:r>
            <w:r w:rsidR="007B0AA0" w:rsidRPr="007B0AA0">
              <w:rPr>
                <w:rFonts w:hint="cs"/>
                <w:b/>
                <w:bCs/>
                <w:rtl/>
              </w:rPr>
              <w:t>ا</w:t>
            </w:r>
            <w:r w:rsidR="007B0AA0" w:rsidRPr="007B0AA0">
              <w:rPr>
                <w:b/>
                <w:bCs/>
                <w:rtl/>
              </w:rPr>
              <w:t>ستراتيجية</w:t>
            </w:r>
          </w:p>
          <w:p w14:paraId="7AC4D259" w14:textId="15CD82A0" w:rsidR="007B0AA0" w:rsidRDefault="000B4FE5" w:rsidP="000B4FE5">
            <w:pPr>
              <w:rPr>
                <w:rtl/>
              </w:rPr>
            </w:pPr>
            <w:r w:rsidRPr="000B4FE5">
              <w:rPr>
                <w:rtl/>
              </w:rPr>
              <w:t>تقديم المساعدة التقنية.</w:t>
            </w:r>
          </w:p>
          <w:p w14:paraId="6BC69F2F" w14:textId="77777777" w:rsidR="007B0AA0" w:rsidRDefault="007B0AA0" w:rsidP="00B97F32">
            <w:pPr>
              <w:rPr>
                <w:b/>
                <w:bCs/>
              </w:rPr>
            </w:pPr>
            <w:r w:rsidRPr="007B0AA0">
              <w:rPr>
                <w:rFonts w:hint="cs"/>
                <w:b/>
                <w:bCs/>
                <w:rtl/>
              </w:rPr>
              <w:t>الآثار المالية</w:t>
            </w:r>
          </w:p>
          <w:p w14:paraId="3DD5BBD8" w14:textId="015F28DD" w:rsidR="006F363C" w:rsidRPr="005546CF" w:rsidRDefault="003F1920" w:rsidP="000B4FE5">
            <w:pPr>
              <w:rPr>
                <w:rtl/>
              </w:rPr>
            </w:pPr>
            <w:r>
              <w:t>346 000</w:t>
            </w:r>
            <w:r>
              <w:rPr>
                <w:rFonts w:hint="cs"/>
                <w:rtl/>
                <w:lang w:bidi="ar-EG"/>
              </w:rPr>
              <w:t xml:space="preserve"> </w:t>
            </w:r>
            <w:r w:rsidR="000B4FE5" w:rsidRPr="000B4FE5">
              <w:rPr>
                <w:rtl/>
              </w:rPr>
              <w:t xml:space="preserve">فرنك سويسري منذ عام 2022، بما في ذلك </w:t>
            </w:r>
            <w:r>
              <w:t>85 000</w:t>
            </w:r>
            <w:r w:rsidR="000B4FE5" w:rsidRPr="000B4FE5">
              <w:rPr>
                <w:rtl/>
              </w:rPr>
              <w:t xml:space="preserve"> فرنك سويسري من ميزانية الاتحاد، و</w:t>
            </w:r>
            <w:r>
              <w:t>191 000</w:t>
            </w:r>
            <w:r w:rsidR="000B4FE5" w:rsidRPr="000B4FE5">
              <w:rPr>
                <w:rtl/>
              </w:rPr>
              <w:t xml:space="preserve"> فرنك سويسري كمساهمات طوعية نقدية، و</w:t>
            </w:r>
            <w:r>
              <w:t>70 000</w:t>
            </w:r>
            <w:r w:rsidR="000B4FE5" w:rsidRPr="000B4FE5">
              <w:rPr>
                <w:rtl/>
              </w:rPr>
              <w:t xml:space="preserve"> فرنك سويسري كمساهمات عينية.</w:t>
            </w:r>
          </w:p>
          <w:p w14:paraId="4B942B5B" w14:textId="77777777" w:rsidR="007B0AA0" w:rsidRPr="007B0AA0" w:rsidRDefault="007B0AA0" w:rsidP="007B0AA0">
            <w:pPr>
              <w:rPr>
                <w:rFonts w:ascii="Traditional Arabic" w:hAnsi="Traditional Arabic" w:cs="Traditional Arabic"/>
                <w:sz w:val="30"/>
                <w:szCs w:val="30"/>
                <w:rtl/>
              </w:rPr>
            </w:pPr>
            <w:r w:rsidRPr="007B0AA0">
              <w:rPr>
                <w:rFonts w:ascii="Traditional Arabic" w:hAnsi="Traditional Arabic" w:cs="Traditional Arabic"/>
                <w:sz w:val="30"/>
                <w:szCs w:val="30"/>
                <w:rtl/>
              </w:rPr>
              <w:t>___________</w:t>
            </w:r>
          </w:p>
          <w:p w14:paraId="0E500C64" w14:textId="77777777" w:rsidR="007B0AA0" w:rsidRPr="007B0AA0" w:rsidRDefault="007B0AA0" w:rsidP="007B0AA0">
            <w:pPr>
              <w:rPr>
                <w:b/>
                <w:bCs/>
                <w:rtl/>
              </w:rPr>
            </w:pPr>
            <w:r w:rsidRPr="007B0AA0">
              <w:rPr>
                <w:rFonts w:hint="cs"/>
                <w:b/>
                <w:bCs/>
                <w:rtl/>
              </w:rPr>
              <w:t>المراجع</w:t>
            </w:r>
          </w:p>
          <w:p w14:paraId="2FF81300" w14:textId="38DC4CE9" w:rsidR="007B0AA0" w:rsidRPr="005546CF" w:rsidRDefault="007B6570" w:rsidP="007B6570">
            <w:pPr>
              <w:rPr>
                <w:i/>
                <w:iCs/>
                <w:rtl/>
              </w:rPr>
            </w:pPr>
            <w:r w:rsidRPr="007B6570">
              <w:rPr>
                <w:i/>
                <w:iCs/>
                <w:rtl/>
              </w:rPr>
              <w:t xml:space="preserve">قرار المجلس </w:t>
            </w:r>
            <w:hyperlink r:id="rId8" w:history="1">
              <w:r w:rsidRPr="00EB57DC">
                <w:rPr>
                  <w:rStyle w:val="Hyperlink"/>
                  <w:i/>
                  <w:iCs/>
                  <w:noProof w:val="0"/>
                  <w:rtl/>
                  <w:lang w:val="en-US" w:eastAsia="zh-CN"/>
                </w:rPr>
                <w:t>1408 (المعدَّل في 2023)</w:t>
              </w:r>
            </w:hyperlink>
            <w:r w:rsidRPr="007B6570">
              <w:rPr>
                <w:i/>
                <w:iCs/>
                <w:rtl/>
              </w:rPr>
              <w:t xml:space="preserve">؛ الوثيقة </w:t>
            </w:r>
            <w:hyperlink r:id="rId9" w:history="1">
              <w:r w:rsidRPr="00EB57DC">
                <w:rPr>
                  <w:rStyle w:val="Hyperlink"/>
                  <w:i/>
                  <w:iCs/>
                  <w:noProof w:val="0"/>
                  <w:rtl/>
                  <w:lang w:val="en-US" w:eastAsia="zh-CN"/>
                </w:rPr>
                <w:t>C23/59</w:t>
              </w:r>
            </w:hyperlink>
          </w:p>
        </w:tc>
      </w:tr>
    </w:tbl>
    <w:p w14:paraId="2EA67A17" w14:textId="77777777" w:rsidR="00F50E3F" w:rsidRDefault="00F50E3F" w:rsidP="0043260A">
      <w:pPr>
        <w:rPr>
          <w:rtl/>
          <w:lang w:bidi="ar-EG"/>
        </w:rPr>
      </w:pPr>
      <w:r>
        <w:rPr>
          <w:rtl/>
          <w:lang w:bidi="ar-EG"/>
        </w:rPr>
        <w:br w:type="page"/>
      </w:r>
    </w:p>
    <w:p w14:paraId="62A98AB0" w14:textId="77777777" w:rsidR="00F16B4E" w:rsidRPr="008F5E96" w:rsidRDefault="00F16B4E" w:rsidP="008F5E96">
      <w:pPr>
        <w:pStyle w:val="Heading1"/>
      </w:pPr>
      <w:r w:rsidRPr="008F5E96">
        <w:rPr>
          <w:rtl/>
        </w:rPr>
        <w:lastRenderedPageBreak/>
        <w:t>1</w:t>
      </w:r>
      <w:r w:rsidRPr="008F5E96">
        <w:rPr>
          <w:rtl/>
        </w:rPr>
        <w:tab/>
        <w:t>مقدمة</w:t>
      </w:r>
    </w:p>
    <w:p w14:paraId="1D3A6419" w14:textId="68C53F79" w:rsidR="00F16B4E" w:rsidRPr="006B0976" w:rsidRDefault="00F16B4E" w:rsidP="008F5E96">
      <w:pPr>
        <w:rPr>
          <w:lang w:val="ar-SA" w:eastAsia="zh-TW" w:bidi="en-GB"/>
        </w:rPr>
      </w:pPr>
      <w:r w:rsidRPr="006B0976">
        <w:rPr>
          <w:rtl/>
        </w:rPr>
        <w:t xml:space="preserve">اعتمد مجلس الاتحاد في دورته لعام 2023، </w:t>
      </w:r>
      <w:hyperlink r:id="rId10" w:history="1">
        <w:r w:rsidRPr="008F5E96">
          <w:rPr>
            <w:rStyle w:val="Hyperlink"/>
            <w:noProof w:val="0"/>
            <w:rtl/>
            <w:lang w:val="en-US" w:eastAsia="zh-CN"/>
          </w:rPr>
          <w:t>القرار 1408</w:t>
        </w:r>
      </w:hyperlink>
      <w:r w:rsidRPr="00F16B4E">
        <w:rPr>
          <w:rFonts w:hint="cs"/>
          <w:rtl/>
        </w:rPr>
        <w:t xml:space="preserve"> </w:t>
      </w:r>
      <w:r w:rsidRPr="006B0976">
        <w:rPr>
          <w:rtl/>
        </w:rPr>
        <w:t>المعدَّل بشأن "</w:t>
      </w:r>
      <w:r w:rsidRPr="006B0976">
        <w:rPr>
          <w:b/>
          <w:bCs/>
          <w:rtl/>
        </w:rPr>
        <w:t>تقديم المساعدة والدعم إلى أوكرانيا لإعادة بناء قطاع اتصالاتها</w:t>
      </w:r>
      <w:r w:rsidRPr="006B0976">
        <w:rPr>
          <w:rtl/>
        </w:rPr>
        <w:t xml:space="preserve">". ويلخص هذا التقرير الإجراءات التي تتخذها أمانة الاتحاد منذ يونيو 2025 لتنفيذ أحكام الفقرة </w:t>
      </w:r>
      <w:r w:rsidRPr="00BD22EF">
        <w:rPr>
          <w:rtl/>
        </w:rPr>
        <w:t>"</w:t>
      </w:r>
      <w:r w:rsidRPr="006B0976">
        <w:rPr>
          <w:i/>
          <w:iCs/>
          <w:rtl/>
        </w:rPr>
        <w:t>يقرر</w:t>
      </w:r>
      <w:r w:rsidRPr="00BD22EF">
        <w:rPr>
          <w:rtl/>
        </w:rPr>
        <w:t>"</w:t>
      </w:r>
      <w:r w:rsidRPr="006B0976">
        <w:rPr>
          <w:rtl/>
        </w:rPr>
        <w:t xml:space="preserve"> من هذا القرار، مع التركيز بشكل خاص على الرصد والإبلاغ، وآليات التنسيق، والمساعدة التقنية، وتعبئة الموارد وأنشطة بناء القدرات.</w:t>
      </w:r>
      <w:r>
        <w:fldChar w:fldCharType="begin"/>
      </w:r>
      <w:r>
        <w:instrText>HYPERLINK "https://www.itu.int/md/S23-CL-C-0122/en" \h</w:instrText>
      </w:r>
      <w:r>
        <w:fldChar w:fldCharType="separate"/>
      </w:r>
      <w:r>
        <w:fldChar w:fldCharType="end"/>
      </w:r>
    </w:p>
    <w:p w14:paraId="641EC49C" w14:textId="77777777" w:rsidR="00F16B4E" w:rsidRPr="00F26E33" w:rsidRDefault="00F16B4E" w:rsidP="00F26E33">
      <w:pPr>
        <w:pStyle w:val="Heading1"/>
      </w:pPr>
      <w:bookmarkStart w:id="0" w:name="_Toc521108113"/>
      <w:r w:rsidRPr="00F26E33">
        <w:rPr>
          <w:rtl/>
        </w:rPr>
        <w:t>2</w:t>
      </w:r>
      <w:r w:rsidRPr="00F26E33">
        <w:rPr>
          <w:rtl/>
        </w:rPr>
        <w:tab/>
        <w:t>الرصد والإبلاغ</w:t>
      </w:r>
      <w:bookmarkEnd w:id="0"/>
    </w:p>
    <w:p w14:paraId="0B6970FD" w14:textId="3BC9321A" w:rsidR="00F16B4E" w:rsidRPr="006B0976" w:rsidRDefault="00F16B4E" w:rsidP="00F16B4E">
      <w:pPr>
        <w:textDirection w:val="tbRlV"/>
        <w:rPr>
          <w:lang w:val="ar-SA" w:eastAsia="zh-TW" w:bidi="en-GB"/>
        </w:rPr>
      </w:pPr>
      <w:r w:rsidRPr="006B0976">
        <w:rPr>
          <w:rtl/>
        </w:rPr>
        <w:t xml:space="preserve">بهدف تيسير المساعدة التقنية الفعالة، اعتُمدت عملية رصد مستمر للصمود الرقمي في أوكرانيا. واستمر تحديث موقع إلكتروني خاص مكرَّس لتنفيذ القرار 1408، وهو متاح </w:t>
      </w:r>
      <w:hyperlink r:id="rId11" w:history="1">
        <w:r w:rsidRPr="00F26E33">
          <w:rPr>
            <w:rStyle w:val="Hyperlink"/>
            <w:noProof w:val="0"/>
            <w:rtl/>
            <w:lang w:val="en-US" w:eastAsia="zh-CN"/>
          </w:rPr>
          <w:t>هنا</w:t>
        </w:r>
      </w:hyperlink>
      <w:r w:rsidRPr="006B0976">
        <w:rPr>
          <w:rtl/>
        </w:rPr>
        <w:t>.</w:t>
      </w:r>
      <w:hyperlink r:id="rId12" w:history="1"/>
    </w:p>
    <w:p w14:paraId="672044FE" w14:textId="544F8549" w:rsidR="00F16B4E" w:rsidRPr="005367EE" w:rsidRDefault="00F16B4E" w:rsidP="00F16B4E">
      <w:pPr>
        <w:textDirection w:val="tbRlV"/>
        <w:rPr>
          <w:color w:val="000000" w:themeColor="text1"/>
          <w:spacing w:val="-2"/>
          <w:lang w:val="ar-SA" w:eastAsia="zh-TW" w:bidi="en-GB"/>
        </w:rPr>
      </w:pPr>
      <w:r w:rsidRPr="005367EE">
        <w:rPr>
          <w:spacing w:val="-2"/>
          <w:rtl/>
        </w:rPr>
        <w:t xml:space="preserve">وواصل الاتحاد، بصفته وكالة الأمم المتحدة </w:t>
      </w:r>
      <w:r w:rsidRPr="005367EE">
        <w:rPr>
          <w:spacing w:val="-2"/>
        </w:rPr>
        <w:t>(UN)</w:t>
      </w:r>
      <w:r w:rsidRPr="005367EE">
        <w:rPr>
          <w:spacing w:val="-2"/>
          <w:rtl/>
        </w:rPr>
        <w:t xml:space="preserve"> المعنية بالتكنولوجيا الرقمية، المساهمة في الممارسة المنتظمة المتمثلة في إعداد </w:t>
      </w:r>
      <w:r w:rsidRPr="005367EE">
        <w:rPr>
          <w:b/>
          <w:bCs/>
          <w:spacing w:val="-2"/>
          <w:rtl/>
        </w:rPr>
        <w:t xml:space="preserve">تقرير التقييم السريع للأضرار والاحتياجات </w:t>
      </w:r>
      <w:r w:rsidRPr="005367EE">
        <w:rPr>
          <w:b/>
          <w:bCs/>
          <w:spacing w:val="-2"/>
        </w:rPr>
        <w:t>(RDNA)</w:t>
      </w:r>
      <w:r w:rsidRPr="005367EE">
        <w:rPr>
          <w:spacing w:val="-2"/>
          <w:rtl/>
        </w:rPr>
        <w:t>، بتيسير المفوضية الأوروبية والبنك الدولي والأمم المتحدة. وركزت مساهمة الاتحاد أساساً على الفصل المتعلق "بالاتصالات والتكنولوجيا الرقمية ووسائل الإعلام". وصدرت الطبعة الخامسة من هذا التقرير في 23 فبراير 2026، وهي وثيقة توجيهية لمجتمع المانحين الدوليين فيما</w:t>
      </w:r>
      <w:r w:rsidR="00F26E33" w:rsidRPr="005367EE">
        <w:rPr>
          <w:rFonts w:hint="cs"/>
          <w:spacing w:val="-2"/>
          <w:rtl/>
        </w:rPr>
        <w:t> </w:t>
      </w:r>
      <w:r w:rsidRPr="005367EE">
        <w:rPr>
          <w:spacing w:val="-2"/>
          <w:rtl/>
        </w:rPr>
        <w:t>يخص المساعدة في</w:t>
      </w:r>
      <w:r w:rsidR="005367EE">
        <w:rPr>
          <w:rFonts w:hint="cs"/>
          <w:spacing w:val="-2"/>
          <w:rtl/>
        </w:rPr>
        <w:t> </w:t>
      </w:r>
      <w:r w:rsidRPr="005367EE">
        <w:rPr>
          <w:spacing w:val="-2"/>
          <w:rtl/>
        </w:rPr>
        <w:t>عملية إعادة إعمار أوكرانيا.</w:t>
      </w:r>
    </w:p>
    <w:p w14:paraId="5C03AF1F" w14:textId="09B91CC9" w:rsidR="00F16B4E" w:rsidRPr="006B0976" w:rsidRDefault="00F16B4E" w:rsidP="00F16B4E">
      <w:pPr>
        <w:textDirection w:val="tbRlV"/>
        <w:rPr>
          <w:color w:val="000000" w:themeColor="text1"/>
          <w:lang w:val="ar-SA" w:eastAsia="zh-TW" w:bidi="en-GB"/>
        </w:rPr>
      </w:pPr>
      <w:r w:rsidRPr="006B0976">
        <w:rPr>
          <w:rtl/>
        </w:rPr>
        <w:t>ويقدَّر الأثر الإجمالي على قطاع الاتصالات والتكنولوجيا الرقمية ووسائل الإعلام حتى 31 ديسمبر 2025 بمبلغ 2,48 مليار دولار أمريكي، وتقدَّر الخسائر بمبلغ 2,69 مليار دولار أمريكي. وتشمل الأضرار شبكات النطاق العريض المتنقلة والثابتة والمرافق البريدية والبنية التحتية للإذاعة ووسائل الإعلام. وتعكس الخسارة الإيرادات الضائعة على المشغلين من القطاع الخاص ومقدمي الخدمات البريدية، وزيادة تكاليف التشغيل بسبب الإصلاحات، والتكاليف الإضافية لمولدات الكهرباء الاحتياطية. ويتحمل القطاع الخاص العبء الأكبر من الأضرار، إذ تكبد أكثر من 90 في المائة من إجمالي الأضرار؛ وأما</w:t>
      </w:r>
      <w:r w:rsidR="0032734C">
        <w:rPr>
          <w:rFonts w:hint="cs"/>
          <w:rtl/>
        </w:rPr>
        <w:t> </w:t>
      </w:r>
      <w:r w:rsidRPr="006B0976">
        <w:rPr>
          <w:rtl/>
        </w:rPr>
        <w:t>الضرر الذي لحق بالأصول العامة، فيقتصر أساساً على البنية التحتية للإذاعة وجزء من المرافق البريدية. وتمثل شبكات النطاق العريض الثابتة والمتنقلة نحو 85 في المائة من إجمالي الأضرار. وكان لتزايد حصيلة الخسائر في الأرواح آثار سلبية على الصحة البدنية والعقلية في القطاع.</w:t>
      </w:r>
    </w:p>
    <w:p w14:paraId="146212DA" w14:textId="1D9207A4" w:rsidR="00F16B4E" w:rsidRPr="006B0976" w:rsidRDefault="00F16B4E" w:rsidP="00F16B4E">
      <w:pPr>
        <w:textDirection w:val="tbRlV"/>
        <w:rPr>
          <w:color w:val="000000" w:themeColor="text1"/>
          <w:lang w:val="ar-SA" w:eastAsia="zh-TW" w:bidi="en-GB"/>
        </w:rPr>
      </w:pPr>
      <w:r w:rsidRPr="006B0976">
        <w:rPr>
          <w:rtl/>
        </w:rPr>
        <w:t xml:space="preserve">ويقدَّر إجمالي احتياجات إعادة بناء القطاع وتعافيه بمبلغ 7,10 مليار دولار أمريكي على مدى الفترة </w:t>
      </w:r>
      <w:r w:rsidR="006E6715">
        <w:t>2036</w:t>
      </w:r>
      <w:r w:rsidR="006E6715">
        <w:noBreakHyphen/>
        <w:t>2026</w:t>
      </w:r>
      <w:r w:rsidRPr="006B0976">
        <w:rPr>
          <w:rtl/>
        </w:rPr>
        <w:t>، ما</w:t>
      </w:r>
      <w:r w:rsidR="005367EE">
        <w:rPr>
          <w:rFonts w:hint="cs"/>
          <w:rtl/>
        </w:rPr>
        <w:t> </w:t>
      </w:r>
      <w:r w:rsidRPr="006B0976">
        <w:rPr>
          <w:rtl/>
        </w:rPr>
        <w:t>يمثل زيادة بنسبة 21 في المائة مقارنة بالإجمالي الوارد في التقرير الرابع للتقييم السريع للأضرار والاحتياجات.</w:t>
      </w:r>
    </w:p>
    <w:p w14:paraId="1179FFD4" w14:textId="77777777" w:rsidR="00F16B4E" w:rsidRPr="006E6715" w:rsidRDefault="00F16B4E" w:rsidP="006E6715">
      <w:pPr>
        <w:pStyle w:val="Heading1"/>
      </w:pPr>
      <w:bookmarkStart w:id="1" w:name="_Toc1291141038"/>
      <w:r w:rsidRPr="006E6715">
        <w:rPr>
          <w:rtl/>
        </w:rPr>
        <w:t>3</w:t>
      </w:r>
      <w:r w:rsidRPr="006E6715">
        <w:rPr>
          <w:rtl/>
        </w:rPr>
        <w:tab/>
        <w:t>آليات التنسيق لضمان فعالية التنفيذ</w:t>
      </w:r>
      <w:bookmarkEnd w:id="1"/>
    </w:p>
    <w:p w14:paraId="10581833" w14:textId="77777777" w:rsidR="00F16B4E" w:rsidRPr="006B0976" w:rsidRDefault="00F16B4E" w:rsidP="00F16B4E">
      <w:pPr>
        <w:textDirection w:val="tbRlV"/>
        <w:rPr>
          <w:lang w:val="ar-SA" w:eastAsia="zh-TW" w:bidi="en-GB"/>
        </w:rPr>
      </w:pPr>
      <w:r w:rsidRPr="006B0976">
        <w:rPr>
          <w:rtl/>
        </w:rPr>
        <w:t xml:space="preserve">على مستوى الاتحاد، يواصل </w:t>
      </w:r>
      <w:r w:rsidRPr="006B0976">
        <w:rPr>
          <w:b/>
          <w:bCs/>
          <w:rtl/>
        </w:rPr>
        <w:t>فريق مهام خاص معني بالقرار 1408</w:t>
      </w:r>
      <w:r w:rsidRPr="006B0976">
        <w:rPr>
          <w:rtl/>
        </w:rPr>
        <w:t xml:space="preserve"> يترأسه نائب الأمينة العامة ويديره مكتب الاتحاد لأوروبا الاضطلاع بدوره كمنصة للاستجابة المشتركة بين القطاعات فيما يخص جميع القضايا المتعلقة بتنفيذ هذا القرار.</w:t>
      </w:r>
    </w:p>
    <w:p w14:paraId="1EA50823" w14:textId="77777777" w:rsidR="00F16B4E" w:rsidRPr="00E96C8E" w:rsidDel="00903B09" w:rsidRDefault="00F16B4E" w:rsidP="00F16B4E">
      <w:pPr>
        <w:textDirection w:val="tbRlV"/>
        <w:rPr>
          <w:spacing w:val="-2"/>
          <w:lang w:val="ar-SA" w:eastAsia="zh-TW" w:bidi="en-GB"/>
        </w:rPr>
      </w:pPr>
      <w:r w:rsidRPr="00E96C8E">
        <w:rPr>
          <w:spacing w:val="-2"/>
          <w:rtl/>
        </w:rPr>
        <w:t>وبهدف ضمان اتباع نهج منسق في الأنشطة التي ينفذها الاتحاد استجابةً للقرار 1408، وُضعت مجموعة من آليات التنسيق على النحو التالي:</w:t>
      </w:r>
    </w:p>
    <w:p w14:paraId="3C35F59D" w14:textId="764DDCA0" w:rsidR="00F16B4E" w:rsidRPr="006B0976" w:rsidDel="00903B09" w:rsidRDefault="00F16B4E" w:rsidP="00F16B4E">
      <w:pPr>
        <w:pStyle w:val="enumlev1"/>
        <w:textDirection w:val="tbRlV"/>
        <w:rPr>
          <w:lang w:val="ar-SA" w:eastAsia="zh-TW" w:bidi="en-GB"/>
        </w:rPr>
      </w:pPr>
      <w:r w:rsidRPr="006B0976">
        <w:t>–</w:t>
      </w:r>
      <w:r w:rsidRPr="006B0976">
        <w:rPr>
          <w:rtl/>
        </w:rPr>
        <w:tab/>
        <w:t xml:space="preserve">يُجري الاتحاد مكالمات تنسيق منتظمة مع جهة الاتصال الرسمية </w:t>
      </w:r>
      <w:r w:rsidRPr="006B0976">
        <w:rPr>
          <w:b/>
          <w:bCs/>
          <w:rtl/>
        </w:rPr>
        <w:t>لوزارة التحول الرقمي في أوكرانيا</w:t>
      </w:r>
      <w:r w:rsidRPr="006B0976">
        <w:rPr>
          <w:rtl/>
        </w:rPr>
        <w:t xml:space="preserve">، التي تعمل بصفتها إدارة دولة عضو في الاتحاد. إضافة إلى ذلك، يواصل الاتحاد، حسب الحاجة، التعاون مع الدائرة الحكومية للاتصالات الخاصة وحماية المعلومات </w:t>
      </w:r>
      <w:r w:rsidRPr="006B0976">
        <w:t>(SSSICP)</w:t>
      </w:r>
      <w:r w:rsidRPr="006B0976">
        <w:rPr>
          <w:rtl/>
        </w:rPr>
        <w:t>، وهيئة الإذاعة والاتصالات الراديوية والتلفزيون، واللجنة الوطنية لتنظيم الدولة للاتصالات الإلكترونية وطيف الترددات الراديوية وتوفير الخدمات البريدية.</w:t>
      </w:r>
    </w:p>
    <w:p w14:paraId="7D1C6C23" w14:textId="2415CC8E" w:rsidR="00F16B4E" w:rsidRPr="00386F5A" w:rsidRDefault="00F16B4E" w:rsidP="00F16B4E">
      <w:pPr>
        <w:pStyle w:val="enumlev1"/>
        <w:textDirection w:val="tbRlV"/>
        <w:rPr>
          <w:spacing w:val="-4"/>
          <w:lang w:val="ar-SA" w:eastAsia="zh-TW" w:bidi="en-GB"/>
        </w:rPr>
      </w:pPr>
      <w:r w:rsidRPr="00386F5A">
        <w:rPr>
          <w:spacing w:val="-4"/>
        </w:rPr>
        <w:t>–</w:t>
      </w:r>
      <w:r w:rsidRPr="00386F5A">
        <w:rPr>
          <w:spacing w:val="-4"/>
          <w:rtl/>
        </w:rPr>
        <w:tab/>
        <w:t xml:space="preserve">يواصل الاتحاد، بصفته عضواً في </w:t>
      </w:r>
      <w:r w:rsidRPr="00386F5A">
        <w:rPr>
          <w:b/>
          <w:bCs/>
          <w:spacing w:val="-4"/>
          <w:rtl/>
        </w:rPr>
        <w:t>فريق الأمم المتحدة القُطري</w:t>
      </w:r>
      <w:r w:rsidRPr="00386F5A">
        <w:rPr>
          <w:spacing w:val="-4"/>
          <w:rtl/>
        </w:rPr>
        <w:t>، تنسيق جميع أعماله مع منظومة الأمم المتحدة. وقد ساهم الاتحاد في وضع إطار الأمم المتحدة للتعاون من أجل التنمية المستدامة للفترة 2025-2029 ووقّع عليه.</w:t>
      </w:r>
    </w:p>
    <w:p w14:paraId="466D6E54" w14:textId="50449F36" w:rsidR="00F16B4E" w:rsidRPr="0063471F" w:rsidRDefault="00386F5A" w:rsidP="00386F5A">
      <w:pPr>
        <w:pStyle w:val="enumlev1"/>
        <w:rPr>
          <w:spacing w:val="-2"/>
        </w:rPr>
      </w:pPr>
      <w:r w:rsidRPr="0063471F">
        <w:rPr>
          <w:spacing w:val="-2"/>
        </w:rPr>
        <w:t>–</w:t>
      </w:r>
      <w:r w:rsidRPr="0063471F">
        <w:rPr>
          <w:spacing w:val="-2"/>
          <w:rtl/>
        </w:rPr>
        <w:tab/>
      </w:r>
      <w:r w:rsidR="00F16B4E" w:rsidRPr="0063471F">
        <w:rPr>
          <w:spacing w:val="-2"/>
          <w:rtl/>
        </w:rPr>
        <w:t xml:space="preserve">يواظب الاتحاد على التنسيق مع </w:t>
      </w:r>
      <w:r w:rsidR="00F16B4E" w:rsidRPr="0063471F">
        <w:rPr>
          <w:b/>
          <w:bCs/>
          <w:spacing w:val="-2"/>
          <w:rtl/>
        </w:rPr>
        <w:t>المفوضية الأوروبية</w:t>
      </w:r>
      <w:r w:rsidR="00F16B4E" w:rsidRPr="0063471F">
        <w:rPr>
          <w:spacing w:val="-2"/>
          <w:rtl/>
        </w:rPr>
        <w:t xml:space="preserve"> بشأن أنشطته الجارية والمخططة في مجال تكنولوجيا المعلومات والاتصالات وإعادة بناء البنية التحتية للإذاعة، ونشر البنية التحتية للجيل الخامس والاتصالات الإلكترونية. وكما هو مفصل أدناه، يحضِّر الاتحاد حالياً، بالتنسيق مع إدارة أوكرانيا، لورشة العمل </w:t>
      </w:r>
      <w:r w:rsidR="00F16B4E" w:rsidRPr="0063471F">
        <w:rPr>
          <w:spacing w:val="-2"/>
        </w:rPr>
        <w:t>TAIEX</w:t>
      </w:r>
      <w:r w:rsidR="00F16B4E" w:rsidRPr="0063471F">
        <w:rPr>
          <w:spacing w:val="-2"/>
          <w:rtl/>
        </w:rPr>
        <w:t xml:space="preserve"> المقبلة، بناءً على التجربة الإيجابية خلال ورشة العمل </w:t>
      </w:r>
      <w:r w:rsidR="00F16B4E" w:rsidRPr="0063471F">
        <w:rPr>
          <w:spacing w:val="-2"/>
        </w:rPr>
        <w:t>TAIEX</w:t>
      </w:r>
      <w:r w:rsidR="00F16B4E" w:rsidRPr="0063471F">
        <w:rPr>
          <w:spacing w:val="-2"/>
          <w:rtl/>
        </w:rPr>
        <w:t xml:space="preserve"> الأولى المشتركة بينه وبين الاتحاد الأوروبي، التي عُقدت في</w:t>
      </w:r>
      <w:r w:rsidR="0063471F">
        <w:rPr>
          <w:rFonts w:hint="cs"/>
          <w:spacing w:val="-2"/>
          <w:rtl/>
        </w:rPr>
        <w:t> </w:t>
      </w:r>
      <w:r w:rsidR="00F16B4E" w:rsidRPr="0063471F">
        <w:rPr>
          <w:spacing w:val="-2"/>
          <w:rtl/>
        </w:rPr>
        <w:t>ديسمبر 2024.</w:t>
      </w:r>
    </w:p>
    <w:p w14:paraId="6F2E70D8" w14:textId="26054F60" w:rsidR="00F16B4E" w:rsidRPr="00FA087E" w:rsidRDefault="0063471F" w:rsidP="0063471F">
      <w:pPr>
        <w:pStyle w:val="enumlev1"/>
        <w:rPr>
          <w:spacing w:val="-4"/>
        </w:rPr>
      </w:pPr>
      <w:r w:rsidRPr="00FA087E">
        <w:rPr>
          <w:spacing w:val="-4"/>
        </w:rPr>
        <w:lastRenderedPageBreak/>
        <w:t>–</w:t>
      </w:r>
      <w:r w:rsidRPr="00FA087E">
        <w:rPr>
          <w:spacing w:val="-4"/>
          <w:rtl/>
        </w:rPr>
        <w:tab/>
      </w:r>
      <w:r w:rsidR="00F16B4E" w:rsidRPr="00FA087E">
        <w:rPr>
          <w:spacing w:val="-4"/>
          <w:rtl/>
        </w:rPr>
        <w:t xml:space="preserve">بعد المشاركة النشطة سنوياً في </w:t>
      </w:r>
      <w:r w:rsidR="00F16B4E" w:rsidRPr="00FA087E">
        <w:rPr>
          <w:b/>
          <w:bCs/>
          <w:spacing w:val="-4"/>
          <w:rtl/>
        </w:rPr>
        <w:t>مؤتمرات تعافي أوكرانيا</w:t>
      </w:r>
      <w:r w:rsidR="00F16B4E" w:rsidRPr="00FA087E">
        <w:rPr>
          <w:spacing w:val="-4"/>
          <w:rtl/>
        </w:rPr>
        <w:t xml:space="preserve">، في يوليو 2025، وبناءً على دعوة من إيطاليا، ساهم الاتحاد في مؤتمر تعافي أوكرانيا </w:t>
      </w:r>
      <w:r w:rsidR="00F16B4E" w:rsidRPr="00FA087E">
        <w:rPr>
          <w:spacing w:val="-4"/>
        </w:rPr>
        <w:t>(URC)</w:t>
      </w:r>
      <w:r w:rsidR="00F16B4E" w:rsidRPr="00FA087E">
        <w:rPr>
          <w:spacing w:val="-4"/>
          <w:rtl/>
        </w:rPr>
        <w:t xml:space="preserve"> الذي عُقد في روما. ويسَّر الاتحاد تنظيم الحدث الجانبي "بناء قدرة الاتصالات على الصمود: تحول أوكرانيا في زمن الحرب وشراكات الاستثمار العالمية" بمشاركة رفيعة المستوى من أوكرانيا وشركائها. وأتاح الحدث الفرصة لتسليط الضوء على العمل الذي يضطلع به الاتحاد لدعم أوكرانيا، وسعى إلى إقامة شراكات فعالة للمضي قدماً في تنفيذ القرار 1408 الصادر عن مجلس الاتحاد. وبدأت الأعمال التحضيرية المتعلقة بمساهمة الاتحاد في مؤتمر تعافي أوكرانيا لعام 2026 المزمع عقده في يوليو، في غدانسك، بولندا.</w:t>
      </w:r>
    </w:p>
    <w:p w14:paraId="63ABF09F" w14:textId="7E257F9B" w:rsidR="00F16B4E" w:rsidRPr="000A6A48" w:rsidRDefault="0063471F" w:rsidP="00FA087E">
      <w:pPr>
        <w:pStyle w:val="enumlev1"/>
        <w:rPr>
          <w:spacing w:val="-4"/>
        </w:rPr>
      </w:pPr>
      <w:r w:rsidRPr="000A6A48">
        <w:rPr>
          <w:spacing w:val="-4"/>
        </w:rPr>
        <w:t>–</w:t>
      </w:r>
      <w:r w:rsidRPr="000A6A48">
        <w:rPr>
          <w:spacing w:val="-4"/>
          <w:rtl/>
        </w:rPr>
        <w:tab/>
      </w:r>
      <w:r w:rsidR="00F16B4E" w:rsidRPr="000A6A48">
        <w:rPr>
          <w:spacing w:val="-4"/>
          <w:rtl/>
        </w:rPr>
        <w:t>بغية تعزيز القدرات البشرية، يواصل الاتحاد العمل جنباً إلى جنب مع الأعضاء من الهيئات الأكاديمية، ولا</w:t>
      </w:r>
      <w:r w:rsidR="004D6849">
        <w:rPr>
          <w:rFonts w:hint="cs"/>
          <w:spacing w:val="-4"/>
          <w:rtl/>
        </w:rPr>
        <w:t> </w:t>
      </w:r>
      <w:r w:rsidR="00F16B4E" w:rsidRPr="000A6A48">
        <w:rPr>
          <w:spacing w:val="-4"/>
          <w:rtl/>
        </w:rPr>
        <w:t xml:space="preserve">سيما </w:t>
      </w:r>
      <w:r w:rsidR="00F16B4E" w:rsidRPr="000A6A48">
        <w:rPr>
          <w:b/>
          <w:bCs/>
          <w:spacing w:val="-4"/>
          <w:rtl/>
        </w:rPr>
        <w:t xml:space="preserve">الجامعة الحكومية لتكنولوجيا المعلومات والاتصالات في أوكرانيا </w:t>
      </w:r>
      <w:r w:rsidR="00F16B4E" w:rsidRPr="000A6A48">
        <w:rPr>
          <w:b/>
          <w:bCs/>
          <w:spacing w:val="-4"/>
        </w:rPr>
        <w:t>(SUICT)</w:t>
      </w:r>
      <w:r w:rsidR="00F16B4E" w:rsidRPr="000A6A48">
        <w:rPr>
          <w:spacing w:val="-4"/>
          <w:rtl/>
        </w:rPr>
        <w:t>. وفي نوفمبر 2025، قدم الاتحاد الدعم وساهم في تنظيم المؤتمر الدولي العلمي والعملي "التحول الرقمي: تعزيز قدرات الأمن السيبراني في</w:t>
      </w:r>
      <w:r w:rsidR="00FA087E" w:rsidRPr="000A6A48">
        <w:rPr>
          <w:rFonts w:hint="cs"/>
          <w:spacing w:val="-4"/>
          <w:rtl/>
        </w:rPr>
        <w:t> </w:t>
      </w:r>
      <w:r w:rsidR="00F16B4E" w:rsidRPr="000A6A48">
        <w:rPr>
          <w:spacing w:val="-4"/>
          <w:rtl/>
        </w:rPr>
        <w:t>العالم الحديث" (4-5 نوفمبر 2025)، بقيادة الجامعة الحكومية لتكنولوجيا المعلومات والاتصالات في</w:t>
      </w:r>
      <w:r w:rsidR="00C216BB" w:rsidRPr="000A6A48">
        <w:rPr>
          <w:rFonts w:hint="cs"/>
          <w:spacing w:val="-4"/>
          <w:rtl/>
        </w:rPr>
        <w:t> </w:t>
      </w:r>
      <w:r w:rsidR="00F16B4E" w:rsidRPr="000A6A48">
        <w:rPr>
          <w:spacing w:val="-4"/>
          <w:rtl/>
        </w:rPr>
        <w:t>أوكرانيا وجامعة اللجنة الوطنية للتعليم في كراكوف، بولندا. وجمع المؤتمر أكثر من 100 من أصحاب المصلحة لمناقشة التحديات الراهنة المتعلقة بالأمن السيبراني والتحول الرقمي. ومن المخطط عقد مؤتمر ثان في تركيا في يونيو 2026، بدعم من الاتحاد، تنظمه الجامعة الحكومية لتكنولوجيا المعلومات والاتصالات في أوكرانيا بالتعاون مع شركاء أكاديميين آخرين.</w:t>
      </w:r>
    </w:p>
    <w:p w14:paraId="563B022A" w14:textId="07FA4079" w:rsidR="00F16B4E" w:rsidRPr="000A6A48" w:rsidRDefault="00F16B4E" w:rsidP="000A6A48">
      <w:pPr>
        <w:pStyle w:val="Heading1"/>
      </w:pPr>
      <w:bookmarkStart w:id="2" w:name="_Toc740993895"/>
      <w:r w:rsidRPr="000A6A48">
        <w:rPr>
          <w:rtl/>
        </w:rPr>
        <w:t>4</w:t>
      </w:r>
      <w:r w:rsidRPr="000A6A48">
        <w:rPr>
          <w:rtl/>
        </w:rPr>
        <w:tab/>
        <w:t>المساعدة التقنية وأنشطة الدعوة</w:t>
      </w:r>
      <w:bookmarkEnd w:id="2"/>
    </w:p>
    <w:p w14:paraId="30CEEF82" w14:textId="30A9E14B" w:rsidR="00F16B4E" w:rsidRPr="00B956BE" w:rsidRDefault="00F16B4E" w:rsidP="00F16B4E">
      <w:pPr>
        <w:textDirection w:val="tbRlV"/>
        <w:rPr>
          <w:rFonts w:eastAsia="Calibri"/>
          <w:color w:val="000000" w:themeColor="text1"/>
          <w:spacing w:val="-2"/>
          <w:lang w:val="ar-SA" w:eastAsia="zh-TW" w:bidi="en-GB"/>
        </w:rPr>
      </w:pPr>
      <w:r w:rsidRPr="00B956BE">
        <w:rPr>
          <w:spacing w:val="-2"/>
          <w:rtl/>
        </w:rPr>
        <w:t>عقب سلسلة من الاجتماعات التنسيقية مع وزارة التحول الرقمي في أوكرانيا، واستناداً إلى مساهمة أوكرانيا في</w:t>
      </w:r>
      <w:r w:rsidR="00BB6CAF">
        <w:rPr>
          <w:rFonts w:hint="cs"/>
          <w:spacing w:val="-2"/>
          <w:rtl/>
        </w:rPr>
        <w:t> </w:t>
      </w:r>
      <w:r w:rsidRPr="00B956BE">
        <w:rPr>
          <w:spacing w:val="-2"/>
          <w:rtl/>
        </w:rPr>
        <w:t>منتدى التنمية الإقليمي لأوروبا لعام 2026، واستجابةً لأحكام الفقرة </w:t>
      </w:r>
      <w:r w:rsidRPr="00B956BE">
        <w:rPr>
          <w:i/>
          <w:iCs/>
          <w:spacing w:val="-2"/>
          <w:rtl/>
        </w:rPr>
        <w:t>"يقرر"</w:t>
      </w:r>
      <w:r w:rsidRPr="00B956BE">
        <w:rPr>
          <w:spacing w:val="-2"/>
          <w:rtl/>
        </w:rPr>
        <w:t xml:space="preserve"> من القرار 1408 الصادر عن مجلس الاتحاد، حُددت على نحو مشترك مجموعة من المشاريع المحتملة كأولوية للعمل والدعم الدولي. ويمكن إتاحة أوصاف تفصيلية للمشاريع ذات الأولوية عند الطلب. وتشمل مجموعة المشاريع ذات الأولوية ما يلي:</w:t>
      </w:r>
    </w:p>
    <w:p w14:paraId="0DC7176F" w14:textId="1693CB3F" w:rsidR="00F16B4E" w:rsidRPr="00060E9C" w:rsidRDefault="000A6A48" w:rsidP="000A6A48">
      <w:pPr>
        <w:pStyle w:val="enumlev1"/>
        <w:rPr>
          <w:spacing w:val="-2"/>
        </w:rPr>
      </w:pPr>
      <w:r w:rsidRPr="00060E9C">
        <w:rPr>
          <w:spacing w:val="-2"/>
        </w:rPr>
        <w:t>–</w:t>
      </w:r>
      <w:r w:rsidRPr="00060E9C">
        <w:rPr>
          <w:spacing w:val="-2"/>
          <w:rtl/>
        </w:rPr>
        <w:tab/>
      </w:r>
      <w:r w:rsidR="00F16B4E" w:rsidRPr="00060E9C">
        <w:rPr>
          <w:spacing w:val="-2"/>
          <w:rtl/>
        </w:rPr>
        <w:t>زيادة إمكانية النفاذ إلى الإنترنت، بما في ذلك توصيل المجتمعات المحلية بالنطاق العريض الثابت وتزويد المؤسسات الاجتماعية (المدارس والمرافق الطبية) بتوصيلية بالإنترنت مستقرة وذات كفاءة من حيث استهلاك الطاقة وعالية السرعة (المتطلبات المالية</w:t>
      </w:r>
      <w:r w:rsidR="00F16B4E" w:rsidRPr="00060E9C">
        <w:rPr>
          <w:spacing w:val="-2"/>
        </w:rPr>
        <w:t>:</w:t>
      </w:r>
      <w:r w:rsidR="00F16B4E" w:rsidRPr="00060E9C">
        <w:rPr>
          <w:spacing w:val="-2"/>
          <w:rtl/>
        </w:rPr>
        <w:t xml:space="preserve"> 35 مليون دولار </w:t>
      </w:r>
      <w:proofErr w:type="gramStart"/>
      <w:r w:rsidR="00F16B4E" w:rsidRPr="00060E9C">
        <w:rPr>
          <w:spacing w:val="-2"/>
          <w:rtl/>
        </w:rPr>
        <w:t>أمريكي)؛</w:t>
      </w:r>
      <w:proofErr w:type="gramEnd"/>
    </w:p>
    <w:p w14:paraId="29DAC28F" w14:textId="0B274D44" w:rsidR="00F16B4E" w:rsidRPr="00F16109" w:rsidRDefault="000A6A48" w:rsidP="000A6A48">
      <w:pPr>
        <w:pStyle w:val="enumlev1"/>
        <w:rPr>
          <w:spacing w:val="-2"/>
        </w:rPr>
      </w:pPr>
      <w:r w:rsidRPr="00F16109">
        <w:rPr>
          <w:spacing w:val="-2"/>
        </w:rPr>
        <w:t>–</w:t>
      </w:r>
      <w:r w:rsidRPr="00F16109">
        <w:rPr>
          <w:spacing w:val="-2"/>
          <w:rtl/>
        </w:rPr>
        <w:tab/>
      </w:r>
      <w:r w:rsidR="00F16B4E" w:rsidRPr="00F16109">
        <w:rPr>
          <w:spacing w:val="-2"/>
          <w:rtl/>
        </w:rPr>
        <w:t xml:space="preserve">بناء القدرات المؤسسية في مجال الاتصالات الإلكترونية، بما في ذلك تنسيق المساعدة التقنية الدولية ودعم البنية التحتية والمشاريع التنظيمية الرئيسية (المتطلبات المالية: مليون دولار </w:t>
      </w:r>
      <w:proofErr w:type="gramStart"/>
      <w:r w:rsidR="00F16B4E" w:rsidRPr="00F16109">
        <w:rPr>
          <w:spacing w:val="-2"/>
          <w:rtl/>
        </w:rPr>
        <w:t>أمريكي)؛</w:t>
      </w:r>
      <w:proofErr w:type="gramEnd"/>
    </w:p>
    <w:p w14:paraId="4866BB7E" w14:textId="72571082" w:rsidR="00F16B4E" w:rsidRPr="000A6A48" w:rsidRDefault="000A6A48" w:rsidP="000A6A48">
      <w:pPr>
        <w:pStyle w:val="enumlev1"/>
      </w:pPr>
      <w:r w:rsidRPr="000A6A48">
        <w:t>–</w:t>
      </w:r>
      <w:r w:rsidRPr="000A6A48">
        <w:rPr>
          <w:rtl/>
        </w:rPr>
        <w:tab/>
      </w:r>
      <w:r w:rsidR="00F16B4E" w:rsidRPr="000A6A48">
        <w:rPr>
          <w:rtl/>
        </w:rPr>
        <w:t>التواصل الدولي بشأن تعافي وتنمية قطاع الاتصالات في أوكرانيا (المتطلبات المالية</w:t>
      </w:r>
      <w:r w:rsidR="00F74D85">
        <w:rPr>
          <w:rFonts w:hint="cs"/>
          <w:rtl/>
        </w:rPr>
        <w:t>:</w:t>
      </w:r>
      <w:r w:rsidR="00F16B4E" w:rsidRPr="000A6A48">
        <w:rPr>
          <w:rtl/>
        </w:rPr>
        <w:t xml:space="preserve"> </w:t>
      </w:r>
      <w:r w:rsidR="00F74D85">
        <w:t>500 000</w:t>
      </w:r>
      <w:r w:rsidR="00F16B4E" w:rsidRPr="000A6A48">
        <w:rPr>
          <w:rtl/>
        </w:rPr>
        <w:t xml:space="preserve"> دولار </w:t>
      </w:r>
      <w:proofErr w:type="gramStart"/>
      <w:r w:rsidR="00F16B4E" w:rsidRPr="000A6A48">
        <w:rPr>
          <w:rtl/>
        </w:rPr>
        <w:t>أمريكي)؛</w:t>
      </w:r>
      <w:proofErr w:type="gramEnd"/>
    </w:p>
    <w:p w14:paraId="2833BEEB" w14:textId="34074947" w:rsidR="00F16B4E" w:rsidRPr="000A6A48" w:rsidRDefault="000A6A48" w:rsidP="000A6A48">
      <w:pPr>
        <w:pStyle w:val="enumlev1"/>
      </w:pPr>
      <w:r w:rsidRPr="000A6A48">
        <w:t>–</w:t>
      </w:r>
      <w:r w:rsidRPr="000A6A48">
        <w:rPr>
          <w:rtl/>
        </w:rPr>
        <w:tab/>
      </w:r>
      <w:r w:rsidR="00F16B4E" w:rsidRPr="000A6A48">
        <w:rPr>
          <w:rtl/>
        </w:rPr>
        <w:t>الحد من رهاب الإشعاع ومقاومة الجمهور للبنية التحتية للشبكات المتنقلة (المتطلبات المالية</w:t>
      </w:r>
      <w:r w:rsidR="00F74D85">
        <w:rPr>
          <w:rFonts w:hint="cs"/>
          <w:rtl/>
        </w:rPr>
        <w:t>:</w:t>
      </w:r>
      <w:r w:rsidR="00F16B4E" w:rsidRPr="000A6A48">
        <w:rPr>
          <w:rtl/>
        </w:rPr>
        <w:t xml:space="preserve"> </w:t>
      </w:r>
      <w:r w:rsidR="00F74D85">
        <w:t>500 000</w:t>
      </w:r>
      <w:r w:rsidR="00F16B4E" w:rsidRPr="000A6A48">
        <w:rPr>
          <w:rtl/>
        </w:rPr>
        <w:t xml:space="preserve"> دولار </w:t>
      </w:r>
      <w:proofErr w:type="gramStart"/>
      <w:r w:rsidR="00F16B4E" w:rsidRPr="000A6A48">
        <w:rPr>
          <w:rtl/>
        </w:rPr>
        <w:t>أمريكي)؛</w:t>
      </w:r>
      <w:proofErr w:type="gramEnd"/>
    </w:p>
    <w:p w14:paraId="643017A8" w14:textId="69C0C3C1" w:rsidR="00F16B4E" w:rsidRPr="000A6A48" w:rsidRDefault="000A6A48" w:rsidP="000A6A48">
      <w:pPr>
        <w:pStyle w:val="enumlev1"/>
      </w:pPr>
      <w:r w:rsidRPr="000A6A48">
        <w:t>–</w:t>
      </w:r>
      <w:r w:rsidRPr="000A6A48">
        <w:rPr>
          <w:rtl/>
        </w:rPr>
        <w:tab/>
      </w:r>
      <w:r w:rsidR="00F16B4E" w:rsidRPr="000A6A48">
        <w:rPr>
          <w:rtl/>
        </w:rPr>
        <w:t>برامج الدعم لمشغلي الاتصالات الصغار والمتوسطين (المتطلبات المالية</w:t>
      </w:r>
      <w:r w:rsidR="00F16B4E" w:rsidRPr="000A6A48">
        <w:t>:</w:t>
      </w:r>
      <w:r w:rsidR="00F16B4E" w:rsidRPr="000A6A48">
        <w:rPr>
          <w:rtl/>
        </w:rPr>
        <w:t xml:space="preserve"> 50 مليون دولار </w:t>
      </w:r>
      <w:proofErr w:type="gramStart"/>
      <w:r w:rsidR="00F16B4E" w:rsidRPr="000A6A48">
        <w:rPr>
          <w:rtl/>
        </w:rPr>
        <w:t>أمريكي)؛</w:t>
      </w:r>
      <w:proofErr w:type="gramEnd"/>
    </w:p>
    <w:p w14:paraId="24088384" w14:textId="060EBD06" w:rsidR="00F16B4E" w:rsidRPr="000A6A48" w:rsidRDefault="000A6A48" w:rsidP="000A6A48">
      <w:pPr>
        <w:pStyle w:val="enumlev1"/>
      </w:pPr>
      <w:r w:rsidRPr="000A6A48">
        <w:t>–</w:t>
      </w:r>
      <w:r w:rsidRPr="000A6A48">
        <w:rPr>
          <w:rtl/>
        </w:rPr>
        <w:tab/>
      </w:r>
      <w:r w:rsidR="00F16B4E" w:rsidRPr="000A6A48">
        <w:rPr>
          <w:rtl/>
        </w:rPr>
        <w:t xml:space="preserve">استقطاب </w:t>
      </w:r>
      <w:r w:rsidR="003E5472" w:rsidRPr="000A6A48">
        <w:rPr>
          <w:rFonts w:hint="cs"/>
          <w:rtl/>
        </w:rPr>
        <w:t>المشغلين</w:t>
      </w:r>
      <w:r w:rsidR="00F16B4E" w:rsidRPr="000A6A48">
        <w:rPr>
          <w:rtl/>
        </w:rPr>
        <w:t xml:space="preserve"> من المستوى الأول لدعم البنية التحتية للشبكات الفقرية وشبكات العبور؛</w:t>
      </w:r>
    </w:p>
    <w:p w14:paraId="75AA1F9D" w14:textId="35AAB89B" w:rsidR="00F16B4E" w:rsidRPr="000A6A48" w:rsidRDefault="000A6A48" w:rsidP="000A6A48">
      <w:pPr>
        <w:pStyle w:val="enumlev1"/>
      </w:pPr>
      <w:r w:rsidRPr="000A6A48">
        <w:t>–</w:t>
      </w:r>
      <w:r w:rsidRPr="000A6A48">
        <w:rPr>
          <w:rtl/>
        </w:rPr>
        <w:tab/>
      </w:r>
      <w:r w:rsidR="00F16B4E" w:rsidRPr="000A6A48">
        <w:rPr>
          <w:rtl/>
        </w:rPr>
        <w:t>دعم مبادرات البحث والتطوير ومبادرات التوطين لتصنيع معدات الاتصالات، من خلال الأطر السياساتية والاستثمارية التمكينية.</w:t>
      </w:r>
    </w:p>
    <w:p w14:paraId="1A8BC0E0" w14:textId="511AFA09" w:rsidR="00F16B4E" w:rsidRPr="008906C5" w:rsidRDefault="00F16B4E" w:rsidP="00F16B4E">
      <w:pPr>
        <w:textDirection w:val="tbRlV"/>
        <w:rPr>
          <w:rFonts w:eastAsia="Calibri"/>
          <w:color w:val="000000" w:themeColor="text1"/>
          <w:spacing w:val="-4"/>
          <w:lang w:val="ar-SA" w:eastAsia="zh-TW" w:bidi="en-GB"/>
        </w:rPr>
      </w:pPr>
      <w:r w:rsidRPr="008906C5">
        <w:rPr>
          <w:spacing w:val="-4"/>
          <w:rtl/>
        </w:rPr>
        <w:t xml:space="preserve">ويحضِّر الاتحاد لورشة العمل </w:t>
      </w:r>
      <w:r w:rsidRPr="008906C5">
        <w:rPr>
          <w:spacing w:val="-4"/>
        </w:rPr>
        <w:t>TAIEX</w:t>
      </w:r>
      <w:r w:rsidRPr="008906C5">
        <w:rPr>
          <w:spacing w:val="-4"/>
          <w:rtl/>
        </w:rPr>
        <w:t xml:space="preserve"> المقبلة بشأن نماذج الابتكار والأمن السيبراني والاستثمار في مجال الاتصالات من أجل مؤتمر تعافي أوكرانيا المزمع عقده في عام 2026. وستركز ورشة العمل على تعزيز قدرات أصحاب المصلحة الأوكرانيين في</w:t>
      </w:r>
      <w:r w:rsidR="008906C5" w:rsidRPr="008906C5">
        <w:rPr>
          <w:rFonts w:hint="cs"/>
          <w:spacing w:val="-4"/>
          <w:rtl/>
        </w:rPr>
        <w:t> </w:t>
      </w:r>
      <w:r w:rsidRPr="008906C5">
        <w:rPr>
          <w:spacing w:val="-4"/>
          <w:rtl/>
        </w:rPr>
        <w:t>مجال السياسات والأدوات المالية والنهج الرامية إلى إعادة تأهيل البنية التحتية لتكنولوجيا المعلومات والاتصالات وتحديثها.</w:t>
      </w:r>
    </w:p>
    <w:p w14:paraId="7E730825" w14:textId="12F700EA" w:rsidR="00F16B4E" w:rsidRPr="006B0976" w:rsidRDefault="00F16B4E" w:rsidP="00F16B4E">
      <w:pPr>
        <w:textDirection w:val="tbRlV"/>
        <w:rPr>
          <w:rFonts w:eastAsia="Calibri"/>
          <w:color w:val="000000" w:themeColor="text1"/>
          <w:lang w:val="ar-SA" w:eastAsia="zh-TW" w:bidi="en-GB"/>
        </w:rPr>
      </w:pPr>
      <w:r w:rsidRPr="006B0976">
        <w:rPr>
          <w:rtl/>
        </w:rPr>
        <w:t xml:space="preserve">ومنذ بداية عام 2026، يسّر الاتحاد مشاركة أوكرانيا في مبادرة </w:t>
      </w:r>
      <w:r w:rsidRPr="006B0976">
        <w:t>Giga</w:t>
      </w:r>
      <w:r w:rsidRPr="006B0976">
        <w:rPr>
          <w:rtl/>
        </w:rPr>
        <w:t xml:space="preserve"> المشتركة بين الاتحاد واليونيسف، لدعم الجهود المبذولة لتوسيع وتحديث توصيلية المؤسسات الاجتماعية، ولا سيما المدارس.</w:t>
      </w:r>
    </w:p>
    <w:p w14:paraId="1E0C6B2E" w14:textId="77777777" w:rsidR="00F16B4E" w:rsidRPr="006B0976" w:rsidRDefault="00F16B4E" w:rsidP="00F16B4E">
      <w:pPr>
        <w:textDirection w:val="tbRlV"/>
        <w:rPr>
          <w:rFonts w:eastAsia="Calibri"/>
          <w:color w:val="000000" w:themeColor="text1"/>
          <w:lang w:val="ar-SA" w:eastAsia="zh-TW" w:bidi="en-GB"/>
        </w:rPr>
      </w:pPr>
      <w:r w:rsidRPr="006B0976">
        <w:rPr>
          <w:rtl/>
        </w:rPr>
        <w:t>ويسَّر الاتحاد أيضاً مشاركة أوكرانيا في الحوارات الإقليمية بشأن السياسات لتعزيز الوعي الدولي والإقليمي بتعافي قطاع الاتصالات في أوكرانيا، وجهود الصمود، والتقدم المحرز في عمليات الإصلاح.</w:t>
      </w:r>
    </w:p>
    <w:p w14:paraId="5D788160" w14:textId="001B4E12" w:rsidR="00F16B4E" w:rsidRPr="00060E9C" w:rsidRDefault="008906C5" w:rsidP="00185E29">
      <w:pPr>
        <w:pStyle w:val="enumlev1"/>
        <w:rPr>
          <w:spacing w:val="-6"/>
        </w:rPr>
      </w:pPr>
      <w:r w:rsidRPr="00060E9C">
        <w:rPr>
          <w:spacing w:val="-6"/>
        </w:rPr>
        <w:t>–</w:t>
      </w:r>
      <w:r w:rsidRPr="00060E9C">
        <w:rPr>
          <w:spacing w:val="-6"/>
          <w:rtl/>
        </w:rPr>
        <w:tab/>
      </w:r>
      <w:r w:rsidR="00F16B4E" w:rsidRPr="00060E9C">
        <w:rPr>
          <w:spacing w:val="-6"/>
          <w:rtl/>
        </w:rPr>
        <w:t xml:space="preserve">في سبتمبر 2025، نظم الاتحاد، بالشراكة مع مركز القدرات السيبرانية في غرب البلقان </w:t>
      </w:r>
      <w:r w:rsidRPr="00060E9C">
        <w:rPr>
          <w:spacing w:val="-6"/>
        </w:rPr>
        <w:t>(WB3</w:t>
      </w:r>
      <w:proofErr w:type="gramStart"/>
      <w:r w:rsidRPr="00060E9C">
        <w:rPr>
          <w:spacing w:val="-6"/>
        </w:rPr>
        <w:t>C)</w:t>
      </w:r>
      <w:r w:rsidR="00F16B4E" w:rsidRPr="00060E9C">
        <w:rPr>
          <w:spacing w:val="-6"/>
          <w:rtl/>
        </w:rPr>
        <w:t>،</w:t>
      </w:r>
      <w:proofErr w:type="gramEnd"/>
      <w:r w:rsidR="00F16B4E" w:rsidRPr="00060E9C">
        <w:rPr>
          <w:spacing w:val="-6"/>
          <w:rtl/>
        </w:rPr>
        <w:t xml:space="preserve"> دورة تدريبية إقليمية في الجبل الأسود بشأن حماية البنية التحتية الحرجة ومنصة تبادل المعلومات بشأن البرمجيات الخبيثة </w:t>
      </w:r>
      <w:r w:rsidR="00F16B4E" w:rsidRPr="00060E9C">
        <w:rPr>
          <w:spacing w:val="-6"/>
        </w:rPr>
        <w:t>(MISP)</w:t>
      </w:r>
      <w:r w:rsidR="00F16B4E" w:rsidRPr="00060E9C">
        <w:rPr>
          <w:spacing w:val="-6"/>
          <w:rtl/>
        </w:rPr>
        <w:t>، جمعت خبراء من غرب البلقان وجورجيا وأوكرانيا لتعزيز الأطر الوطنية للصمود السيبراني وتبادل المعلومات.</w:t>
      </w:r>
    </w:p>
    <w:p w14:paraId="73082C85" w14:textId="5A1B220C" w:rsidR="00F16B4E" w:rsidRPr="00060E9C" w:rsidRDefault="008906C5" w:rsidP="00185E29">
      <w:pPr>
        <w:pStyle w:val="enumlev1"/>
        <w:rPr>
          <w:spacing w:val="-2"/>
        </w:rPr>
      </w:pPr>
      <w:r w:rsidRPr="00060E9C">
        <w:rPr>
          <w:spacing w:val="-2"/>
        </w:rPr>
        <w:lastRenderedPageBreak/>
        <w:t>–</w:t>
      </w:r>
      <w:r w:rsidRPr="00060E9C">
        <w:rPr>
          <w:spacing w:val="-2"/>
          <w:rtl/>
        </w:rPr>
        <w:tab/>
      </w:r>
      <w:r w:rsidR="00F16B4E" w:rsidRPr="00060E9C">
        <w:rPr>
          <w:spacing w:val="-2"/>
          <w:rtl/>
        </w:rPr>
        <w:t>في فبراير 2026، شاركت أوكرانيا في الحلقة الدراسية الإقليمية للاتصالات الراديوية لأوروبا التي نظمها الاتحاد في</w:t>
      </w:r>
      <w:r w:rsidR="00060E9C">
        <w:rPr>
          <w:rFonts w:hint="cs"/>
          <w:spacing w:val="-2"/>
          <w:rtl/>
        </w:rPr>
        <w:t> </w:t>
      </w:r>
      <w:r w:rsidR="00F16B4E" w:rsidRPr="00060E9C">
        <w:rPr>
          <w:spacing w:val="-2"/>
          <w:rtl/>
        </w:rPr>
        <w:t>أثينا، وركزت على إدارة الطيف، وتنسيق السواتل، والتكنولوجيات الناشئة، ما أسهم في تعزيز القدرات الإقليمية.</w:t>
      </w:r>
    </w:p>
    <w:p w14:paraId="1BA0D2B2" w14:textId="5FA09CFF" w:rsidR="00F16B4E" w:rsidRPr="00185E29" w:rsidRDefault="008906C5" w:rsidP="00185E29">
      <w:pPr>
        <w:pStyle w:val="enumlev1"/>
      </w:pPr>
      <w:r w:rsidRPr="00185E29">
        <w:t>–</w:t>
      </w:r>
      <w:r w:rsidRPr="00185E29">
        <w:rPr>
          <w:rtl/>
        </w:rPr>
        <w:tab/>
      </w:r>
      <w:r w:rsidR="00F16B4E" w:rsidRPr="00185E29">
        <w:rPr>
          <w:rtl/>
        </w:rPr>
        <w:t>في مارس 2026، شارك وفد أوكرانيا في منتدى التنمية الإقليمي لأوروبا الذي ينظمه الاتحاد لعرض مجموعة من المشاريع ذات الأولوية، ودعا إلى المشاركة في التنفيذ.</w:t>
      </w:r>
    </w:p>
    <w:p w14:paraId="03BFAB31" w14:textId="77777777" w:rsidR="00F16B4E" w:rsidRPr="00185E29" w:rsidRDefault="00F16B4E" w:rsidP="00185E29">
      <w:pPr>
        <w:pStyle w:val="Heading1"/>
      </w:pPr>
      <w:bookmarkStart w:id="3" w:name="_Toc210312260"/>
      <w:r w:rsidRPr="00185E29">
        <w:rPr>
          <w:rtl/>
        </w:rPr>
        <w:t>5</w:t>
      </w:r>
      <w:r w:rsidRPr="00185E29">
        <w:rPr>
          <w:rtl/>
        </w:rPr>
        <w:tab/>
        <w:t>تعبئة الموارد</w:t>
      </w:r>
      <w:bookmarkEnd w:id="3"/>
    </w:p>
    <w:p w14:paraId="6B1736F0" w14:textId="22CF23C2" w:rsidR="00F16B4E" w:rsidRPr="006B0976" w:rsidRDefault="00F16B4E" w:rsidP="00F16B4E">
      <w:pPr>
        <w:textDirection w:val="tbRlV"/>
        <w:rPr>
          <w:lang w:val="ar-SA" w:eastAsia="zh-TW" w:bidi="en-GB"/>
        </w:rPr>
      </w:pPr>
      <w:r w:rsidRPr="006B0976">
        <w:rPr>
          <w:rtl/>
        </w:rPr>
        <w:t>بغية تسهيل تقديم المساعدة التقنية إلى البلد، يواصل الاتحاد تشجيع الدول الأعضاء والشركاء على التعهد بالتزامات وموارد مالية تلائم احتياجات أوكرانيا، مع اتخاذ عدد من الإجراءات الاستراتيجية</w:t>
      </w:r>
      <w:r w:rsidR="00581A8B">
        <w:rPr>
          <w:rFonts w:hint="cs"/>
          <w:rtl/>
        </w:rPr>
        <w:t>:</w:t>
      </w:r>
    </w:p>
    <w:p w14:paraId="74A3819B" w14:textId="3790F048" w:rsidR="00F16B4E" w:rsidRPr="00256DA2" w:rsidRDefault="008906C5" w:rsidP="00256DA2">
      <w:pPr>
        <w:pStyle w:val="enumlev1"/>
        <w:rPr>
          <w:spacing w:val="-2"/>
        </w:rPr>
      </w:pPr>
      <w:r w:rsidRPr="00256DA2">
        <w:rPr>
          <w:spacing w:val="-2"/>
        </w:rPr>
        <w:t>–</w:t>
      </w:r>
      <w:r w:rsidRPr="00256DA2">
        <w:rPr>
          <w:spacing w:val="-2"/>
          <w:rtl/>
        </w:rPr>
        <w:tab/>
      </w:r>
      <w:r w:rsidR="00F16B4E" w:rsidRPr="00256DA2">
        <w:rPr>
          <w:spacing w:val="-2"/>
          <w:rtl/>
        </w:rPr>
        <w:t xml:space="preserve">يواصل الاتحاد الدفع قدماً بتحالف الشراكة من أجل التوصيل </w:t>
      </w:r>
      <w:r w:rsidR="00256DA2" w:rsidRPr="00256DA2">
        <w:rPr>
          <w:spacing w:val="-2"/>
        </w:rPr>
        <w:t>(</w:t>
      </w:r>
      <w:r w:rsidR="00256DA2" w:rsidRPr="00256DA2">
        <w:rPr>
          <w:spacing w:val="-2"/>
          <w:lang w:val="en-GB"/>
        </w:rPr>
        <w:t>Partner2Connect</w:t>
      </w:r>
      <w:r w:rsidR="00256DA2" w:rsidRPr="00256DA2">
        <w:rPr>
          <w:spacing w:val="-2"/>
        </w:rPr>
        <w:t>)</w:t>
      </w:r>
      <w:r w:rsidR="00256DA2" w:rsidRPr="00256DA2">
        <w:rPr>
          <w:rFonts w:hint="cs"/>
          <w:spacing w:val="-2"/>
          <w:rtl/>
          <w:lang w:bidi="ar-EG"/>
        </w:rPr>
        <w:t xml:space="preserve"> </w:t>
      </w:r>
      <w:r w:rsidR="00F16B4E" w:rsidRPr="00256DA2">
        <w:rPr>
          <w:spacing w:val="-2"/>
          <w:rtl/>
        </w:rPr>
        <w:t>وجمع التعهدات المكرسة لدعم أوكرانيا. وفي عام 2026، بلغت القيمة الإجمالية للالتزامات المجمعة أكثر من 770 مليون دولار أمريكي. وخلال مؤتمر تعافي أوكرانيا لعام 2025، وقّعت شركات Vodafone Ukraine و</w:t>
      </w:r>
      <w:r w:rsidR="00F16B4E" w:rsidRPr="00256DA2">
        <w:rPr>
          <w:spacing w:val="-2"/>
        </w:rPr>
        <w:t>Nokia</w:t>
      </w:r>
      <w:r w:rsidR="00F16B4E" w:rsidRPr="00256DA2">
        <w:rPr>
          <w:spacing w:val="-2"/>
          <w:rtl/>
        </w:rPr>
        <w:t xml:space="preserve"> و</w:t>
      </w:r>
      <w:proofErr w:type="spellStart"/>
      <w:r w:rsidR="00F16B4E" w:rsidRPr="00256DA2">
        <w:rPr>
          <w:spacing w:val="-2"/>
        </w:rPr>
        <w:t>Finnvera</w:t>
      </w:r>
      <w:proofErr w:type="spellEnd"/>
      <w:r w:rsidR="00F16B4E" w:rsidRPr="00256DA2">
        <w:rPr>
          <w:spacing w:val="-2"/>
          <w:rtl/>
        </w:rPr>
        <w:t xml:space="preserve"> مذكرة تفاهم لدعم تحديث البنية التحتية الرقمية لأوكرانيا مع الالتزام بتمويل بقيمة 30 مليون يورو على مدى السنوات الثلاث المقبلة. وأُعلن عن ذلك كتعهد في إطار التحالف الرقمي للشراكة من أجل التوصيل. وأتاح منتدى التنمية الإقليمي لأوروبا (براغ، الجمهورية التشيكية، 24 مارس 2026) الذي ينظم</w:t>
      </w:r>
      <w:r w:rsidR="00DF1218">
        <w:rPr>
          <w:rFonts w:hint="cs"/>
          <w:spacing w:val="-2"/>
          <w:rtl/>
        </w:rPr>
        <w:t>ه</w:t>
      </w:r>
      <w:r w:rsidR="00F16B4E" w:rsidRPr="00256DA2">
        <w:rPr>
          <w:spacing w:val="-2"/>
          <w:rtl/>
        </w:rPr>
        <w:t xml:space="preserve"> الاتحاد فرصة إضافية لتسليط الضوء على الاحتياجات المتعلقة بالمشاريع ذات الأولوية والمضي قدماً في المناقشات بشأن التزامات أصحاب المصلحة. ويمكن الاطلاع على قائمة التعهدات </w:t>
      </w:r>
      <w:hyperlink r:id="rId13" w:history="1">
        <w:r w:rsidR="00F16B4E" w:rsidRPr="00256DA2">
          <w:rPr>
            <w:rStyle w:val="Hyperlink"/>
            <w:noProof w:val="0"/>
            <w:spacing w:val="-2"/>
            <w:rtl/>
            <w:lang w:val="en-US" w:eastAsia="zh-CN"/>
          </w:rPr>
          <w:t>هنا</w:t>
        </w:r>
      </w:hyperlink>
      <w:r w:rsidR="00F16B4E" w:rsidRPr="00256DA2">
        <w:rPr>
          <w:spacing w:val="-2"/>
          <w:rtl/>
        </w:rPr>
        <w:t>.</w:t>
      </w:r>
      <w:hyperlink r:id="rId14"/>
    </w:p>
    <w:p w14:paraId="3FB01138" w14:textId="3CD50534" w:rsidR="00F16B4E" w:rsidRPr="00185E29" w:rsidRDefault="008906C5" w:rsidP="00185E29">
      <w:pPr>
        <w:pStyle w:val="enumlev1"/>
      </w:pPr>
      <w:r w:rsidRPr="00185E29">
        <w:t>–</w:t>
      </w:r>
      <w:r w:rsidRPr="00185E29">
        <w:rPr>
          <w:rtl/>
        </w:rPr>
        <w:tab/>
      </w:r>
      <w:r w:rsidR="00F16B4E" w:rsidRPr="00185E29">
        <w:rPr>
          <w:rtl/>
        </w:rPr>
        <w:t>يشارك الاتحاد في الجهود المستمرة لحشد المساهمات للصندوق الخاص الاستئماني المكرس لمواصلة تنفيذ القرار 1408. وفي الوقت الحالي، استفاد الصندوق من مساهمات اليابان (</w:t>
      </w:r>
      <w:r w:rsidR="00E61EED">
        <w:t>100 000</w:t>
      </w:r>
      <w:r w:rsidR="00F16B4E" w:rsidRPr="00185E29">
        <w:rPr>
          <w:rtl/>
        </w:rPr>
        <w:t xml:space="preserve"> فرنك سويسري؛ 2022)، والجمهورية التشيكية (</w:t>
      </w:r>
      <w:r w:rsidR="00E61EED">
        <w:t>57 000</w:t>
      </w:r>
      <w:r w:rsidR="00F16B4E" w:rsidRPr="00185E29">
        <w:rPr>
          <w:rtl/>
        </w:rPr>
        <w:t xml:space="preserve"> فرنك سويسري؛ 2023/2024/2025)، وبلغاريا (</w:t>
      </w:r>
      <w:r w:rsidR="00E61EED">
        <w:t>16 294</w:t>
      </w:r>
      <w:r w:rsidR="00F16B4E" w:rsidRPr="00185E29">
        <w:rPr>
          <w:rtl/>
        </w:rPr>
        <w:t xml:space="preserve"> فرنكاً سويسرياً؛ 2024)، وليتوانيا (</w:t>
      </w:r>
      <w:r w:rsidR="00E61EED">
        <w:t>18 335</w:t>
      </w:r>
      <w:r w:rsidR="00F16B4E" w:rsidRPr="00185E29">
        <w:rPr>
          <w:rtl/>
        </w:rPr>
        <w:t xml:space="preserve"> فرنكاً سويسرياً؛ 2024).</w:t>
      </w:r>
    </w:p>
    <w:p w14:paraId="60915933" w14:textId="0466DD20" w:rsidR="00F16B4E" w:rsidRPr="006B0976" w:rsidRDefault="00F16B4E" w:rsidP="00F16B4E">
      <w:pPr>
        <w:pStyle w:val="enumlev1"/>
        <w:textDirection w:val="tbRlV"/>
        <w:rPr>
          <w:rFonts w:eastAsia="SimSun"/>
          <w:lang w:val="ar-SA" w:eastAsia="zh-TW" w:bidi="en-GB"/>
        </w:rPr>
      </w:pPr>
      <w:r w:rsidRPr="006B0976">
        <w:t>–</w:t>
      </w:r>
      <w:r w:rsidRPr="006B0976">
        <w:rPr>
          <w:rtl/>
        </w:rPr>
        <w:tab/>
        <w:t xml:space="preserve">منذ عام 2022، ظل الاتحاد يخصص سنوياً </w:t>
      </w:r>
      <w:r w:rsidR="00D26D2E">
        <w:t>85 000</w:t>
      </w:r>
      <w:r w:rsidRPr="006B0976">
        <w:rPr>
          <w:rtl/>
        </w:rPr>
        <w:t xml:space="preserve"> فرنك سويسري من ميزانية التشغيل </w:t>
      </w:r>
      <w:r>
        <w:rPr>
          <w:rtl/>
        </w:rPr>
        <w:t>ل</w:t>
      </w:r>
      <w:r w:rsidRPr="006B0976">
        <w:rPr>
          <w:rtl/>
        </w:rPr>
        <w:t>مواصلة العمل المتعلق بالتنفيذ.</w:t>
      </w:r>
    </w:p>
    <w:p w14:paraId="4317DAC9" w14:textId="1EFFCBA1" w:rsidR="00F16B4E" w:rsidRPr="006B0976" w:rsidRDefault="00F16B4E" w:rsidP="00F16B4E">
      <w:pPr>
        <w:pStyle w:val="enumlev1"/>
        <w:textDirection w:val="tbRlV"/>
        <w:rPr>
          <w:rFonts w:eastAsia="SimSun"/>
          <w:color w:val="000000" w:themeColor="text1"/>
          <w:lang w:val="ar-SA" w:eastAsia="zh-TW" w:bidi="en-GB"/>
        </w:rPr>
      </w:pPr>
      <w:r w:rsidRPr="006B0976">
        <w:t>–</w:t>
      </w:r>
      <w:r w:rsidRPr="006B0976">
        <w:rPr>
          <w:rtl/>
        </w:rPr>
        <w:tab/>
      </w:r>
      <w:r>
        <w:rPr>
          <w:rtl/>
        </w:rPr>
        <w:t>ي</w:t>
      </w:r>
      <w:r w:rsidRPr="006B0976">
        <w:rPr>
          <w:rtl/>
        </w:rPr>
        <w:t>سَّر الاتحاد المساهمة العينية المقدمة من المفوضية الأوروبية وجمهورية بولندا في تنظيم برامج</w:t>
      </w:r>
      <w:r w:rsidR="00DB0E10">
        <w:rPr>
          <w:rFonts w:hint="cs"/>
          <w:rtl/>
        </w:rPr>
        <w:t> </w:t>
      </w:r>
      <w:r w:rsidRPr="006B0976">
        <w:t>TAIEX</w:t>
      </w:r>
      <w:r w:rsidRPr="006B0976">
        <w:rPr>
          <w:rtl/>
        </w:rPr>
        <w:t xml:space="preserve"> للمسؤولين الأوكرانيين واستضافة الاجتماعات في بولندا.</w:t>
      </w:r>
    </w:p>
    <w:p w14:paraId="05312205" w14:textId="77777777" w:rsidR="00F16B4E" w:rsidRPr="00D26D2E" w:rsidRDefault="00F16B4E" w:rsidP="00F16B4E">
      <w:pPr>
        <w:pStyle w:val="enumlev1"/>
        <w:textDirection w:val="tbRlV"/>
        <w:rPr>
          <w:color w:val="000000" w:themeColor="text1"/>
          <w:spacing w:val="-6"/>
          <w:lang w:val="ar-SA" w:eastAsia="zh-TW" w:bidi="en-GB"/>
        </w:rPr>
      </w:pPr>
      <w:r w:rsidRPr="00D26D2E">
        <w:rPr>
          <w:spacing w:val="-6"/>
        </w:rPr>
        <w:t>–</w:t>
      </w:r>
      <w:r w:rsidRPr="00D26D2E">
        <w:rPr>
          <w:spacing w:val="-6"/>
          <w:rtl/>
        </w:rPr>
        <w:tab/>
        <w:t>يواصل الاتحاد إجراء مناقشات ثنائية منتظمة مع الدول الأعضاء والشركاء للحفاظ على الموارد المالية اللازمة لاستمرار عمليات الاتحاد المتعلقة بتنفيذ القرار 1408 وإعادة تأهيل البنية التحتية لتكنولوجيا المعلومات والاتصالات.</w:t>
      </w:r>
      <w:bookmarkStart w:id="4" w:name="_Toc2037035869"/>
    </w:p>
    <w:p w14:paraId="48F2DADB" w14:textId="77777777" w:rsidR="00F16B4E" w:rsidRPr="00185E29" w:rsidRDefault="00F16B4E" w:rsidP="00185E29">
      <w:pPr>
        <w:pStyle w:val="Heading1"/>
      </w:pPr>
      <w:r w:rsidRPr="00185E29">
        <w:rPr>
          <w:rtl/>
        </w:rPr>
        <w:t>6</w:t>
      </w:r>
      <w:r w:rsidRPr="00185E29">
        <w:rPr>
          <w:rtl/>
        </w:rPr>
        <w:tab/>
        <w:t>الاستنتاجات</w:t>
      </w:r>
      <w:bookmarkEnd w:id="4"/>
    </w:p>
    <w:p w14:paraId="27C2D083" w14:textId="230CED60" w:rsidR="00F16B4E" w:rsidRPr="006B0976" w:rsidRDefault="00F16B4E" w:rsidP="00F16B4E">
      <w:pPr>
        <w:textDirection w:val="tbRlV"/>
        <w:rPr>
          <w:lang w:val="ar-SA" w:eastAsia="zh-TW" w:bidi="en-GB"/>
        </w:rPr>
      </w:pPr>
      <w:r w:rsidRPr="006B0976">
        <w:rPr>
          <w:rtl/>
        </w:rPr>
        <w:t>واصل الاتحاد تكثيف الأنشطة الرامية إلى تنفيذ القرار 1408 بتعزيز الشراكات وإنشاء آليات منسقة تنسيقاً جيداً للمضي قدماً في تنفيذ الأنشطة وتعبئة الموارد المالية.</w:t>
      </w:r>
    </w:p>
    <w:p w14:paraId="77C5F9F8" w14:textId="77777777" w:rsidR="00F16B4E" w:rsidRPr="00180DD5" w:rsidRDefault="00F16B4E" w:rsidP="00F16B4E">
      <w:pPr>
        <w:textDirection w:val="tbRlV"/>
        <w:rPr>
          <w:spacing w:val="-2"/>
          <w:lang w:val="ar-SA" w:eastAsia="zh-TW" w:bidi="en-GB"/>
        </w:rPr>
      </w:pPr>
      <w:r w:rsidRPr="00180DD5">
        <w:rPr>
          <w:spacing w:val="-2"/>
          <w:rtl/>
        </w:rPr>
        <w:t>ويُرجى من جميع أصحاب المصلحة دعم التعاون الذي يقدمه الاتحاد والأنشطة التي ينفذها على الصعيد العالمي استجابةً للقرار 1408، لا سيما ما يلي:</w:t>
      </w:r>
    </w:p>
    <w:p w14:paraId="01138AC5" w14:textId="77777777" w:rsidR="00F16B4E" w:rsidRPr="00765E6A" w:rsidRDefault="00F16B4E" w:rsidP="00F16B4E">
      <w:pPr>
        <w:pStyle w:val="enumlev1"/>
        <w:textDirection w:val="tbRlV"/>
        <w:rPr>
          <w:spacing w:val="-4"/>
          <w:lang w:val="ar-SA" w:eastAsia="zh-TW" w:bidi="en-GB"/>
        </w:rPr>
      </w:pPr>
      <w:r w:rsidRPr="00765E6A">
        <w:rPr>
          <w:spacing w:val="-4"/>
        </w:rPr>
        <w:t>–</w:t>
      </w:r>
      <w:r w:rsidRPr="00765E6A">
        <w:rPr>
          <w:spacing w:val="-4"/>
          <w:rtl/>
        </w:rPr>
        <w:tab/>
        <w:t>الالتزام بتقديم المساعدة التقنية وبناء القدرات وتقديم الدعم المالي إلى أوكرانيا لإعادة تأهيل قطاع اتصالاتها وتحديثه؛</w:t>
      </w:r>
    </w:p>
    <w:p w14:paraId="65BF5BCA" w14:textId="6C6B642C" w:rsidR="00F16B4E" w:rsidRPr="001B6496" w:rsidRDefault="00765E6A" w:rsidP="00765E6A">
      <w:pPr>
        <w:pStyle w:val="enumlev1"/>
        <w:rPr>
          <w:spacing w:val="-6"/>
        </w:rPr>
      </w:pPr>
      <w:r w:rsidRPr="001B6496">
        <w:rPr>
          <w:spacing w:val="-6"/>
        </w:rPr>
        <w:t>–</w:t>
      </w:r>
      <w:r w:rsidRPr="001B6496">
        <w:rPr>
          <w:spacing w:val="-6"/>
        </w:rPr>
        <w:tab/>
      </w:r>
      <w:r w:rsidR="00F16B4E" w:rsidRPr="001B6496">
        <w:rPr>
          <w:spacing w:val="-6"/>
          <w:rtl/>
        </w:rPr>
        <w:t>تقديم الدعم مالياً و/أو عن طريق مساهمات عينية لمجموعة المشاريع ذات الأولوية المذكورة أعلاه (انظر القسم</w:t>
      </w:r>
      <w:r w:rsidR="0091697E" w:rsidRPr="001B6496">
        <w:rPr>
          <w:rFonts w:hint="cs"/>
          <w:spacing w:val="-6"/>
          <w:rtl/>
        </w:rPr>
        <w:t> </w:t>
      </w:r>
      <w:proofErr w:type="gramStart"/>
      <w:r w:rsidR="00F16B4E" w:rsidRPr="001B6496">
        <w:rPr>
          <w:spacing w:val="-6"/>
          <w:rtl/>
        </w:rPr>
        <w:t>4)؛</w:t>
      </w:r>
      <w:proofErr w:type="gramEnd"/>
    </w:p>
    <w:p w14:paraId="7931455F" w14:textId="44972780" w:rsidR="00F16B4E" w:rsidRPr="0091697E" w:rsidDel="00950F78" w:rsidRDefault="00765E6A" w:rsidP="00765E6A">
      <w:pPr>
        <w:pStyle w:val="enumlev1"/>
        <w:rPr>
          <w:spacing w:val="-2"/>
        </w:rPr>
      </w:pPr>
      <w:r w:rsidRPr="0091697E">
        <w:rPr>
          <w:spacing w:val="-2"/>
        </w:rPr>
        <w:t>–</w:t>
      </w:r>
      <w:r w:rsidRPr="0091697E">
        <w:rPr>
          <w:spacing w:val="-2"/>
        </w:rPr>
        <w:tab/>
      </w:r>
      <w:r w:rsidR="00F16B4E" w:rsidRPr="0091697E">
        <w:rPr>
          <w:spacing w:val="-2"/>
          <w:rtl/>
        </w:rPr>
        <w:t>تقديم مساهمة مالية إلى الصندوق الخاص الاستئماني، لتمكين مواصلة تنفيذ القرار 1408 وتوسيع نطاق تنفيذه؛</w:t>
      </w:r>
    </w:p>
    <w:p w14:paraId="690741BB" w14:textId="1A9D7BB5" w:rsidR="00F50E3F" w:rsidRPr="00180DD5" w:rsidRDefault="00F16B4E" w:rsidP="00765E6A">
      <w:pPr>
        <w:pStyle w:val="enumlev1"/>
        <w:rPr>
          <w:spacing w:val="-2"/>
          <w:rtl/>
          <w:lang w:bidi="ar-EG"/>
        </w:rPr>
      </w:pPr>
      <w:r w:rsidRPr="00180DD5">
        <w:rPr>
          <w:spacing w:val="-2"/>
        </w:rPr>
        <w:t>–</w:t>
      </w:r>
      <w:r w:rsidRPr="00180DD5">
        <w:rPr>
          <w:spacing w:val="-2"/>
          <w:rtl/>
        </w:rPr>
        <w:tab/>
        <w:t xml:space="preserve">الانضمام إلى مبادرة "الشراكة من أجل التوصيل" وتقديم تعهدات تركز على أوكرانيا من خلال النظام المتاح على الإنترنت </w:t>
      </w:r>
      <w:hyperlink r:id="rId15" w:history="1">
        <w:r w:rsidRPr="00180DD5">
          <w:rPr>
            <w:rStyle w:val="Hyperlink"/>
            <w:noProof w:val="0"/>
            <w:spacing w:val="-2"/>
            <w:rtl/>
            <w:lang w:val="en-US" w:eastAsia="zh-CN"/>
          </w:rPr>
          <w:t>هنا</w:t>
        </w:r>
      </w:hyperlink>
      <w:r w:rsidR="00CD5B47" w:rsidRPr="00180DD5">
        <w:rPr>
          <w:rFonts w:hint="cs"/>
          <w:spacing w:val="-2"/>
          <w:rtl/>
        </w:rPr>
        <w:t>.</w:t>
      </w:r>
    </w:p>
    <w:p w14:paraId="5FCE8FEC" w14:textId="77777777" w:rsidR="00F50E3F" w:rsidRDefault="00D63735" w:rsidP="00D63735">
      <w:pPr>
        <w:spacing w:before="600"/>
        <w:jc w:val="center"/>
        <w:rPr>
          <w:rtl/>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F50E3F" w:rsidSect="006F363C">
      <w:headerReference w:type="even" r:id="rId16"/>
      <w:headerReference w:type="default" r:id="rId17"/>
      <w:footerReference w:type="even" r:id="rId18"/>
      <w:footerReference w:type="default" r:id="rId19"/>
      <w:headerReference w:type="first" r:id="rId20"/>
      <w:footerReference w:type="first" r:id="rId21"/>
      <w:type w:val="oddPage"/>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DC71B" w14:textId="77777777" w:rsidR="00BA2A52" w:rsidRDefault="00BA2A52" w:rsidP="006C3242">
      <w:pPr>
        <w:spacing w:before="0" w:line="240" w:lineRule="auto"/>
      </w:pPr>
      <w:r>
        <w:separator/>
      </w:r>
    </w:p>
  </w:endnote>
  <w:endnote w:type="continuationSeparator" w:id="0">
    <w:p w14:paraId="31398EC6" w14:textId="77777777" w:rsidR="00BA2A52" w:rsidRDefault="00BA2A52"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FA265" w14:textId="77777777" w:rsidR="004C7C74" w:rsidRDefault="004C7C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7874"/>
      <w:gridCol w:w="443"/>
    </w:tblGrid>
    <w:tr w:rsidR="00F50E3F" w:rsidRPr="007B0AA0" w14:paraId="30B10850" w14:textId="77777777" w:rsidTr="00A67F05">
      <w:trPr>
        <w:jc w:val="center"/>
      </w:trPr>
      <w:tc>
        <w:tcPr>
          <w:tcW w:w="868" w:type="pct"/>
          <w:vAlign w:val="center"/>
        </w:tcPr>
        <w:p w14:paraId="78F0CAFC" w14:textId="5CA969A2" w:rsidR="00F50E3F" w:rsidRPr="007B0AA0" w:rsidRDefault="007B6570" w:rsidP="004C7C74">
          <w:pPr>
            <w:tabs>
              <w:tab w:val="clear" w:pos="794"/>
            </w:tabs>
            <w:overflowPunct w:val="0"/>
            <w:autoSpaceDE w:val="0"/>
            <w:autoSpaceDN w:val="0"/>
            <w:bidi w:val="0"/>
            <w:adjustRightInd w:val="0"/>
            <w:spacing w:before="0" w:after="0" w:line="240" w:lineRule="auto"/>
            <w:jc w:val="right"/>
            <w:textAlignment w:val="baseline"/>
            <w:rPr>
              <w:rFonts w:ascii="Calibri" w:hAnsi="Calibri" w:cs="Arial"/>
              <w:noProof/>
              <w:sz w:val="18"/>
            </w:rPr>
          </w:pPr>
          <w:r>
            <w:rPr>
              <w:rFonts w:ascii="Calibri" w:hAnsi="Calibri" w:cs="Arial"/>
              <w:sz w:val="18"/>
              <w:szCs w:val="14"/>
            </w:rPr>
            <w:t>2600682</w:t>
          </w:r>
        </w:p>
      </w:tc>
      <w:tc>
        <w:tcPr>
          <w:tcW w:w="3912" w:type="pct"/>
        </w:tcPr>
        <w:p w14:paraId="48A830D7" w14:textId="4A2D6411" w:rsidR="00F50E3F" w:rsidRPr="007B0AA0" w:rsidRDefault="00F50E3F" w:rsidP="004C7C74">
          <w:pPr>
            <w:tabs>
              <w:tab w:val="clear" w:pos="794"/>
              <w:tab w:val="left" w:pos="862"/>
              <w:tab w:val="right" w:pos="8505"/>
              <w:tab w:val="right" w:pos="9639"/>
            </w:tabs>
            <w:overflowPunct w:val="0"/>
            <w:autoSpaceDE w:val="0"/>
            <w:autoSpaceDN w:val="0"/>
            <w:adjustRightInd w:val="0"/>
            <w:spacing w:before="0" w:after="0" w:line="240" w:lineRule="auto"/>
            <w:jc w:val="right"/>
            <w:textAlignment w:val="baseline"/>
            <w:rPr>
              <w:rFonts w:ascii="Arial" w:hAnsi="Arial" w:cs="Arial"/>
              <w:b/>
              <w:bCs/>
              <w:color w:val="7F7F7F"/>
              <w:sz w:val="18"/>
              <w:szCs w:val="18"/>
            </w:rPr>
          </w:pPr>
          <w:proofErr w:type="spellStart"/>
          <w:r w:rsidRPr="007B0AA0">
            <w:rPr>
              <w:rFonts w:ascii="Calibri" w:hAnsi="Calibri" w:cs="Arial"/>
              <w:bCs/>
              <w:color w:val="7F7F7F"/>
              <w:sz w:val="18"/>
            </w:rPr>
            <w:t>C2</w:t>
          </w:r>
          <w:r w:rsidR="000116AF">
            <w:rPr>
              <w:rFonts w:ascii="Calibri" w:hAnsi="Calibri" w:cs="Arial"/>
              <w:bCs/>
              <w:color w:val="7F7F7F"/>
              <w:sz w:val="18"/>
            </w:rPr>
            <w:t>6</w:t>
          </w:r>
          <w:proofErr w:type="spellEnd"/>
          <w:r w:rsidRPr="007B0AA0">
            <w:rPr>
              <w:rFonts w:ascii="Calibri" w:hAnsi="Calibri" w:cs="Arial"/>
              <w:bCs/>
              <w:color w:val="7F7F7F"/>
              <w:sz w:val="18"/>
            </w:rPr>
            <w:t>/</w:t>
          </w:r>
          <w:r w:rsidR="001B6496">
            <w:rPr>
              <w:rFonts w:ascii="Calibri" w:hAnsi="Calibri" w:cs="Arial"/>
              <w:bCs/>
              <w:color w:val="7F7F7F"/>
              <w:sz w:val="18"/>
            </w:rPr>
            <w:t>68</w:t>
          </w:r>
          <w:r w:rsidRPr="007B0AA0">
            <w:rPr>
              <w:rFonts w:ascii="Calibri" w:hAnsi="Calibri" w:cs="Arial"/>
              <w:bCs/>
              <w:color w:val="7F7F7F"/>
              <w:sz w:val="18"/>
            </w:rPr>
            <w:t>-</w:t>
          </w:r>
          <w:r>
            <w:rPr>
              <w:rFonts w:ascii="Calibri" w:hAnsi="Calibri" w:cs="Arial"/>
              <w:bCs/>
              <w:color w:val="7F7F7F"/>
              <w:sz w:val="18"/>
            </w:rPr>
            <w:t>A</w:t>
          </w:r>
        </w:p>
      </w:tc>
      <w:tc>
        <w:tcPr>
          <w:tcW w:w="220" w:type="pct"/>
        </w:tcPr>
        <w:p w14:paraId="7766755A" w14:textId="77777777" w:rsidR="00F50E3F" w:rsidRPr="007B0AA0" w:rsidRDefault="00F50E3F" w:rsidP="004C7C74">
          <w:pPr>
            <w:tabs>
              <w:tab w:val="clear" w:pos="794"/>
              <w:tab w:val="left" w:pos="862"/>
              <w:tab w:val="right" w:pos="8505"/>
              <w:tab w:val="right" w:pos="9639"/>
            </w:tabs>
            <w:overflowPunct w:val="0"/>
            <w:autoSpaceDE w:val="0"/>
            <w:autoSpaceDN w:val="0"/>
            <w:adjustRightInd w:val="0"/>
            <w:spacing w:before="0" w:after="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1298C067" w14:textId="77777777" w:rsidR="006C3242" w:rsidRPr="00077A58" w:rsidRDefault="006C3242" w:rsidP="00077A58">
    <w:pPr>
      <w:pStyle w:val="Footer"/>
      <w:tabs>
        <w:tab w:val="clear" w:pos="4153"/>
        <w:tab w:val="clear" w:pos="8306"/>
        <w:tab w:val="center" w:pos="5103"/>
        <w:tab w:val="right" w:pos="9639"/>
      </w:tabs>
      <w:spacing w:after="0"/>
      <w:rPr>
        <w:sz w:val="2"/>
        <w:szCs w:val="2"/>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9"/>
      <w:gridCol w:w="7584"/>
      <w:gridCol w:w="441"/>
    </w:tblGrid>
    <w:tr w:rsidR="007B0AA0" w:rsidRPr="007B0AA0" w14:paraId="41610BB5" w14:textId="77777777" w:rsidTr="00A67F05">
      <w:trPr>
        <w:jc w:val="center"/>
      </w:trPr>
      <w:tc>
        <w:tcPr>
          <w:tcW w:w="1013" w:type="pct"/>
          <w:vAlign w:val="center"/>
        </w:tcPr>
        <w:p w14:paraId="40C7EDAB" w14:textId="77777777" w:rsidR="007B0AA0" w:rsidRPr="000116AF" w:rsidRDefault="000116AF" w:rsidP="004C7C74">
          <w:pPr>
            <w:tabs>
              <w:tab w:val="clear" w:pos="794"/>
            </w:tabs>
            <w:overflowPunct w:val="0"/>
            <w:autoSpaceDE w:val="0"/>
            <w:autoSpaceDN w:val="0"/>
            <w:bidi w:val="0"/>
            <w:adjustRightInd w:val="0"/>
            <w:spacing w:before="0" w:after="0" w:line="240" w:lineRule="auto"/>
            <w:jc w:val="right"/>
            <w:textAlignment w:val="baseline"/>
            <w:rPr>
              <w:rFonts w:ascii="Calibri" w:hAnsi="Calibri" w:cs="Arial"/>
              <w:noProof/>
              <w:color w:val="7F7F7F"/>
              <w:sz w:val="18"/>
              <w:szCs w:val="18"/>
            </w:rPr>
          </w:pPr>
          <w:hyperlink r:id="rId1" w:anchor="/ar" w:history="1">
            <w:proofErr w:type="spellStart"/>
            <w:r w:rsidRPr="000116AF">
              <w:rPr>
                <w:rStyle w:val="Hyperlink"/>
                <w:noProof w:val="0"/>
                <w:sz w:val="18"/>
                <w:szCs w:val="18"/>
                <w:lang w:val="en-US"/>
              </w:rPr>
              <w:t>council.itu.int</w:t>
            </w:r>
            <w:proofErr w:type="spellEnd"/>
            <w:r w:rsidRPr="000116AF">
              <w:rPr>
                <w:rStyle w:val="Hyperlink"/>
                <w:noProof w:val="0"/>
                <w:sz w:val="18"/>
                <w:szCs w:val="18"/>
                <w:lang w:val="en-US"/>
              </w:rPr>
              <w:t>/2026</w:t>
            </w:r>
          </w:hyperlink>
        </w:p>
      </w:tc>
      <w:tc>
        <w:tcPr>
          <w:tcW w:w="3768" w:type="pct"/>
        </w:tcPr>
        <w:p w14:paraId="50F58F10" w14:textId="4B8D62ED" w:rsidR="007B0AA0" w:rsidRPr="007B0AA0" w:rsidRDefault="007B0AA0" w:rsidP="004C7C74">
          <w:pPr>
            <w:tabs>
              <w:tab w:val="clear" w:pos="794"/>
              <w:tab w:val="left" w:pos="862"/>
              <w:tab w:val="right" w:pos="8505"/>
              <w:tab w:val="right" w:pos="9639"/>
            </w:tabs>
            <w:overflowPunct w:val="0"/>
            <w:autoSpaceDE w:val="0"/>
            <w:autoSpaceDN w:val="0"/>
            <w:adjustRightInd w:val="0"/>
            <w:spacing w:before="0" w:after="0" w:line="240" w:lineRule="auto"/>
            <w:jc w:val="right"/>
            <w:textAlignment w:val="baseline"/>
            <w:rPr>
              <w:rFonts w:ascii="Arial" w:hAnsi="Arial" w:cs="Arial"/>
              <w:b/>
              <w:bCs/>
              <w:color w:val="7F7F7F"/>
              <w:sz w:val="18"/>
              <w:szCs w:val="18"/>
            </w:rPr>
          </w:pPr>
          <w:proofErr w:type="spellStart"/>
          <w:r w:rsidRPr="007B0AA0">
            <w:rPr>
              <w:rFonts w:ascii="Calibri" w:hAnsi="Calibri" w:cs="Arial"/>
              <w:bCs/>
              <w:color w:val="7F7F7F"/>
              <w:sz w:val="18"/>
            </w:rPr>
            <w:t>C2</w:t>
          </w:r>
          <w:r w:rsidR="000116AF">
            <w:rPr>
              <w:rFonts w:ascii="Calibri" w:hAnsi="Calibri" w:cs="Arial"/>
              <w:bCs/>
              <w:color w:val="7F7F7F"/>
              <w:sz w:val="18"/>
            </w:rPr>
            <w:t>6</w:t>
          </w:r>
          <w:proofErr w:type="spellEnd"/>
          <w:r w:rsidRPr="007B0AA0">
            <w:rPr>
              <w:rFonts w:ascii="Calibri" w:hAnsi="Calibri" w:cs="Arial"/>
              <w:bCs/>
              <w:color w:val="7F7F7F"/>
              <w:sz w:val="18"/>
            </w:rPr>
            <w:t>/</w:t>
          </w:r>
          <w:r w:rsidR="007B6570">
            <w:rPr>
              <w:rFonts w:ascii="Calibri" w:hAnsi="Calibri" w:cs="Arial"/>
              <w:bCs/>
              <w:color w:val="7F7F7F"/>
              <w:sz w:val="18"/>
            </w:rPr>
            <w:t>68</w:t>
          </w:r>
          <w:r w:rsidRPr="007B0AA0">
            <w:rPr>
              <w:rFonts w:ascii="Calibri" w:hAnsi="Calibri" w:cs="Arial"/>
              <w:bCs/>
              <w:color w:val="7F7F7F"/>
              <w:sz w:val="18"/>
            </w:rPr>
            <w:t>-</w:t>
          </w:r>
          <w:r>
            <w:rPr>
              <w:rFonts w:ascii="Calibri" w:hAnsi="Calibri" w:cs="Arial"/>
              <w:bCs/>
              <w:color w:val="7F7F7F"/>
              <w:sz w:val="18"/>
            </w:rPr>
            <w:t>A</w:t>
          </w:r>
        </w:p>
      </w:tc>
      <w:tc>
        <w:tcPr>
          <w:tcW w:w="220" w:type="pct"/>
        </w:tcPr>
        <w:p w14:paraId="777E3FC3" w14:textId="77777777" w:rsidR="007B0AA0" w:rsidRPr="007B0AA0" w:rsidRDefault="00F50E3F" w:rsidP="004C7C74">
          <w:pPr>
            <w:tabs>
              <w:tab w:val="clear" w:pos="794"/>
              <w:tab w:val="left" w:pos="862"/>
              <w:tab w:val="right" w:pos="8505"/>
              <w:tab w:val="right" w:pos="9639"/>
            </w:tabs>
            <w:overflowPunct w:val="0"/>
            <w:autoSpaceDE w:val="0"/>
            <w:autoSpaceDN w:val="0"/>
            <w:adjustRightInd w:val="0"/>
            <w:spacing w:before="0" w:after="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430AFFF0" w14:textId="77777777" w:rsidR="0006468A" w:rsidRPr="00077A58" w:rsidRDefault="0006468A" w:rsidP="00077A58">
    <w:pPr>
      <w:pStyle w:val="Footer"/>
      <w:tabs>
        <w:tab w:val="clear" w:pos="4153"/>
        <w:tab w:val="clear" w:pos="8306"/>
        <w:tab w:val="center" w:pos="5103"/>
        <w:tab w:val="right" w:pos="9639"/>
      </w:tabs>
      <w:spacing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257A0" w14:textId="77777777" w:rsidR="00BA2A52" w:rsidRDefault="00BA2A52" w:rsidP="006C3242">
      <w:pPr>
        <w:spacing w:before="0" w:line="240" w:lineRule="auto"/>
      </w:pPr>
      <w:r>
        <w:separator/>
      </w:r>
    </w:p>
  </w:footnote>
  <w:footnote w:type="continuationSeparator" w:id="0">
    <w:p w14:paraId="0DD0A300" w14:textId="77777777" w:rsidR="00BA2A52" w:rsidRDefault="00BA2A52"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9D120" w14:textId="77777777" w:rsidR="004C7C74" w:rsidRDefault="004C7C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C7C23" w14:textId="77777777" w:rsidR="004C7C74" w:rsidRDefault="004C7C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C410F" w14:textId="77777777" w:rsidR="001A3E13" w:rsidRPr="00057769" w:rsidRDefault="001A3E13" w:rsidP="001A3E13">
    <w:pPr>
      <w:pStyle w:val="Header"/>
    </w:pPr>
    <w:r>
      <w:rPr>
        <w:noProof/>
      </w:rPr>
      <w:drawing>
        <wp:inline distT="0" distB="0" distL="0" distR="0" wp14:anchorId="00198A72" wp14:editId="6EE0DCF3">
          <wp:extent cx="5760085" cy="840740"/>
          <wp:effectExtent l="0" t="0" r="0" b="0"/>
          <wp:docPr id="1496537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537511" name="Picture 1496537511"/>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4CD1128"/>
    <w:multiLevelType w:val="hybridMultilevel"/>
    <w:tmpl w:val="DED404B4"/>
    <w:lvl w:ilvl="0" w:tplc="A5122620">
      <w:numFmt w:val="bullet"/>
      <w:lvlText w:val="–"/>
      <w:lvlJc w:val="left"/>
      <w:pPr>
        <w:ind w:left="720" w:hanging="360"/>
      </w:pPr>
      <w:rPr>
        <w:rFonts w:ascii="Calibri" w:eastAsia="Times New Roma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32C7305D"/>
    <w:multiLevelType w:val="hybridMultilevel"/>
    <w:tmpl w:val="1660BD7E"/>
    <w:lvl w:ilvl="0" w:tplc="A5122620">
      <w:numFmt w:val="bullet"/>
      <w:lvlText w:val="–"/>
      <w:lvlJc w:val="left"/>
      <w:pPr>
        <w:ind w:left="930" w:hanging="570"/>
      </w:pPr>
      <w:rPr>
        <w:rFonts w:ascii="Calibri" w:eastAsia="Times New Roma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838345589">
    <w:abstractNumId w:val="9"/>
  </w:num>
  <w:num w:numId="2" w16cid:durableId="1774472849">
    <w:abstractNumId w:val="7"/>
  </w:num>
  <w:num w:numId="3" w16cid:durableId="923494626">
    <w:abstractNumId w:val="6"/>
  </w:num>
  <w:num w:numId="4" w16cid:durableId="442574474">
    <w:abstractNumId w:val="5"/>
  </w:num>
  <w:num w:numId="5" w16cid:durableId="1628318554">
    <w:abstractNumId w:val="4"/>
  </w:num>
  <w:num w:numId="6" w16cid:durableId="2075542342">
    <w:abstractNumId w:val="8"/>
  </w:num>
  <w:num w:numId="7" w16cid:durableId="1174762821">
    <w:abstractNumId w:val="3"/>
  </w:num>
  <w:num w:numId="8" w16cid:durableId="201795547">
    <w:abstractNumId w:val="2"/>
  </w:num>
  <w:num w:numId="9" w16cid:durableId="355010693">
    <w:abstractNumId w:val="1"/>
  </w:num>
  <w:num w:numId="10" w16cid:durableId="844200481">
    <w:abstractNumId w:val="0"/>
  </w:num>
  <w:num w:numId="11" w16cid:durableId="1104838316">
    <w:abstractNumId w:val="10"/>
  </w:num>
  <w:num w:numId="12" w16cid:durableId="1172993867">
    <w:abstractNumId w:val="12"/>
  </w:num>
  <w:num w:numId="13" w16cid:durableId="14002465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066"/>
    <w:rsid w:val="000116AF"/>
    <w:rsid w:val="00012D6F"/>
    <w:rsid w:val="00060E9C"/>
    <w:rsid w:val="0006468A"/>
    <w:rsid w:val="00077A58"/>
    <w:rsid w:val="00090574"/>
    <w:rsid w:val="000A6A48"/>
    <w:rsid w:val="000B4FE5"/>
    <w:rsid w:val="000C1C0E"/>
    <w:rsid w:val="000C548A"/>
    <w:rsid w:val="00180DD5"/>
    <w:rsid w:val="00185E29"/>
    <w:rsid w:val="00191059"/>
    <w:rsid w:val="001A3E13"/>
    <w:rsid w:val="001B6496"/>
    <w:rsid w:val="001B6E2B"/>
    <w:rsid w:val="001C0169"/>
    <w:rsid w:val="001C0C21"/>
    <w:rsid w:val="001D1D50"/>
    <w:rsid w:val="001D64C7"/>
    <w:rsid w:val="001D6745"/>
    <w:rsid w:val="001E446E"/>
    <w:rsid w:val="002154EE"/>
    <w:rsid w:val="002276D2"/>
    <w:rsid w:val="0023283D"/>
    <w:rsid w:val="00254393"/>
    <w:rsid w:val="00256DA2"/>
    <w:rsid w:val="00261494"/>
    <w:rsid w:val="0026373E"/>
    <w:rsid w:val="00271C43"/>
    <w:rsid w:val="00290728"/>
    <w:rsid w:val="002978F4"/>
    <w:rsid w:val="002B028D"/>
    <w:rsid w:val="002C3F32"/>
    <w:rsid w:val="002E6541"/>
    <w:rsid w:val="002F45D0"/>
    <w:rsid w:val="0032734C"/>
    <w:rsid w:val="00334924"/>
    <w:rsid w:val="0033515A"/>
    <w:rsid w:val="003409BC"/>
    <w:rsid w:val="00357185"/>
    <w:rsid w:val="00383829"/>
    <w:rsid w:val="00386F5A"/>
    <w:rsid w:val="003E5472"/>
    <w:rsid w:val="003F1920"/>
    <w:rsid w:val="003F4B29"/>
    <w:rsid w:val="00410B26"/>
    <w:rsid w:val="00420F8A"/>
    <w:rsid w:val="0042686F"/>
    <w:rsid w:val="004317D8"/>
    <w:rsid w:val="0043260A"/>
    <w:rsid w:val="00434183"/>
    <w:rsid w:val="00443869"/>
    <w:rsid w:val="00447F32"/>
    <w:rsid w:val="00491BA9"/>
    <w:rsid w:val="00494119"/>
    <w:rsid w:val="004A4701"/>
    <w:rsid w:val="004B7334"/>
    <w:rsid w:val="004C7C74"/>
    <w:rsid w:val="004D2066"/>
    <w:rsid w:val="004D6849"/>
    <w:rsid w:val="004E11DC"/>
    <w:rsid w:val="005130DE"/>
    <w:rsid w:val="00513157"/>
    <w:rsid w:val="00525DDD"/>
    <w:rsid w:val="005367EE"/>
    <w:rsid w:val="005409AC"/>
    <w:rsid w:val="005434E0"/>
    <w:rsid w:val="005546CF"/>
    <w:rsid w:val="0055516A"/>
    <w:rsid w:val="00581A8B"/>
    <w:rsid w:val="0058491B"/>
    <w:rsid w:val="00592EA5"/>
    <w:rsid w:val="005A3170"/>
    <w:rsid w:val="0063471F"/>
    <w:rsid w:val="00657019"/>
    <w:rsid w:val="00660DEA"/>
    <w:rsid w:val="00677396"/>
    <w:rsid w:val="00683F16"/>
    <w:rsid w:val="0069200F"/>
    <w:rsid w:val="006A65CB"/>
    <w:rsid w:val="006B12E5"/>
    <w:rsid w:val="006C3242"/>
    <w:rsid w:val="006C7CC0"/>
    <w:rsid w:val="006E6715"/>
    <w:rsid w:val="006F363C"/>
    <w:rsid w:val="006F63F7"/>
    <w:rsid w:val="007025C7"/>
    <w:rsid w:val="00706D7A"/>
    <w:rsid w:val="00716DEC"/>
    <w:rsid w:val="00722F0D"/>
    <w:rsid w:val="00735081"/>
    <w:rsid w:val="0074420E"/>
    <w:rsid w:val="007648A6"/>
    <w:rsid w:val="00765E6A"/>
    <w:rsid w:val="0077110E"/>
    <w:rsid w:val="007834A7"/>
    <w:rsid w:val="00783E26"/>
    <w:rsid w:val="007A6684"/>
    <w:rsid w:val="007B0AA0"/>
    <w:rsid w:val="007B6570"/>
    <w:rsid w:val="007C3BC7"/>
    <w:rsid w:val="007C3BCD"/>
    <w:rsid w:val="007D4ACF"/>
    <w:rsid w:val="007F0787"/>
    <w:rsid w:val="00810B7B"/>
    <w:rsid w:val="0082358A"/>
    <w:rsid w:val="008235CD"/>
    <w:rsid w:val="008247DE"/>
    <w:rsid w:val="008339C0"/>
    <w:rsid w:val="00840B10"/>
    <w:rsid w:val="008513CB"/>
    <w:rsid w:val="00874E9F"/>
    <w:rsid w:val="008906C5"/>
    <w:rsid w:val="008A7F84"/>
    <w:rsid w:val="008F5E96"/>
    <w:rsid w:val="0091697E"/>
    <w:rsid w:val="0091702E"/>
    <w:rsid w:val="00923B0C"/>
    <w:rsid w:val="00924F46"/>
    <w:rsid w:val="00935AAC"/>
    <w:rsid w:val="0093725D"/>
    <w:rsid w:val="0094021C"/>
    <w:rsid w:val="00952F86"/>
    <w:rsid w:val="0096716C"/>
    <w:rsid w:val="00982B28"/>
    <w:rsid w:val="009868AC"/>
    <w:rsid w:val="00991225"/>
    <w:rsid w:val="009D313F"/>
    <w:rsid w:val="00A47A5A"/>
    <w:rsid w:val="00A63AE6"/>
    <w:rsid w:val="00A6683B"/>
    <w:rsid w:val="00A67F05"/>
    <w:rsid w:val="00A97F94"/>
    <w:rsid w:val="00AA7EA2"/>
    <w:rsid w:val="00AB5A56"/>
    <w:rsid w:val="00B03099"/>
    <w:rsid w:val="00B05BC8"/>
    <w:rsid w:val="00B30F5E"/>
    <w:rsid w:val="00B64B47"/>
    <w:rsid w:val="00B95654"/>
    <w:rsid w:val="00B956BE"/>
    <w:rsid w:val="00B97F32"/>
    <w:rsid w:val="00BA04B2"/>
    <w:rsid w:val="00BA2A52"/>
    <w:rsid w:val="00BB6CAF"/>
    <w:rsid w:val="00BD22EF"/>
    <w:rsid w:val="00C002DE"/>
    <w:rsid w:val="00C0602B"/>
    <w:rsid w:val="00C216BB"/>
    <w:rsid w:val="00C224DA"/>
    <w:rsid w:val="00C53BF8"/>
    <w:rsid w:val="00C66157"/>
    <w:rsid w:val="00C674FE"/>
    <w:rsid w:val="00C67501"/>
    <w:rsid w:val="00C75633"/>
    <w:rsid w:val="00CD5B47"/>
    <w:rsid w:val="00CE2EE1"/>
    <w:rsid w:val="00CE3349"/>
    <w:rsid w:val="00CE36E5"/>
    <w:rsid w:val="00CE4360"/>
    <w:rsid w:val="00CF27F5"/>
    <w:rsid w:val="00CF3FFD"/>
    <w:rsid w:val="00D10CCF"/>
    <w:rsid w:val="00D13941"/>
    <w:rsid w:val="00D23F5F"/>
    <w:rsid w:val="00D26D2E"/>
    <w:rsid w:val="00D43F7D"/>
    <w:rsid w:val="00D63735"/>
    <w:rsid w:val="00D77D0F"/>
    <w:rsid w:val="00DA1CF0"/>
    <w:rsid w:val="00DA6A30"/>
    <w:rsid w:val="00DB0E10"/>
    <w:rsid w:val="00DC1E02"/>
    <w:rsid w:val="00DC24B4"/>
    <w:rsid w:val="00DC5FB0"/>
    <w:rsid w:val="00DF1218"/>
    <w:rsid w:val="00DF16DC"/>
    <w:rsid w:val="00E45211"/>
    <w:rsid w:val="00E473C5"/>
    <w:rsid w:val="00E61BE8"/>
    <w:rsid w:val="00E61EED"/>
    <w:rsid w:val="00E83FF1"/>
    <w:rsid w:val="00E92863"/>
    <w:rsid w:val="00E96C8E"/>
    <w:rsid w:val="00E979B2"/>
    <w:rsid w:val="00EB57DC"/>
    <w:rsid w:val="00EB796D"/>
    <w:rsid w:val="00F058DC"/>
    <w:rsid w:val="00F16109"/>
    <w:rsid w:val="00F16B4E"/>
    <w:rsid w:val="00F24FC4"/>
    <w:rsid w:val="00F2676C"/>
    <w:rsid w:val="00F26E33"/>
    <w:rsid w:val="00F363FE"/>
    <w:rsid w:val="00F50E3F"/>
    <w:rsid w:val="00F74D85"/>
    <w:rsid w:val="00F84366"/>
    <w:rsid w:val="00F85089"/>
    <w:rsid w:val="00F974C5"/>
    <w:rsid w:val="00FA087E"/>
    <w:rsid w:val="00FA3763"/>
    <w:rsid w:val="00FA6F46"/>
    <w:rsid w:val="00FC0E94"/>
    <w:rsid w:val="00FC4592"/>
    <w:rsid w:val="00FD527F"/>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CA6C04"/>
  <w15:chartTrackingRefBased/>
  <w15:docId w15:val="{54BDE238-6050-4F4B-95B7-204ACD98E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081"/>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_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_No"/>
    <w:basedOn w:val="AgendaItem"/>
    <w:qFormat/>
    <w:rsid w:val="00F974C5"/>
  </w:style>
  <w:style w:type="paragraph" w:customStyle="1" w:styleId="Annextitle">
    <w:name w:val="Annex_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_No"/>
    <w:basedOn w:val="Normal"/>
    <w:qFormat/>
    <w:rsid w:val="00F974C5"/>
    <w:pPr>
      <w:keepNext/>
      <w:keepLines/>
      <w:spacing w:before="360"/>
      <w:jc w:val="center"/>
    </w:pPr>
    <w:rPr>
      <w:sz w:val="26"/>
      <w:szCs w:val="26"/>
      <w:lang w:bidi="ar-SY"/>
    </w:rPr>
  </w:style>
  <w:style w:type="paragraph" w:customStyle="1" w:styleId="Appendixtitle">
    <w:name w:val="Appendix_title"/>
    <w:basedOn w:val="Normal"/>
    <w:qFormat/>
    <w:rsid w:val="00F974C5"/>
    <w:pPr>
      <w:keepNext/>
      <w:keepLines/>
      <w:spacing w:after="360"/>
      <w:jc w:val="center"/>
    </w:pPr>
    <w:rPr>
      <w:b/>
      <w:bCs/>
      <w:sz w:val="28"/>
      <w:szCs w:val="28"/>
    </w:rPr>
  </w:style>
  <w:style w:type="paragraph" w:customStyle="1" w:styleId="ArticleNo">
    <w:name w:val="Article_No"/>
    <w:basedOn w:val="Normal"/>
    <w:qFormat/>
    <w:rsid w:val="00F974C5"/>
    <w:pPr>
      <w:keepNext/>
      <w:keepLines/>
      <w:spacing w:after="360"/>
      <w:jc w:val="center"/>
    </w:pPr>
    <w:rPr>
      <w:sz w:val="26"/>
      <w:szCs w:val="26"/>
      <w:lang w:bidi="ar-SY"/>
    </w:rPr>
  </w:style>
  <w:style w:type="paragraph" w:customStyle="1" w:styleId="Articletitle">
    <w:name w:val="Article_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_No"/>
    <w:basedOn w:val="Normal"/>
    <w:qFormat/>
    <w:rsid w:val="00F974C5"/>
    <w:pPr>
      <w:keepNext/>
      <w:keepLines/>
      <w:spacing w:before="600"/>
      <w:jc w:val="center"/>
    </w:pPr>
    <w:rPr>
      <w:sz w:val="28"/>
      <w:szCs w:val="28"/>
      <w:lang w:bidi="ar-SY"/>
    </w:rPr>
  </w:style>
  <w:style w:type="paragraph" w:customStyle="1" w:styleId="Chaptertitle">
    <w:name w:val="Chapter_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1"/>
    <w:basedOn w:val="Normal"/>
    <w:qFormat/>
    <w:rsid w:val="00077A58"/>
    <w:pPr>
      <w:spacing w:before="80" w:after="80"/>
      <w:ind w:left="794" w:hanging="794"/>
      <w:outlineLvl w:val="0"/>
    </w:pPr>
    <w:rPr>
      <w:lang w:bidi="ar-SY"/>
    </w:rPr>
  </w:style>
  <w:style w:type="paragraph" w:customStyle="1" w:styleId="enumlev2">
    <w:name w:val="enumlev2"/>
    <w:basedOn w:val="Normal"/>
    <w:next w:val="enumlev1"/>
    <w:qFormat/>
    <w:rsid w:val="00077A58"/>
    <w:pPr>
      <w:spacing w:before="80" w:after="80"/>
      <w:ind w:left="1588" w:hanging="794"/>
      <w:outlineLvl w:val="1"/>
    </w:pPr>
  </w:style>
  <w:style w:type="paragraph" w:customStyle="1" w:styleId="enumlev3">
    <w:name w:val="enumlev3"/>
    <w:basedOn w:val="Normal"/>
    <w:qFormat/>
    <w:rsid w:val="00077A58"/>
    <w:pPr>
      <w:spacing w:before="80" w:after="80"/>
      <w:ind w:left="2382" w:hanging="794"/>
      <w:outlineLvl w:val="2"/>
    </w:pPr>
    <w:rPr>
      <w:lang w:bidi="ar-SY"/>
    </w:rPr>
  </w:style>
  <w:style w:type="paragraph" w:customStyle="1" w:styleId="Figurelegend">
    <w:name w:val="Figure_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aliases w:val="Footnote_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_No"/>
    <w:basedOn w:val="Normal"/>
    <w:qFormat/>
    <w:rsid w:val="00F974C5"/>
    <w:pPr>
      <w:keepNext/>
      <w:keepLines/>
      <w:spacing w:before="360"/>
      <w:jc w:val="center"/>
    </w:pPr>
    <w:rPr>
      <w:sz w:val="26"/>
      <w:szCs w:val="26"/>
    </w:rPr>
  </w:style>
  <w:style w:type="paragraph" w:customStyle="1" w:styleId="Parttitle">
    <w:name w:val="Part_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_1"/>
    <w:basedOn w:val="Normal"/>
    <w:qFormat/>
    <w:rsid w:val="00F974C5"/>
    <w:pPr>
      <w:keepNext/>
      <w:spacing w:before="360" w:after="240"/>
      <w:jc w:val="center"/>
    </w:pPr>
    <w:rPr>
      <w:b/>
      <w:bCs/>
      <w:sz w:val="26"/>
      <w:szCs w:val="26"/>
      <w:lang w:bidi="ar-SY"/>
    </w:rPr>
  </w:style>
  <w:style w:type="paragraph" w:customStyle="1" w:styleId="Section2">
    <w:name w:val="Section_2"/>
    <w:basedOn w:val="Section1"/>
    <w:qFormat/>
    <w:rsid w:val="00F974C5"/>
    <w:pPr>
      <w:spacing w:before="240"/>
    </w:pPr>
    <w:rPr>
      <w:b w:val="0"/>
      <w:bCs w:val="0"/>
    </w:rPr>
  </w:style>
  <w:style w:type="paragraph" w:customStyle="1" w:styleId="SectionNo">
    <w:name w:val="Section_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_No"/>
    <w:basedOn w:val="Normal"/>
    <w:qFormat/>
    <w:rsid w:val="00F974C5"/>
    <w:pPr>
      <w:keepNext/>
      <w:spacing w:before="240"/>
      <w:jc w:val="center"/>
    </w:pPr>
    <w:rPr>
      <w:lang w:bidi="ar-SY"/>
    </w:rPr>
  </w:style>
  <w:style w:type="paragraph" w:customStyle="1" w:styleId="Figuretitle">
    <w:name w:val="Figure_title"/>
    <w:basedOn w:val="Normal"/>
    <w:qFormat/>
    <w:rsid w:val="00F974C5"/>
    <w:pPr>
      <w:keepNext/>
      <w:spacing w:after="240"/>
      <w:jc w:val="center"/>
    </w:pPr>
    <w:rPr>
      <w:b/>
      <w:bCs/>
    </w:rPr>
  </w:style>
  <w:style w:type="paragraph" w:customStyle="1" w:styleId="TableNo">
    <w:name w:val="Table_No"/>
    <w:basedOn w:val="Normal"/>
    <w:qFormat/>
    <w:rsid w:val="00F974C5"/>
    <w:pPr>
      <w:keepNext/>
      <w:spacing w:before="240"/>
      <w:jc w:val="center"/>
    </w:pPr>
    <w:rPr>
      <w:lang w:bidi="ar-SY"/>
    </w:rPr>
  </w:style>
  <w:style w:type="paragraph" w:customStyle="1" w:styleId="Tabletitle">
    <w:name w:val="Table_title"/>
    <w:basedOn w:val="TableNo"/>
    <w:qFormat/>
    <w:rsid w:val="00F974C5"/>
    <w:pPr>
      <w:spacing w:before="120" w:after="240"/>
    </w:pPr>
    <w:rPr>
      <w:b/>
      <w:bCs/>
    </w:rPr>
  </w:style>
  <w:style w:type="paragraph" w:customStyle="1" w:styleId="Tablehead">
    <w:name w:val="Table_head"/>
    <w:basedOn w:val="Normal"/>
    <w:qFormat/>
    <w:rsid w:val="00F974C5"/>
    <w:pPr>
      <w:keepNext/>
      <w:spacing w:before="60" w:after="60" w:line="260" w:lineRule="exact"/>
      <w:jc w:val="center"/>
    </w:pPr>
    <w:rPr>
      <w:b/>
      <w:bCs/>
      <w:sz w:val="20"/>
      <w:szCs w:val="20"/>
    </w:rPr>
  </w:style>
  <w:style w:type="paragraph" w:customStyle="1" w:styleId="Tabletexte">
    <w:name w:val="Table_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_No"/>
    <w:basedOn w:val="Normal"/>
    <w:qFormat/>
    <w:rsid w:val="00F974C5"/>
    <w:pPr>
      <w:keepNext/>
      <w:spacing w:before="360"/>
      <w:jc w:val="center"/>
    </w:pPr>
    <w:rPr>
      <w:sz w:val="26"/>
      <w:szCs w:val="26"/>
      <w:lang w:bidi="ar-SY"/>
    </w:rPr>
  </w:style>
  <w:style w:type="paragraph" w:customStyle="1" w:styleId="Volumetitle">
    <w:name w:val="Volume_title"/>
    <w:basedOn w:val="VolumeNo"/>
    <w:qFormat/>
    <w:rsid w:val="00F974C5"/>
    <w:pPr>
      <w:spacing w:before="120" w:after="360"/>
    </w:pPr>
    <w:rPr>
      <w:b/>
      <w:bCs/>
      <w:sz w:val="28"/>
      <w:szCs w:val="28"/>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_No"/>
    <w:basedOn w:val="Normal"/>
    <w:qFormat/>
    <w:rsid w:val="00F974C5"/>
    <w:pPr>
      <w:keepNext/>
      <w:keepLines/>
      <w:spacing w:before="360"/>
      <w:jc w:val="center"/>
    </w:pPr>
    <w:rPr>
      <w:sz w:val="26"/>
      <w:szCs w:val="26"/>
    </w:rPr>
  </w:style>
  <w:style w:type="paragraph" w:customStyle="1" w:styleId="Opiniontitle">
    <w:name w:val="Opinion_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96716C"/>
    <w:rPr>
      <w:rFonts w:ascii="Dubai" w:hAnsi="Dubai" w:cs="Dubai"/>
      <w:noProof/>
      <w:color w:val="5B9BD5"/>
      <w:u w:val="single" w:color="5B9BD5"/>
      <w:lang w:val="en-GB" w:eastAsia="en-US"/>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_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_legend"/>
    <w:basedOn w:val="Normal"/>
    <w:qFormat/>
    <w:rsid w:val="00F974C5"/>
    <w:pPr>
      <w:spacing w:before="80"/>
    </w:pPr>
    <w:rPr>
      <w:lang w:bidi="ar-SY"/>
    </w:rPr>
  </w:style>
  <w:style w:type="paragraph" w:customStyle="1" w:styleId="Headingb">
    <w:name w:val="Heading_b"/>
    <w:basedOn w:val="Normal"/>
    <w:qFormat/>
    <w:rsid w:val="008339C0"/>
    <w:pPr>
      <w:keepNext/>
      <w:spacing w:before="240"/>
      <w:ind w:left="1134" w:hanging="1134"/>
    </w:pPr>
    <w:rPr>
      <w:b/>
      <w:bCs/>
      <w:sz w:val="24"/>
      <w:szCs w:val="24"/>
    </w:rPr>
  </w:style>
  <w:style w:type="table" w:styleId="GridTable5Dark-Accent1">
    <w:name w:val="Grid Table 5 Dark Accent 1"/>
    <w:basedOn w:val="TableNormal"/>
    <w:uiPriority w:val="50"/>
    <w:rsid w:val="00E61B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ubtitle0">
    <w:name w:val="Sub_title"/>
    <w:basedOn w:val="Normal"/>
    <w:qFormat/>
    <w:rsid w:val="007B0AA0"/>
    <w:rPr>
      <w:sz w:val="30"/>
      <w:szCs w:val="30"/>
      <w:lang w:bidi="ar-EG"/>
    </w:rPr>
  </w:style>
  <w:style w:type="table" w:customStyle="1" w:styleId="TableGrid1">
    <w:name w:val="Table Grid1"/>
    <w:basedOn w:val="TableNormal"/>
    <w:next w:val="TableGrid"/>
    <w:uiPriority w:val="39"/>
    <w:rsid w:val="007B0AA0"/>
    <w:pPr>
      <w:spacing w:after="0" w:line="240" w:lineRule="auto"/>
    </w:pPr>
    <w:rPr>
      <w:rFonts w:eastAsia="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60DEA"/>
    <w:rPr>
      <w:color w:val="605E5C"/>
      <w:shd w:val="clear" w:color="auto" w:fill="E1DFDD"/>
    </w:rPr>
  </w:style>
  <w:style w:type="character" w:styleId="FollowedHyperlink">
    <w:name w:val="FollowedHyperlink"/>
    <w:basedOn w:val="DefaultParagraphFont"/>
    <w:uiPriority w:val="99"/>
    <w:semiHidden/>
    <w:unhideWhenUsed/>
    <w:rsid w:val="000116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41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3-CL-C-0122/en" TargetMode="External"/><Relationship Id="rId13" Type="http://schemas.openxmlformats.org/officeDocument/2006/relationships/hyperlink" Target="https://www.itu.int/en/ITU-D/Regional-Presence/Europe/Pages/Projects/2022/Council%20Resolution%20on%20Ukraine%20-%20Coordination%20and%20Implementation/Council-Resolution-on-Ukraine---Coordination-and-Implementation.aspx"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itu.int/en/ITU-D/Regional-Presence/Europe/Pages/Projects/2022/Council%20Resolution%20on%20Ukraine%20-%20Coordination%20and%20Implementation/Council-Resolution-on-Ukraine---Coordination-and-Implementation.aspx"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ITU-D/Regional-Presence/Europe/Pages/Projects/2022/Council%20Resolution%20on%20Ukraine%20-%20Coordination%20and%20Implementation/Council-Resolution-on-Ukraine---Coordination-and-Implementation.aspx" TargetMode="External"/><Relationship Id="rId5" Type="http://schemas.openxmlformats.org/officeDocument/2006/relationships/webSettings" Target="webSettings.xml"/><Relationship Id="rId15" Type="http://schemas.openxmlformats.org/officeDocument/2006/relationships/hyperlink" Target="https://www.itu.int/partner2connect-pledges" TargetMode="External"/><Relationship Id="rId23" Type="http://schemas.openxmlformats.org/officeDocument/2006/relationships/theme" Target="theme/theme1.xml"/><Relationship Id="rId10" Type="http://schemas.openxmlformats.org/officeDocument/2006/relationships/hyperlink" Target="https://www.itu.int/md/S23-CL-C-0122/en"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itu.int/md/S23-CL-C-0059/en" TargetMode="External"/><Relationship Id="rId14" Type="http://schemas.openxmlformats.org/officeDocument/2006/relationships/hyperlink" Target="https://www.itu.int/en/ITU-D/Regional-Presence/Europe/Pages/Projects/2022/Council%20Resolution%20on%20Ukraine%20-%20Coordination%20and%20Implementation/Council-Resolution-on-Ukraine---Coordination-and-Implementation.aspx"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yabdul\Desktop\type\Arabic%20Templates%202026\SG\PA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28108-4966-4581-8805-B68FC035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PA_Council26.dotx</Template>
  <TotalTime>13</TotalTime>
  <Pages>4</Pages>
  <Words>1633</Words>
  <Characters>10718</Characters>
  <Application>Microsoft Office Word</Application>
  <DocSecurity>0</DocSecurity>
  <Lines>466</Lines>
  <Paragraphs>262</Paragraphs>
  <ScaleCrop>false</ScaleCrop>
  <HeadingPairs>
    <vt:vector size="2" baseType="variant">
      <vt:variant>
        <vt:lpstr>Title</vt:lpstr>
      </vt:variant>
      <vt:variant>
        <vt:i4>1</vt:i4>
      </vt:variant>
    </vt:vector>
  </HeadingPairs>
  <TitlesOfParts>
    <vt:vector size="1" baseType="lpstr">
      <vt:lpstr/>
    </vt:vector>
  </TitlesOfParts>
  <Company>International Telecommunication Union</Company>
  <LinksUpToDate>false</LinksUpToDate>
  <CharactersWithSpaces>12089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 on the implementation of ITU Council Resolution 1408 on assistance and support to Ukraine for rebuilding their telecommunication sector</dc:title>
  <dc:subject>ITU Council 2026</dc:subject>
  <cp:keywords>C26; C2026; Council 2026; PP26</cp:keywords>
  <dc:description/>
  <dcterms:created xsi:type="dcterms:W3CDTF">2026-04-13T14:23:00Z</dcterms:created>
  <dcterms:modified xsi:type="dcterms:W3CDTF">2026-04-13T16:13:00Z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4764bc0ed8aab6cc3f228418da0bf4d692034987165b3c327d8e9737cd820415</vt:lpwstr>
  </property>
</Properties>
</file>