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B14F4A" w:rsidRPr="0090639D" w14:paraId="6B493DE8" w14:textId="77777777" w:rsidTr="00C4421B">
        <w:trPr>
          <w:cantSplit/>
          <w:trHeight w:val="23"/>
        </w:trPr>
        <w:tc>
          <w:tcPr>
            <w:tcW w:w="3969" w:type="dxa"/>
            <w:vMerge w:val="restart"/>
            <w:tcMar>
              <w:left w:w="0" w:type="dxa"/>
            </w:tcMar>
          </w:tcPr>
          <w:p w14:paraId="561B357E" w14:textId="2F195805" w:rsidR="00B14F4A" w:rsidRPr="0090639D" w:rsidRDefault="00B14F4A" w:rsidP="00B14F4A">
            <w:pPr>
              <w:tabs>
                <w:tab w:val="left" w:pos="851"/>
              </w:tabs>
              <w:spacing w:before="0" w:line="240" w:lineRule="atLeast"/>
              <w:rPr>
                <w:b/>
                <w:lang w:val="es-ES_tradnl"/>
              </w:rPr>
            </w:pPr>
            <w:bookmarkStart w:id="0" w:name="_Hlk133421839"/>
            <w:r w:rsidRPr="0090639D">
              <w:rPr>
                <w:b/>
                <w:lang w:val="es-ES_tradnl"/>
              </w:rPr>
              <w:t>Punto del orden del día: ADM 3</w:t>
            </w:r>
          </w:p>
        </w:tc>
        <w:tc>
          <w:tcPr>
            <w:tcW w:w="5245" w:type="dxa"/>
          </w:tcPr>
          <w:p w14:paraId="6CE01317" w14:textId="017EF2DA" w:rsidR="00B14F4A" w:rsidRPr="0090639D" w:rsidRDefault="00B14F4A" w:rsidP="00B14F4A">
            <w:pPr>
              <w:tabs>
                <w:tab w:val="left" w:pos="851"/>
              </w:tabs>
              <w:spacing w:before="0" w:line="240" w:lineRule="atLeast"/>
              <w:jc w:val="right"/>
              <w:rPr>
                <w:b/>
                <w:lang w:val="es-ES_tradnl"/>
              </w:rPr>
            </w:pPr>
            <w:r w:rsidRPr="0090639D">
              <w:rPr>
                <w:b/>
                <w:lang w:val="es-ES_tradnl"/>
              </w:rPr>
              <w:t xml:space="preserve">Documento </w:t>
            </w:r>
            <w:proofErr w:type="spellStart"/>
            <w:r w:rsidRPr="0090639D">
              <w:rPr>
                <w:b/>
                <w:lang w:val="es-ES_tradnl"/>
              </w:rPr>
              <w:t>C26</w:t>
            </w:r>
            <w:proofErr w:type="spellEnd"/>
            <w:r w:rsidRPr="0090639D">
              <w:rPr>
                <w:b/>
                <w:lang w:val="es-ES_tradnl"/>
              </w:rPr>
              <w:t>/67-S</w:t>
            </w:r>
          </w:p>
        </w:tc>
      </w:tr>
      <w:tr w:rsidR="00B14F4A" w:rsidRPr="0090639D" w14:paraId="5D00CC4C" w14:textId="77777777" w:rsidTr="00C4421B">
        <w:trPr>
          <w:cantSplit/>
        </w:trPr>
        <w:tc>
          <w:tcPr>
            <w:tcW w:w="3969" w:type="dxa"/>
            <w:vMerge/>
          </w:tcPr>
          <w:p w14:paraId="73D8E47D" w14:textId="77777777" w:rsidR="00B14F4A" w:rsidRPr="0090639D" w:rsidRDefault="00B14F4A" w:rsidP="00B14F4A">
            <w:pPr>
              <w:tabs>
                <w:tab w:val="left" w:pos="851"/>
              </w:tabs>
              <w:spacing w:line="240" w:lineRule="atLeast"/>
              <w:rPr>
                <w:b/>
                <w:lang w:val="es-ES_tradnl"/>
              </w:rPr>
            </w:pPr>
          </w:p>
        </w:tc>
        <w:tc>
          <w:tcPr>
            <w:tcW w:w="5245" w:type="dxa"/>
          </w:tcPr>
          <w:p w14:paraId="62C28F50" w14:textId="294AC767" w:rsidR="00B14F4A" w:rsidRPr="0090639D" w:rsidRDefault="00B14F4A" w:rsidP="00B14F4A">
            <w:pPr>
              <w:tabs>
                <w:tab w:val="left" w:pos="851"/>
              </w:tabs>
              <w:spacing w:before="0"/>
              <w:jc w:val="right"/>
              <w:rPr>
                <w:b/>
                <w:lang w:val="es-ES_tradnl"/>
              </w:rPr>
            </w:pPr>
            <w:r w:rsidRPr="0090639D">
              <w:rPr>
                <w:b/>
                <w:lang w:val="es-ES_tradnl"/>
              </w:rPr>
              <w:t>30 de marzo de 2026</w:t>
            </w:r>
          </w:p>
        </w:tc>
      </w:tr>
      <w:tr w:rsidR="00B14F4A" w:rsidRPr="0090639D" w14:paraId="6BDCAB9A" w14:textId="77777777" w:rsidTr="00C4421B">
        <w:trPr>
          <w:cantSplit/>
          <w:trHeight w:val="23"/>
        </w:trPr>
        <w:tc>
          <w:tcPr>
            <w:tcW w:w="3969" w:type="dxa"/>
            <w:vMerge/>
          </w:tcPr>
          <w:p w14:paraId="02AA7075" w14:textId="77777777" w:rsidR="00B14F4A" w:rsidRPr="0090639D" w:rsidRDefault="00B14F4A" w:rsidP="00B14F4A">
            <w:pPr>
              <w:tabs>
                <w:tab w:val="left" w:pos="851"/>
              </w:tabs>
              <w:spacing w:line="240" w:lineRule="atLeast"/>
              <w:rPr>
                <w:b/>
                <w:lang w:val="es-ES_tradnl"/>
              </w:rPr>
            </w:pPr>
          </w:p>
        </w:tc>
        <w:tc>
          <w:tcPr>
            <w:tcW w:w="5245" w:type="dxa"/>
          </w:tcPr>
          <w:p w14:paraId="5FA8DABF" w14:textId="3CD527B0" w:rsidR="00B14F4A" w:rsidRPr="0090639D" w:rsidRDefault="00B14F4A" w:rsidP="00B14F4A">
            <w:pPr>
              <w:tabs>
                <w:tab w:val="left" w:pos="851"/>
              </w:tabs>
              <w:spacing w:before="0" w:line="240" w:lineRule="atLeast"/>
              <w:jc w:val="right"/>
              <w:rPr>
                <w:b/>
                <w:bCs/>
                <w:lang w:val="es-ES_tradnl"/>
              </w:rPr>
            </w:pPr>
            <w:r w:rsidRPr="0090639D">
              <w:rPr>
                <w:rFonts w:cstheme="minorHAnsi"/>
                <w:b/>
                <w:bCs/>
                <w:lang w:val="es-ES_tradnl"/>
              </w:rPr>
              <w:t>Original: inglés</w:t>
            </w:r>
          </w:p>
        </w:tc>
      </w:tr>
      <w:tr w:rsidR="00FE57F6" w:rsidRPr="0090639D" w14:paraId="7F0430EB" w14:textId="77777777" w:rsidTr="00C4421B">
        <w:trPr>
          <w:cantSplit/>
          <w:trHeight w:val="23"/>
        </w:trPr>
        <w:tc>
          <w:tcPr>
            <w:tcW w:w="3969" w:type="dxa"/>
          </w:tcPr>
          <w:p w14:paraId="0BB0181A" w14:textId="77777777" w:rsidR="00FE57F6" w:rsidRPr="0090639D" w:rsidRDefault="00FE57F6" w:rsidP="00C4421B">
            <w:pPr>
              <w:tabs>
                <w:tab w:val="left" w:pos="851"/>
              </w:tabs>
              <w:spacing w:line="240" w:lineRule="atLeast"/>
              <w:rPr>
                <w:b/>
                <w:lang w:val="es-ES_tradnl"/>
              </w:rPr>
            </w:pPr>
          </w:p>
        </w:tc>
        <w:tc>
          <w:tcPr>
            <w:tcW w:w="5245" w:type="dxa"/>
          </w:tcPr>
          <w:p w14:paraId="7D99594F" w14:textId="77777777" w:rsidR="00FE57F6" w:rsidRPr="0090639D" w:rsidRDefault="00FE57F6" w:rsidP="00C4421B">
            <w:pPr>
              <w:tabs>
                <w:tab w:val="left" w:pos="851"/>
              </w:tabs>
              <w:spacing w:before="0" w:line="240" w:lineRule="atLeast"/>
              <w:jc w:val="right"/>
              <w:rPr>
                <w:b/>
                <w:lang w:val="es-ES_tradnl"/>
              </w:rPr>
            </w:pPr>
          </w:p>
        </w:tc>
      </w:tr>
      <w:tr w:rsidR="00FE57F6" w:rsidRPr="0090639D" w14:paraId="455106BC" w14:textId="77777777" w:rsidTr="00C4421B">
        <w:trPr>
          <w:cantSplit/>
        </w:trPr>
        <w:tc>
          <w:tcPr>
            <w:tcW w:w="9214" w:type="dxa"/>
            <w:gridSpan w:val="2"/>
            <w:tcMar>
              <w:left w:w="0" w:type="dxa"/>
            </w:tcMar>
          </w:tcPr>
          <w:p w14:paraId="5ED5A613" w14:textId="77777777" w:rsidR="00FE57F6" w:rsidRPr="0090639D" w:rsidRDefault="00157AC4" w:rsidP="0090639D">
            <w:pPr>
              <w:pStyle w:val="Source"/>
              <w:framePr w:hSpace="0" w:wrap="auto" w:vAnchor="margin" w:hAnchor="text" w:xAlign="left" w:yAlign="inline"/>
              <w:rPr>
                <w:lang w:val="es-ES_tradnl"/>
              </w:rPr>
            </w:pPr>
            <w:r w:rsidRPr="0090639D">
              <w:rPr>
                <w:lang w:val="es-ES_tradnl"/>
              </w:rPr>
              <w:t>Informe de la Secretaria General</w:t>
            </w:r>
          </w:p>
        </w:tc>
      </w:tr>
      <w:tr w:rsidR="00FE57F6" w:rsidRPr="0090639D" w14:paraId="49BD7F4E" w14:textId="77777777" w:rsidTr="00C4421B">
        <w:trPr>
          <w:cantSplit/>
        </w:trPr>
        <w:tc>
          <w:tcPr>
            <w:tcW w:w="9214" w:type="dxa"/>
            <w:gridSpan w:val="2"/>
            <w:tcMar>
              <w:left w:w="0" w:type="dxa"/>
            </w:tcMar>
          </w:tcPr>
          <w:p w14:paraId="507C4059" w14:textId="5E31BF23" w:rsidR="00FE57F6" w:rsidRPr="0090639D" w:rsidRDefault="00490BD8" w:rsidP="00C4421B">
            <w:pPr>
              <w:pStyle w:val="Subtitle"/>
              <w:framePr w:hSpace="0" w:wrap="auto" w:hAnchor="text" w:xAlign="left" w:yAlign="inline"/>
              <w:rPr>
                <w:lang w:val="es-ES_tradnl"/>
              </w:rPr>
            </w:pPr>
            <w:r w:rsidRPr="0090639D">
              <w:rPr>
                <w:lang w:val="es-ES_tradnl"/>
              </w:rPr>
              <w:t>PLAN ESTRATÉGICO DE RECURSOS HUMANOS DE LA UIT PARA</w:t>
            </w:r>
            <w:r w:rsidRPr="0090639D">
              <w:rPr>
                <w:lang w:val="es-ES_tradnl" w:eastAsia="zh-CN"/>
              </w:rPr>
              <w:t xml:space="preserve"> </w:t>
            </w:r>
            <w:r w:rsidRPr="0090639D">
              <w:rPr>
                <w:lang w:val="es-ES_tradnl"/>
              </w:rPr>
              <w:t>2026-2027</w:t>
            </w:r>
          </w:p>
        </w:tc>
      </w:tr>
      <w:tr w:rsidR="00FE57F6" w:rsidRPr="0090639D" w14:paraId="3CA6709B" w14:textId="77777777" w:rsidTr="00C4421B">
        <w:trPr>
          <w:cantSplit/>
        </w:trPr>
        <w:tc>
          <w:tcPr>
            <w:tcW w:w="9214" w:type="dxa"/>
            <w:gridSpan w:val="2"/>
            <w:tcBorders>
              <w:top w:val="single" w:sz="4" w:space="0" w:color="auto"/>
              <w:bottom w:val="single" w:sz="4" w:space="0" w:color="auto"/>
            </w:tcBorders>
            <w:tcMar>
              <w:left w:w="0" w:type="dxa"/>
            </w:tcMar>
          </w:tcPr>
          <w:p w14:paraId="05C9BF89" w14:textId="77777777" w:rsidR="00FE57F6" w:rsidRPr="0090639D" w:rsidRDefault="00F24B71" w:rsidP="00C4421B">
            <w:pPr>
              <w:spacing w:before="160"/>
              <w:rPr>
                <w:b/>
                <w:bCs/>
                <w:sz w:val="26"/>
                <w:szCs w:val="26"/>
                <w:lang w:val="es-ES_tradnl"/>
              </w:rPr>
            </w:pPr>
            <w:r w:rsidRPr="0090639D">
              <w:rPr>
                <w:b/>
                <w:bCs/>
                <w:sz w:val="26"/>
                <w:szCs w:val="26"/>
                <w:lang w:val="es-ES_tradnl"/>
              </w:rPr>
              <w:t>Finalidad</w:t>
            </w:r>
          </w:p>
          <w:p w14:paraId="27C5A956" w14:textId="56D80421" w:rsidR="00FE57F6" w:rsidRPr="0090639D" w:rsidRDefault="00B14F4A" w:rsidP="0090639D">
            <w:pPr>
              <w:jc w:val="both"/>
              <w:rPr>
                <w:lang w:val="es-ES_tradnl"/>
              </w:rPr>
            </w:pPr>
            <w:r w:rsidRPr="0090639D">
              <w:rPr>
                <w:lang w:val="es-ES_tradnl"/>
              </w:rPr>
              <w:t>Presentar el Plan Estratégico de Recursos Humanos (</w:t>
            </w:r>
            <w:proofErr w:type="spellStart"/>
            <w:r w:rsidRPr="0090639D">
              <w:rPr>
                <w:lang w:val="es-ES_tradnl"/>
              </w:rPr>
              <w:t>PERH</w:t>
            </w:r>
            <w:proofErr w:type="spellEnd"/>
            <w:r w:rsidRPr="0090639D">
              <w:rPr>
                <w:lang w:val="es-ES_tradnl"/>
              </w:rPr>
              <w:t xml:space="preserve">) de la UIT para 2026-2027, armonizado con el Plan Estratégico de la UIT para </w:t>
            </w:r>
            <w:r w:rsidRPr="0090639D">
              <w:rPr>
                <w:lang w:val="es-ES_tradnl" w:eastAsia="zh-CN"/>
              </w:rPr>
              <w:t>2024-2027 y la Resolución</w:t>
            </w:r>
            <w:r w:rsidRPr="0090639D">
              <w:rPr>
                <w:rFonts w:cs="Calibri"/>
                <w:color w:val="000000"/>
                <w:lang w:val="es-ES_tradnl"/>
              </w:rPr>
              <w:t xml:space="preserve"> 48 (Rev.</w:t>
            </w:r>
            <w:r w:rsidR="00A229C7" w:rsidRPr="0090639D">
              <w:rPr>
                <w:rFonts w:cs="Calibri"/>
                <w:color w:val="000000"/>
                <w:lang w:val="es-ES_tradnl"/>
              </w:rPr>
              <w:t> </w:t>
            </w:r>
            <w:r w:rsidRPr="0090639D">
              <w:rPr>
                <w:rFonts w:cs="Calibri"/>
                <w:color w:val="000000"/>
                <w:lang w:val="es-ES_tradnl"/>
              </w:rPr>
              <w:t>Bucarest, 2022)</w:t>
            </w:r>
            <w:r w:rsidRPr="0090639D">
              <w:rPr>
                <w:lang w:val="es-ES_tradnl"/>
              </w:rPr>
              <w:t xml:space="preserve"> y diseñado para responder a las necesidades de la Unión, sus Miembros y su personal.</w:t>
            </w:r>
          </w:p>
          <w:p w14:paraId="64FE156B" w14:textId="77777777" w:rsidR="00FE57F6" w:rsidRPr="0090639D" w:rsidRDefault="00F24B71" w:rsidP="00C4421B">
            <w:pPr>
              <w:spacing w:before="160"/>
              <w:rPr>
                <w:b/>
                <w:bCs/>
                <w:sz w:val="26"/>
                <w:szCs w:val="26"/>
                <w:lang w:val="es-ES_tradnl"/>
              </w:rPr>
            </w:pPr>
            <w:r w:rsidRPr="0090639D">
              <w:rPr>
                <w:b/>
                <w:bCs/>
                <w:sz w:val="26"/>
                <w:szCs w:val="26"/>
                <w:lang w:val="es-ES_tradnl"/>
              </w:rPr>
              <w:t xml:space="preserve">Acción solicitada </w:t>
            </w:r>
            <w:r w:rsidR="00677A97" w:rsidRPr="0090639D">
              <w:rPr>
                <w:b/>
                <w:bCs/>
                <w:sz w:val="26"/>
                <w:szCs w:val="26"/>
                <w:lang w:val="es-ES_tradnl"/>
              </w:rPr>
              <w:t>al</w:t>
            </w:r>
            <w:r w:rsidRPr="0090639D">
              <w:rPr>
                <w:b/>
                <w:bCs/>
                <w:sz w:val="26"/>
                <w:szCs w:val="26"/>
                <w:lang w:val="es-ES_tradnl"/>
              </w:rPr>
              <w:t xml:space="preserve"> Consejo</w:t>
            </w:r>
          </w:p>
          <w:p w14:paraId="02888729" w14:textId="168F5843" w:rsidR="00F92BED" w:rsidRPr="0090639D" w:rsidRDefault="00B14F4A" w:rsidP="0090639D">
            <w:pPr>
              <w:jc w:val="both"/>
              <w:rPr>
                <w:szCs w:val="24"/>
                <w:lang w:val="es-ES_tradnl"/>
              </w:rPr>
            </w:pPr>
            <w:r w:rsidRPr="0090639D">
              <w:rPr>
                <w:spacing w:val="4"/>
                <w:lang w:val="es-ES_tradnl"/>
              </w:rPr>
              <w:t xml:space="preserve">Se invita al Consejo a </w:t>
            </w:r>
            <w:r w:rsidRPr="0090639D">
              <w:rPr>
                <w:b/>
                <w:bCs/>
                <w:spacing w:val="4"/>
                <w:lang w:val="es-ES_tradnl"/>
              </w:rPr>
              <w:t xml:space="preserve">examinar </w:t>
            </w:r>
            <w:r w:rsidRPr="0090639D">
              <w:rPr>
                <w:spacing w:val="4"/>
                <w:lang w:val="es-ES_tradnl"/>
              </w:rPr>
              <w:t xml:space="preserve">y </w:t>
            </w:r>
            <w:r w:rsidRPr="0090639D">
              <w:rPr>
                <w:b/>
                <w:bCs/>
                <w:spacing w:val="4"/>
                <w:lang w:val="es-ES_tradnl"/>
              </w:rPr>
              <w:t xml:space="preserve">aprobar </w:t>
            </w:r>
            <w:r w:rsidRPr="0090639D">
              <w:rPr>
                <w:spacing w:val="4"/>
                <w:lang w:val="es-ES_tradnl"/>
              </w:rPr>
              <w:t>el Plan Estratégico de Recursos Humanos de la UIT para</w:t>
            </w:r>
            <w:r w:rsidRPr="0090639D">
              <w:rPr>
                <w:lang w:val="es-ES_tradnl" w:eastAsia="zh-CN"/>
              </w:rPr>
              <w:t xml:space="preserve"> </w:t>
            </w:r>
            <w:r w:rsidRPr="0090639D">
              <w:rPr>
                <w:lang w:val="es-ES_tradnl"/>
              </w:rPr>
              <w:t>2026-2027.</w:t>
            </w:r>
          </w:p>
          <w:p w14:paraId="4AB5E8D7" w14:textId="77777777" w:rsidR="00F92BED" w:rsidRPr="0090639D" w:rsidRDefault="00F92BED" w:rsidP="00C4421B">
            <w:pPr>
              <w:spacing w:before="160"/>
              <w:rPr>
                <w:b/>
                <w:bCs/>
                <w:sz w:val="26"/>
                <w:szCs w:val="26"/>
                <w:lang w:val="es-ES_tradnl"/>
              </w:rPr>
            </w:pPr>
            <w:r w:rsidRPr="0090639D">
              <w:rPr>
                <w:b/>
                <w:bCs/>
                <w:sz w:val="26"/>
                <w:szCs w:val="26"/>
                <w:lang w:val="es-ES_tradnl"/>
              </w:rPr>
              <w:t>Vínculo(s) pertinente(s) con el Plan Estratégico</w:t>
            </w:r>
          </w:p>
          <w:p w14:paraId="3FB25BBF" w14:textId="6004AB1B" w:rsidR="00F92BED" w:rsidRPr="0090639D" w:rsidRDefault="00B14F4A" w:rsidP="00C4421B">
            <w:pPr>
              <w:rPr>
                <w:lang w:val="es-ES_tradnl"/>
              </w:rPr>
            </w:pPr>
            <w:r w:rsidRPr="0090639D">
              <w:rPr>
                <w:lang w:val="es-ES_tradnl"/>
              </w:rPr>
              <w:t>Excelencia de recursos humanos e innovación institucional</w:t>
            </w:r>
            <w:r w:rsidRPr="0090639D">
              <w:rPr>
                <w:rFonts w:asciiTheme="minorEastAsia" w:hAnsiTheme="minorEastAsia"/>
                <w:lang w:val="es-ES_tradnl" w:eastAsia="zh-CN"/>
              </w:rPr>
              <w:t>.</w:t>
            </w:r>
          </w:p>
          <w:p w14:paraId="38767E7C" w14:textId="77777777" w:rsidR="00F92BED" w:rsidRPr="0090639D" w:rsidRDefault="00F92BED" w:rsidP="00C4421B">
            <w:pPr>
              <w:spacing w:before="160"/>
              <w:rPr>
                <w:b/>
                <w:bCs/>
                <w:sz w:val="26"/>
                <w:szCs w:val="26"/>
                <w:lang w:val="es-ES_tradnl"/>
              </w:rPr>
            </w:pPr>
            <w:r w:rsidRPr="0090639D">
              <w:rPr>
                <w:b/>
                <w:bCs/>
                <w:sz w:val="26"/>
                <w:szCs w:val="26"/>
                <w:lang w:val="es-ES_tradnl"/>
              </w:rPr>
              <w:t>Repercusiones financieras</w:t>
            </w:r>
          </w:p>
          <w:p w14:paraId="34DF3B8E" w14:textId="2484FA4F" w:rsidR="00F92BED" w:rsidRPr="0090639D" w:rsidRDefault="00B14F4A" w:rsidP="00C4421B">
            <w:pPr>
              <w:rPr>
                <w:lang w:val="es-ES_tradnl"/>
              </w:rPr>
            </w:pPr>
            <w:r w:rsidRPr="0090639D">
              <w:rPr>
                <w:szCs w:val="24"/>
                <w:lang w:val="es-ES_tradnl"/>
              </w:rPr>
              <w:t>Con cargo al presupuesto aprobado para 2026-2027.</w:t>
            </w:r>
          </w:p>
          <w:p w14:paraId="72FC8EA0" w14:textId="77777777" w:rsidR="00FE57F6" w:rsidRPr="0090639D" w:rsidRDefault="00FE57F6" w:rsidP="00C4421B">
            <w:pPr>
              <w:spacing w:before="160"/>
              <w:rPr>
                <w:caps/>
                <w:sz w:val="22"/>
                <w:lang w:val="es-ES_tradnl"/>
              </w:rPr>
            </w:pPr>
            <w:r w:rsidRPr="0090639D">
              <w:rPr>
                <w:sz w:val="22"/>
                <w:lang w:val="es-ES_tradnl"/>
              </w:rPr>
              <w:t>__________________</w:t>
            </w:r>
          </w:p>
          <w:p w14:paraId="5DF87A5F" w14:textId="77777777" w:rsidR="00FE57F6" w:rsidRPr="0090639D" w:rsidRDefault="00F24B71" w:rsidP="00C4421B">
            <w:pPr>
              <w:spacing w:before="160"/>
              <w:rPr>
                <w:b/>
                <w:bCs/>
                <w:sz w:val="26"/>
                <w:szCs w:val="26"/>
                <w:lang w:val="es-ES_tradnl"/>
              </w:rPr>
            </w:pPr>
            <w:r w:rsidRPr="0090639D">
              <w:rPr>
                <w:b/>
                <w:bCs/>
                <w:sz w:val="26"/>
                <w:szCs w:val="26"/>
                <w:lang w:val="es-ES_tradnl"/>
              </w:rPr>
              <w:t>Referencia</w:t>
            </w:r>
            <w:r w:rsidR="00F92BED" w:rsidRPr="0090639D">
              <w:rPr>
                <w:b/>
                <w:bCs/>
                <w:sz w:val="26"/>
                <w:szCs w:val="26"/>
                <w:lang w:val="es-ES_tradnl"/>
              </w:rPr>
              <w:t>s</w:t>
            </w:r>
            <w:r w:rsidR="00D375E0" w:rsidRPr="0090639D">
              <w:rPr>
                <w:sz w:val="26"/>
                <w:szCs w:val="26"/>
                <w:lang w:val="es-ES_tradnl"/>
              </w:rPr>
              <w:t xml:space="preserve"> </w:t>
            </w:r>
          </w:p>
          <w:p w14:paraId="207B7E3B" w14:textId="6CCF4A21" w:rsidR="00FE57F6" w:rsidRPr="0090639D" w:rsidRDefault="00B14F4A" w:rsidP="00C4421B">
            <w:pPr>
              <w:spacing w:after="160"/>
              <w:rPr>
                <w:i/>
                <w:iCs/>
                <w:sz w:val="22"/>
                <w:szCs w:val="22"/>
                <w:lang w:val="es-ES_tradnl"/>
              </w:rPr>
            </w:pPr>
            <w:r w:rsidRPr="0090639D">
              <w:rPr>
                <w:i/>
                <w:iCs/>
                <w:sz w:val="22"/>
                <w:szCs w:val="22"/>
                <w:lang w:val="es-ES_tradnl"/>
              </w:rPr>
              <w:t xml:space="preserve">Resoluciones </w:t>
            </w:r>
            <w:hyperlink r:id="rId7" w:history="1">
              <w:r w:rsidRPr="0090639D">
                <w:rPr>
                  <w:rStyle w:val="Hyperlink"/>
                  <w:i/>
                  <w:iCs/>
                  <w:sz w:val="22"/>
                  <w:lang w:val="es-ES_tradnl"/>
                </w:rPr>
                <w:t>71 (Rev. Bucarest,</w:t>
              </w:r>
              <w:r w:rsidRPr="0090639D">
                <w:rPr>
                  <w:rStyle w:val="Hyperlink"/>
                  <w:i/>
                  <w:iCs/>
                  <w:sz w:val="22"/>
                  <w:lang w:val="es-ES_tradnl" w:eastAsia="zh-CN"/>
                </w:rPr>
                <w:t xml:space="preserve"> </w:t>
              </w:r>
              <w:r w:rsidRPr="0090639D">
                <w:rPr>
                  <w:rStyle w:val="Hyperlink"/>
                  <w:i/>
                  <w:iCs/>
                  <w:sz w:val="22"/>
                  <w:lang w:val="es-ES_tradnl"/>
                </w:rPr>
                <w:t>2022)</w:t>
              </w:r>
            </w:hyperlink>
            <w:r w:rsidRPr="0090639D">
              <w:rPr>
                <w:i/>
                <w:iCs/>
                <w:sz w:val="22"/>
                <w:szCs w:val="22"/>
                <w:lang w:val="es-ES_tradnl" w:eastAsia="zh-CN"/>
              </w:rPr>
              <w:t xml:space="preserve"> y </w:t>
            </w:r>
            <w:hyperlink r:id="rId8">
              <w:r w:rsidRPr="0090639D">
                <w:rPr>
                  <w:rStyle w:val="Hyperlink"/>
                  <w:i/>
                  <w:iCs/>
                  <w:sz w:val="22"/>
                  <w:lang w:val="es-ES_tradnl"/>
                </w:rPr>
                <w:t>48 (Rev. Bucarest,</w:t>
              </w:r>
              <w:r w:rsidRPr="0090639D">
                <w:rPr>
                  <w:rStyle w:val="Hyperlink"/>
                  <w:i/>
                  <w:iCs/>
                  <w:sz w:val="22"/>
                  <w:lang w:val="es-ES_tradnl" w:eastAsia="zh-CN"/>
                </w:rPr>
                <w:t xml:space="preserve"> </w:t>
              </w:r>
              <w:r w:rsidRPr="0090639D">
                <w:rPr>
                  <w:rStyle w:val="Hyperlink"/>
                  <w:i/>
                  <w:iCs/>
                  <w:sz w:val="22"/>
                  <w:lang w:val="es-ES_tradnl"/>
                </w:rPr>
                <w:t>2022)</w:t>
              </w:r>
            </w:hyperlink>
            <w:r w:rsidRPr="0090639D">
              <w:rPr>
                <w:i/>
                <w:iCs/>
                <w:sz w:val="22"/>
                <w:szCs w:val="22"/>
                <w:lang w:val="es-ES_tradnl" w:eastAsia="zh-CN"/>
              </w:rPr>
              <w:t xml:space="preserve"> de la Conferencia de Plenipotenciarios</w:t>
            </w:r>
          </w:p>
        </w:tc>
      </w:tr>
      <w:bookmarkEnd w:id="0"/>
    </w:tbl>
    <w:p w14:paraId="583AB59C" w14:textId="77777777" w:rsidR="00093EEB" w:rsidRPr="0090639D" w:rsidRDefault="00093EEB">
      <w:pPr>
        <w:rPr>
          <w:lang w:val="es-ES_tradnl"/>
        </w:rPr>
      </w:pPr>
    </w:p>
    <w:p w14:paraId="5F561090" w14:textId="77777777" w:rsidR="001559F5" w:rsidRPr="0090639D" w:rsidRDefault="001559F5">
      <w:pPr>
        <w:tabs>
          <w:tab w:val="clear" w:pos="567"/>
          <w:tab w:val="clear" w:pos="1134"/>
          <w:tab w:val="clear" w:pos="1701"/>
          <w:tab w:val="clear" w:pos="2268"/>
          <w:tab w:val="clear" w:pos="2835"/>
        </w:tabs>
        <w:overflowPunct/>
        <w:autoSpaceDE/>
        <w:autoSpaceDN/>
        <w:adjustRightInd/>
        <w:spacing w:before="0"/>
        <w:textAlignment w:val="auto"/>
        <w:rPr>
          <w:lang w:val="es-ES_tradnl"/>
        </w:rPr>
      </w:pPr>
      <w:r w:rsidRPr="0090639D">
        <w:rPr>
          <w:lang w:val="es-ES_tradnl"/>
        </w:rPr>
        <w:br w:type="page"/>
      </w:r>
    </w:p>
    <w:p w14:paraId="6CA46A14" w14:textId="77777777" w:rsidR="00B14F4A" w:rsidRPr="0090639D" w:rsidRDefault="00B14F4A" w:rsidP="00B14F4A">
      <w:pPr>
        <w:pStyle w:val="Heading1"/>
        <w:rPr>
          <w:lang w:val="es-ES_tradnl" w:eastAsia="zh-CN"/>
        </w:rPr>
      </w:pPr>
      <w:r w:rsidRPr="0090639D">
        <w:rPr>
          <w:lang w:val="es-ES_tradnl" w:eastAsia="zh-CN"/>
        </w:rPr>
        <w:lastRenderedPageBreak/>
        <w:t>1</w:t>
      </w:r>
      <w:r w:rsidRPr="0090639D">
        <w:rPr>
          <w:lang w:val="es-ES_tradnl" w:eastAsia="zh-CN"/>
        </w:rPr>
        <w:tab/>
        <w:t>Contexto estratégico</w:t>
      </w:r>
    </w:p>
    <w:p w14:paraId="7A867600" w14:textId="77777777" w:rsidR="00B14F4A" w:rsidRPr="0090639D" w:rsidRDefault="00B14F4A" w:rsidP="0090639D">
      <w:pPr>
        <w:jc w:val="both"/>
        <w:rPr>
          <w:lang w:val="es-ES_tradnl" w:eastAsia="zh-CN"/>
        </w:rPr>
      </w:pPr>
      <w:r w:rsidRPr="0090639D">
        <w:rPr>
          <w:lang w:val="es-ES_tradnl"/>
        </w:rPr>
        <w:t>El Plan Estratégico de Recursos Humanos (</w:t>
      </w:r>
      <w:proofErr w:type="spellStart"/>
      <w:r w:rsidRPr="0090639D">
        <w:rPr>
          <w:lang w:val="es-ES_tradnl"/>
        </w:rPr>
        <w:t>PERH</w:t>
      </w:r>
      <w:proofErr w:type="spellEnd"/>
      <w:r w:rsidRPr="0090639D">
        <w:rPr>
          <w:lang w:val="es-ES_tradnl"/>
        </w:rPr>
        <w:t>) para 2026-2027 se basa en el Plan Estratégico de la UIT para 2024–2027 y la Resolución 48 (Rev. Bucarest, 2022). En él se define la orientación estratégica para los dos últimos años del ciclo estratégico cuadrienal de la UIT y se asienta en la Hoja de ruta de transformación de la UIT y el Plan de transformación de recursos humanos, habida cuenta de las iniciativas pertinentes del sistema de las Naciones Unidas, incluida</w:t>
      </w:r>
      <w:r w:rsidRPr="0090639D">
        <w:rPr>
          <w:lang w:val="es-ES_tradnl" w:eastAsia="zh-CN"/>
        </w:rPr>
        <w:t xml:space="preserve"> ONU 2.0</w:t>
      </w:r>
      <w:r w:rsidRPr="0090639D">
        <w:rPr>
          <w:lang w:val="es-ES_tradnl"/>
        </w:rPr>
        <w:t xml:space="preserve">. El nuevo Plan Estratégico de Recursos Humanos cuadrienal se definirá conforme al Plan Estratégico de la UIT para 2028-2031 y se presentará a la consideración del Consejo en su reunión de 2027 para su aprobación. </w:t>
      </w:r>
    </w:p>
    <w:p w14:paraId="1369DE35" w14:textId="77777777" w:rsidR="00B14F4A" w:rsidRPr="0090639D" w:rsidRDefault="00B14F4A" w:rsidP="0090639D">
      <w:pPr>
        <w:jc w:val="both"/>
        <w:rPr>
          <w:lang w:val="es-ES_tradnl" w:eastAsia="zh-CN"/>
        </w:rPr>
      </w:pPr>
      <w:r w:rsidRPr="0090639D">
        <w:rPr>
          <w:lang w:val="es-ES_tradnl"/>
        </w:rPr>
        <w:t>El logro de estos objetivos exige una mano de obra ágil, competente y comprometida, respaldada por una cultura centrada en las personas y políticas, servicios y sistemas de recursos humanos modernos. De conformidad con la Resolución</w:t>
      </w:r>
      <w:r w:rsidRPr="0090639D">
        <w:rPr>
          <w:lang w:val="es-ES_tradnl" w:eastAsia="zh-CN"/>
        </w:rPr>
        <w:t xml:space="preserve"> 48 </w:t>
      </w:r>
      <w:r w:rsidRPr="0090639D">
        <w:rPr>
          <w:lang w:val="es-ES_tradnl"/>
        </w:rPr>
        <w:t>(Rev. Bucarest, 2022)</w:t>
      </w:r>
      <w:r w:rsidRPr="0090639D">
        <w:rPr>
          <w:lang w:val="es-ES_tradnl" w:eastAsia="zh-CN"/>
        </w:rPr>
        <w:t xml:space="preserve"> y los principios del sistema común de las Naciones Unidas, la UIT se compromete a que sus prácticas de contratación y gestión del personal respondan a las más exigentes normas de eficiencia, competencia e integridad, considerando al mismo tiempo la importancia de contratar personal sobre una base geográfica lo más amplia posible y de promover la paridad de género y una mayor diversidad en el lugar de trabajo. Así, el </w:t>
      </w:r>
      <w:proofErr w:type="spellStart"/>
      <w:r w:rsidRPr="0090639D">
        <w:rPr>
          <w:lang w:val="es-ES_tradnl" w:eastAsia="zh-CN"/>
        </w:rPr>
        <w:t>PERH</w:t>
      </w:r>
      <w:proofErr w:type="spellEnd"/>
      <w:r w:rsidRPr="0090639D">
        <w:rPr>
          <w:lang w:val="es-ES_tradnl" w:eastAsia="zh-CN"/>
        </w:rPr>
        <w:t xml:space="preserve"> para </w:t>
      </w:r>
      <w:proofErr w:type="spellStart"/>
      <w:r w:rsidRPr="0090639D">
        <w:rPr>
          <w:lang w:val="es-ES_tradnl" w:eastAsia="zh-CN"/>
        </w:rPr>
        <w:t>HRSP</w:t>
      </w:r>
      <w:proofErr w:type="spellEnd"/>
      <w:r w:rsidRPr="0090639D">
        <w:rPr>
          <w:lang w:val="es-ES_tradnl" w:eastAsia="zh-CN"/>
        </w:rPr>
        <w:t xml:space="preserve"> </w:t>
      </w:r>
      <w:r w:rsidRPr="0090639D">
        <w:rPr>
          <w:lang w:val="es-ES_tradnl"/>
        </w:rPr>
        <w:t>2026-2027</w:t>
      </w:r>
      <w:r w:rsidRPr="0090639D">
        <w:rPr>
          <w:lang w:val="es-ES_tradnl" w:eastAsia="zh-CN"/>
        </w:rPr>
        <w:t xml:space="preserve"> aumenta la capacidad de la UIT para atraer, desarrollar y conservar el talento que permitirá obtener resultados en un entorno digital en rápida evolución.</w:t>
      </w:r>
    </w:p>
    <w:p w14:paraId="5F7E42A3" w14:textId="77777777" w:rsidR="00B14F4A" w:rsidRPr="0090639D" w:rsidRDefault="00B14F4A" w:rsidP="0090639D">
      <w:pPr>
        <w:jc w:val="both"/>
        <w:rPr>
          <w:spacing w:val="-2"/>
          <w:lang w:val="es-ES_tradnl" w:eastAsia="zh-CN"/>
        </w:rPr>
      </w:pPr>
      <w:r w:rsidRPr="0090639D">
        <w:rPr>
          <w:spacing w:val="-2"/>
          <w:lang w:val="es-ES_tradnl"/>
        </w:rPr>
        <w:t>Al mismo tiempo, la UIT opera en un mercado laboral muy competitivo, sujeto a limitaciones financieras y en un contexto de rápidos cambios tecnológicos, la evolución de las políticas y reformas del Régimen Común de las Naciones Unidas y expectativas crecientes en materia de bienestar, inclusión e igualdad de género. Esta dinámica exige la constante modernización de los procesos y herramientas de recursos humanos, una mejor planificación de la mano de obra y una cultura propicia al rendimiento, el aprendizaje y la colaboración a lo largo y ancho de la Unión, al tiempo que se aumentan la eficacia y la calidad de servicio con los recursos existentes</w:t>
      </w:r>
      <w:r w:rsidRPr="0090639D">
        <w:rPr>
          <w:spacing w:val="-2"/>
          <w:lang w:val="es-ES_tradnl" w:eastAsia="zh-CN"/>
        </w:rPr>
        <w:t>.</w:t>
      </w:r>
      <w:r w:rsidRPr="0090639D">
        <w:rPr>
          <w:spacing w:val="-2"/>
          <w:lang w:val="es-ES_tradnl"/>
        </w:rPr>
        <w:t xml:space="preserve"> </w:t>
      </w:r>
    </w:p>
    <w:p w14:paraId="09CF4794" w14:textId="5D522F2C" w:rsidR="00B14F4A" w:rsidRPr="0090639D" w:rsidRDefault="00B14F4A" w:rsidP="0090639D">
      <w:pPr>
        <w:jc w:val="both"/>
        <w:rPr>
          <w:lang w:val="es-ES_tradnl" w:eastAsia="zh-CN"/>
        </w:rPr>
      </w:pPr>
      <w:r w:rsidRPr="0090639D">
        <w:rPr>
          <w:lang w:val="es-ES_tradnl"/>
        </w:rPr>
        <w:t xml:space="preserve">Así, el </w:t>
      </w:r>
      <w:proofErr w:type="spellStart"/>
      <w:r w:rsidRPr="0090639D">
        <w:rPr>
          <w:lang w:val="es-ES_tradnl"/>
        </w:rPr>
        <w:t>PERH</w:t>
      </w:r>
      <w:proofErr w:type="spellEnd"/>
      <w:r w:rsidRPr="0090639D">
        <w:rPr>
          <w:lang w:val="es-ES_tradnl"/>
        </w:rPr>
        <w:t xml:space="preserve"> para 2026-2027</w:t>
      </w:r>
      <w:r w:rsidRPr="0090639D">
        <w:rPr>
          <w:lang w:val="es-ES_tradnl" w:eastAsia="zh-CN"/>
        </w:rPr>
        <w:t xml:space="preserve"> define un marco claro de gestión del personal para el próximo bienio y tiene por objetivo hacer de la UIT un empleador ejemplar en el sistema de las Naciones Unidas y en la industria en general. Se traducen los objetivos estratégicos en una serie concreta de prioridades e iniciativas que permitirán a la UIT: i) prever las necesidades de capacitación evolutivas y responder a ellas; </w:t>
      </w:r>
      <w:proofErr w:type="spellStart"/>
      <w:r w:rsidRPr="0090639D">
        <w:rPr>
          <w:lang w:val="es-ES_tradnl" w:eastAsia="zh-CN"/>
        </w:rPr>
        <w:t>ii</w:t>
      </w:r>
      <w:proofErr w:type="spellEnd"/>
      <w:r w:rsidRPr="0090639D">
        <w:rPr>
          <w:lang w:val="es-ES_tradnl" w:eastAsia="zh-CN"/>
        </w:rPr>
        <w:t xml:space="preserve">) afianzar las prácticas de dirección y gestión de personal; </w:t>
      </w:r>
      <w:proofErr w:type="spellStart"/>
      <w:r w:rsidRPr="0090639D">
        <w:rPr>
          <w:lang w:val="es-ES_tradnl" w:eastAsia="zh-CN"/>
        </w:rPr>
        <w:t>iii</w:t>
      </w:r>
      <w:proofErr w:type="spellEnd"/>
      <w:r w:rsidRPr="0090639D">
        <w:rPr>
          <w:lang w:val="es-ES_tradnl" w:eastAsia="zh-CN"/>
        </w:rPr>
        <w:t xml:space="preserve">) fomentar un lugar de trabajo saludable, seguro y basado en valores, y </w:t>
      </w:r>
      <w:proofErr w:type="spellStart"/>
      <w:r w:rsidRPr="0090639D">
        <w:rPr>
          <w:lang w:val="es-ES_tradnl" w:eastAsia="zh-CN"/>
        </w:rPr>
        <w:t>iv</w:t>
      </w:r>
      <w:proofErr w:type="spellEnd"/>
      <w:r w:rsidRPr="0090639D">
        <w:rPr>
          <w:lang w:val="es-ES_tradnl" w:eastAsia="zh-CN"/>
        </w:rPr>
        <w:t>) reforzar la gobernanza, la transparencia y la observancia en materia de recursos humanos gracias a mejores datos y soluciones digitales. También sirve de plan bienal de transición para integrar los resultados de la transformación de los recursos humanos –pasando del diseño y la implantación a la adopción sostenida y la repercusión medible– al tiempo que se prepara la armonización sin fisuras con el próximo ciclo de planificación estratégica de la UIT</w:t>
      </w:r>
      <w:r w:rsidRPr="0090639D">
        <w:rPr>
          <w:lang w:val="es-ES_tradnl"/>
        </w:rPr>
        <w:t>. De este modo proporciona continuidad, claridad y responsabilidad para la implementación en 2026</w:t>
      </w:r>
      <w:r w:rsidR="00A229C7" w:rsidRPr="0090639D">
        <w:rPr>
          <w:lang w:val="es-ES_tradnl"/>
        </w:rPr>
        <w:noBreakHyphen/>
      </w:r>
      <w:r w:rsidRPr="0090639D">
        <w:rPr>
          <w:lang w:val="es-ES_tradnl"/>
        </w:rPr>
        <w:t>2027</w:t>
      </w:r>
      <w:r w:rsidRPr="0090639D">
        <w:rPr>
          <w:lang w:val="es-ES_tradnl" w:eastAsia="zh-CN"/>
        </w:rPr>
        <w:t xml:space="preserve"> y refuerza la futura preparación del personal de la UIT</w:t>
      </w:r>
      <w:r w:rsidRPr="0090639D">
        <w:rPr>
          <w:lang w:val="es-ES_tradnl"/>
        </w:rPr>
        <w:t>.</w:t>
      </w:r>
    </w:p>
    <w:p w14:paraId="6FF99C81" w14:textId="77777777" w:rsidR="00B14F4A" w:rsidRPr="0090639D" w:rsidRDefault="00B14F4A" w:rsidP="00B14F4A">
      <w:pPr>
        <w:pStyle w:val="Heading1"/>
        <w:rPr>
          <w:lang w:val="es-ES_tradnl"/>
        </w:rPr>
      </w:pPr>
      <w:r w:rsidRPr="0090639D">
        <w:rPr>
          <w:lang w:val="es-ES_tradnl"/>
        </w:rPr>
        <w:t>2</w:t>
      </w:r>
      <w:r w:rsidRPr="0090639D">
        <w:rPr>
          <w:lang w:val="es-ES_tradnl"/>
        </w:rPr>
        <w:tab/>
        <w:t>Perspectiva</w:t>
      </w:r>
    </w:p>
    <w:p w14:paraId="55F5F35A" w14:textId="77777777" w:rsidR="00B14F4A" w:rsidRPr="0090639D" w:rsidRDefault="00B14F4A" w:rsidP="00026636">
      <w:pPr>
        <w:jc w:val="both"/>
        <w:rPr>
          <w:lang w:val="es-ES_tradnl"/>
        </w:rPr>
      </w:pPr>
      <w:r w:rsidRPr="0090639D">
        <w:rPr>
          <w:lang w:val="es-ES_tradnl"/>
        </w:rPr>
        <w:t xml:space="preserve">La perspectiva del </w:t>
      </w:r>
      <w:proofErr w:type="spellStart"/>
      <w:r w:rsidRPr="0090639D">
        <w:rPr>
          <w:lang w:val="es-ES_tradnl"/>
        </w:rPr>
        <w:t>PERH</w:t>
      </w:r>
      <w:proofErr w:type="spellEnd"/>
      <w:r w:rsidRPr="0090639D">
        <w:rPr>
          <w:lang w:val="es-ES_tradnl"/>
        </w:rPr>
        <w:t xml:space="preserve"> para 2026-2027</w:t>
      </w:r>
      <w:r w:rsidRPr="0090639D">
        <w:rPr>
          <w:lang w:val="es-ES_tradnl" w:eastAsia="zh-CN"/>
        </w:rPr>
        <w:t xml:space="preserve"> es permitir a la UIT llevar a cabo su mandato a través de una fuerza laboral ágil, preparada para el futuro, de alto rendimiento e inclusiva, respaldada por un lugar de trabajo saludable, seguro y basado en valores, donde todo el personal pueda prosperar, aprender y crecer</w:t>
      </w:r>
      <w:r w:rsidRPr="0090639D">
        <w:rPr>
          <w:lang w:val="es-ES_tradnl"/>
        </w:rPr>
        <w:t>.</w:t>
      </w:r>
    </w:p>
    <w:p w14:paraId="5785B283" w14:textId="77777777" w:rsidR="00B14F4A" w:rsidRPr="0090639D" w:rsidRDefault="00B14F4A" w:rsidP="0090639D">
      <w:pPr>
        <w:jc w:val="both"/>
        <w:rPr>
          <w:lang w:val="es-ES_tradnl" w:eastAsia="zh-CN"/>
        </w:rPr>
      </w:pPr>
      <w:r w:rsidRPr="0090639D">
        <w:rPr>
          <w:lang w:val="es-ES_tradnl"/>
        </w:rPr>
        <w:lastRenderedPageBreak/>
        <w:t>A lo largo del bienio 2026-2027 la UIT afianzará una cultura de la confianza, la responsabilidad y el liderazgo compartido, donde los directivos estén capacitados para dirigir eficazmente a las personas y el personal tenga la capacidad de contribuir e innovar. El Departamento de RR.HH. ofrecerá servicios coherentes, transparentes y centrados en el usuario a lo largo de toda la vida laboral del empleado gracias a herramientas digitales adaptadas y a datos fiables sobre la mano de obra. La UIT también hará progresos tangibles mediante la creación de equipos diversos y la garantía de la igualdad de oportunidades, ofreciendo al mismo tiempo un lugar de trabajo respetuoso proclive al bienestar y donde los problemas se aborden sin demora y con imparcialidad.</w:t>
      </w:r>
    </w:p>
    <w:p w14:paraId="3F1E3E3B" w14:textId="77777777" w:rsidR="00B14F4A" w:rsidRPr="0090639D" w:rsidRDefault="00B14F4A" w:rsidP="0090639D">
      <w:pPr>
        <w:pStyle w:val="Heading1"/>
        <w:spacing w:before="240"/>
        <w:rPr>
          <w:lang w:val="es-ES_tradnl" w:eastAsia="zh-CN"/>
        </w:rPr>
      </w:pPr>
      <w:r w:rsidRPr="0090639D">
        <w:rPr>
          <w:lang w:val="es-ES_tradnl" w:eastAsia="zh-CN"/>
        </w:rPr>
        <w:t>3</w:t>
      </w:r>
      <w:r w:rsidRPr="0090639D">
        <w:rPr>
          <w:lang w:val="es-ES_tradnl" w:eastAsia="zh-CN"/>
        </w:rPr>
        <w:tab/>
        <w:t>Pilares estratégicos</w:t>
      </w:r>
    </w:p>
    <w:p w14:paraId="064633D4" w14:textId="77777777" w:rsidR="00B14F4A" w:rsidRPr="0090639D" w:rsidRDefault="00B14F4A" w:rsidP="0090639D">
      <w:pPr>
        <w:jc w:val="both"/>
        <w:rPr>
          <w:lang w:val="es-ES_tradnl"/>
        </w:rPr>
      </w:pPr>
      <w:r w:rsidRPr="0090639D">
        <w:rPr>
          <w:lang w:val="es-ES_tradnl"/>
        </w:rPr>
        <w:t xml:space="preserve">Para materializar la perspectiva del </w:t>
      </w:r>
      <w:proofErr w:type="spellStart"/>
      <w:r w:rsidRPr="0090639D">
        <w:rPr>
          <w:lang w:val="es-ES_tradnl"/>
        </w:rPr>
        <w:t>PERH</w:t>
      </w:r>
      <w:proofErr w:type="spellEnd"/>
      <w:r w:rsidRPr="0090639D">
        <w:rPr>
          <w:lang w:val="es-ES_tradnl"/>
        </w:rPr>
        <w:t xml:space="preserve"> para 2026-2027 la UIT se centrará en cinco pilares estratégicos interrelacionados que traducirán el programa de personal en medidas prioritarias para el bienio.</w:t>
      </w:r>
    </w:p>
    <w:p w14:paraId="4E3F100D" w14:textId="5BA6117F" w:rsidR="00B14F4A" w:rsidRPr="0090639D" w:rsidRDefault="00B14F4A" w:rsidP="0090639D">
      <w:pPr>
        <w:pStyle w:val="enumlev1"/>
        <w:jc w:val="both"/>
        <w:rPr>
          <w:lang w:val="es-ES_tradnl" w:eastAsia="zh-CN"/>
        </w:rPr>
      </w:pPr>
      <w:r w:rsidRPr="0090639D">
        <w:rPr>
          <w:lang w:val="es-ES_tradnl" w:eastAsia="zh-CN"/>
        </w:rPr>
        <w:t>a)</w:t>
      </w:r>
      <w:r w:rsidRPr="0090639D">
        <w:rPr>
          <w:lang w:val="es-ES_tradnl"/>
        </w:rPr>
        <w:tab/>
        <w:t>Planificación del talento y la mano de obra –</w:t>
      </w:r>
      <w:r w:rsidR="00A229C7" w:rsidRPr="0090639D">
        <w:rPr>
          <w:lang w:val="es-ES_tradnl"/>
        </w:rPr>
        <w:t xml:space="preserve"> </w:t>
      </w:r>
      <w:r w:rsidRPr="0090639D">
        <w:rPr>
          <w:lang w:val="es-ES_tradnl"/>
        </w:rPr>
        <w:t>garantizar que el personal de la UIT posee las capacidades y competencias necesarias atrayendo y conservando a los candidatos más cualificados y situándolos en los puestos donde son más necesarios</w:t>
      </w:r>
      <w:r w:rsidRPr="0090639D">
        <w:rPr>
          <w:lang w:val="es-ES_tradnl" w:eastAsia="zh-CN"/>
        </w:rPr>
        <w:t>.</w:t>
      </w:r>
    </w:p>
    <w:p w14:paraId="645799DD" w14:textId="77777777" w:rsidR="00B14F4A" w:rsidRPr="0090639D" w:rsidRDefault="00B14F4A" w:rsidP="0090639D">
      <w:pPr>
        <w:pStyle w:val="enumlev1"/>
        <w:jc w:val="both"/>
        <w:rPr>
          <w:lang w:val="es-ES_tradnl" w:eastAsia="zh-CN"/>
        </w:rPr>
      </w:pPr>
      <w:r w:rsidRPr="0090639D">
        <w:rPr>
          <w:lang w:val="es-ES_tradnl" w:eastAsia="zh-CN"/>
        </w:rPr>
        <w:t>b)</w:t>
      </w:r>
      <w:r w:rsidRPr="0090639D">
        <w:rPr>
          <w:lang w:val="es-ES_tradnl" w:eastAsia="zh-CN"/>
        </w:rPr>
        <w:tab/>
        <w:t>Liderazgo, gestión del rendimiento, recompensas y reconocimiento – reforzar el liderazgo en materia de recursos humanos y una cultura coherente de alto rendimiento.</w:t>
      </w:r>
    </w:p>
    <w:p w14:paraId="0FB696A5" w14:textId="77777777" w:rsidR="00B14F4A" w:rsidRPr="0090639D" w:rsidRDefault="00B14F4A" w:rsidP="0090639D">
      <w:pPr>
        <w:pStyle w:val="enumlev1"/>
        <w:jc w:val="both"/>
        <w:rPr>
          <w:lang w:val="es-ES_tradnl" w:eastAsia="zh-CN"/>
        </w:rPr>
      </w:pPr>
      <w:r w:rsidRPr="0090639D">
        <w:rPr>
          <w:lang w:val="es-ES_tradnl" w:eastAsia="zh-CN"/>
        </w:rPr>
        <w:t>c)</w:t>
      </w:r>
      <w:r w:rsidRPr="0090639D">
        <w:rPr>
          <w:lang w:val="es-ES_tradnl" w:eastAsia="zh-CN"/>
        </w:rPr>
        <w:tab/>
        <w:t>Aprendizaje y desarrollo profesional – adquisición de aptitudes para el futuro y definición de sendas claras de desarrollo mediante el aprendizaje continuo.</w:t>
      </w:r>
    </w:p>
    <w:p w14:paraId="6ABDE5DF" w14:textId="11B52496" w:rsidR="00B14F4A" w:rsidRPr="0090639D" w:rsidRDefault="00B14F4A" w:rsidP="0090639D">
      <w:pPr>
        <w:pStyle w:val="enumlev1"/>
        <w:jc w:val="both"/>
        <w:rPr>
          <w:lang w:val="es-ES_tradnl" w:eastAsia="zh-CN"/>
        </w:rPr>
      </w:pPr>
      <w:r w:rsidRPr="0090639D">
        <w:rPr>
          <w:lang w:val="es-ES_tradnl" w:eastAsia="zh-CN"/>
        </w:rPr>
        <w:t>d)</w:t>
      </w:r>
      <w:r w:rsidRPr="0090639D">
        <w:rPr>
          <w:lang w:val="es-ES_tradnl" w:eastAsia="zh-CN"/>
        </w:rPr>
        <w:tab/>
      </w:r>
      <w:r w:rsidR="00314A00" w:rsidRPr="0090639D">
        <w:rPr>
          <w:lang w:val="es-ES_tradnl" w:eastAsia="zh-CN"/>
        </w:rPr>
        <w:t>I</w:t>
      </w:r>
      <w:r w:rsidRPr="0090639D">
        <w:rPr>
          <w:lang w:val="es-ES_tradnl" w:eastAsia="zh-CN"/>
        </w:rPr>
        <w:t>mplicación, inclusión y bienestar del personal – promover un lugar de trabajo respetuoso que afiance la implicación, la inclusión y el bienestar del personal.</w:t>
      </w:r>
    </w:p>
    <w:p w14:paraId="1228831E" w14:textId="2D1BA849" w:rsidR="00B14F4A" w:rsidRPr="0090639D" w:rsidRDefault="00B14F4A" w:rsidP="0090639D">
      <w:pPr>
        <w:pStyle w:val="enumlev1"/>
        <w:jc w:val="both"/>
        <w:rPr>
          <w:lang w:val="es-ES_tradnl" w:eastAsia="zh-CN"/>
        </w:rPr>
      </w:pPr>
      <w:r w:rsidRPr="0090639D">
        <w:rPr>
          <w:lang w:val="es-ES_tradnl" w:eastAsia="zh-CN"/>
        </w:rPr>
        <w:t>e)</w:t>
      </w:r>
      <w:r w:rsidRPr="0090639D">
        <w:rPr>
          <w:lang w:val="es-ES_tradnl" w:eastAsia="zh-CN"/>
        </w:rPr>
        <w:tab/>
      </w:r>
      <w:r w:rsidR="00314A00" w:rsidRPr="0090639D">
        <w:rPr>
          <w:lang w:val="es-ES_tradnl" w:eastAsia="zh-CN"/>
        </w:rPr>
        <w:t>G</w:t>
      </w:r>
      <w:r w:rsidRPr="0090639D">
        <w:rPr>
          <w:lang w:val="es-ES_tradnl" w:eastAsia="zh-CN"/>
        </w:rPr>
        <w:t>obernanza de RR.HH., datos y transformación digital – reforzar la gobernanza de RR.HH. y habilitar servicios de RR.HH. modernos, basados en datos y con soporte digital.</w:t>
      </w:r>
    </w:p>
    <w:p w14:paraId="373AC6FA" w14:textId="77777777" w:rsidR="00B14F4A" w:rsidRPr="00026636" w:rsidRDefault="00B14F4A" w:rsidP="00026636">
      <w:pPr>
        <w:pStyle w:val="FigureNo"/>
      </w:pPr>
      <w:r w:rsidRPr="00026636">
        <w:lastRenderedPageBreak/>
        <w:t>FigurA 1</w:t>
      </w:r>
    </w:p>
    <w:p w14:paraId="64F03DAF" w14:textId="77777777" w:rsidR="00B14F4A" w:rsidRPr="0090639D" w:rsidRDefault="00B14F4A" w:rsidP="00B14F4A">
      <w:pPr>
        <w:pStyle w:val="Figuretitle"/>
        <w:rPr>
          <w:lang w:val="es-ES_tradnl" w:eastAsia="zh-CN"/>
        </w:rPr>
      </w:pPr>
      <w:r w:rsidRPr="0090639D">
        <w:rPr>
          <w:lang w:val="es-ES_tradnl"/>
        </w:rPr>
        <w:t xml:space="preserve">Pilares estratégicos del </w:t>
      </w:r>
      <w:proofErr w:type="spellStart"/>
      <w:r w:rsidRPr="0090639D">
        <w:rPr>
          <w:lang w:val="es-ES_tradnl"/>
        </w:rPr>
        <w:t>PERH</w:t>
      </w:r>
      <w:proofErr w:type="spellEnd"/>
      <w:r w:rsidRPr="0090639D">
        <w:rPr>
          <w:lang w:val="es-ES_tradnl"/>
        </w:rPr>
        <w:t xml:space="preserve"> para</w:t>
      </w:r>
      <w:r w:rsidRPr="0090639D">
        <w:rPr>
          <w:lang w:val="es-ES_tradnl" w:eastAsia="zh-CN"/>
        </w:rPr>
        <w:t xml:space="preserve"> 2026-2027</w:t>
      </w:r>
    </w:p>
    <w:p w14:paraId="6F7B4CBF" w14:textId="2B2ECFF6" w:rsidR="00B14F4A" w:rsidRPr="0090639D" w:rsidRDefault="009A7779" w:rsidP="00B14F4A">
      <w:pPr>
        <w:pStyle w:val="Figure"/>
        <w:rPr>
          <w:lang w:val="es-ES_tradnl"/>
        </w:rPr>
      </w:pPr>
      <w:r w:rsidRPr="0090639D">
        <w:rPr>
          <w:lang w:val="es-ES_tradnl"/>
        </w:rPr>
        <w:drawing>
          <wp:inline distT="0" distB="0" distL="0" distR="0" wp14:anchorId="3DECDE4B" wp14:editId="59A1A327">
            <wp:extent cx="3778808" cy="3600000"/>
            <wp:effectExtent l="0" t="0" r="0" b="635"/>
            <wp:docPr id="13376935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693546" name=""/>
                    <pic:cNvPicPr/>
                  </pic:nvPicPr>
                  <pic:blipFill>
                    <a:blip r:embed="rId9"/>
                    <a:stretch>
                      <a:fillRect/>
                    </a:stretch>
                  </pic:blipFill>
                  <pic:spPr>
                    <a:xfrm>
                      <a:off x="0" y="0"/>
                      <a:ext cx="3778808" cy="3600000"/>
                    </a:xfrm>
                    <a:prstGeom prst="rect">
                      <a:avLst/>
                    </a:prstGeom>
                  </pic:spPr>
                </pic:pic>
              </a:graphicData>
            </a:graphic>
          </wp:inline>
        </w:drawing>
      </w:r>
    </w:p>
    <w:p w14:paraId="5463E412" w14:textId="77777777" w:rsidR="00B14F4A" w:rsidRPr="0090639D" w:rsidRDefault="00B14F4A" w:rsidP="00147E6E">
      <w:pPr>
        <w:pStyle w:val="Heading2"/>
        <w:spacing w:before="240"/>
        <w:rPr>
          <w:lang w:val="es-ES_tradnl" w:eastAsia="zh-CN"/>
        </w:rPr>
      </w:pPr>
      <w:r w:rsidRPr="0090639D">
        <w:rPr>
          <w:lang w:val="es-ES_tradnl" w:eastAsia="zh-CN"/>
        </w:rPr>
        <w:t>3.1</w:t>
      </w:r>
      <w:r w:rsidRPr="0090639D">
        <w:rPr>
          <w:lang w:val="es-ES_tradnl" w:eastAsia="zh-CN"/>
        </w:rPr>
        <w:tab/>
        <w:t>Planificación del talento y la mano de obra</w:t>
      </w:r>
    </w:p>
    <w:p w14:paraId="17317BA8" w14:textId="77777777" w:rsidR="00B14F4A" w:rsidRPr="0090639D" w:rsidRDefault="00B14F4A" w:rsidP="009A7779">
      <w:pPr>
        <w:pStyle w:val="Headingb"/>
        <w:tabs>
          <w:tab w:val="left" w:pos="8651"/>
        </w:tabs>
        <w:rPr>
          <w:lang w:val="es-ES_tradnl" w:eastAsia="zh-CN"/>
        </w:rPr>
      </w:pPr>
      <w:r w:rsidRPr="0090639D">
        <w:rPr>
          <w:lang w:val="es-ES_tradnl" w:eastAsia="zh-CN"/>
        </w:rPr>
        <w:t>Por qué es importante</w:t>
      </w:r>
    </w:p>
    <w:p w14:paraId="60618BD5" w14:textId="77777777" w:rsidR="00B14F4A" w:rsidRPr="0090639D" w:rsidRDefault="00B14F4A" w:rsidP="0090639D">
      <w:pPr>
        <w:spacing w:line="259" w:lineRule="auto"/>
        <w:jc w:val="both"/>
        <w:rPr>
          <w:lang w:val="es-ES_tradnl" w:eastAsia="zh-CN"/>
        </w:rPr>
      </w:pPr>
      <w:r w:rsidRPr="0090639D">
        <w:rPr>
          <w:lang w:val="es-ES_tradnl" w:eastAsia="zh-CN"/>
        </w:rPr>
        <w:t>A medida que el mandato y las prioridades estratégicas de la UIT evolucionan y las necesidades en materia de competencias cambian rápidamente, las decisiones que se adopten en materia de recursos humanos habrán de tener visión de futuro, estar sustentadas en datos y ser sostenibles en el marco de los recursos aprobados. Para ello es necesario contar con procesos de planificación de la mano de obra y de racionalización del talento que permitan contratar, atraer y desplegar el talento eficazmente, incluidas capacidades esenciales en ámbitos como la IA y la analítica de datos: las personas adecuadas en el lugar correcto en el momento preciso.</w:t>
      </w:r>
    </w:p>
    <w:p w14:paraId="193E663D" w14:textId="77777777" w:rsidR="00B14F4A" w:rsidRPr="0090639D" w:rsidRDefault="00B14F4A" w:rsidP="0090639D">
      <w:pPr>
        <w:pStyle w:val="Headingb"/>
        <w:jc w:val="both"/>
        <w:rPr>
          <w:lang w:val="es-ES_tradnl" w:eastAsia="zh-CN"/>
        </w:rPr>
      </w:pPr>
      <w:r w:rsidRPr="0090639D">
        <w:rPr>
          <w:lang w:val="es-ES_tradnl" w:eastAsia="zh-CN"/>
        </w:rPr>
        <w:t>Iniciativas clave</w:t>
      </w:r>
    </w:p>
    <w:p w14:paraId="09E4EF4E" w14:textId="1C5DBA2B" w:rsidR="00B14F4A" w:rsidRPr="0090639D" w:rsidRDefault="00B14F4A" w:rsidP="0090639D">
      <w:pPr>
        <w:pStyle w:val="enumlev1"/>
        <w:jc w:val="both"/>
        <w:rPr>
          <w:lang w:val="es-ES_tradnl" w:eastAsia="zh-CN"/>
        </w:rPr>
      </w:pPr>
      <w:r w:rsidRPr="0090639D">
        <w:rPr>
          <w:lang w:val="es-ES_tradnl" w:eastAsia="zh-CN"/>
        </w:rPr>
        <w:t>–</w:t>
      </w:r>
      <w:r w:rsidRPr="0090639D">
        <w:rPr>
          <w:lang w:val="es-ES_tradnl" w:eastAsia="zh-CN"/>
        </w:rPr>
        <w:tab/>
      </w:r>
      <w:r w:rsidR="005E4A19" w:rsidRPr="0090639D">
        <w:rPr>
          <w:b/>
          <w:bCs/>
          <w:lang w:val="es-ES_tradnl" w:eastAsia="zh-CN"/>
        </w:rPr>
        <w:t>A</w:t>
      </w:r>
      <w:r w:rsidRPr="0090639D">
        <w:rPr>
          <w:b/>
          <w:bCs/>
          <w:lang w:val="es-ES_tradnl" w:eastAsia="zh-CN"/>
        </w:rPr>
        <w:t>plicar un marco de competencias actualizado</w:t>
      </w:r>
      <w:r w:rsidRPr="0090639D">
        <w:rPr>
          <w:lang w:val="es-ES_tradnl" w:eastAsia="zh-CN"/>
        </w:rPr>
        <w:t>, armonizado con los valores compartidos, para aclarar las expectativas funcionales y adoptar un enfoque coherente en materia de selección, rendimiento y desarrollo.</w:t>
      </w:r>
    </w:p>
    <w:p w14:paraId="2EBD3F34" w14:textId="77777777" w:rsidR="00B14F4A" w:rsidRPr="0090639D" w:rsidRDefault="00B14F4A" w:rsidP="0090639D">
      <w:pPr>
        <w:pStyle w:val="enumlev1"/>
        <w:jc w:val="both"/>
        <w:rPr>
          <w:lang w:val="es-ES_tradnl" w:eastAsia="zh-CN"/>
        </w:rPr>
      </w:pPr>
      <w:r w:rsidRPr="0090639D">
        <w:rPr>
          <w:lang w:val="es-ES_tradnl" w:eastAsia="zh-CN"/>
        </w:rPr>
        <w:t>–</w:t>
      </w:r>
      <w:r w:rsidRPr="0090639D">
        <w:rPr>
          <w:lang w:val="es-ES_tradnl"/>
        </w:rPr>
        <w:tab/>
      </w:r>
      <w:r w:rsidRPr="0090639D">
        <w:rPr>
          <w:b/>
          <w:bCs/>
          <w:lang w:val="es-ES_tradnl" w:eastAsia="zh-CN"/>
        </w:rPr>
        <w:t xml:space="preserve">Modernizar la adquisición de talento </w:t>
      </w:r>
      <w:r w:rsidRPr="0090639D">
        <w:rPr>
          <w:lang w:val="es-ES_tradnl" w:eastAsia="zh-CN"/>
        </w:rPr>
        <w:t>optimizando los procesos de extremo a extremo, reforzando los métodos de evaluación y una contratación justa y transparente basada en el mérito, que permita la captación específica y una sólida reserva de talento en ámbitos de competencia prioritarios e incipientes, mejorando al mismo tiempo la experiencia de los candidatos y reforzando el atractivo de la UIT para los candidatos cualificados.</w:t>
      </w:r>
    </w:p>
    <w:p w14:paraId="2D2E8CC0" w14:textId="77777777" w:rsidR="00B14F4A" w:rsidRPr="0090639D" w:rsidRDefault="00B14F4A" w:rsidP="0090639D">
      <w:pPr>
        <w:pStyle w:val="enumlev1"/>
        <w:jc w:val="both"/>
        <w:rPr>
          <w:lang w:val="es-ES_tradnl" w:eastAsia="zh-CN"/>
        </w:rPr>
      </w:pPr>
      <w:r w:rsidRPr="0090639D">
        <w:rPr>
          <w:lang w:val="es-ES_tradnl" w:eastAsia="zh-CN"/>
        </w:rPr>
        <w:lastRenderedPageBreak/>
        <w:t>–</w:t>
      </w:r>
      <w:r w:rsidRPr="0090639D">
        <w:rPr>
          <w:lang w:val="es-ES_tradnl" w:eastAsia="zh-CN"/>
        </w:rPr>
        <w:tab/>
      </w:r>
      <w:r w:rsidRPr="0090639D">
        <w:rPr>
          <w:b/>
          <w:bCs/>
          <w:lang w:val="es-ES_tradnl" w:eastAsia="zh-CN"/>
        </w:rPr>
        <w:t xml:space="preserve">Aumentar la inducción e incorporación </w:t>
      </w:r>
      <w:r w:rsidRPr="0090639D">
        <w:rPr>
          <w:lang w:val="es-ES_tradnl" w:eastAsia="zh-CN"/>
        </w:rPr>
        <w:t>mediante un proceso de incorporación más completo y coherente y herramientas de gestión prácticas que permitan una integración más rápida y una mejor relación tiempo-productividad en todos los equipos y modalidades de trabajo.</w:t>
      </w:r>
    </w:p>
    <w:p w14:paraId="6DDA79F0" w14:textId="2BB01176" w:rsidR="00B14F4A" w:rsidRPr="0090639D" w:rsidRDefault="00B14F4A" w:rsidP="0090639D">
      <w:pPr>
        <w:pStyle w:val="enumlev1"/>
        <w:jc w:val="both"/>
        <w:rPr>
          <w:lang w:val="es-ES_tradnl" w:eastAsia="zh-CN"/>
        </w:rPr>
      </w:pPr>
      <w:r w:rsidRPr="0090639D">
        <w:rPr>
          <w:lang w:val="es-ES_tradnl" w:eastAsia="zh-CN"/>
        </w:rPr>
        <w:t>–</w:t>
      </w:r>
      <w:r w:rsidRPr="0090639D">
        <w:rPr>
          <w:lang w:val="es-ES_tradnl"/>
        </w:rPr>
        <w:tab/>
      </w:r>
      <w:r w:rsidRPr="0090639D">
        <w:rPr>
          <w:b/>
          <w:bCs/>
          <w:lang w:val="es-ES_tradnl"/>
        </w:rPr>
        <w:t xml:space="preserve">Ampliar las oportunidades de desarrollo y movilidad </w:t>
      </w:r>
      <w:r w:rsidRPr="0090639D">
        <w:rPr>
          <w:lang w:val="es-ES_tradnl"/>
        </w:rPr>
        <w:t xml:space="preserve">para atribuir las capacidades allá donde son más necesarias, favorecer el desarrollo profesional y aumentar la transferencia de conocimientos, recurriendo a la movilidad interna cuando sea posible. </w:t>
      </w:r>
      <w:r w:rsidRPr="0090639D">
        <w:rPr>
          <w:b/>
          <w:bCs/>
          <w:lang w:val="es-ES_tradnl"/>
        </w:rPr>
        <w:t xml:space="preserve">Afianzar las asociaciones definidas </w:t>
      </w:r>
      <w:r w:rsidRPr="0090639D">
        <w:rPr>
          <w:lang w:val="es-ES_tradnl"/>
        </w:rPr>
        <w:t>con los Estados Miembros, las organizacion</w:t>
      </w:r>
      <w:r w:rsidR="005E4A19" w:rsidRPr="0090639D">
        <w:rPr>
          <w:lang w:val="es-ES_tradnl"/>
        </w:rPr>
        <w:t>e</w:t>
      </w:r>
      <w:r w:rsidRPr="0090639D">
        <w:rPr>
          <w:lang w:val="es-ES_tradnl"/>
        </w:rPr>
        <w:t>s y las instituciones académicas para ampliar las vías de acceso, en particular para los jóvenes profesionales y los candidatos de Estados Miembros subrepresentados, garantizando una gobernanza transparente y el beneficio mutuo</w:t>
      </w:r>
      <w:r w:rsidRPr="0090639D">
        <w:rPr>
          <w:lang w:val="es-ES_tradnl" w:eastAsia="zh-CN"/>
        </w:rPr>
        <w:t>.</w:t>
      </w:r>
    </w:p>
    <w:p w14:paraId="7184E45F" w14:textId="77777777" w:rsidR="00B14F4A" w:rsidRPr="0090639D" w:rsidRDefault="00B14F4A" w:rsidP="0090639D">
      <w:pPr>
        <w:pStyle w:val="enumlev1"/>
        <w:jc w:val="both"/>
        <w:rPr>
          <w:lang w:val="es-ES_tradnl" w:eastAsia="zh-CN"/>
        </w:rPr>
      </w:pPr>
      <w:r w:rsidRPr="0090639D">
        <w:rPr>
          <w:lang w:val="es-ES_tradnl" w:eastAsia="zh-CN"/>
        </w:rPr>
        <w:t>–</w:t>
      </w:r>
      <w:r w:rsidRPr="0090639D">
        <w:rPr>
          <w:lang w:val="es-ES_tradnl"/>
        </w:rPr>
        <w:tab/>
        <w:t xml:space="preserve">Definir un marco contractual claro con </w:t>
      </w:r>
      <w:r w:rsidRPr="0090639D">
        <w:rPr>
          <w:b/>
          <w:bCs/>
          <w:lang w:val="es-ES_tradnl"/>
        </w:rPr>
        <w:t xml:space="preserve">modalidades contractuales más flexibles </w:t>
      </w:r>
      <w:r w:rsidRPr="0090639D">
        <w:rPr>
          <w:lang w:val="es-ES_tradnl"/>
        </w:rPr>
        <w:t xml:space="preserve">y </w:t>
      </w:r>
      <w:r w:rsidRPr="0090639D">
        <w:rPr>
          <w:b/>
          <w:bCs/>
          <w:lang w:val="es-ES_tradnl"/>
        </w:rPr>
        <w:t xml:space="preserve">perfeccionar los instrumentos contractuales y de dotación de recursos conexos </w:t>
      </w:r>
      <w:r w:rsidRPr="0090639D">
        <w:rPr>
          <w:lang w:val="es-ES_tradnl"/>
        </w:rPr>
        <w:t>para responder a aumentos repentinos de la carga de trabajo, necesidades de conocimientos especializados e iniciativas con plazos determinados</w:t>
      </w:r>
      <w:r w:rsidRPr="0090639D">
        <w:rPr>
          <w:lang w:val="es-ES_tradnl" w:eastAsia="zh-CN"/>
        </w:rPr>
        <w:t>.</w:t>
      </w:r>
    </w:p>
    <w:p w14:paraId="1239F7D7" w14:textId="77777777" w:rsidR="00B14F4A" w:rsidRPr="0090639D" w:rsidRDefault="00B14F4A" w:rsidP="0090639D">
      <w:pPr>
        <w:pStyle w:val="enumlev1"/>
        <w:jc w:val="both"/>
        <w:rPr>
          <w:lang w:val="es-ES_tradnl" w:eastAsia="zh-CN"/>
        </w:rPr>
      </w:pPr>
      <w:r w:rsidRPr="0090639D">
        <w:rPr>
          <w:lang w:val="es-ES_tradnl" w:eastAsia="zh-CN"/>
        </w:rPr>
        <w:t>–</w:t>
      </w:r>
      <w:r w:rsidRPr="0090639D">
        <w:rPr>
          <w:lang w:val="es-ES_tradnl" w:eastAsia="zh-CN"/>
        </w:rPr>
        <w:tab/>
      </w:r>
      <w:r w:rsidRPr="0090639D">
        <w:rPr>
          <w:b/>
          <w:bCs/>
          <w:lang w:val="es-ES_tradnl" w:eastAsia="zh-CN"/>
        </w:rPr>
        <w:t xml:space="preserve">Reforzar la planificación de la mano de obra y la sucesión </w:t>
      </w:r>
      <w:r w:rsidRPr="0090639D">
        <w:rPr>
          <w:lang w:val="es-ES_tradnl" w:eastAsia="zh-CN"/>
        </w:rPr>
        <w:t>para prever necesidades de capacidad críticas, gestionar los riesgos vinculados al reemplazo y la jubilación y poder tomar oportunamente decisiones en materia de dotación de personal ajustadas a las prioridades institucionales.</w:t>
      </w:r>
    </w:p>
    <w:p w14:paraId="54E5B92A" w14:textId="77777777" w:rsidR="00B14F4A" w:rsidRPr="0090639D" w:rsidRDefault="00B14F4A" w:rsidP="00B14F4A">
      <w:pPr>
        <w:pStyle w:val="Heading2"/>
        <w:rPr>
          <w:lang w:val="es-ES_tradnl" w:eastAsia="zh-CN"/>
        </w:rPr>
      </w:pPr>
      <w:r w:rsidRPr="0090639D">
        <w:rPr>
          <w:lang w:val="es-ES_tradnl" w:eastAsia="zh-CN"/>
        </w:rPr>
        <w:t>3.2</w:t>
      </w:r>
      <w:r w:rsidRPr="0090639D">
        <w:rPr>
          <w:lang w:val="es-ES_tradnl" w:eastAsia="zh-CN"/>
        </w:rPr>
        <w:tab/>
        <w:t>Liderazgo, gestión del rendimiento, recompensas y reconocimiento</w:t>
      </w:r>
    </w:p>
    <w:p w14:paraId="0BFD53BB" w14:textId="77777777" w:rsidR="00B14F4A" w:rsidRPr="0090639D" w:rsidRDefault="00B14F4A" w:rsidP="00B14F4A">
      <w:pPr>
        <w:pStyle w:val="Headingb"/>
        <w:rPr>
          <w:lang w:val="es-ES_tradnl"/>
        </w:rPr>
      </w:pPr>
      <w:r w:rsidRPr="0090639D">
        <w:rPr>
          <w:lang w:val="es-ES_tradnl"/>
        </w:rPr>
        <w:t>Por qué es importante</w:t>
      </w:r>
    </w:p>
    <w:p w14:paraId="1081EDC0" w14:textId="77777777" w:rsidR="00B14F4A" w:rsidRPr="0090639D" w:rsidRDefault="00B14F4A" w:rsidP="0090639D">
      <w:pPr>
        <w:jc w:val="both"/>
        <w:rPr>
          <w:lang w:val="es-ES_tradnl" w:eastAsia="zh-CN"/>
        </w:rPr>
      </w:pPr>
      <w:r w:rsidRPr="0090639D">
        <w:rPr>
          <w:lang w:val="es-ES_tradnl" w:eastAsia="zh-CN"/>
        </w:rPr>
        <w:t>El liderazgo efectivo y la gestión del personal son esenciales para la entrega, la cultura y la confianza del personal. La adopción de un enfoque coherente en la gestión del personal y un reconocimiento justo aumentan la responsabilidad y la implicación, mientras que la oportuna consideración de los problemas en el lugar de trabajo redunda en un ambiente de respeto. Cultivar la excelencia del liderazgo a todos los niveles, de acuerdo con el Marco de liderazgo del sistema de las Naciones Unidas y sobre la base de valores compartidos y responsabilidades claras, permite a los gestores ejercer una dirección inclusiva, desarrollar el talento y poner coto oportuna y equitativamente al problema del bajo rendimiento.</w:t>
      </w:r>
    </w:p>
    <w:p w14:paraId="638A96CB" w14:textId="77777777" w:rsidR="00B14F4A" w:rsidRPr="0090639D" w:rsidRDefault="00B14F4A" w:rsidP="0090639D">
      <w:pPr>
        <w:pStyle w:val="Headingb"/>
        <w:jc w:val="both"/>
        <w:rPr>
          <w:lang w:val="es-ES_tradnl"/>
        </w:rPr>
      </w:pPr>
      <w:r w:rsidRPr="0090639D">
        <w:rPr>
          <w:lang w:val="es-ES_tradnl"/>
        </w:rPr>
        <w:t>Iniciativas clave</w:t>
      </w:r>
    </w:p>
    <w:p w14:paraId="56C7E4DA" w14:textId="277DD5C5" w:rsidR="00B14F4A" w:rsidRPr="0090639D" w:rsidRDefault="00B14F4A" w:rsidP="0090639D">
      <w:pPr>
        <w:pStyle w:val="enumlev1"/>
        <w:jc w:val="both"/>
        <w:rPr>
          <w:lang w:val="es-ES_tradnl" w:eastAsia="zh-CN"/>
        </w:rPr>
      </w:pPr>
      <w:r w:rsidRPr="0090639D">
        <w:rPr>
          <w:lang w:val="es-ES_tradnl" w:eastAsia="zh-CN"/>
        </w:rPr>
        <w:t>–</w:t>
      </w:r>
      <w:r w:rsidRPr="0090639D">
        <w:rPr>
          <w:lang w:val="es-ES_tradnl" w:eastAsia="zh-CN"/>
        </w:rPr>
        <w:tab/>
      </w:r>
      <w:r w:rsidR="007D787B" w:rsidRPr="0090639D">
        <w:rPr>
          <w:b/>
          <w:bCs/>
          <w:lang w:val="es-ES_tradnl" w:eastAsia="zh-CN"/>
        </w:rPr>
        <w:t>R</w:t>
      </w:r>
      <w:r w:rsidRPr="0090639D">
        <w:rPr>
          <w:b/>
          <w:bCs/>
          <w:lang w:val="es-ES_tradnl" w:eastAsia="zh-CN"/>
        </w:rPr>
        <w:t xml:space="preserve">eforzar la jerarquía y la identificación proactiva </w:t>
      </w:r>
      <w:r w:rsidRPr="0090639D">
        <w:rPr>
          <w:lang w:val="es-ES_tradnl" w:eastAsia="zh-CN"/>
        </w:rPr>
        <w:t>aclarando las expectativas de</w:t>
      </w:r>
      <w:r w:rsidR="007D787B" w:rsidRPr="0090639D">
        <w:rPr>
          <w:lang w:val="es-ES_tradnl" w:eastAsia="zh-CN"/>
        </w:rPr>
        <w:t xml:space="preserve"> </w:t>
      </w:r>
      <w:r w:rsidRPr="0090639D">
        <w:rPr>
          <w:lang w:val="es-ES_tradnl" w:eastAsia="zh-CN"/>
        </w:rPr>
        <w:t>la dirección, detectando prontamente el potencial y poniendo a disposición oportunidades de desarrollo precisas.</w:t>
      </w:r>
    </w:p>
    <w:p w14:paraId="4DA369BE" w14:textId="77777777" w:rsidR="00B14F4A" w:rsidRPr="0090639D" w:rsidRDefault="00B14F4A" w:rsidP="0090639D">
      <w:pPr>
        <w:pStyle w:val="enumlev1"/>
        <w:jc w:val="both"/>
        <w:rPr>
          <w:lang w:val="es-ES_tradnl" w:eastAsia="zh-CN"/>
        </w:rPr>
      </w:pPr>
      <w:r w:rsidRPr="0090639D">
        <w:rPr>
          <w:lang w:val="es-ES_tradnl" w:eastAsia="zh-CN"/>
        </w:rPr>
        <w:t>–</w:t>
      </w:r>
      <w:r w:rsidRPr="0090639D">
        <w:rPr>
          <w:lang w:val="es-ES_tradnl" w:eastAsia="zh-CN"/>
        </w:rPr>
        <w:tab/>
      </w:r>
      <w:r w:rsidRPr="0090639D">
        <w:rPr>
          <w:b/>
          <w:bCs/>
          <w:lang w:val="es-ES_tradnl" w:eastAsia="zh-CN"/>
        </w:rPr>
        <w:t xml:space="preserve">Introducir la formación obligatoria de los gestores </w:t>
      </w:r>
      <w:r w:rsidRPr="0090639D">
        <w:rPr>
          <w:lang w:val="es-ES_tradnl" w:eastAsia="zh-CN"/>
        </w:rPr>
        <w:t>para crear y afianzar capacidades de gestión de personal esenciales, respaldadas por herramientas prácticas y orientaciones para la aplicación coherente de políticas y procedimientos.</w:t>
      </w:r>
    </w:p>
    <w:p w14:paraId="111C831B" w14:textId="77777777" w:rsidR="00B14F4A" w:rsidRPr="0090639D" w:rsidRDefault="00B14F4A" w:rsidP="0090639D">
      <w:pPr>
        <w:pStyle w:val="enumlev1"/>
        <w:jc w:val="both"/>
        <w:rPr>
          <w:lang w:val="es-ES_tradnl" w:eastAsia="zh-CN"/>
        </w:rPr>
      </w:pPr>
      <w:r w:rsidRPr="0090639D">
        <w:rPr>
          <w:lang w:val="es-ES_tradnl" w:eastAsia="zh-CN"/>
        </w:rPr>
        <w:t>–</w:t>
      </w:r>
      <w:r w:rsidRPr="0090639D">
        <w:rPr>
          <w:lang w:val="es-ES_tradnl" w:eastAsia="zh-CN"/>
        </w:rPr>
        <w:tab/>
      </w:r>
      <w:r w:rsidRPr="0090639D">
        <w:rPr>
          <w:b/>
          <w:bCs/>
          <w:lang w:val="es-ES_tradnl" w:eastAsia="zh-CN"/>
        </w:rPr>
        <w:t xml:space="preserve">Cultivar el liderazgo inclusivo y adaptable </w:t>
      </w:r>
      <w:r w:rsidRPr="0090639D">
        <w:rPr>
          <w:lang w:val="es-ES_tradnl" w:eastAsia="zh-CN"/>
        </w:rPr>
        <w:t>en aras de la innovación y la resiliencia institucional gracias a programas de aprendizaje definidos que integren la responsabilidad y la equidad en las decisiones cotidianas.</w:t>
      </w:r>
    </w:p>
    <w:p w14:paraId="0DDE5790" w14:textId="77777777" w:rsidR="00B14F4A" w:rsidRPr="0090639D" w:rsidRDefault="00B14F4A" w:rsidP="0090639D">
      <w:pPr>
        <w:pStyle w:val="enumlev1"/>
        <w:jc w:val="both"/>
        <w:rPr>
          <w:lang w:val="es-ES_tradnl" w:eastAsia="zh-CN"/>
        </w:rPr>
      </w:pPr>
      <w:r w:rsidRPr="0090639D">
        <w:rPr>
          <w:lang w:val="es-ES_tradnl" w:eastAsia="zh-CN"/>
        </w:rPr>
        <w:t>–</w:t>
      </w:r>
      <w:r w:rsidRPr="0090639D">
        <w:rPr>
          <w:lang w:val="es-ES_tradnl"/>
        </w:rPr>
        <w:tab/>
      </w:r>
      <w:r w:rsidRPr="0090639D">
        <w:rPr>
          <w:b/>
          <w:bCs/>
          <w:lang w:val="es-ES_tradnl"/>
        </w:rPr>
        <w:t xml:space="preserve">Reforzar la gestión de conflictos y las relaciones en el lugar de trabajo </w:t>
      </w:r>
      <w:r w:rsidRPr="0090639D">
        <w:rPr>
          <w:lang w:val="es-ES_tradnl"/>
        </w:rPr>
        <w:t>aumentando la prevención y las vías de resolución, incluido el oportuno acceso a asesoramiento y apoyo independientes para los gestores y el personal a través del</w:t>
      </w:r>
      <w:r w:rsidRPr="0090639D">
        <w:rPr>
          <w:lang w:val="es-ES_tradnl" w:eastAsia="zh-CN"/>
        </w:rPr>
        <w:t xml:space="preserve"> Ombudsman y otros mecanismos pertinentes.</w:t>
      </w:r>
    </w:p>
    <w:p w14:paraId="25D1DDFF" w14:textId="77777777" w:rsidR="00B14F4A" w:rsidRPr="0090639D" w:rsidRDefault="00B14F4A" w:rsidP="0090639D">
      <w:pPr>
        <w:pStyle w:val="enumlev1"/>
        <w:jc w:val="both"/>
        <w:rPr>
          <w:lang w:val="es-ES_tradnl" w:eastAsia="zh-CN"/>
        </w:rPr>
      </w:pPr>
      <w:r w:rsidRPr="0090639D">
        <w:rPr>
          <w:lang w:val="es-ES_tradnl" w:eastAsia="zh-CN"/>
        </w:rPr>
        <w:lastRenderedPageBreak/>
        <w:t>–</w:t>
      </w:r>
      <w:r w:rsidRPr="0090639D">
        <w:rPr>
          <w:lang w:val="es-ES_tradnl" w:eastAsia="zh-CN"/>
        </w:rPr>
        <w:tab/>
      </w:r>
      <w:r w:rsidRPr="0090639D">
        <w:rPr>
          <w:b/>
          <w:bCs/>
          <w:lang w:val="es-ES_tradnl" w:eastAsia="zh-CN"/>
        </w:rPr>
        <w:t>Proceso piloto de retroinformación para directores y gestores</w:t>
      </w:r>
      <w:r w:rsidRPr="0090639D">
        <w:rPr>
          <w:lang w:val="es-ES_tradnl" w:eastAsia="zh-CN"/>
        </w:rPr>
        <w:t xml:space="preserve"> (por ejemplo, retroalimentación a 360 grados) para fortalecer la consciencia propia, los comportamientos dirigentes y la mejora continua.</w:t>
      </w:r>
    </w:p>
    <w:p w14:paraId="7F3E3954" w14:textId="27CD6CDB" w:rsidR="00B14F4A" w:rsidRPr="0090639D" w:rsidRDefault="00B14F4A" w:rsidP="0090639D">
      <w:pPr>
        <w:pStyle w:val="enumlev1"/>
        <w:jc w:val="both"/>
        <w:rPr>
          <w:lang w:val="es-ES_tradnl" w:eastAsia="zh-CN"/>
        </w:rPr>
      </w:pPr>
      <w:r w:rsidRPr="0090639D">
        <w:rPr>
          <w:lang w:val="es-ES_tradnl" w:eastAsia="zh-CN"/>
        </w:rPr>
        <w:t>–</w:t>
      </w:r>
      <w:r w:rsidRPr="0090639D">
        <w:rPr>
          <w:lang w:val="es-ES_tradnl" w:eastAsia="zh-CN"/>
        </w:rPr>
        <w:tab/>
      </w:r>
      <w:r w:rsidR="00314A00" w:rsidRPr="0090639D">
        <w:rPr>
          <w:b/>
          <w:bCs/>
          <w:lang w:val="es-ES_tradnl" w:eastAsia="zh-CN"/>
        </w:rPr>
        <w:t>A</w:t>
      </w:r>
      <w:r w:rsidRPr="0090639D">
        <w:rPr>
          <w:b/>
          <w:bCs/>
          <w:lang w:val="es-ES_tradnl" w:eastAsia="zh-CN"/>
        </w:rPr>
        <w:t xml:space="preserve">mpliar el asesoramiento ejecutivo </w:t>
      </w:r>
      <w:r w:rsidRPr="0090639D">
        <w:rPr>
          <w:lang w:val="es-ES_tradnl" w:eastAsia="zh-CN"/>
        </w:rPr>
        <w:t>para ayudar a los altos directivos y grupos prioritarios a liderar el cambio y hacer frente a situaciones de gestión de personal complejas.</w:t>
      </w:r>
    </w:p>
    <w:p w14:paraId="112A467A" w14:textId="77777777" w:rsidR="00B14F4A" w:rsidRPr="0090639D" w:rsidRDefault="00B14F4A" w:rsidP="0090639D">
      <w:pPr>
        <w:pStyle w:val="enumlev1"/>
        <w:jc w:val="both"/>
        <w:rPr>
          <w:lang w:val="es-ES_tradnl" w:eastAsia="zh-CN"/>
        </w:rPr>
      </w:pPr>
      <w:r w:rsidRPr="0090639D">
        <w:rPr>
          <w:lang w:val="es-ES_tradnl" w:eastAsia="zh-CN"/>
        </w:rPr>
        <w:t>–</w:t>
      </w:r>
      <w:r w:rsidRPr="0090639D">
        <w:rPr>
          <w:lang w:val="es-ES_tradnl" w:eastAsia="zh-CN"/>
        </w:rPr>
        <w:tab/>
      </w:r>
      <w:r w:rsidRPr="0090639D">
        <w:rPr>
          <w:b/>
          <w:bCs/>
          <w:lang w:val="es-ES_tradnl" w:eastAsia="zh-CN"/>
        </w:rPr>
        <w:t>Reforzar la gestión del rendimiento</w:t>
      </w:r>
      <w:r w:rsidRPr="0090639D">
        <w:rPr>
          <w:lang w:val="es-ES_tradnl" w:eastAsia="zh-CN"/>
        </w:rPr>
        <w:t>, incluida la gestión del bajo rendimiento mediante normas más claras, prácticas mejor documentadas y una capacitación especialmente destinada a los gestores.</w:t>
      </w:r>
    </w:p>
    <w:p w14:paraId="1DDE6CA5" w14:textId="77777777" w:rsidR="00B14F4A" w:rsidRPr="0090639D" w:rsidRDefault="00B14F4A" w:rsidP="0090639D">
      <w:pPr>
        <w:pStyle w:val="enumlev1"/>
        <w:jc w:val="both"/>
        <w:rPr>
          <w:lang w:val="es-ES_tradnl" w:eastAsia="zh-CN"/>
        </w:rPr>
      </w:pPr>
      <w:r w:rsidRPr="0090639D">
        <w:rPr>
          <w:lang w:val="es-ES_tradnl" w:eastAsia="zh-CN"/>
        </w:rPr>
        <w:t>–</w:t>
      </w:r>
      <w:r w:rsidRPr="0090639D">
        <w:rPr>
          <w:lang w:val="es-ES_tradnl" w:eastAsia="zh-CN"/>
        </w:rPr>
        <w:tab/>
      </w:r>
      <w:r w:rsidRPr="0090639D">
        <w:rPr>
          <w:b/>
          <w:bCs/>
          <w:lang w:val="es-ES_tradnl" w:eastAsia="zh-CN"/>
        </w:rPr>
        <w:t xml:space="preserve">Implementar el marco de recompensas y reconocimiento </w:t>
      </w:r>
      <w:r w:rsidRPr="0090639D">
        <w:rPr>
          <w:lang w:val="es-ES_tradnl" w:eastAsia="zh-CN"/>
        </w:rPr>
        <w:t>para fomentar una cultura del reconocimiento oportuno, transparente e inclusivo de acuerdo con el rendimiento y los valores compartidos.</w:t>
      </w:r>
    </w:p>
    <w:p w14:paraId="78FAC3DD" w14:textId="77777777" w:rsidR="00B14F4A" w:rsidRPr="0090639D" w:rsidRDefault="00B14F4A" w:rsidP="00B14F4A">
      <w:pPr>
        <w:pStyle w:val="Heading2"/>
        <w:rPr>
          <w:lang w:val="es-ES_tradnl" w:eastAsia="zh-CN"/>
        </w:rPr>
      </w:pPr>
      <w:r w:rsidRPr="0090639D">
        <w:rPr>
          <w:lang w:val="es-ES_tradnl" w:eastAsia="zh-CN"/>
        </w:rPr>
        <w:t>3.3</w:t>
      </w:r>
      <w:r w:rsidRPr="0090639D">
        <w:rPr>
          <w:lang w:val="es-ES_tradnl" w:eastAsia="zh-CN"/>
        </w:rPr>
        <w:tab/>
        <w:t>Aprendizaje y desarrollo profesional</w:t>
      </w:r>
    </w:p>
    <w:p w14:paraId="4738F1E4" w14:textId="77777777" w:rsidR="00B14F4A" w:rsidRPr="0090639D" w:rsidRDefault="00B14F4A" w:rsidP="00B14F4A">
      <w:pPr>
        <w:pStyle w:val="Headingb"/>
        <w:rPr>
          <w:lang w:val="es-ES_tradnl" w:eastAsia="zh-CN"/>
        </w:rPr>
      </w:pPr>
      <w:r w:rsidRPr="0090639D">
        <w:rPr>
          <w:lang w:val="es-ES_tradnl" w:eastAsia="zh-CN"/>
        </w:rPr>
        <w:t>Por qué es importante</w:t>
      </w:r>
    </w:p>
    <w:p w14:paraId="6EA4945D" w14:textId="77777777" w:rsidR="00B14F4A" w:rsidRPr="0090639D" w:rsidRDefault="00B14F4A" w:rsidP="0090639D">
      <w:pPr>
        <w:jc w:val="both"/>
        <w:rPr>
          <w:lang w:val="es-ES_tradnl" w:eastAsia="zh-CN"/>
        </w:rPr>
      </w:pPr>
      <w:r w:rsidRPr="0090639D">
        <w:rPr>
          <w:lang w:val="es-ES_tradnl" w:eastAsia="zh-CN"/>
        </w:rPr>
        <w:t>Cuando los requisitos en materia de competencias evolucionan rápidamente, la UIT se compromete a fomentar una cultura de aprendizaje continuo para mejorar el rendimiento y la preparación de cara al futuro. La definición de trayectorias profesionales claras y transparentes y la creación de oportunidades de desarrollo definidas sustentarán la implicación y la retención y aumentarán las capacidades institucionales. Gracias a la analítica del aprendizaje se garantizará que las inversiones se basan en pruebas y están armonizadas con las prioridades estratégicas de la UIT.</w:t>
      </w:r>
    </w:p>
    <w:p w14:paraId="3ADC9A23" w14:textId="77777777" w:rsidR="00B14F4A" w:rsidRPr="0090639D" w:rsidRDefault="00B14F4A" w:rsidP="0090639D">
      <w:pPr>
        <w:pStyle w:val="Headingb"/>
        <w:jc w:val="both"/>
        <w:rPr>
          <w:lang w:val="es-ES_tradnl" w:eastAsia="zh-CN"/>
        </w:rPr>
      </w:pPr>
      <w:r w:rsidRPr="0090639D">
        <w:rPr>
          <w:lang w:val="es-ES_tradnl" w:eastAsia="zh-CN"/>
        </w:rPr>
        <w:t>Iniciativas clave</w:t>
      </w:r>
    </w:p>
    <w:p w14:paraId="3C120F5A" w14:textId="77777777" w:rsidR="00B14F4A" w:rsidRPr="0090639D" w:rsidRDefault="00B14F4A" w:rsidP="0090639D">
      <w:pPr>
        <w:pStyle w:val="enumlev1"/>
        <w:jc w:val="both"/>
        <w:rPr>
          <w:szCs w:val="24"/>
          <w:lang w:val="es-ES_tradnl" w:eastAsia="zh-CN"/>
        </w:rPr>
      </w:pPr>
      <w:r w:rsidRPr="0090639D">
        <w:rPr>
          <w:lang w:val="es-ES_tradnl" w:eastAsia="zh-CN"/>
        </w:rPr>
        <w:t>–</w:t>
      </w:r>
      <w:r w:rsidRPr="0090639D">
        <w:rPr>
          <w:lang w:val="es-ES_tradnl" w:eastAsia="zh-CN"/>
        </w:rPr>
        <w:tab/>
      </w:r>
      <w:r w:rsidRPr="0090639D">
        <w:rPr>
          <w:b/>
          <w:bCs/>
          <w:lang w:val="es-ES_tradnl" w:eastAsia="zh-CN"/>
        </w:rPr>
        <w:t xml:space="preserve">Reforzar los marcos de desarrollo profesional </w:t>
      </w:r>
      <w:r w:rsidRPr="0090639D">
        <w:rPr>
          <w:lang w:val="es-ES_tradnl" w:eastAsia="zh-CN"/>
        </w:rPr>
        <w:t>para ofrecer expectativas claras y opciones de desarrollo en todas las esferas funcionales y todos los grados</w:t>
      </w:r>
      <w:r w:rsidRPr="0090639D">
        <w:rPr>
          <w:szCs w:val="24"/>
          <w:lang w:val="es-ES_tradnl" w:eastAsia="zh-CN"/>
        </w:rPr>
        <w:t>.</w:t>
      </w:r>
    </w:p>
    <w:p w14:paraId="1BE3B2FC" w14:textId="77777777" w:rsidR="00B14F4A" w:rsidRPr="0090639D" w:rsidRDefault="00B14F4A" w:rsidP="0090639D">
      <w:pPr>
        <w:pStyle w:val="enumlev1"/>
        <w:jc w:val="both"/>
        <w:rPr>
          <w:szCs w:val="24"/>
          <w:lang w:val="es-ES_tradnl" w:eastAsia="zh-CN"/>
        </w:rPr>
      </w:pPr>
      <w:r w:rsidRPr="0090639D">
        <w:rPr>
          <w:lang w:val="es-ES_tradnl" w:eastAsia="zh-CN"/>
        </w:rPr>
        <w:t>–</w:t>
      </w:r>
      <w:r w:rsidRPr="0090639D">
        <w:rPr>
          <w:lang w:val="es-ES_tradnl" w:eastAsia="zh-CN"/>
        </w:rPr>
        <w:tab/>
      </w:r>
      <w:r w:rsidRPr="0090639D">
        <w:rPr>
          <w:b/>
          <w:bCs/>
          <w:szCs w:val="24"/>
          <w:lang w:val="es-ES_tradnl" w:eastAsia="zh-CN"/>
        </w:rPr>
        <w:t xml:space="preserve">Fomentar una cultura del aprendizaje </w:t>
      </w:r>
      <w:proofErr w:type="gramStart"/>
      <w:r w:rsidRPr="0090639D">
        <w:rPr>
          <w:b/>
          <w:bCs/>
          <w:szCs w:val="24"/>
          <w:lang w:val="es-ES_tradnl" w:eastAsia="zh-CN"/>
        </w:rPr>
        <w:t>continuo</w:t>
      </w:r>
      <w:proofErr w:type="gramEnd"/>
      <w:r w:rsidRPr="0090639D">
        <w:rPr>
          <w:b/>
          <w:bCs/>
          <w:szCs w:val="24"/>
          <w:lang w:val="es-ES_tradnl" w:eastAsia="zh-CN"/>
        </w:rPr>
        <w:t xml:space="preserve"> </w:t>
      </w:r>
      <w:r w:rsidRPr="0090639D">
        <w:rPr>
          <w:szCs w:val="24"/>
          <w:lang w:val="es-ES_tradnl" w:eastAsia="zh-CN"/>
        </w:rPr>
        <w:t>reforzando la responsabilidad común de aprendizaje entre el personal, los gestores y la organización y fomentando la existencia de oportunidades de aprendizaje accesibles.</w:t>
      </w:r>
    </w:p>
    <w:p w14:paraId="0956255F" w14:textId="77777777" w:rsidR="00B14F4A" w:rsidRPr="0090639D" w:rsidRDefault="00B14F4A" w:rsidP="0090639D">
      <w:pPr>
        <w:pStyle w:val="enumlev1"/>
        <w:jc w:val="both"/>
        <w:rPr>
          <w:szCs w:val="24"/>
          <w:lang w:val="es-ES_tradnl" w:eastAsia="zh-CN"/>
        </w:rPr>
      </w:pPr>
      <w:r w:rsidRPr="0090639D">
        <w:rPr>
          <w:lang w:val="es-ES_tradnl" w:eastAsia="zh-CN"/>
        </w:rPr>
        <w:t>–</w:t>
      </w:r>
      <w:r w:rsidRPr="0090639D">
        <w:rPr>
          <w:lang w:val="es-ES_tradnl" w:eastAsia="zh-CN"/>
        </w:rPr>
        <w:tab/>
      </w:r>
      <w:r w:rsidRPr="0090639D">
        <w:rPr>
          <w:b/>
          <w:bCs/>
          <w:szCs w:val="24"/>
          <w:lang w:val="es-ES_tradnl" w:eastAsia="zh-CN"/>
        </w:rPr>
        <w:t xml:space="preserve">Implementar un plan de aprendizaje anual armonizado con el Plan Estratégico de la UIT </w:t>
      </w:r>
      <w:r w:rsidRPr="0090639D">
        <w:rPr>
          <w:szCs w:val="24"/>
          <w:lang w:val="es-ES_tradnl" w:eastAsia="zh-CN"/>
        </w:rPr>
        <w:t>para priorizar las inversiones en aprendizaje y garantizar su pertinencia en relación con las prioridades estratégicas.</w:t>
      </w:r>
    </w:p>
    <w:p w14:paraId="48E46D5A" w14:textId="77777777" w:rsidR="00B14F4A" w:rsidRPr="0090639D" w:rsidRDefault="00B14F4A" w:rsidP="0090639D">
      <w:pPr>
        <w:pStyle w:val="enumlev1"/>
        <w:jc w:val="both"/>
        <w:rPr>
          <w:szCs w:val="24"/>
          <w:lang w:val="es-ES_tradnl" w:eastAsia="zh-CN"/>
        </w:rPr>
      </w:pPr>
      <w:r w:rsidRPr="0090639D">
        <w:rPr>
          <w:lang w:val="es-ES_tradnl" w:eastAsia="zh-CN"/>
        </w:rPr>
        <w:t>–</w:t>
      </w:r>
      <w:r w:rsidRPr="0090639D">
        <w:rPr>
          <w:lang w:val="es-ES_tradnl" w:eastAsia="zh-CN"/>
        </w:rPr>
        <w:tab/>
      </w:r>
      <w:r w:rsidRPr="0090639D">
        <w:rPr>
          <w:b/>
          <w:bCs/>
          <w:lang w:val="es-ES_tradnl" w:eastAsia="zh-CN"/>
        </w:rPr>
        <w:t xml:space="preserve">Reforzar el desarrollo de competencias para el futuro </w:t>
      </w:r>
      <w:r w:rsidRPr="0090639D">
        <w:rPr>
          <w:lang w:val="es-ES_tradnl" w:eastAsia="zh-CN"/>
        </w:rPr>
        <w:t>armonizando el aprendizaje con las tecnologías incipientes, las necesidades prioritarias en cuanto a capacidad y las funciones esenciales, gracias a programas definidos y el aprendizaje práctico</w:t>
      </w:r>
      <w:r w:rsidRPr="0090639D">
        <w:rPr>
          <w:szCs w:val="24"/>
          <w:lang w:val="es-ES_tradnl" w:eastAsia="zh-CN"/>
        </w:rPr>
        <w:t>.</w:t>
      </w:r>
    </w:p>
    <w:p w14:paraId="7E43E63D" w14:textId="77777777" w:rsidR="00B14F4A" w:rsidRPr="0090639D" w:rsidRDefault="00B14F4A" w:rsidP="0090639D">
      <w:pPr>
        <w:pStyle w:val="enumlev1"/>
        <w:jc w:val="both"/>
        <w:rPr>
          <w:szCs w:val="24"/>
          <w:lang w:val="es-ES_tradnl" w:eastAsia="zh-CN"/>
        </w:rPr>
      </w:pPr>
      <w:r w:rsidRPr="0090639D">
        <w:rPr>
          <w:lang w:val="es-ES_tradnl" w:eastAsia="zh-CN"/>
        </w:rPr>
        <w:t>–</w:t>
      </w:r>
      <w:r w:rsidRPr="0090639D">
        <w:rPr>
          <w:lang w:val="es-ES_tradnl" w:eastAsia="zh-CN"/>
        </w:rPr>
        <w:tab/>
      </w:r>
      <w:r w:rsidRPr="0090639D">
        <w:rPr>
          <w:b/>
          <w:bCs/>
          <w:szCs w:val="24"/>
          <w:lang w:val="es-ES_tradnl" w:eastAsia="zh-CN"/>
        </w:rPr>
        <w:t xml:space="preserve">Desarrollo de la analítica del aprendizaje y la evaluación de competencias </w:t>
      </w:r>
      <w:r w:rsidRPr="0090639D">
        <w:rPr>
          <w:szCs w:val="24"/>
          <w:lang w:val="es-ES_tradnl" w:eastAsia="zh-CN"/>
        </w:rPr>
        <w:t>para entender mejor las carencias en materia de capacidad, personalizar las ofertas de formación y hacer un seguimiento de la adopción y la efectividad de la formación.</w:t>
      </w:r>
    </w:p>
    <w:p w14:paraId="0DE4BC7B" w14:textId="77777777" w:rsidR="00B14F4A" w:rsidRPr="0090639D" w:rsidRDefault="00B14F4A" w:rsidP="0090639D">
      <w:pPr>
        <w:pStyle w:val="enumlev1"/>
        <w:jc w:val="both"/>
        <w:rPr>
          <w:szCs w:val="24"/>
          <w:lang w:val="es-ES_tradnl" w:eastAsia="zh-CN"/>
        </w:rPr>
      </w:pPr>
      <w:r w:rsidRPr="0090639D">
        <w:rPr>
          <w:lang w:val="es-ES_tradnl" w:eastAsia="zh-CN"/>
        </w:rPr>
        <w:t>–</w:t>
      </w:r>
      <w:r w:rsidRPr="0090639D">
        <w:rPr>
          <w:lang w:val="es-ES_tradnl" w:eastAsia="zh-CN"/>
        </w:rPr>
        <w:tab/>
      </w:r>
      <w:r w:rsidRPr="0090639D">
        <w:rPr>
          <w:b/>
          <w:bCs/>
          <w:szCs w:val="24"/>
          <w:lang w:val="es-ES_tradnl" w:eastAsia="zh-CN"/>
        </w:rPr>
        <w:t xml:space="preserve">Promover la compartición de conocimientos y el aprendizaje entre pares </w:t>
      </w:r>
      <w:r w:rsidRPr="0090639D">
        <w:rPr>
          <w:szCs w:val="24"/>
          <w:lang w:val="es-ES_tradnl" w:eastAsia="zh-CN"/>
        </w:rPr>
        <w:t>recurriendo a comunidades de práctica, mentorías y oportunidades estructuradas para compartir los conocimientos en equipos y departamentos.</w:t>
      </w:r>
    </w:p>
    <w:p w14:paraId="1B1F7A27" w14:textId="77777777" w:rsidR="00B14F4A" w:rsidRPr="0090639D" w:rsidRDefault="00B14F4A" w:rsidP="00B14F4A">
      <w:pPr>
        <w:pStyle w:val="Heading2"/>
        <w:rPr>
          <w:lang w:val="es-ES_tradnl" w:eastAsia="zh-CN"/>
        </w:rPr>
      </w:pPr>
      <w:r w:rsidRPr="0090639D">
        <w:rPr>
          <w:lang w:val="es-ES_tradnl" w:eastAsia="zh-CN"/>
        </w:rPr>
        <w:lastRenderedPageBreak/>
        <w:t>3.4</w:t>
      </w:r>
      <w:r w:rsidRPr="0090639D">
        <w:rPr>
          <w:lang w:val="es-ES_tradnl"/>
        </w:rPr>
        <w:tab/>
        <w:t>Implicación, inclusión y bienestar del personal</w:t>
      </w:r>
    </w:p>
    <w:p w14:paraId="219DD7E0" w14:textId="77777777" w:rsidR="00B14F4A" w:rsidRPr="0090639D" w:rsidRDefault="00B14F4A" w:rsidP="00B14F4A">
      <w:pPr>
        <w:pStyle w:val="Headingb"/>
        <w:rPr>
          <w:lang w:val="es-ES_tradnl" w:eastAsia="zh-CN"/>
        </w:rPr>
      </w:pPr>
      <w:r w:rsidRPr="0090639D">
        <w:rPr>
          <w:lang w:val="es-ES_tradnl" w:eastAsia="zh-CN"/>
        </w:rPr>
        <w:t>Por qué es importante</w:t>
      </w:r>
    </w:p>
    <w:p w14:paraId="3F6F7E92" w14:textId="77777777" w:rsidR="00B14F4A" w:rsidRPr="0090639D" w:rsidRDefault="00B14F4A" w:rsidP="0090639D">
      <w:pPr>
        <w:jc w:val="both"/>
        <w:rPr>
          <w:szCs w:val="24"/>
          <w:lang w:val="es-ES_tradnl" w:eastAsia="zh-CN"/>
        </w:rPr>
      </w:pPr>
      <w:r w:rsidRPr="0090639D">
        <w:rPr>
          <w:szCs w:val="24"/>
          <w:lang w:val="es-ES_tradnl" w:eastAsia="zh-CN"/>
        </w:rPr>
        <w:t>La implicación, la inclusión y el bienestar del personal son esenciales para el rendimiento sostenido y una cultura institucional saludable. Al dar prioridad a su deber de diligencia y fomentar prácticas de apoyo, la UIT ayuda al personal a prosperar al tiempo que palía los riesgos institucionales. La escucha proactiva del personal y el cierre del bucle de retroinformación redundarán en una mayor confianza que afianzará la Unión como lugar de trabajo respetuoso.</w:t>
      </w:r>
    </w:p>
    <w:p w14:paraId="33578AD8" w14:textId="77777777" w:rsidR="00B14F4A" w:rsidRPr="0090639D" w:rsidRDefault="00B14F4A" w:rsidP="00B14F4A">
      <w:pPr>
        <w:pStyle w:val="Headingb"/>
        <w:rPr>
          <w:lang w:val="es-ES_tradnl" w:eastAsia="zh-CN"/>
        </w:rPr>
      </w:pPr>
      <w:r w:rsidRPr="0090639D">
        <w:rPr>
          <w:lang w:val="es-ES_tradnl" w:eastAsia="zh-CN"/>
        </w:rPr>
        <w:t>Iniciativas clave</w:t>
      </w:r>
    </w:p>
    <w:p w14:paraId="40765836" w14:textId="77777777" w:rsidR="00B14F4A" w:rsidRPr="0090639D" w:rsidRDefault="00B14F4A" w:rsidP="0090639D">
      <w:pPr>
        <w:pStyle w:val="enumlev1"/>
        <w:jc w:val="both"/>
        <w:rPr>
          <w:b/>
          <w:bCs/>
          <w:szCs w:val="24"/>
          <w:lang w:val="es-ES_tradnl" w:eastAsia="zh-CN"/>
        </w:rPr>
      </w:pPr>
      <w:r w:rsidRPr="0090639D">
        <w:rPr>
          <w:lang w:val="es-ES_tradnl" w:eastAsia="zh-CN"/>
        </w:rPr>
        <w:t>–</w:t>
      </w:r>
      <w:r w:rsidRPr="0090639D">
        <w:rPr>
          <w:lang w:val="es-ES_tradnl" w:eastAsia="zh-CN"/>
        </w:rPr>
        <w:tab/>
      </w:r>
      <w:r w:rsidRPr="0090639D">
        <w:rPr>
          <w:b/>
          <w:bCs/>
          <w:lang w:val="es-ES_tradnl" w:eastAsia="zh-CN"/>
        </w:rPr>
        <w:t xml:space="preserve">Facilitar la transición hacia un enfoque de salud y seguridad ocupacional más integrado </w:t>
      </w:r>
      <w:r w:rsidRPr="0090639D">
        <w:rPr>
          <w:lang w:val="es-ES_tradnl" w:eastAsia="zh-CN"/>
        </w:rPr>
        <w:t xml:space="preserve">sobre la base de los servicios médicos existentes, la vinculación </w:t>
      </w:r>
      <w:proofErr w:type="spellStart"/>
      <w:r w:rsidRPr="0090639D">
        <w:rPr>
          <w:lang w:val="es-ES_tradnl" w:eastAsia="zh-CN"/>
        </w:rPr>
        <w:t>interorganismos</w:t>
      </w:r>
      <w:proofErr w:type="spellEnd"/>
      <w:r w:rsidRPr="0090639D">
        <w:rPr>
          <w:lang w:val="es-ES_tradnl" w:eastAsia="zh-CN"/>
        </w:rPr>
        <w:t xml:space="preserve"> y el refuerzo de la prevención, la gestión de riesgos y la sensibilización</w:t>
      </w:r>
      <w:r w:rsidRPr="0090639D">
        <w:rPr>
          <w:szCs w:val="24"/>
          <w:lang w:val="es-ES_tradnl" w:eastAsia="zh-CN"/>
        </w:rPr>
        <w:t>.</w:t>
      </w:r>
    </w:p>
    <w:p w14:paraId="1722DDFF" w14:textId="77777777" w:rsidR="00B14F4A" w:rsidRPr="0090639D" w:rsidRDefault="00B14F4A" w:rsidP="0090639D">
      <w:pPr>
        <w:pStyle w:val="enumlev1"/>
        <w:jc w:val="both"/>
        <w:rPr>
          <w:b/>
          <w:bCs/>
          <w:szCs w:val="24"/>
          <w:lang w:val="es-ES_tradnl" w:eastAsia="zh-CN"/>
        </w:rPr>
      </w:pPr>
      <w:r w:rsidRPr="0090639D">
        <w:rPr>
          <w:lang w:val="es-ES_tradnl" w:eastAsia="zh-CN"/>
        </w:rPr>
        <w:t>–</w:t>
      </w:r>
      <w:r w:rsidRPr="0090639D">
        <w:rPr>
          <w:lang w:val="es-ES_tradnl" w:eastAsia="zh-CN"/>
        </w:rPr>
        <w:tab/>
      </w:r>
      <w:r w:rsidRPr="0090639D">
        <w:rPr>
          <w:b/>
          <w:bCs/>
          <w:lang w:val="es-ES_tradnl" w:eastAsia="zh-CN"/>
        </w:rPr>
        <w:t xml:space="preserve">Mejorar los programas de vuelta al trabajo </w:t>
      </w:r>
      <w:r w:rsidRPr="0090639D">
        <w:rPr>
          <w:lang w:val="es-ES_tradnl" w:eastAsia="zh-CN"/>
        </w:rPr>
        <w:t>para ayudar al personal a reintegrarse tras una enfermedad o ausencia mediante procedimientos claros, coordinación oportuna y ajustes adecuados del lugar de trabajo en caso necesario</w:t>
      </w:r>
      <w:r w:rsidRPr="0090639D">
        <w:rPr>
          <w:szCs w:val="24"/>
          <w:lang w:val="es-ES_tradnl" w:eastAsia="zh-CN"/>
        </w:rPr>
        <w:t>.</w:t>
      </w:r>
    </w:p>
    <w:p w14:paraId="2FAB32F7" w14:textId="77777777" w:rsidR="00B14F4A" w:rsidRPr="0090639D" w:rsidRDefault="00B14F4A" w:rsidP="0090639D">
      <w:pPr>
        <w:pStyle w:val="enumlev1"/>
        <w:jc w:val="both"/>
        <w:rPr>
          <w:b/>
          <w:bCs/>
          <w:szCs w:val="24"/>
          <w:lang w:val="es-ES_tradnl" w:eastAsia="zh-CN"/>
        </w:rPr>
      </w:pPr>
      <w:r w:rsidRPr="0090639D">
        <w:rPr>
          <w:lang w:val="es-ES_tradnl" w:eastAsia="zh-CN"/>
        </w:rPr>
        <w:t>–</w:t>
      </w:r>
      <w:r w:rsidRPr="0090639D">
        <w:rPr>
          <w:lang w:val="es-ES_tradnl" w:eastAsia="zh-CN"/>
        </w:rPr>
        <w:tab/>
      </w:r>
      <w:r w:rsidRPr="0090639D">
        <w:rPr>
          <w:b/>
          <w:bCs/>
          <w:szCs w:val="24"/>
          <w:lang w:val="es-ES_tradnl" w:eastAsia="zh-CN"/>
        </w:rPr>
        <w:t xml:space="preserve">Implementar el Plan de acción de bienestar y salud mental </w:t>
      </w:r>
      <w:r w:rsidRPr="0090639D">
        <w:rPr>
          <w:szCs w:val="24"/>
          <w:lang w:val="es-ES_tradnl" w:eastAsia="zh-CN"/>
        </w:rPr>
        <w:t>para aumentar la prevención, dar acceso a servicios de apoyo y sensibilización y fomentar un entorno propicio al bienestar mental.</w:t>
      </w:r>
    </w:p>
    <w:p w14:paraId="55CEF177" w14:textId="77777777" w:rsidR="00B14F4A" w:rsidRPr="0090639D" w:rsidRDefault="00B14F4A" w:rsidP="0090639D">
      <w:pPr>
        <w:pStyle w:val="enumlev1"/>
        <w:jc w:val="both"/>
        <w:rPr>
          <w:b/>
          <w:bCs/>
          <w:szCs w:val="24"/>
          <w:lang w:val="es-ES_tradnl" w:eastAsia="zh-CN"/>
        </w:rPr>
      </w:pPr>
      <w:r w:rsidRPr="0090639D">
        <w:rPr>
          <w:lang w:val="es-ES_tradnl" w:eastAsia="zh-CN"/>
        </w:rPr>
        <w:t>–</w:t>
      </w:r>
      <w:r w:rsidRPr="0090639D">
        <w:rPr>
          <w:lang w:val="es-ES_tradnl" w:eastAsia="zh-CN"/>
        </w:rPr>
        <w:tab/>
      </w:r>
      <w:r w:rsidRPr="0090639D">
        <w:rPr>
          <w:b/>
          <w:bCs/>
          <w:szCs w:val="24"/>
          <w:lang w:val="es-ES_tradnl" w:eastAsia="zh-CN"/>
        </w:rPr>
        <w:t xml:space="preserve">Mitigar los factores de estrés en el lugar de trabajo y aumentar la resiliencia </w:t>
      </w:r>
      <w:r w:rsidRPr="0090639D">
        <w:rPr>
          <w:szCs w:val="24"/>
          <w:lang w:val="es-ES_tradnl" w:eastAsia="zh-CN"/>
        </w:rPr>
        <w:t>mediante intervenciones concretas, recursos prácticos para el personal y la dirección e iniciativas de fomento del trabajo saludable.</w:t>
      </w:r>
    </w:p>
    <w:p w14:paraId="7F1243DC" w14:textId="77777777" w:rsidR="00B14F4A" w:rsidRPr="0090639D" w:rsidRDefault="00B14F4A" w:rsidP="0090639D">
      <w:pPr>
        <w:pStyle w:val="enumlev1"/>
        <w:jc w:val="both"/>
        <w:rPr>
          <w:b/>
          <w:bCs/>
          <w:lang w:val="es-ES_tradnl" w:eastAsia="zh-CN"/>
        </w:rPr>
      </w:pPr>
      <w:r w:rsidRPr="0090639D">
        <w:rPr>
          <w:lang w:val="es-ES_tradnl" w:eastAsia="zh-CN"/>
        </w:rPr>
        <w:t>–</w:t>
      </w:r>
      <w:r w:rsidRPr="0090639D">
        <w:rPr>
          <w:lang w:val="es-ES_tradnl"/>
        </w:rPr>
        <w:tab/>
      </w:r>
      <w:r w:rsidRPr="0090639D">
        <w:rPr>
          <w:b/>
          <w:bCs/>
          <w:lang w:val="es-ES_tradnl" w:eastAsia="zh-CN"/>
        </w:rPr>
        <w:t xml:space="preserve">Implementar disposiciones de trabajo flexible </w:t>
      </w:r>
      <w:r w:rsidRPr="0090639D">
        <w:rPr>
          <w:lang w:val="es-ES_tradnl" w:eastAsia="zh-CN"/>
        </w:rPr>
        <w:t>adecuadas a las necesidades operativas a favor del equilibrio entre vida profesional y vida privada mediante políticas y orientaciones claras, aplicadas de manera coherente en todos los equipos.</w:t>
      </w:r>
    </w:p>
    <w:p w14:paraId="7AC242C2" w14:textId="77777777" w:rsidR="00B14F4A" w:rsidRPr="0090639D" w:rsidRDefault="00B14F4A" w:rsidP="0090639D">
      <w:pPr>
        <w:pStyle w:val="enumlev1"/>
        <w:jc w:val="both"/>
        <w:rPr>
          <w:b/>
          <w:bCs/>
          <w:szCs w:val="24"/>
          <w:lang w:val="es-ES_tradnl" w:eastAsia="zh-CN"/>
        </w:rPr>
      </w:pPr>
      <w:r w:rsidRPr="0090639D">
        <w:rPr>
          <w:lang w:val="es-ES_tradnl" w:eastAsia="zh-CN"/>
        </w:rPr>
        <w:t>–</w:t>
      </w:r>
      <w:r w:rsidRPr="0090639D">
        <w:rPr>
          <w:lang w:val="es-ES_tradnl" w:eastAsia="zh-CN"/>
        </w:rPr>
        <w:tab/>
      </w:r>
      <w:r w:rsidRPr="0090639D">
        <w:rPr>
          <w:b/>
          <w:bCs/>
          <w:lang w:val="es-ES_tradnl" w:eastAsia="zh-CN"/>
        </w:rPr>
        <w:t xml:space="preserve">Establecer un lugar de trabajo inclusivo </w:t>
      </w:r>
      <w:r w:rsidRPr="0090639D">
        <w:rPr>
          <w:lang w:val="es-ES_tradnl" w:eastAsia="zh-CN"/>
        </w:rPr>
        <w:t>fomentando la adopción de una cultura respetuosa y de apoyo, aprovechando la diversidad, previniendo conductas inaceptables y promoviendo la inclusión de la discapacidad a través de ajustes razonables, junto con oportunidades equitativas para todos</w:t>
      </w:r>
      <w:r w:rsidRPr="0090639D">
        <w:rPr>
          <w:szCs w:val="24"/>
          <w:lang w:val="es-ES_tradnl" w:eastAsia="zh-CN"/>
        </w:rPr>
        <w:t>.</w:t>
      </w:r>
    </w:p>
    <w:p w14:paraId="098805CA" w14:textId="77777777" w:rsidR="00B14F4A" w:rsidRPr="0090639D" w:rsidRDefault="00B14F4A" w:rsidP="0090639D">
      <w:pPr>
        <w:pStyle w:val="enumlev1"/>
        <w:jc w:val="both"/>
        <w:rPr>
          <w:b/>
          <w:bCs/>
          <w:szCs w:val="24"/>
          <w:lang w:val="es-ES_tradnl" w:eastAsia="zh-CN"/>
        </w:rPr>
      </w:pPr>
      <w:r w:rsidRPr="0090639D">
        <w:rPr>
          <w:lang w:val="es-ES_tradnl" w:eastAsia="zh-CN"/>
        </w:rPr>
        <w:t>–</w:t>
      </w:r>
      <w:r w:rsidRPr="0090639D">
        <w:rPr>
          <w:lang w:val="es-ES_tradnl" w:eastAsia="zh-CN"/>
        </w:rPr>
        <w:tab/>
      </w:r>
      <w:r w:rsidRPr="0090639D">
        <w:rPr>
          <w:b/>
          <w:bCs/>
          <w:lang w:val="es-ES_tradnl" w:eastAsia="zh-CN"/>
        </w:rPr>
        <w:t xml:space="preserve">Aprovechar la encuesta sobre la implicación de los empleados y los planes de acción </w:t>
      </w:r>
      <w:r w:rsidRPr="0090639D">
        <w:rPr>
          <w:lang w:val="es-ES_tradnl" w:eastAsia="zh-CN"/>
        </w:rPr>
        <w:t>para institucionalizar los mecanismos de retroinformación del personal, priorizar las intervenciones basadas en pruebas y hacer un seguimiento de los progresos mediante la comunicación transparente y la responsabilidad mutua</w:t>
      </w:r>
      <w:r w:rsidRPr="0090639D">
        <w:rPr>
          <w:szCs w:val="24"/>
          <w:lang w:val="es-ES_tradnl" w:eastAsia="zh-CN"/>
        </w:rPr>
        <w:t>.</w:t>
      </w:r>
    </w:p>
    <w:p w14:paraId="4252CCDB" w14:textId="77777777" w:rsidR="00B14F4A" w:rsidRPr="0090639D" w:rsidRDefault="00B14F4A" w:rsidP="00B14F4A">
      <w:pPr>
        <w:pStyle w:val="Heading2"/>
        <w:rPr>
          <w:lang w:val="es-ES_tradnl" w:eastAsia="zh-CN"/>
        </w:rPr>
      </w:pPr>
      <w:r w:rsidRPr="0090639D">
        <w:rPr>
          <w:lang w:val="es-ES_tradnl" w:eastAsia="zh-CN"/>
        </w:rPr>
        <w:t>3.5</w:t>
      </w:r>
      <w:r w:rsidRPr="0090639D">
        <w:rPr>
          <w:lang w:val="es-ES_tradnl" w:eastAsia="zh-CN"/>
        </w:rPr>
        <w:tab/>
        <w:t>Gobernanza de RR.HH., datos y transformación digital</w:t>
      </w:r>
    </w:p>
    <w:p w14:paraId="7D89C96B" w14:textId="77777777" w:rsidR="00B14F4A" w:rsidRPr="0090639D" w:rsidRDefault="00B14F4A" w:rsidP="00B14F4A">
      <w:pPr>
        <w:pStyle w:val="Headingb"/>
        <w:rPr>
          <w:lang w:val="es-ES_tradnl" w:eastAsia="zh-CN"/>
        </w:rPr>
      </w:pPr>
      <w:r w:rsidRPr="0090639D">
        <w:rPr>
          <w:lang w:val="es-ES_tradnl" w:eastAsia="zh-CN"/>
        </w:rPr>
        <w:t>Por qué es importante</w:t>
      </w:r>
    </w:p>
    <w:p w14:paraId="2A01023D" w14:textId="77777777" w:rsidR="00B14F4A" w:rsidRPr="0090639D" w:rsidRDefault="00B14F4A" w:rsidP="0090639D">
      <w:pPr>
        <w:jc w:val="both"/>
        <w:rPr>
          <w:szCs w:val="24"/>
          <w:lang w:val="es-ES_tradnl" w:eastAsia="zh-CN"/>
        </w:rPr>
      </w:pPr>
      <w:r w:rsidRPr="0090639D">
        <w:rPr>
          <w:szCs w:val="24"/>
          <w:lang w:val="es-ES_tradnl" w:eastAsia="zh-CN"/>
        </w:rPr>
        <w:t>Una firme gobernanza de RR.HH. y sistemas habilitadores modernos son la base de una gestión de personal coherente, conforme y eficiente. La inversión concreta en tecnología y una analítica de datos mejorada fomentarán una cultura cliente-servicio, permitirá tomar decisiones con conocimiento de causa y aliviará la carga administrativa mediante la automatización y la simplificación.</w:t>
      </w:r>
    </w:p>
    <w:p w14:paraId="03BF9516" w14:textId="77777777" w:rsidR="00B14F4A" w:rsidRPr="0090639D" w:rsidRDefault="00B14F4A" w:rsidP="00B14F4A">
      <w:pPr>
        <w:pStyle w:val="Headingb"/>
        <w:rPr>
          <w:lang w:val="es-ES_tradnl" w:eastAsia="zh-CN"/>
        </w:rPr>
      </w:pPr>
      <w:r w:rsidRPr="0090639D">
        <w:rPr>
          <w:lang w:val="es-ES_tradnl" w:eastAsia="zh-CN"/>
        </w:rPr>
        <w:lastRenderedPageBreak/>
        <w:t>Iniciativas clave</w:t>
      </w:r>
    </w:p>
    <w:p w14:paraId="67C725F0" w14:textId="77777777" w:rsidR="00B14F4A" w:rsidRPr="0090639D" w:rsidRDefault="00B14F4A" w:rsidP="0090639D">
      <w:pPr>
        <w:pStyle w:val="enumlev1"/>
        <w:jc w:val="both"/>
        <w:rPr>
          <w:szCs w:val="24"/>
          <w:lang w:val="es-ES_tradnl" w:eastAsia="zh-CN"/>
        </w:rPr>
      </w:pPr>
      <w:r w:rsidRPr="0090639D">
        <w:rPr>
          <w:lang w:val="es-ES_tradnl" w:eastAsia="zh-CN"/>
        </w:rPr>
        <w:t>–</w:t>
      </w:r>
      <w:r w:rsidRPr="0090639D">
        <w:rPr>
          <w:lang w:val="es-ES_tradnl" w:eastAsia="zh-CN"/>
        </w:rPr>
        <w:tab/>
      </w:r>
      <w:r w:rsidRPr="0090639D">
        <w:rPr>
          <w:b/>
          <w:bCs/>
          <w:lang w:val="es-ES_tradnl" w:eastAsia="zh-CN"/>
        </w:rPr>
        <w:t xml:space="preserve">Reforzar el marco reglamentario de RR.HH. </w:t>
      </w:r>
      <w:r w:rsidRPr="0090639D">
        <w:rPr>
          <w:lang w:val="es-ES_tradnl" w:eastAsia="zh-CN"/>
        </w:rPr>
        <w:t>revisando y actualizando las políticas, reglas y directivas para colmar carencias, aumentar la coherencia y facilitar la aplicación coherente</w:t>
      </w:r>
      <w:r w:rsidRPr="0090639D">
        <w:rPr>
          <w:szCs w:val="24"/>
          <w:lang w:val="es-ES_tradnl" w:eastAsia="zh-CN"/>
        </w:rPr>
        <w:t>.</w:t>
      </w:r>
    </w:p>
    <w:p w14:paraId="5E0743D3" w14:textId="77777777" w:rsidR="00B14F4A" w:rsidRPr="0090639D" w:rsidRDefault="00B14F4A" w:rsidP="0090639D">
      <w:pPr>
        <w:pStyle w:val="enumlev1"/>
        <w:jc w:val="both"/>
        <w:rPr>
          <w:szCs w:val="24"/>
          <w:lang w:val="es-ES_tradnl" w:eastAsia="zh-CN"/>
        </w:rPr>
      </w:pPr>
      <w:r w:rsidRPr="0090639D">
        <w:rPr>
          <w:lang w:val="es-ES_tradnl" w:eastAsia="zh-CN"/>
        </w:rPr>
        <w:t>–</w:t>
      </w:r>
      <w:r w:rsidRPr="0090639D">
        <w:rPr>
          <w:lang w:val="es-ES_tradnl" w:eastAsia="zh-CN"/>
        </w:rPr>
        <w:tab/>
      </w:r>
      <w:r w:rsidRPr="0090639D">
        <w:rPr>
          <w:b/>
          <w:bCs/>
          <w:szCs w:val="24"/>
          <w:lang w:val="es-ES_tradnl" w:eastAsia="zh-CN"/>
        </w:rPr>
        <w:t xml:space="preserve">Desarrollar y mantener un cuadro de dotación de personal </w:t>
      </w:r>
      <w:r w:rsidRPr="0090639D">
        <w:rPr>
          <w:szCs w:val="24"/>
          <w:lang w:val="es-ES_tradnl" w:eastAsia="zh-CN"/>
        </w:rPr>
        <w:t>para aumentar la visibilidad de la mano de obra y facilitar la planificación estratégica del personal, la optimización de recursos y la reorganización institucional para garantizar la transparencia en tiempo real de las tendencias de dotación.</w:t>
      </w:r>
    </w:p>
    <w:p w14:paraId="57C1D51C" w14:textId="77777777" w:rsidR="00B14F4A" w:rsidRPr="0090639D" w:rsidRDefault="00B14F4A" w:rsidP="0090639D">
      <w:pPr>
        <w:pStyle w:val="enumlev1"/>
        <w:jc w:val="both"/>
        <w:rPr>
          <w:szCs w:val="24"/>
          <w:lang w:val="es-ES_tradnl" w:eastAsia="zh-CN"/>
        </w:rPr>
      </w:pPr>
      <w:r w:rsidRPr="0090639D">
        <w:rPr>
          <w:lang w:val="es-ES_tradnl" w:eastAsia="zh-CN"/>
        </w:rPr>
        <w:t>–</w:t>
      </w:r>
      <w:r w:rsidRPr="0090639D">
        <w:rPr>
          <w:lang w:val="es-ES_tradnl" w:eastAsia="zh-CN"/>
        </w:rPr>
        <w:tab/>
      </w:r>
      <w:r w:rsidRPr="0090639D">
        <w:rPr>
          <w:b/>
          <w:bCs/>
          <w:szCs w:val="24"/>
          <w:lang w:val="es-ES_tradnl" w:eastAsia="zh-CN"/>
        </w:rPr>
        <w:t xml:space="preserve">Establecer un marco contractual robusto </w:t>
      </w:r>
      <w:r w:rsidRPr="0090639D">
        <w:rPr>
          <w:szCs w:val="24"/>
          <w:lang w:val="es-ES_tradnl" w:eastAsia="zh-CN"/>
        </w:rPr>
        <w:t>para aclarar las modalidades contractuales y la gobernanza conexa para permitir una utilización coherente, conforme y eficiente de las disposiciones contractuales.</w:t>
      </w:r>
    </w:p>
    <w:p w14:paraId="42197CBF" w14:textId="77777777" w:rsidR="00B14F4A" w:rsidRPr="0090639D" w:rsidRDefault="00B14F4A" w:rsidP="0090639D">
      <w:pPr>
        <w:pStyle w:val="enumlev1"/>
        <w:jc w:val="both"/>
        <w:rPr>
          <w:szCs w:val="24"/>
          <w:lang w:val="es-ES_tradnl" w:eastAsia="zh-CN"/>
        </w:rPr>
      </w:pPr>
      <w:r w:rsidRPr="0090639D">
        <w:rPr>
          <w:lang w:val="es-ES_tradnl" w:eastAsia="zh-CN"/>
        </w:rPr>
        <w:t>–</w:t>
      </w:r>
      <w:r w:rsidRPr="0090639D">
        <w:rPr>
          <w:lang w:val="es-ES_tradnl" w:eastAsia="zh-CN"/>
        </w:rPr>
        <w:tab/>
      </w:r>
      <w:r w:rsidRPr="0090639D">
        <w:rPr>
          <w:b/>
          <w:bCs/>
          <w:szCs w:val="24"/>
          <w:lang w:val="es-ES_tradnl" w:eastAsia="zh-CN"/>
        </w:rPr>
        <w:t xml:space="preserve">Desarrollar el marco de delegación de autoridad </w:t>
      </w:r>
      <w:r w:rsidRPr="0090639D">
        <w:rPr>
          <w:szCs w:val="24"/>
          <w:lang w:val="es-ES_tradnl" w:eastAsia="zh-CN"/>
        </w:rPr>
        <w:t>para aumentar la agilidad operativa, reforzar la responsabilidad y racionalizar la toma de decisiones en toda la Unión.</w:t>
      </w:r>
    </w:p>
    <w:p w14:paraId="66D3829A" w14:textId="77777777" w:rsidR="00B14F4A" w:rsidRPr="0090639D" w:rsidRDefault="00B14F4A" w:rsidP="0090639D">
      <w:pPr>
        <w:pStyle w:val="enumlev1"/>
        <w:jc w:val="both"/>
        <w:rPr>
          <w:szCs w:val="24"/>
          <w:lang w:val="es-ES_tradnl" w:eastAsia="zh-CN"/>
        </w:rPr>
      </w:pPr>
      <w:r w:rsidRPr="0090639D">
        <w:rPr>
          <w:lang w:val="es-ES_tradnl" w:eastAsia="zh-CN"/>
        </w:rPr>
        <w:t>–</w:t>
      </w:r>
      <w:r w:rsidRPr="0090639D">
        <w:rPr>
          <w:lang w:val="es-ES_tradnl" w:eastAsia="zh-CN"/>
        </w:rPr>
        <w:tab/>
      </w:r>
      <w:r w:rsidRPr="0090639D">
        <w:rPr>
          <w:b/>
          <w:bCs/>
          <w:lang w:val="es-ES_tradnl" w:eastAsia="zh-CN"/>
        </w:rPr>
        <w:t xml:space="preserve">Racionalizar, simplificar y automatizar los procesos de RR.HH. </w:t>
      </w:r>
      <w:r w:rsidRPr="0090639D">
        <w:rPr>
          <w:lang w:val="es-ES_tradnl" w:eastAsia="zh-CN"/>
        </w:rPr>
        <w:t>mediante procedimientos operativos normalizados</w:t>
      </w:r>
      <w:r w:rsidRPr="0090639D">
        <w:rPr>
          <w:szCs w:val="24"/>
          <w:lang w:val="es-ES_tradnl" w:eastAsia="zh-CN"/>
        </w:rPr>
        <w:t xml:space="preserve"> (SOP) para procesos esenciales, mejoras del SAP-HR e inversiones en tecnología de RR.HH. concretas para aumentar la eficiencia y mejorar la prestación de servicios.</w:t>
      </w:r>
    </w:p>
    <w:p w14:paraId="5B463844" w14:textId="77777777" w:rsidR="00B14F4A" w:rsidRPr="0090639D" w:rsidRDefault="00B14F4A" w:rsidP="0090639D">
      <w:pPr>
        <w:pStyle w:val="enumlev1"/>
        <w:jc w:val="both"/>
        <w:rPr>
          <w:szCs w:val="24"/>
          <w:lang w:val="es-ES_tradnl" w:eastAsia="zh-CN"/>
        </w:rPr>
      </w:pPr>
      <w:r w:rsidRPr="0090639D">
        <w:rPr>
          <w:lang w:val="es-ES_tradnl" w:eastAsia="zh-CN"/>
        </w:rPr>
        <w:t>–</w:t>
      </w:r>
      <w:r w:rsidRPr="0090639D">
        <w:rPr>
          <w:lang w:val="es-ES_tradnl" w:eastAsia="zh-CN"/>
        </w:rPr>
        <w:tab/>
      </w:r>
      <w:r w:rsidRPr="0090639D">
        <w:rPr>
          <w:b/>
          <w:bCs/>
          <w:lang w:val="es-ES_tradnl" w:eastAsia="zh-CN"/>
        </w:rPr>
        <w:t xml:space="preserve">Reforzar la función de relaciones con el personal </w:t>
      </w:r>
      <w:r w:rsidRPr="0090639D">
        <w:rPr>
          <w:lang w:val="es-ES_tradnl" w:eastAsia="zh-CN"/>
        </w:rPr>
        <w:t>mediante la colaboración constante y periódica con el Consejo de Personal, así como una mayor coordinación con las Oficinas Regionales, reforzando la equidad procesas y mitigando los riesgos relacionados con el personal en la Unión</w:t>
      </w:r>
      <w:r w:rsidRPr="0090639D">
        <w:rPr>
          <w:szCs w:val="24"/>
          <w:lang w:val="es-ES_tradnl" w:eastAsia="zh-CN"/>
        </w:rPr>
        <w:t>.</w:t>
      </w:r>
    </w:p>
    <w:p w14:paraId="2FE97F3E" w14:textId="77777777" w:rsidR="00B14F4A" w:rsidRPr="0090639D" w:rsidRDefault="00B14F4A" w:rsidP="0090639D">
      <w:pPr>
        <w:pStyle w:val="enumlev1"/>
        <w:jc w:val="both"/>
        <w:rPr>
          <w:szCs w:val="24"/>
          <w:lang w:val="es-ES_tradnl" w:eastAsia="zh-CN"/>
        </w:rPr>
      </w:pPr>
      <w:r w:rsidRPr="0090639D">
        <w:rPr>
          <w:lang w:val="es-ES_tradnl" w:eastAsia="zh-CN"/>
        </w:rPr>
        <w:t>–</w:t>
      </w:r>
      <w:r w:rsidRPr="0090639D">
        <w:rPr>
          <w:lang w:val="es-ES_tradnl" w:eastAsia="zh-CN"/>
        </w:rPr>
        <w:tab/>
      </w:r>
      <w:r w:rsidRPr="0090639D">
        <w:rPr>
          <w:b/>
          <w:bCs/>
          <w:lang w:val="es-ES_tradnl" w:eastAsia="zh-CN"/>
        </w:rPr>
        <w:t xml:space="preserve">Prestar servicios de seguro médico, pensiones y otros servicios administrativos conexos </w:t>
      </w:r>
      <w:r w:rsidRPr="0090639D">
        <w:rPr>
          <w:lang w:val="es-ES_tradnl" w:eastAsia="zh-CN"/>
        </w:rPr>
        <w:t>en toda la organización, incluidas las Oficinas Regionales, de acuerdo con normas, procesos y normas de servicio coherentes. Además, se prestará un apoyo particular a las Oficinas Regionales mediante sesiones sobre emergencias médicas y orientaciones prácticas sobre los procedimientos y canales de apoyo</w:t>
      </w:r>
      <w:r w:rsidRPr="0090639D">
        <w:rPr>
          <w:szCs w:val="24"/>
          <w:lang w:val="es-ES_tradnl" w:eastAsia="zh-CN"/>
        </w:rPr>
        <w:t>.</w:t>
      </w:r>
    </w:p>
    <w:p w14:paraId="2BC32EA3" w14:textId="77777777" w:rsidR="00B14F4A" w:rsidRPr="0090639D" w:rsidRDefault="00B14F4A" w:rsidP="0090639D">
      <w:pPr>
        <w:pStyle w:val="enumlev1"/>
        <w:jc w:val="both"/>
        <w:rPr>
          <w:szCs w:val="24"/>
          <w:lang w:val="es-ES_tradnl" w:eastAsia="zh-CN"/>
        </w:rPr>
      </w:pPr>
      <w:r w:rsidRPr="0090639D">
        <w:rPr>
          <w:lang w:val="es-ES_tradnl" w:eastAsia="zh-CN"/>
        </w:rPr>
        <w:t>–</w:t>
      </w:r>
      <w:r w:rsidRPr="0090639D">
        <w:rPr>
          <w:lang w:val="es-ES_tradnl" w:eastAsia="zh-CN"/>
        </w:rPr>
        <w:tab/>
      </w:r>
      <w:r w:rsidRPr="0090639D">
        <w:rPr>
          <w:b/>
          <w:bCs/>
          <w:lang w:val="es-ES_tradnl" w:eastAsia="zh-CN"/>
        </w:rPr>
        <w:t xml:space="preserve">Reforzar los datos de RR.HH. y las capacidades analíticas </w:t>
      </w:r>
      <w:r w:rsidRPr="0090639D">
        <w:rPr>
          <w:lang w:val="es-ES_tradnl" w:eastAsia="zh-CN"/>
        </w:rPr>
        <w:t xml:space="preserve">estableciendo fuentes de datos de RR.HH. fiables y consolidadas, ampliando la inteligencia institucional y recurriendo a la analítica predictiva para la planificación, la rendición de informes y la toma de decisiones. </w:t>
      </w:r>
      <w:r w:rsidRPr="0090639D">
        <w:rPr>
          <w:b/>
          <w:bCs/>
          <w:lang w:val="es-ES_tradnl" w:eastAsia="zh-CN"/>
        </w:rPr>
        <w:t>Evaluar y probar soluciones de RR.HH. de IA</w:t>
      </w:r>
      <w:r w:rsidRPr="0090639D">
        <w:rPr>
          <w:szCs w:val="24"/>
          <w:lang w:val="es-ES_tradnl" w:eastAsia="zh-CN"/>
        </w:rPr>
        <w:t xml:space="preserve"> a nivel interno y con otras organizaciones para validar su eficacia, compartir prácticas idóneas y paliar eventuales riesgos.</w:t>
      </w:r>
    </w:p>
    <w:p w14:paraId="79E0F722" w14:textId="77777777" w:rsidR="00B14F4A" w:rsidRPr="0090639D" w:rsidRDefault="00B14F4A" w:rsidP="00B14F4A">
      <w:pPr>
        <w:pStyle w:val="Heading1"/>
        <w:rPr>
          <w:lang w:val="es-ES_tradnl" w:eastAsia="zh-CN"/>
        </w:rPr>
      </w:pPr>
      <w:r w:rsidRPr="0090639D">
        <w:rPr>
          <w:lang w:val="es-ES_tradnl" w:eastAsia="zh-CN"/>
        </w:rPr>
        <w:t>4</w:t>
      </w:r>
      <w:r w:rsidRPr="0090639D">
        <w:rPr>
          <w:lang w:val="es-ES_tradnl" w:eastAsia="zh-CN"/>
        </w:rPr>
        <w:tab/>
      </w:r>
      <w:r w:rsidRPr="0090639D">
        <w:rPr>
          <w:lang w:val="es-ES_tradnl"/>
        </w:rPr>
        <w:t>Implementación y gobernanza</w:t>
      </w:r>
    </w:p>
    <w:p w14:paraId="4675BDF9" w14:textId="77777777" w:rsidR="00B14F4A" w:rsidRPr="0090639D" w:rsidRDefault="00B14F4A" w:rsidP="0090639D">
      <w:pPr>
        <w:jc w:val="both"/>
        <w:rPr>
          <w:lang w:val="es-ES_tradnl" w:eastAsia="zh-CN"/>
        </w:rPr>
      </w:pPr>
      <w:r w:rsidRPr="0090639D">
        <w:rPr>
          <w:lang w:val="es-ES_tradnl" w:eastAsia="zh-CN"/>
        </w:rPr>
        <w:t xml:space="preserve">El </w:t>
      </w:r>
      <w:proofErr w:type="spellStart"/>
      <w:r w:rsidRPr="0090639D">
        <w:rPr>
          <w:lang w:val="es-ES_tradnl" w:eastAsia="zh-CN"/>
        </w:rPr>
        <w:t>PERH</w:t>
      </w:r>
      <w:proofErr w:type="spellEnd"/>
      <w:r w:rsidRPr="0090639D">
        <w:rPr>
          <w:lang w:val="es-ES_tradnl" w:eastAsia="zh-CN"/>
        </w:rPr>
        <w:t xml:space="preserve"> para 2026-2027 se aplicará mediante un plan de trabajo anual del HRMD en el que se definirán los productos, equipos dirigentes y plazos y se ejecutará en estrecha colaboración y constante diálogo con la dirección, los gestores y el personal de la Unión. Un marco de responsabilidad reforzado aclarará las funciones, responsabilidades y decisiones para sustentar la implementación coherente y la oportuna toma de decisiones. Esta aplicación reforzará una cultura cliente-servicio con normas de servicio claras, orientaciones prácticas para los gestores y un mecanismo de retroinformación continuo para mejorar la experiencia del usuario.</w:t>
      </w:r>
    </w:p>
    <w:p w14:paraId="2E05E594" w14:textId="77777777" w:rsidR="00B14F4A" w:rsidRPr="0090639D" w:rsidRDefault="00B14F4A" w:rsidP="0090639D">
      <w:pPr>
        <w:jc w:val="both"/>
        <w:rPr>
          <w:lang w:val="es-ES_tradnl" w:eastAsia="zh-CN"/>
        </w:rPr>
      </w:pPr>
      <w:r w:rsidRPr="0090639D">
        <w:rPr>
          <w:lang w:val="es-ES_tradnl" w:eastAsia="zh-CN"/>
        </w:rPr>
        <w:t xml:space="preserve">La hoja de ruta de implementación (véase el </w:t>
      </w:r>
      <w:hyperlink w:anchor="Annex1" w:history="1">
        <w:r w:rsidRPr="0090639D">
          <w:rPr>
            <w:rStyle w:val="Hyperlink"/>
            <w:lang w:val="es-ES_tradnl" w:eastAsia="zh-CN"/>
          </w:rPr>
          <w:t>Anex</w:t>
        </w:r>
      </w:hyperlink>
      <w:r w:rsidRPr="0090639D">
        <w:rPr>
          <w:rStyle w:val="Hyperlink"/>
          <w:lang w:val="es-ES_tradnl" w:eastAsia="zh-CN"/>
        </w:rPr>
        <w:t>o</w:t>
      </w:r>
      <w:r w:rsidRPr="0090639D">
        <w:rPr>
          <w:lang w:val="es-ES_tradnl" w:eastAsia="zh-CN"/>
        </w:rPr>
        <w:t xml:space="preserve">) detallada comprende los objetivos intermedios, indicadores y plazos indicativos y se utilizará para gestionar la secuenciación, las </w:t>
      </w:r>
      <w:r w:rsidRPr="0090639D">
        <w:rPr>
          <w:lang w:val="es-ES_tradnl" w:eastAsia="zh-CN"/>
        </w:rPr>
        <w:lastRenderedPageBreak/>
        <w:t>dependencias y los principales riesgos de las iniciativas. Los resultados y datos reunidos serán los cimientos del próximo ciclo de planificación estratégica y permitirán actualizar los indicadores y objetivos de rendimiento.</w:t>
      </w:r>
    </w:p>
    <w:p w14:paraId="33453CBA" w14:textId="77777777" w:rsidR="00B14F4A" w:rsidRPr="0090639D" w:rsidRDefault="00B14F4A" w:rsidP="0090639D">
      <w:pPr>
        <w:jc w:val="both"/>
        <w:rPr>
          <w:lang w:val="es-ES_tradnl" w:eastAsia="zh-CN"/>
        </w:rPr>
      </w:pPr>
      <w:r w:rsidRPr="0090639D">
        <w:rPr>
          <w:lang w:val="es-ES_tradnl" w:eastAsia="zh-CN"/>
        </w:rPr>
        <w:t>Los progresos y temas clave se comunicarán a través de los canales de gobernanza existentes, incluida la presentación de informes al Consejo, el CAIG y las asambleas generales con todo el personal. Cuando sea necesario, se ajustarán las prioridades de implementación en función de los progresos realizados, los riesgos que vayan surgiendo y la información recibida de los gestores y el personal.</w:t>
      </w:r>
    </w:p>
    <w:p w14:paraId="02377CDF" w14:textId="77777777" w:rsidR="00B14F4A" w:rsidRPr="0090639D" w:rsidRDefault="00B14F4A" w:rsidP="00B14F4A">
      <w:pPr>
        <w:pStyle w:val="Heading1"/>
        <w:rPr>
          <w:lang w:val="es-ES_tradnl" w:eastAsia="zh-CN"/>
        </w:rPr>
      </w:pPr>
      <w:r w:rsidRPr="0090639D">
        <w:rPr>
          <w:lang w:val="es-ES_tradnl" w:eastAsia="zh-CN"/>
        </w:rPr>
        <w:t>5</w:t>
      </w:r>
      <w:r w:rsidRPr="0090639D">
        <w:rPr>
          <w:lang w:val="es-ES_tradnl" w:eastAsia="zh-CN"/>
        </w:rPr>
        <w:tab/>
        <w:t>Supervisión e indicadores</w:t>
      </w:r>
    </w:p>
    <w:p w14:paraId="25BE2D90" w14:textId="77777777" w:rsidR="00B14F4A" w:rsidRPr="0090639D" w:rsidRDefault="00B14F4A" w:rsidP="0090639D">
      <w:pPr>
        <w:jc w:val="both"/>
        <w:rPr>
          <w:lang w:val="es-ES_tradnl" w:eastAsia="zh-CN"/>
        </w:rPr>
      </w:pPr>
      <w:r w:rsidRPr="0090639D">
        <w:rPr>
          <w:lang w:val="es-ES_tradnl" w:eastAsia="zh-CN"/>
        </w:rPr>
        <w:t xml:space="preserve">La supervisión de los progresos en la aplicación del </w:t>
      </w:r>
      <w:proofErr w:type="spellStart"/>
      <w:r w:rsidRPr="0090639D">
        <w:rPr>
          <w:lang w:val="es-ES_tradnl" w:eastAsia="zh-CN"/>
        </w:rPr>
        <w:t>PERH</w:t>
      </w:r>
      <w:proofErr w:type="spellEnd"/>
      <w:r w:rsidRPr="0090639D">
        <w:rPr>
          <w:lang w:val="es-ES_tradnl" w:eastAsia="zh-CN"/>
        </w:rPr>
        <w:t xml:space="preserve"> para 2026-2027 se efectuará a través de los cuadros del plan de trabajo anual del HRMD, en los que se efectuará un seguimiento de las principales actividades, equipos directivos y plazos. Periódicamente se examinará el estado de aplicación para garantizar la oportuna ejecución, la comunicación de riesgos y la adopción de medidas correctivas, en su caso.</w:t>
      </w:r>
    </w:p>
    <w:p w14:paraId="0BE6A9C9" w14:textId="77777777" w:rsidR="00B14F4A" w:rsidRPr="0090639D" w:rsidRDefault="00B14F4A" w:rsidP="0090639D">
      <w:pPr>
        <w:jc w:val="both"/>
        <w:rPr>
          <w:lang w:val="es-ES_tradnl" w:eastAsia="zh-CN"/>
        </w:rPr>
      </w:pPr>
      <w:r w:rsidRPr="0090639D">
        <w:rPr>
          <w:lang w:val="es-ES_tradnl" w:eastAsia="zh-CN"/>
        </w:rPr>
        <w:t>Esta supervisión comprenderá asimismo la verificación del cumplimiento en lo que respecta a los procesos de gestión del rendimiento y las formaciones obligatorias. Cuando proceda, la supervisión de la implementación se complementará con una mayor utilización de paneles para facilitar en tiempo real información sobre las tendencias del personal (por ejemplo, paridad de género y distribución geográfica). Los resultados servirán para alimentar el siguiente ciclo de planificación, garantizando así una mejora continua.</w:t>
      </w:r>
    </w:p>
    <w:p w14:paraId="2B0C3E8A" w14:textId="77777777" w:rsidR="00B14F4A" w:rsidRPr="0090639D" w:rsidRDefault="00B14F4A" w:rsidP="0090639D">
      <w:pPr>
        <w:jc w:val="both"/>
        <w:rPr>
          <w:lang w:val="es-ES_tradnl" w:eastAsia="zh-CN"/>
        </w:rPr>
      </w:pPr>
      <w:r w:rsidRPr="0090639D">
        <w:rPr>
          <w:lang w:val="es-ES_tradnl" w:eastAsia="zh-CN"/>
        </w:rPr>
        <w:t>Se hará un seguimiento de la experiencia y el bienestar del personal mediante encuestas de implicación del personal y planes de acción consecuentes, complementados con estadísticas sobre vacaciones y bajas médicas y otros datos disponibles para detectar tendencias.</w:t>
      </w:r>
    </w:p>
    <w:p w14:paraId="03C65DED" w14:textId="0FC808A8" w:rsidR="00927F93" w:rsidRPr="0090639D" w:rsidRDefault="00B14F4A" w:rsidP="0090639D">
      <w:pPr>
        <w:spacing w:before="2400"/>
        <w:rPr>
          <w:lang w:val="es-ES_tradnl" w:eastAsia="zh-CN"/>
        </w:rPr>
      </w:pPr>
      <w:r w:rsidRPr="0090639D">
        <w:rPr>
          <w:b/>
          <w:bCs/>
          <w:lang w:val="es-ES_tradnl" w:eastAsia="zh-CN"/>
        </w:rPr>
        <w:t>Anexo:</w:t>
      </w:r>
      <w:r w:rsidRPr="0090639D">
        <w:rPr>
          <w:lang w:val="es-ES_tradnl" w:eastAsia="zh-CN"/>
        </w:rPr>
        <w:t xml:space="preserve"> 1</w:t>
      </w:r>
    </w:p>
    <w:p w14:paraId="07DD8CEC" w14:textId="77777777" w:rsidR="00147E6E" w:rsidRPr="0090639D" w:rsidRDefault="00147E6E" w:rsidP="00B14F4A">
      <w:pPr>
        <w:rPr>
          <w:i/>
          <w:iCs/>
          <w:lang w:val="es-ES_tradnl"/>
        </w:rPr>
      </w:pPr>
    </w:p>
    <w:p w14:paraId="0410D48F" w14:textId="77777777" w:rsidR="00B14F4A" w:rsidRPr="0090639D" w:rsidRDefault="00B14F4A" w:rsidP="0032202E">
      <w:pPr>
        <w:pStyle w:val="Reasons"/>
        <w:rPr>
          <w:lang w:val="es-ES_tradnl"/>
        </w:rPr>
        <w:sectPr w:rsidR="00B14F4A" w:rsidRPr="0090639D" w:rsidSect="00C538FC">
          <w:footerReference w:type="default" r:id="rId10"/>
          <w:headerReference w:type="first" r:id="rId11"/>
          <w:footerReference w:type="first" r:id="rId12"/>
          <w:pgSz w:w="11907" w:h="16834"/>
          <w:pgMar w:top="1418" w:right="1418" w:bottom="1418" w:left="1418" w:header="720" w:footer="720" w:gutter="0"/>
          <w:paperSrc w:first="286" w:other="286"/>
          <w:cols w:space="720"/>
          <w:titlePg/>
        </w:sectPr>
      </w:pPr>
    </w:p>
    <w:p w14:paraId="57A86CE5" w14:textId="77777777" w:rsidR="00B14F4A" w:rsidRPr="0090639D" w:rsidRDefault="00B14F4A" w:rsidP="00B14F4A">
      <w:pPr>
        <w:pStyle w:val="AnnexNo"/>
        <w:spacing w:before="0"/>
        <w:rPr>
          <w:lang w:val="es-ES_tradnl"/>
        </w:rPr>
      </w:pPr>
      <w:r w:rsidRPr="0090639D">
        <w:rPr>
          <w:lang w:val="es-ES_tradnl"/>
        </w:rPr>
        <w:lastRenderedPageBreak/>
        <w:t>AnexO</w:t>
      </w:r>
    </w:p>
    <w:p w14:paraId="7366762A" w14:textId="13499609" w:rsidR="00B14F4A" w:rsidRPr="0090639D" w:rsidRDefault="00B14F4A" w:rsidP="00B14F4A">
      <w:pPr>
        <w:pStyle w:val="Annextitle"/>
        <w:spacing w:after="120"/>
        <w:rPr>
          <w:lang w:val="es-ES_tradnl" w:eastAsia="zh-CN"/>
        </w:rPr>
      </w:pPr>
      <w:r w:rsidRPr="0090639D">
        <w:rPr>
          <w:bCs/>
          <w:lang w:val="es-ES_tradnl"/>
        </w:rPr>
        <w:t xml:space="preserve">Hoja de ruta de aplicación del </w:t>
      </w:r>
      <w:proofErr w:type="spellStart"/>
      <w:r w:rsidRPr="0090639D">
        <w:rPr>
          <w:bCs/>
          <w:lang w:val="es-ES_tradnl"/>
        </w:rPr>
        <w:t>PERH</w:t>
      </w:r>
      <w:proofErr w:type="spellEnd"/>
      <w:r w:rsidRPr="0090639D">
        <w:rPr>
          <w:bCs/>
          <w:lang w:val="es-ES_tradnl"/>
        </w:rPr>
        <w:t xml:space="preserve"> de la UIT para 2026</w:t>
      </w:r>
      <w:r w:rsidR="0090639D">
        <w:rPr>
          <w:bCs/>
          <w:lang w:val="es-ES_tradnl"/>
        </w:rPr>
        <w:t>-</w:t>
      </w:r>
      <w:r w:rsidRPr="0090639D">
        <w:rPr>
          <w:bCs/>
          <w:lang w:val="es-ES_tradnl"/>
        </w:rPr>
        <w:t>2027</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1788"/>
        <w:gridCol w:w="3435"/>
        <w:gridCol w:w="5153"/>
        <w:gridCol w:w="1656"/>
        <w:gridCol w:w="1382"/>
      </w:tblGrid>
      <w:tr w:rsidR="00B14F4A" w:rsidRPr="0090639D" w14:paraId="2A141719" w14:textId="77777777" w:rsidTr="004E162C">
        <w:trPr>
          <w:cantSplit/>
          <w:tblHeader/>
          <w:jc w:val="center"/>
        </w:trPr>
        <w:tc>
          <w:tcPr>
            <w:tcW w:w="844" w:type="pct"/>
            <w:gridSpan w:val="2"/>
            <w:tcBorders>
              <w:bottom w:val="single" w:sz="4" w:space="0" w:color="auto"/>
            </w:tcBorders>
            <w:shd w:val="clear" w:color="auto" w:fill="D9D9D9" w:themeFill="background1" w:themeFillShade="D9"/>
            <w:vAlign w:val="center"/>
          </w:tcPr>
          <w:p w14:paraId="3CD01574" w14:textId="77777777" w:rsidR="00B14F4A" w:rsidRPr="0090639D" w:rsidRDefault="00B14F4A" w:rsidP="004E162C">
            <w:pPr>
              <w:pStyle w:val="Tablehead"/>
              <w:rPr>
                <w:sz w:val="16"/>
                <w:szCs w:val="16"/>
                <w:lang w:val="es-ES_tradnl" w:eastAsia="zh-CN"/>
              </w:rPr>
            </w:pPr>
            <w:r w:rsidRPr="0090639D">
              <w:rPr>
                <w:sz w:val="16"/>
                <w:szCs w:val="16"/>
                <w:lang w:val="es-ES_tradnl" w:eastAsia="zh-CN"/>
              </w:rPr>
              <w:t>A.</w:t>
            </w:r>
            <w:r w:rsidRPr="0090639D">
              <w:rPr>
                <w:rFonts w:eastAsia="DengXian"/>
                <w:sz w:val="16"/>
                <w:szCs w:val="16"/>
                <w:lang w:val="es-ES_tradnl" w:eastAsia="zh-CN"/>
              </w:rPr>
              <w:t xml:space="preserve"> </w:t>
            </w:r>
            <w:r w:rsidRPr="0090639D">
              <w:rPr>
                <w:rFonts w:eastAsia="DengXian"/>
                <w:sz w:val="16"/>
                <w:szCs w:val="16"/>
                <w:lang w:val="es-ES_tradnl" w:eastAsia="zh-CN"/>
              </w:rPr>
              <w:br/>
            </w:r>
            <w:proofErr w:type="spellStart"/>
            <w:r w:rsidRPr="0090639D">
              <w:rPr>
                <w:sz w:val="16"/>
                <w:szCs w:val="16"/>
                <w:lang w:val="es-ES_tradnl" w:eastAsia="zh-CN"/>
              </w:rPr>
              <w:t>Nº</w:t>
            </w:r>
            <w:proofErr w:type="spellEnd"/>
            <w:r w:rsidRPr="0090639D">
              <w:rPr>
                <w:sz w:val="16"/>
                <w:szCs w:val="16"/>
                <w:lang w:val="es-ES_tradnl" w:eastAsia="zh-CN"/>
              </w:rPr>
              <w:t xml:space="preserve"> de pilar y punto</w:t>
            </w:r>
          </w:p>
        </w:tc>
        <w:tc>
          <w:tcPr>
            <w:tcW w:w="1228" w:type="pct"/>
            <w:tcBorders>
              <w:bottom w:val="single" w:sz="4" w:space="0" w:color="auto"/>
            </w:tcBorders>
            <w:shd w:val="clear" w:color="auto" w:fill="D9D9D9" w:themeFill="background1" w:themeFillShade="D9"/>
            <w:vAlign w:val="center"/>
          </w:tcPr>
          <w:p w14:paraId="15D3E812" w14:textId="77777777" w:rsidR="00B14F4A" w:rsidRPr="0090639D" w:rsidRDefault="00B14F4A" w:rsidP="004E162C">
            <w:pPr>
              <w:pStyle w:val="Tablehead"/>
              <w:rPr>
                <w:rFonts w:eastAsia="DengXian"/>
                <w:sz w:val="16"/>
                <w:szCs w:val="16"/>
                <w:lang w:val="es-ES_tradnl" w:eastAsia="zh-CN"/>
              </w:rPr>
            </w:pPr>
            <w:r w:rsidRPr="0090639D">
              <w:rPr>
                <w:sz w:val="16"/>
                <w:szCs w:val="16"/>
                <w:lang w:val="es-ES_tradnl"/>
              </w:rPr>
              <w:t>B.</w:t>
            </w:r>
            <w:r w:rsidRPr="0090639D">
              <w:rPr>
                <w:rFonts w:eastAsia="DengXian"/>
                <w:sz w:val="16"/>
                <w:szCs w:val="16"/>
                <w:lang w:val="es-ES_tradnl" w:eastAsia="zh-CN"/>
              </w:rPr>
              <w:t xml:space="preserve"> </w:t>
            </w:r>
            <w:r w:rsidRPr="0090639D">
              <w:rPr>
                <w:rFonts w:eastAsia="DengXian"/>
                <w:sz w:val="16"/>
                <w:szCs w:val="16"/>
                <w:lang w:val="es-ES_tradnl" w:eastAsia="zh-CN"/>
              </w:rPr>
              <w:br/>
              <w:t>Iniciativas clave</w:t>
            </w:r>
          </w:p>
        </w:tc>
        <w:tc>
          <w:tcPr>
            <w:tcW w:w="1842" w:type="pct"/>
            <w:tcBorders>
              <w:bottom w:val="single" w:sz="4" w:space="0" w:color="auto"/>
            </w:tcBorders>
            <w:shd w:val="clear" w:color="auto" w:fill="D9D9D9" w:themeFill="background1" w:themeFillShade="D9"/>
            <w:vAlign w:val="center"/>
          </w:tcPr>
          <w:p w14:paraId="7D7AC7B6" w14:textId="77777777" w:rsidR="00B14F4A" w:rsidRPr="0090639D" w:rsidRDefault="00B14F4A" w:rsidP="004E162C">
            <w:pPr>
              <w:pStyle w:val="Tablehead"/>
              <w:rPr>
                <w:sz w:val="16"/>
                <w:szCs w:val="16"/>
                <w:lang w:val="es-ES_tradnl"/>
              </w:rPr>
            </w:pPr>
            <w:r w:rsidRPr="0090639D">
              <w:rPr>
                <w:sz w:val="16"/>
                <w:szCs w:val="16"/>
                <w:lang w:val="es-ES_tradnl"/>
              </w:rPr>
              <w:t>C.</w:t>
            </w:r>
            <w:r w:rsidRPr="0090639D">
              <w:rPr>
                <w:rFonts w:eastAsia="DengXian"/>
                <w:sz w:val="16"/>
                <w:szCs w:val="16"/>
                <w:lang w:val="es-ES_tradnl" w:eastAsia="zh-CN"/>
              </w:rPr>
              <w:t xml:space="preserve"> </w:t>
            </w:r>
            <w:r w:rsidRPr="0090639D">
              <w:rPr>
                <w:rFonts w:eastAsia="DengXian"/>
                <w:sz w:val="16"/>
                <w:szCs w:val="16"/>
                <w:lang w:val="es-ES_tradnl" w:eastAsia="zh-CN"/>
              </w:rPr>
              <w:br/>
            </w:r>
            <w:r w:rsidRPr="0090639D">
              <w:rPr>
                <w:sz w:val="16"/>
                <w:szCs w:val="16"/>
                <w:lang w:val="es-ES_tradnl"/>
              </w:rPr>
              <w:t>Indicadores fundamentales de rendimiento</w:t>
            </w:r>
          </w:p>
        </w:tc>
        <w:tc>
          <w:tcPr>
            <w:tcW w:w="592" w:type="pct"/>
            <w:tcBorders>
              <w:bottom w:val="single" w:sz="4" w:space="0" w:color="auto"/>
            </w:tcBorders>
            <w:shd w:val="clear" w:color="auto" w:fill="D9D9D9" w:themeFill="background1" w:themeFillShade="D9"/>
            <w:vAlign w:val="center"/>
          </w:tcPr>
          <w:p w14:paraId="6A4C94C4" w14:textId="77777777" w:rsidR="00B14F4A" w:rsidRPr="0090639D" w:rsidRDefault="00B14F4A" w:rsidP="004E162C">
            <w:pPr>
              <w:pStyle w:val="Tablehead"/>
              <w:rPr>
                <w:rFonts w:eastAsia="DengXian"/>
                <w:sz w:val="16"/>
                <w:szCs w:val="16"/>
                <w:lang w:val="es-ES_tradnl" w:eastAsia="zh-CN"/>
              </w:rPr>
            </w:pPr>
            <w:r w:rsidRPr="0090639D">
              <w:rPr>
                <w:rFonts w:eastAsia="DengXian"/>
                <w:sz w:val="16"/>
                <w:szCs w:val="16"/>
                <w:lang w:val="es-ES_tradnl" w:eastAsia="zh-CN"/>
              </w:rPr>
              <w:t xml:space="preserve">E. </w:t>
            </w:r>
            <w:r w:rsidRPr="0090639D">
              <w:rPr>
                <w:rFonts w:eastAsia="DengXian"/>
                <w:sz w:val="16"/>
                <w:szCs w:val="16"/>
                <w:lang w:val="es-ES_tradnl" w:eastAsia="zh-CN"/>
              </w:rPr>
              <w:br/>
              <w:t>Plazos</w:t>
            </w:r>
          </w:p>
        </w:tc>
        <w:tc>
          <w:tcPr>
            <w:tcW w:w="494" w:type="pct"/>
            <w:tcBorders>
              <w:bottom w:val="single" w:sz="4" w:space="0" w:color="auto"/>
            </w:tcBorders>
            <w:shd w:val="clear" w:color="auto" w:fill="D9D9D9" w:themeFill="background1" w:themeFillShade="D9"/>
            <w:vAlign w:val="center"/>
          </w:tcPr>
          <w:p w14:paraId="16F40297" w14:textId="77777777" w:rsidR="00B14F4A" w:rsidRPr="0090639D" w:rsidRDefault="00B14F4A" w:rsidP="004E162C">
            <w:pPr>
              <w:pStyle w:val="Tablehead"/>
              <w:rPr>
                <w:rFonts w:eastAsia="DengXian"/>
                <w:sz w:val="16"/>
                <w:szCs w:val="16"/>
                <w:lang w:val="es-ES_tradnl" w:eastAsia="zh-CN"/>
              </w:rPr>
            </w:pPr>
            <w:r w:rsidRPr="0090639D">
              <w:rPr>
                <w:rFonts w:eastAsia="DengXian"/>
                <w:sz w:val="16"/>
                <w:szCs w:val="16"/>
                <w:lang w:val="es-ES_tradnl" w:eastAsia="zh-CN"/>
              </w:rPr>
              <w:t xml:space="preserve">F. </w:t>
            </w:r>
            <w:r w:rsidRPr="0090639D">
              <w:rPr>
                <w:rFonts w:eastAsia="DengXian"/>
                <w:sz w:val="16"/>
                <w:szCs w:val="16"/>
                <w:lang w:val="es-ES_tradnl" w:eastAsia="zh-CN"/>
              </w:rPr>
              <w:br/>
              <w:t>Situación</w:t>
            </w:r>
          </w:p>
        </w:tc>
      </w:tr>
      <w:tr w:rsidR="00B14F4A" w:rsidRPr="0090639D" w14:paraId="41B3561D" w14:textId="77777777" w:rsidTr="004E162C">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5FC6F56B" w14:textId="77777777" w:rsidR="00B14F4A" w:rsidRPr="0090639D" w:rsidRDefault="00B14F4A" w:rsidP="004E162C">
            <w:pPr>
              <w:pStyle w:val="Tabletext"/>
              <w:rPr>
                <w:rFonts w:eastAsia="DengXian"/>
                <w:sz w:val="16"/>
                <w:szCs w:val="16"/>
                <w:lang w:val="es-ES_tradnl" w:eastAsia="zh-CN"/>
              </w:rPr>
            </w:pPr>
            <w:r w:rsidRPr="0090639D">
              <w:rPr>
                <w:rFonts w:eastAsia="DengXian"/>
                <w:sz w:val="16"/>
                <w:szCs w:val="16"/>
                <w:lang w:val="es-ES_tradnl" w:eastAsia="zh-CN"/>
              </w:rPr>
              <w:t>1.1</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6EC1F3D1" w14:textId="77777777" w:rsidR="00B14F4A" w:rsidRPr="0090639D" w:rsidRDefault="00B14F4A" w:rsidP="004E162C">
            <w:pPr>
              <w:pStyle w:val="Tabletext"/>
              <w:rPr>
                <w:sz w:val="16"/>
                <w:szCs w:val="16"/>
                <w:lang w:val="es-ES_tradnl" w:eastAsia="zh-CN"/>
              </w:rPr>
            </w:pPr>
            <w:r w:rsidRPr="0090639D">
              <w:rPr>
                <w:sz w:val="16"/>
                <w:szCs w:val="16"/>
                <w:lang w:val="es-ES_tradnl" w:eastAsia="zh-CN"/>
              </w:rPr>
              <w:t>Marco de competencias</w:t>
            </w:r>
          </w:p>
        </w:tc>
        <w:tc>
          <w:tcPr>
            <w:tcW w:w="1228" w:type="pct"/>
            <w:tcBorders>
              <w:left w:val="single" w:sz="4" w:space="0" w:color="auto"/>
            </w:tcBorders>
            <w:shd w:val="clear" w:color="auto" w:fill="DEEAF6"/>
            <w:vAlign w:val="center"/>
          </w:tcPr>
          <w:p w14:paraId="21B392FC" w14:textId="74848124" w:rsidR="0090639D" w:rsidRPr="0090639D" w:rsidRDefault="00A9672C" w:rsidP="0090639D">
            <w:pPr>
              <w:pStyle w:val="Tabletext"/>
              <w:rPr>
                <w:sz w:val="16"/>
                <w:szCs w:val="16"/>
                <w:lang w:val="es-ES_tradnl"/>
              </w:rPr>
            </w:pPr>
            <w:r w:rsidRPr="0090639D">
              <w:rPr>
                <w:b/>
                <w:bCs/>
                <w:sz w:val="16"/>
                <w:szCs w:val="16"/>
                <w:lang w:val="es-ES_tradnl" w:eastAsia="zh-CN"/>
              </w:rPr>
              <w:t>A</w:t>
            </w:r>
            <w:r w:rsidR="00B14F4A" w:rsidRPr="0090639D">
              <w:rPr>
                <w:b/>
                <w:bCs/>
                <w:sz w:val="16"/>
                <w:szCs w:val="16"/>
                <w:lang w:val="es-ES_tradnl" w:eastAsia="zh-CN"/>
              </w:rPr>
              <w:t>plicar un marco de competencias actualizado</w:t>
            </w:r>
            <w:r w:rsidR="00B14F4A" w:rsidRPr="0090639D">
              <w:rPr>
                <w:sz w:val="16"/>
                <w:szCs w:val="16"/>
                <w:lang w:val="es-ES_tradnl" w:eastAsia="zh-CN"/>
              </w:rPr>
              <w:t>, armonizado con los valores compartidos, para aclarar las expectativas funcionales y adoptar un enfoque coherente en materia de selección, rendimiento y desarrollo</w:t>
            </w:r>
            <w:r w:rsidR="00B14F4A" w:rsidRPr="0090639D">
              <w:rPr>
                <w:sz w:val="16"/>
                <w:szCs w:val="16"/>
                <w:lang w:val="es-ES_tradnl"/>
              </w:rPr>
              <w:t>.</w:t>
            </w:r>
          </w:p>
        </w:tc>
        <w:tc>
          <w:tcPr>
            <w:tcW w:w="1842" w:type="pct"/>
            <w:shd w:val="clear" w:color="auto" w:fill="DEEAF6"/>
            <w:vAlign w:val="center"/>
          </w:tcPr>
          <w:p w14:paraId="011AA358" w14:textId="25BB9E29" w:rsidR="00B14F4A" w:rsidRPr="0090639D" w:rsidRDefault="00B14F4A" w:rsidP="00A9672C">
            <w:pPr>
              <w:pStyle w:val="Tabletext"/>
              <w:tabs>
                <w:tab w:val="clear" w:pos="284"/>
                <w:tab w:val="left" w:pos="186"/>
              </w:tabs>
              <w:rPr>
                <w:rFonts w:eastAsia="DengXian"/>
                <w:sz w:val="16"/>
                <w:szCs w:val="16"/>
                <w:lang w:val="es-ES_tradnl" w:eastAsia="zh-CN"/>
              </w:rPr>
            </w:pPr>
            <w:r w:rsidRPr="0090639D">
              <w:rPr>
                <w:sz w:val="16"/>
                <w:szCs w:val="16"/>
                <w:lang w:val="es-ES_tradnl"/>
              </w:rPr>
              <w:t>•</w:t>
            </w:r>
            <w:r w:rsidR="00A9672C" w:rsidRPr="0090639D">
              <w:rPr>
                <w:sz w:val="16"/>
                <w:szCs w:val="16"/>
                <w:lang w:val="es-ES_tradnl"/>
              </w:rPr>
              <w:tab/>
            </w:r>
            <w:r w:rsidRPr="0090639D">
              <w:rPr>
                <w:sz w:val="16"/>
                <w:szCs w:val="16"/>
                <w:lang w:val="es-ES_tradnl"/>
              </w:rPr>
              <w:t xml:space="preserve">Marco aprobado y aplicado (cualitativo) </w:t>
            </w:r>
          </w:p>
          <w:p w14:paraId="16F7F933" w14:textId="12321439" w:rsidR="00B14F4A" w:rsidRPr="0090639D" w:rsidRDefault="00B14F4A" w:rsidP="00A9672C">
            <w:pPr>
              <w:pStyle w:val="Tabletext"/>
              <w:tabs>
                <w:tab w:val="clear" w:pos="284"/>
                <w:tab w:val="left" w:pos="186"/>
              </w:tabs>
              <w:rPr>
                <w:rFonts w:eastAsia="DengXian"/>
                <w:sz w:val="16"/>
                <w:szCs w:val="16"/>
                <w:lang w:val="es-ES_tradnl" w:eastAsia="zh-CN"/>
              </w:rPr>
            </w:pPr>
            <w:r w:rsidRPr="0090639D">
              <w:rPr>
                <w:sz w:val="16"/>
                <w:szCs w:val="16"/>
                <w:lang w:val="es-ES_tradnl"/>
              </w:rPr>
              <w:t>•</w:t>
            </w:r>
            <w:r w:rsidR="00A9672C" w:rsidRPr="0090639D">
              <w:rPr>
                <w:sz w:val="16"/>
                <w:szCs w:val="16"/>
                <w:lang w:val="es-ES_tradnl"/>
              </w:rPr>
              <w:tab/>
            </w:r>
            <w:r w:rsidRPr="0090639D">
              <w:rPr>
                <w:sz w:val="16"/>
                <w:szCs w:val="16"/>
                <w:lang w:val="es-ES_tradnl"/>
              </w:rPr>
              <w:t>% de perfiles/funciones laborales equiparados a las competencias</w:t>
            </w:r>
          </w:p>
          <w:p w14:paraId="421FE9A0" w14:textId="263E9C42" w:rsidR="00B14F4A" w:rsidRPr="0090639D" w:rsidRDefault="00B14F4A" w:rsidP="00A9672C">
            <w:pPr>
              <w:pStyle w:val="Tabletext"/>
              <w:tabs>
                <w:tab w:val="clear" w:pos="284"/>
                <w:tab w:val="left" w:pos="186"/>
              </w:tabs>
              <w:rPr>
                <w:sz w:val="16"/>
                <w:szCs w:val="16"/>
                <w:lang w:val="es-ES_tradnl" w:eastAsia="zh-CN"/>
              </w:rPr>
            </w:pPr>
            <w:r w:rsidRPr="0090639D">
              <w:rPr>
                <w:sz w:val="16"/>
                <w:szCs w:val="16"/>
                <w:lang w:val="es-ES_tradnl"/>
              </w:rPr>
              <w:t>•</w:t>
            </w:r>
            <w:r w:rsidR="00A9672C" w:rsidRPr="0090639D">
              <w:rPr>
                <w:sz w:val="16"/>
                <w:szCs w:val="16"/>
                <w:lang w:val="es-ES_tradnl"/>
              </w:rPr>
              <w:tab/>
            </w:r>
            <w:r w:rsidRPr="0090639D">
              <w:rPr>
                <w:sz w:val="16"/>
                <w:szCs w:val="16"/>
                <w:lang w:val="es-ES_tradnl"/>
              </w:rPr>
              <w:t>% de plantillas de selección actualizadas para reflejar las competencias</w:t>
            </w:r>
          </w:p>
          <w:p w14:paraId="5D527FA2" w14:textId="4AFD69BE" w:rsidR="00B14F4A" w:rsidRPr="0090639D" w:rsidRDefault="00B14F4A" w:rsidP="00A9672C">
            <w:pPr>
              <w:pStyle w:val="Tabletext"/>
              <w:tabs>
                <w:tab w:val="clear" w:pos="284"/>
                <w:tab w:val="left" w:pos="186"/>
              </w:tabs>
              <w:ind w:left="186" w:hanging="186"/>
              <w:rPr>
                <w:sz w:val="16"/>
                <w:szCs w:val="16"/>
                <w:lang w:val="es-ES_tradnl" w:eastAsia="zh-CN"/>
              </w:rPr>
            </w:pPr>
            <w:r w:rsidRPr="0090639D">
              <w:rPr>
                <w:sz w:val="16"/>
                <w:szCs w:val="16"/>
                <w:lang w:val="es-ES_tradnl"/>
              </w:rPr>
              <w:t>•</w:t>
            </w:r>
            <w:r w:rsidR="00A9672C" w:rsidRPr="0090639D">
              <w:rPr>
                <w:sz w:val="16"/>
                <w:szCs w:val="16"/>
                <w:lang w:val="es-ES_tradnl"/>
              </w:rPr>
              <w:tab/>
            </w:r>
            <w:r w:rsidRPr="0090639D">
              <w:rPr>
                <w:sz w:val="16"/>
                <w:szCs w:val="16"/>
                <w:lang w:val="es-ES_tradnl"/>
              </w:rPr>
              <w:t>% de plantillas de rendimiento actualizadas para reflejar las competencias</w:t>
            </w:r>
          </w:p>
        </w:tc>
        <w:tc>
          <w:tcPr>
            <w:tcW w:w="592" w:type="pct"/>
            <w:shd w:val="clear" w:color="auto" w:fill="DEEAF6"/>
          </w:tcPr>
          <w:p w14:paraId="40F741E4" w14:textId="77777777" w:rsidR="00B14F4A" w:rsidRPr="0090639D" w:rsidRDefault="00B14F4A" w:rsidP="00615A73">
            <w:pPr>
              <w:pStyle w:val="Tabletext"/>
              <w:jc w:val="center"/>
              <w:rPr>
                <w:sz w:val="16"/>
                <w:szCs w:val="16"/>
                <w:lang w:val="es-ES_tradnl" w:eastAsia="zh-CN"/>
              </w:rPr>
            </w:pPr>
            <w:proofErr w:type="spellStart"/>
            <w:r w:rsidRPr="0090639D">
              <w:rPr>
                <w:sz w:val="16"/>
                <w:szCs w:val="16"/>
                <w:lang w:val="es-ES_tradnl"/>
              </w:rPr>
              <w:t>T3</w:t>
            </w:r>
            <w:proofErr w:type="spellEnd"/>
            <w:r w:rsidRPr="0090639D">
              <w:rPr>
                <w:sz w:val="16"/>
                <w:szCs w:val="16"/>
                <w:lang w:val="es-ES_tradnl"/>
              </w:rPr>
              <w:t xml:space="preserve"> 2026 (aprobado) y aplicado a partir de </w:t>
            </w:r>
            <w:proofErr w:type="spellStart"/>
            <w:r w:rsidRPr="0090639D">
              <w:rPr>
                <w:sz w:val="16"/>
                <w:szCs w:val="16"/>
                <w:lang w:val="es-ES_tradnl"/>
              </w:rPr>
              <w:t>T1</w:t>
            </w:r>
            <w:proofErr w:type="spellEnd"/>
            <w:r w:rsidRPr="0090639D">
              <w:rPr>
                <w:sz w:val="16"/>
                <w:szCs w:val="16"/>
                <w:lang w:val="es-ES_tradnl"/>
              </w:rPr>
              <w:t xml:space="preserve"> 2027</w:t>
            </w:r>
          </w:p>
          <w:p w14:paraId="68A7B213" w14:textId="77777777" w:rsidR="00B14F4A" w:rsidRPr="0090639D" w:rsidRDefault="00B14F4A" w:rsidP="00615A73">
            <w:pPr>
              <w:pStyle w:val="Tabletext"/>
              <w:jc w:val="center"/>
              <w:rPr>
                <w:sz w:val="16"/>
                <w:szCs w:val="16"/>
                <w:lang w:val="es-ES_tradnl" w:eastAsia="zh-CN"/>
              </w:rPr>
            </w:pPr>
            <w:proofErr w:type="spellStart"/>
            <w:r w:rsidRPr="0090639D">
              <w:rPr>
                <w:sz w:val="16"/>
                <w:szCs w:val="16"/>
                <w:lang w:val="es-ES_tradnl" w:eastAsia="zh-CN"/>
              </w:rPr>
              <w:t>T4</w:t>
            </w:r>
            <w:proofErr w:type="spellEnd"/>
            <w:r w:rsidRPr="0090639D">
              <w:rPr>
                <w:sz w:val="16"/>
                <w:szCs w:val="16"/>
                <w:lang w:val="es-ES_tradnl" w:eastAsia="zh-CN"/>
              </w:rPr>
              <w:t xml:space="preserve"> 2026</w:t>
            </w:r>
          </w:p>
          <w:p w14:paraId="04677279" w14:textId="77777777" w:rsidR="00B14F4A" w:rsidRPr="0090639D" w:rsidRDefault="00B14F4A" w:rsidP="00615A73">
            <w:pPr>
              <w:pStyle w:val="Tabletext"/>
              <w:jc w:val="center"/>
              <w:rPr>
                <w:sz w:val="16"/>
                <w:szCs w:val="16"/>
                <w:lang w:val="es-ES_tradnl" w:eastAsia="zh-CN"/>
              </w:rPr>
            </w:pPr>
            <w:proofErr w:type="spellStart"/>
            <w:r w:rsidRPr="0090639D">
              <w:rPr>
                <w:sz w:val="16"/>
                <w:szCs w:val="16"/>
                <w:lang w:val="es-ES_tradnl" w:eastAsia="zh-CN"/>
              </w:rPr>
              <w:t>T4</w:t>
            </w:r>
            <w:proofErr w:type="spellEnd"/>
            <w:r w:rsidRPr="0090639D">
              <w:rPr>
                <w:sz w:val="16"/>
                <w:szCs w:val="16"/>
                <w:lang w:val="es-ES_tradnl" w:eastAsia="zh-CN"/>
              </w:rPr>
              <w:t xml:space="preserve"> 2027</w:t>
            </w:r>
          </w:p>
          <w:p w14:paraId="0F9F5132" w14:textId="77777777" w:rsidR="00B14F4A" w:rsidRPr="0090639D" w:rsidRDefault="00B14F4A" w:rsidP="00615A73">
            <w:pPr>
              <w:pStyle w:val="Tabletext"/>
              <w:jc w:val="center"/>
              <w:rPr>
                <w:sz w:val="16"/>
                <w:szCs w:val="16"/>
                <w:lang w:val="es-ES_tradnl"/>
              </w:rPr>
            </w:pPr>
            <w:proofErr w:type="spellStart"/>
            <w:r w:rsidRPr="0090639D">
              <w:rPr>
                <w:sz w:val="16"/>
                <w:szCs w:val="16"/>
                <w:lang w:val="es-ES_tradnl" w:eastAsia="zh-CN"/>
              </w:rPr>
              <w:t>T4</w:t>
            </w:r>
            <w:proofErr w:type="spellEnd"/>
            <w:r w:rsidRPr="0090639D">
              <w:rPr>
                <w:sz w:val="16"/>
                <w:szCs w:val="16"/>
                <w:lang w:val="es-ES_tradnl" w:eastAsia="zh-CN"/>
              </w:rPr>
              <w:t xml:space="preserve"> 2027</w:t>
            </w:r>
          </w:p>
        </w:tc>
        <w:tc>
          <w:tcPr>
            <w:tcW w:w="494" w:type="pct"/>
            <w:shd w:val="clear" w:color="auto" w:fill="DEEAF6"/>
            <w:vAlign w:val="center"/>
          </w:tcPr>
          <w:p w14:paraId="6DFA9858" w14:textId="77777777" w:rsidR="00B14F4A" w:rsidRPr="0090639D" w:rsidRDefault="00B14F4A" w:rsidP="004E162C">
            <w:pPr>
              <w:pStyle w:val="Tabletext"/>
              <w:rPr>
                <w:rFonts w:eastAsia="DengXian"/>
                <w:sz w:val="16"/>
                <w:szCs w:val="16"/>
                <w:lang w:val="es-ES_tradnl" w:eastAsia="zh-CN"/>
              </w:rPr>
            </w:pPr>
          </w:p>
        </w:tc>
      </w:tr>
      <w:tr w:rsidR="00B14F4A" w:rsidRPr="0090639D" w14:paraId="048C94EC" w14:textId="77777777" w:rsidTr="004E162C">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17FB70FA" w14:textId="77777777" w:rsidR="00B14F4A" w:rsidRPr="0090639D" w:rsidRDefault="00B14F4A" w:rsidP="004E162C">
            <w:pPr>
              <w:pStyle w:val="Tabletext"/>
              <w:rPr>
                <w:rFonts w:eastAsia="DengXian"/>
                <w:sz w:val="16"/>
                <w:szCs w:val="16"/>
                <w:lang w:val="es-ES_tradnl" w:eastAsia="zh-CN"/>
              </w:rPr>
            </w:pPr>
            <w:r w:rsidRPr="0090639D">
              <w:rPr>
                <w:rFonts w:eastAsia="DengXian"/>
                <w:sz w:val="16"/>
                <w:szCs w:val="16"/>
                <w:lang w:val="es-ES_tradnl" w:eastAsia="zh-CN"/>
              </w:rPr>
              <w:t>1.2</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2429E384" w14:textId="77777777" w:rsidR="00B14F4A" w:rsidRPr="0090639D" w:rsidRDefault="00B14F4A" w:rsidP="004E162C">
            <w:pPr>
              <w:pStyle w:val="Tabletext"/>
              <w:rPr>
                <w:sz w:val="16"/>
                <w:szCs w:val="16"/>
                <w:lang w:val="es-ES_tradnl" w:eastAsia="zh-CN"/>
              </w:rPr>
            </w:pPr>
            <w:r w:rsidRPr="0090639D">
              <w:rPr>
                <w:sz w:val="16"/>
                <w:szCs w:val="16"/>
                <w:lang w:val="es-ES_tradnl" w:eastAsia="zh-CN"/>
              </w:rPr>
              <w:t>Modernización de la adquisición y contratación de talentos</w:t>
            </w:r>
          </w:p>
        </w:tc>
        <w:tc>
          <w:tcPr>
            <w:tcW w:w="1228" w:type="pct"/>
            <w:tcBorders>
              <w:left w:val="single" w:sz="4" w:space="0" w:color="auto"/>
            </w:tcBorders>
            <w:shd w:val="clear" w:color="auto" w:fill="DEEAF6"/>
            <w:vAlign w:val="center"/>
          </w:tcPr>
          <w:p w14:paraId="7609F75F" w14:textId="1A5B2B35" w:rsidR="0090639D" w:rsidRPr="0090639D" w:rsidRDefault="00B14F4A" w:rsidP="0090639D">
            <w:pPr>
              <w:pStyle w:val="Tabletext"/>
              <w:rPr>
                <w:sz w:val="16"/>
                <w:szCs w:val="16"/>
                <w:lang w:val="es-ES_tradnl"/>
              </w:rPr>
            </w:pPr>
            <w:r w:rsidRPr="0090639D">
              <w:rPr>
                <w:b/>
                <w:bCs/>
                <w:sz w:val="16"/>
                <w:szCs w:val="16"/>
                <w:lang w:val="es-ES_tradnl" w:eastAsia="zh-CN"/>
              </w:rPr>
              <w:t xml:space="preserve">Modernizar la adquisición de talento </w:t>
            </w:r>
            <w:r w:rsidRPr="0090639D">
              <w:rPr>
                <w:sz w:val="16"/>
                <w:szCs w:val="16"/>
                <w:lang w:val="es-ES_tradnl" w:eastAsia="zh-CN"/>
              </w:rPr>
              <w:t>optimizando los procesos de extremo a extremo, reforzando los métodos de evaluación y una contratación justa y transparente basada en el mérito, que permita la captación específica y una sólida reserva de talento en ámbitos de competencia prioritarios e incipientes, mejorando al mismo tiempo la experiencia de los candidatos y reforzando el atractivo de la UIT para los candidatos cualificados</w:t>
            </w:r>
            <w:r w:rsidRPr="0090639D">
              <w:rPr>
                <w:rFonts w:eastAsia="DengXian"/>
                <w:sz w:val="16"/>
                <w:szCs w:val="16"/>
                <w:lang w:val="es-ES_tradnl" w:eastAsia="zh-CN"/>
              </w:rPr>
              <w:t>.</w:t>
            </w:r>
          </w:p>
        </w:tc>
        <w:tc>
          <w:tcPr>
            <w:tcW w:w="1842" w:type="pct"/>
            <w:shd w:val="clear" w:color="auto" w:fill="DEEAF6"/>
            <w:vAlign w:val="center"/>
          </w:tcPr>
          <w:p w14:paraId="7763EF18" w14:textId="5C6DA18F" w:rsidR="00B14F4A" w:rsidRPr="0090639D" w:rsidRDefault="00B14F4A" w:rsidP="00A9672C">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A9672C" w:rsidRPr="0090639D">
              <w:rPr>
                <w:sz w:val="16"/>
                <w:szCs w:val="16"/>
                <w:lang w:val="es-ES_tradnl"/>
              </w:rPr>
              <w:tab/>
            </w:r>
            <w:r w:rsidRPr="0090639D">
              <w:rPr>
                <w:rFonts w:eastAsia="DengXian"/>
                <w:sz w:val="16"/>
                <w:szCs w:val="16"/>
                <w:lang w:val="es-ES_tradnl" w:eastAsia="zh-CN"/>
              </w:rPr>
              <w:t xml:space="preserve">Número medio de solicitudes admisibles por puesto </w:t>
            </w:r>
          </w:p>
          <w:p w14:paraId="4FD86806" w14:textId="31F05ED4" w:rsidR="00B14F4A" w:rsidRPr="0090639D" w:rsidRDefault="00B14F4A" w:rsidP="00A9672C">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A9672C" w:rsidRPr="0090639D">
              <w:rPr>
                <w:sz w:val="16"/>
                <w:szCs w:val="16"/>
                <w:lang w:val="es-ES_tradnl"/>
              </w:rPr>
              <w:tab/>
            </w:r>
            <w:r w:rsidRPr="0090639D">
              <w:rPr>
                <w:rFonts w:eastAsia="DengXian"/>
                <w:sz w:val="16"/>
                <w:szCs w:val="16"/>
                <w:lang w:val="es-ES_tradnl" w:eastAsia="zh-CN"/>
              </w:rPr>
              <w:t xml:space="preserve">Duración del ciclo de contratación (tiempo transcurrido antes de la contratación) </w:t>
            </w:r>
          </w:p>
          <w:p w14:paraId="3C1B9535" w14:textId="6BD2D494" w:rsidR="00B14F4A" w:rsidRPr="0090639D" w:rsidRDefault="00B14F4A" w:rsidP="00A9672C">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A9672C" w:rsidRPr="0090639D">
              <w:rPr>
                <w:sz w:val="16"/>
                <w:szCs w:val="16"/>
                <w:lang w:val="es-ES_tradnl"/>
              </w:rPr>
              <w:tab/>
              <w:t>R</w:t>
            </w:r>
            <w:r w:rsidRPr="0090639D">
              <w:rPr>
                <w:rFonts w:eastAsia="DengXian"/>
                <w:sz w:val="16"/>
                <w:szCs w:val="16"/>
                <w:lang w:val="es-ES_tradnl" w:eastAsia="zh-CN"/>
              </w:rPr>
              <w:t xml:space="preserve">etroinformación sobre la experiencia del candidato (cualitativo/cuantitativo) </w:t>
            </w:r>
          </w:p>
          <w:p w14:paraId="0937E2BB" w14:textId="35449DC2" w:rsidR="00B14F4A" w:rsidRPr="0090639D" w:rsidRDefault="00B14F4A" w:rsidP="00A9672C">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A9672C" w:rsidRPr="0090639D">
              <w:rPr>
                <w:sz w:val="16"/>
                <w:szCs w:val="16"/>
                <w:lang w:val="es-ES_tradnl"/>
              </w:rPr>
              <w:tab/>
            </w:r>
            <w:r w:rsidRPr="0090639D">
              <w:rPr>
                <w:rFonts w:eastAsia="DengXian"/>
                <w:sz w:val="16"/>
                <w:szCs w:val="16"/>
                <w:lang w:val="es-ES_tradnl" w:eastAsia="zh-CN"/>
              </w:rPr>
              <w:t>% de contrataciones utilizando herramientas de evaluación modernas</w:t>
            </w:r>
          </w:p>
          <w:p w14:paraId="4001D68F" w14:textId="763D24E9" w:rsidR="00B14F4A" w:rsidRPr="0090639D" w:rsidRDefault="00B14F4A" w:rsidP="00A9672C">
            <w:pPr>
              <w:pStyle w:val="Tabletext"/>
              <w:tabs>
                <w:tab w:val="clear" w:pos="284"/>
                <w:tab w:val="left" w:pos="186"/>
              </w:tabs>
              <w:ind w:left="186" w:hanging="186"/>
              <w:rPr>
                <w:sz w:val="16"/>
                <w:szCs w:val="16"/>
                <w:lang w:val="es-ES_tradnl"/>
              </w:rPr>
            </w:pPr>
            <w:r w:rsidRPr="0090639D">
              <w:rPr>
                <w:rFonts w:eastAsia="DengXian"/>
                <w:sz w:val="16"/>
                <w:szCs w:val="16"/>
                <w:lang w:val="es-ES_tradnl" w:eastAsia="zh-CN"/>
              </w:rPr>
              <w:t>•</w:t>
            </w:r>
            <w:r w:rsidR="00A9672C" w:rsidRPr="0090639D">
              <w:rPr>
                <w:sz w:val="16"/>
                <w:szCs w:val="16"/>
                <w:lang w:val="es-ES_tradnl"/>
              </w:rPr>
              <w:tab/>
              <w:t>E</w:t>
            </w:r>
            <w:r w:rsidRPr="0090639D">
              <w:rPr>
                <w:rFonts w:eastAsia="DengXian"/>
                <w:sz w:val="16"/>
                <w:szCs w:val="16"/>
                <w:lang w:val="es-ES_tradnl" w:eastAsia="zh-CN"/>
              </w:rPr>
              <w:t>strategia de divulgación aprobada y aplicada (cualitativo</w:t>
            </w:r>
            <w:r w:rsidRPr="0090639D">
              <w:rPr>
                <w:sz w:val="16"/>
                <w:szCs w:val="16"/>
                <w:lang w:val="es-ES_tradnl"/>
              </w:rPr>
              <w:t>)</w:t>
            </w:r>
          </w:p>
          <w:p w14:paraId="503C6EB9" w14:textId="139DD64D" w:rsidR="00B14F4A" w:rsidRPr="0090639D" w:rsidRDefault="00B14F4A" w:rsidP="00A9672C">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A9672C" w:rsidRPr="0090639D">
              <w:rPr>
                <w:sz w:val="16"/>
                <w:szCs w:val="16"/>
                <w:lang w:val="es-ES_tradnl"/>
              </w:rPr>
              <w:tab/>
            </w:r>
            <w:r w:rsidRPr="0090639D">
              <w:rPr>
                <w:rFonts w:eastAsia="DengXian"/>
                <w:sz w:val="16"/>
                <w:szCs w:val="16"/>
                <w:lang w:val="es-ES_tradnl" w:eastAsia="zh-CN"/>
              </w:rPr>
              <w:t>Relación entre el número de vacantes internas y externas publicadas (por año)</w:t>
            </w:r>
          </w:p>
          <w:p w14:paraId="39708D2B" w14:textId="24C5725D" w:rsidR="00B14F4A" w:rsidRPr="0090639D" w:rsidRDefault="00B14F4A" w:rsidP="00A9672C">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A9672C" w:rsidRPr="0090639D">
              <w:rPr>
                <w:sz w:val="16"/>
                <w:szCs w:val="16"/>
                <w:lang w:val="es-ES_tradnl"/>
              </w:rPr>
              <w:tab/>
            </w:r>
            <w:r w:rsidRPr="0090639D">
              <w:rPr>
                <w:rFonts w:eastAsia="DengXian"/>
                <w:sz w:val="16"/>
                <w:szCs w:val="16"/>
                <w:lang w:val="es-ES_tradnl" w:eastAsia="zh-CN"/>
              </w:rPr>
              <w:t>Relación entre el número de puestos cubiertos con candidatos internos y externos (por año)</w:t>
            </w:r>
          </w:p>
        </w:tc>
        <w:tc>
          <w:tcPr>
            <w:tcW w:w="592" w:type="pct"/>
            <w:shd w:val="clear" w:color="auto" w:fill="DEEAF6"/>
            <w:vAlign w:val="center"/>
          </w:tcPr>
          <w:p w14:paraId="00664ACB" w14:textId="77777777" w:rsidR="00B14F4A" w:rsidRPr="0090639D" w:rsidRDefault="00B14F4A" w:rsidP="00615A73">
            <w:pPr>
              <w:pStyle w:val="Tabletext"/>
              <w:spacing w:before="1440" w:after="480"/>
              <w:jc w:val="center"/>
              <w:rPr>
                <w:sz w:val="16"/>
                <w:szCs w:val="16"/>
                <w:lang w:val="es-ES_tradnl"/>
              </w:rPr>
            </w:pPr>
            <w:proofErr w:type="spellStart"/>
            <w:r w:rsidRPr="0090639D">
              <w:rPr>
                <w:sz w:val="16"/>
                <w:szCs w:val="16"/>
                <w:lang w:val="es-ES_tradnl"/>
              </w:rPr>
              <w:t>T</w:t>
            </w:r>
            <w:r w:rsidRPr="0090639D">
              <w:rPr>
                <w:sz w:val="16"/>
                <w:szCs w:val="16"/>
                <w:lang w:val="es-ES_tradnl" w:eastAsia="zh-CN"/>
              </w:rPr>
              <w:t>2</w:t>
            </w:r>
            <w:proofErr w:type="spellEnd"/>
            <w:r w:rsidRPr="0090639D">
              <w:rPr>
                <w:sz w:val="16"/>
                <w:szCs w:val="16"/>
                <w:lang w:val="es-ES_tradnl" w:eastAsia="zh-CN"/>
              </w:rPr>
              <w:t xml:space="preserve"> </w:t>
            </w:r>
            <w:r w:rsidRPr="0090639D">
              <w:rPr>
                <w:sz w:val="16"/>
                <w:szCs w:val="16"/>
                <w:lang w:val="es-ES_tradnl"/>
              </w:rPr>
              <w:t>2027</w:t>
            </w:r>
          </w:p>
          <w:p w14:paraId="58BC5B18" w14:textId="5E29972C" w:rsidR="00B14F4A" w:rsidRPr="0090639D" w:rsidRDefault="00B14F4A" w:rsidP="00615A73">
            <w:pPr>
              <w:pStyle w:val="Tabletext"/>
              <w:spacing w:before="840" w:after="600"/>
              <w:jc w:val="center"/>
              <w:rPr>
                <w:sz w:val="16"/>
                <w:szCs w:val="16"/>
                <w:lang w:val="es-ES_tradnl"/>
              </w:rPr>
            </w:pPr>
            <w:proofErr w:type="spellStart"/>
            <w:r w:rsidRPr="0090639D">
              <w:rPr>
                <w:sz w:val="16"/>
                <w:szCs w:val="16"/>
                <w:lang w:val="es-ES_tradnl"/>
              </w:rPr>
              <w:t>T4</w:t>
            </w:r>
            <w:proofErr w:type="spellEnd"/>
            <w:r w:rsidRPr="0090639D">
              <w:rPr>
                <w:sz w:val="16"/>
                <w:szCs w:val="16"/>
                <w:lang w:val="es-ES_tradnl"/>
              </w:rPr>
              <w:t xml:space="preserve"> 2026/ </w:t>
            </w:r>
            <w:proofErr w:type="spellStart"/>
            <w:r w:rsidRPr="0090639D">
              <w:rPr>
                <w:sz w:val="16"/>
                <w:szCs w:val="16"/>
                <w:lang w:val="es-ES_tradnl"/>
              </w:rPr>
              <w:t>T4</w:t>
            </w:r>
            <w:proofErr w:type="spellEnd"/>
            <w:r w:rsidRPr="0090639D">
              <w:rPr>
                <w:sz w:val="16"/>
                <w:szCs w:val="16"/>
                <w:lang w:val="es-ES_tradnl"/>
              </w:rPr>
              <w:t xml:space="preserve"> 2027</w:t>
            </w:r>
          </w:p>
        </w:tc>
        <w:tc>
          <w:tcPr>
            <w:tcW w:w="494" w:type="pct"/>
            <w:shd w:val="clear" w:color="auto" w:fill="DEEAF6"/>
            <w:vAlign w:val="center"/>
          </w:tcPr>
          <w:p w14:paraId="4CFF988F" w14:textId="77777777" w:rsidR="00B14F4A" w:rsidRPr="0090639D" w:rsidRDefault="00B14F4A" w:rsidP="004E162C">
            <w:pPr>
              <w:pStyle w:val="Tabletext"/>
              <w:rPr>
                <w:rFonts w:eastAsia="DengXian"/>
                <w:sz w:val="16"/>
                <w:szCs w:val="16"/>
                <w:lang w:val="es-ES_tradnl" w:eastAsia="zh-CN"/>
              </w:rPr>
            </w:pPr>
          </w:p>
        </w:tc>
      </w:tr>
      <w:tr w:rsidR="00B14F4A" w:rsidRPr="0090639D" w14:paraId="7341354F" w14:textId="77777777" w:rsidTr="004E162C">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2039D596" w14:textId="77777777" w:rsidR="00B14F4A" w:rsidRPr="0090639D" w:rsidRDefault="00B14F4A" w:rsidP="004E162C">
            <w:pPr>
              <w:pStyle w:val="Tabletext"/>
              <w:rPr>
                <w:rFonts w:eastAsia="DengXian"/>
                <w:sz w:val="16"/>
                <w:szCs w:val="16"/>
                <w:lang w:val="es-ES_tradnl" w:eastAsia="zh-CN"/>
              </w:rPr>
            </w:pPr>
            <w:r w:rsidRPr="0090639D">
              <w:rPr>
                <w:rFonts w:eastAsia="DengXian"/>
                <w:sz w:val="16"/>
                <w:szCs w:val="16"/>
                <w:lang w:val="es-ES_tradnl" w:eastAsia="zh-CN"/>
              </w:rPr>
              <w:t>1.3</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65C3A9A4" w14:textId="77777777" w:rsidR="00B14F4A" w:rsidRPr="0090639D" w:rsidRDefault="00B14F4A" w:rsidP="004E162C">
            <w:pPr>
              <w:pStyle w:val="Tabletext"/>
              <w:rPr>
                <w:sz w:val="16"/>
                <w:szCs w:val="16"/>
                <w:lang w:val="es-ES_tradnl" w:eastAsia="zh-CN"/>
              </w:rPr>
            </w:pPr>
            <w:r w:rsidRPr="0090639D">
              <w:rPr>
                <w:sz w:val="16"/>
                <w:szCs w:val="16"/>
                <w:lang w:val="es-ES_tradnl" w:eastAsia="zh-CN"/>
              </w:rPr>
              <w:t>Inducción e incorporación</w:t>
            </w:r>
          </w:p>
        </w:tc>
        <w:tc>
          <w:tcPr>
            <w:tcW w:w="1228" w:type="pct"/>
            <w:tcBorders>
              <w:left w:val="single" w:sz="4" w:space="0" w:color="auto"/>
            </w:tcBorders>
            <w:shd w:val="clear" w:color="auto" w:fill="DEEAF6"/>
            <w:vAlign w:val="center"/>
          </w:tcPr>
          <w:p w14:paraId="1E4FE3BA" w14:textId="36953DBC" w:rsidR="0090639D" w:rsidRPr="0090639D" w:rsidRDefault="00A9672C" w:rsidP="0090639D">
            <w:pPr>
              <w:pStyle w:val="Tabletext"/>
              <w:rPr>
                <w:sz w:val="16"/>
                <w:szCs w:val="16"/>
                <w:lang w:val="es-ES_tradnl"/>
              </w:rPr>
            </w:pPr>
            <w:r w:rsidRPr="0090639D">
              <w:rPr>
                <w:sz w:val="16"/>
                <w:szCs w:val="16"/>
                <w:lang w:val="es-ES_tradnl" w:eastAsia="zh-CN"/>
              </w:rPr>
              <w:t>P</w:t>
            </w:r>
            <w:r w:rsidR="00B14F4A" w:rsidRPr="0090639D">
              <w:rPr>
                <w:sz w:val="16"/>
                <w:szCs w:val="16"/>
                <w:lang w:val="es-ES_tradnl" w:eastAsia="zh-CN"/>
              </w:rPr>
              <w:t>roceso de incorporación más completo y coherente y herramientas de gestión prácticas que permitan una integración más rápida y una mejor relación tiempo-productividad en todos los equipos y modalidades de trabajo</w:t>
            </w:r>
            <w:r w:rsidR="00B14F4A" w:rsidRPr="0090639D">
              <w:rPr>
                <w:sz w:val="16"/>
                <w:szCs w:val="16"/>
                <w:lang w:val="es-ES_tradnl"/>
              </w:rPr>
              <w:t>.</w:t>
            </w:r>
          </w:p>
        </w:tc>
        <w:tc>
          <w:tcPr>
            <w:tcW w:w="1842" w:type="pct"/>
            <w:shd w:val="clear" w:color="auto" w:fill="DEEAF6"/>
            <w:vAlign w:val="center"/>
          </w:tcPr>
          <w:p w14:paraId="79E026AA" w14:textId="1DA76CAA" w:rsidR="00B14F4A" w:rsidRPr="0090639D" w:rsidRDefault="00B14F4A" w:rsidP="00A9672C">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A9672C" w:rsidRPr="0090639D">
              <w:rPr>
                <w:sz w:val="16"/>
                <w:szCs w:val="16"/>
                <w:lang w:val="es-ES_tradnl"/>
              </w:rPr>
              <w:tab/>
            </w:r>
            <w:r w:rsidRPr="0090639D">
              <w:rPr>
                <w:rFonts w:eastAsia="DengXian"/>
                <w:sz w:val="16"/>
                <w:szCs w:val="16"/>
                <w:lang w:val="es-ES_tradnl" w:eastAsia="zh-CN"/>
              </w:rPr>
              <w:t xml:space="preserve">Número de inducciones; % de personal recién contratado participante </w:t>
            </w:r>
          </w:p>
          <w:p w14:paraId="27384EA1" w14:textId="18F280DF" w:rsidR="00B14F4A" w:rsidRPr="0090639D" w:rsidRDefault="00B14F4A" w:rsidP="00A9672C">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A9672C" w:rsidRPr="0090639D">
              <w:rPr>
                <w:sz w:val="16"/>
                <w:szCs w:val="16"/>
                <w:lang w:val="es-ES_tradnl"/>
              </w:rPr>
              <w:tab/>
              <w:t>T</w:t>
            </w:r>
            <w:r w:rsidRPr="0090639D">
              <w:rPr>
                <w:rFonts w:eastAsia="DengXian"/>
                <w:sz w:val="16"/>
                <w:szCs w:val="16"/>
                <w:lang w:val="es-ES_tradnl" w:eastAsia="zh-CN"/>
              </w:rPr>
              <w:t>asa de compleción de incorporación (por ejemplo, objetivos a 30/60/90 días)</w:t>
            </w:r>
          </w:p>
          <w:p w14:paraId="362D4E88" w14:textId="79FDFAD7" w:rsidR="00B14F4A" w:rsidRPr="0090639D" w:rsidRDefault="00B14F4A" w:rsidP="00A9672C">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A9672C" w:rsidRPr="0090639D">
              <w:rPr>
                <w:sz w:val="16"/>
                <w:szCs w:val="16"/>
                <w:lang w:val="es-ES_tradnl"/>
              </w:rPr>
              <w:tab/>
            </w:r>
            <w:r w:rsidRPr="0090639D">
              <w:rPr>
                <w:rFonts w:eastAsia="DengXian"/>
                <w:sz w:val="16"/>
                <w:szCs w:val="16"/>
                <w:lang w:val="es-ES_tradnl" w:eastAsia="zh-CN"/>
              </w:rPr>
              <w:t>Herramientas de gestión utilizadas (sí/no) y comentarios al respecto</w:t>
            </w:r>
          </w:p>
        </w:tc>
        <w:tc>
          <w:tcPr>
            <w:tcW w:w="592" w:type="pct"/>
            <w:shd w:val="clear" w:color="auto" w:fill="DEEAF6"/>
            <w:vAlign w:val="center"/>
          </w:tcPr>
          <w:p w14:paraId="032A7B4C" w14:textId="77777777" w:rsidR="00B14F4A" w:rsidRPr="0090639D" w:rsidRDefault="00B14F4A" w:rsidP="00615A73">
            <w:pPr>
              <w:pStyle w:val="Tabletext"/>
              <w:jc w:val="center"/>
              <w:rPr>
                <w:sz w:val="16"/>
                <w:szCs w:val="16"/>
                <w:lang w:val="es-ES_tradnl" w:eastAsia="zh-CN"/>
              </w:rPr>
            </w:pPr>
            <w:r w:rsidRPr="0090639D">
              <w:rPr>
                <w:sz w:val="16"/>
                <w:szCs w:val="16"/>
                <w:lang w:val="es-ES_tradnl"/>
              </w:rPr>
              <w:t>Anual/constante</w:t>
            </w:r>
          </w:p>
          <w:p w14:paraId="0FC8B574" w14:textId="77777777" w:rsidR="00B14F4A" w:rsidRPr="0090639D" w:rsidRDefault="00B14F4A" w:rsidP="00615A73">
            <w:pPr>
              <w:pStyle w:val="Tabletext"/>
              <w:jc w:val="center"/>
              <w:rPr>
                <w:sz w:val="16"/>
                <w:szCs w:val="16"/>
                <w:lang w:val="es-ES_tradnl" w:eastAsia="zh-CN"/>
              </w:rPr>
            </w:pPr>
            <w:proofErr w:type="spellStart"/>
            <w:r w:rsidRPr="0090639D">
              <w:rPr>
                <w:sz w:val="16"/>
                <w:szCs w:val="16"/>
                <w:lang w:val="es-ES_tradnl"/>
              </w:rPr>
              <w:t>T1</w:t>
            </w:r>
            <w:proofErr w:type="spellEnd"/>
            <w:r w:rsidRPr="0090639D">
              <w:rPr>
                <w:sz w:val="16"/>
                <w:szCs w:val="16"/>
                <w:lang w:val="es-ES_tradnl"/>
              </w:rPr>
              <w:t xml:space="preserve"> 2027</w:t>
            </w:r>
          </w:p>
          <w:p w14:paraId="21E5E861" w14:textId="77777777" w:rsidR="00B14F4A" w:rsidRPr="0090639D" w:rsidRDefault="00B14F4A" w:rsidP="00615A73">
            <w:pPr>
              <w:pStyle w:val="Tabletext"/>
              <w:jc w:val="center"/>
              <w:rPr>
                <w:sz w:val="16"/>
                <w:szCs w:val="16"/>
                <w:lang w:val="es-ES_tradnl"/>
              </w:rPr>
            </w:pPr>
            <w:proofErr w:type="spellStart"/>
            <w:r w:rsidRPr="0090639D">
              <w:rPr>
                <w:sz w:val="16"/>
                <w:szCs w:val="16"/>
                <w:lang w:val="es-ES_tradnl" w:eastAsia="zh-CN"/>
              </w:rPr>
              <w:t>T1</w:t>
            </w:r>
            <w:proofErr w:type="spellEnd"/>
            <w:r w:rsidRPr="0090639D">
              <w:rPr>
                <w:sz w:val="16"/>
                <w:szCs w:val="16"/>
                <w:lang w:val="es-ES_tradnl" w:eastAsia="zh-CN"/>
              </w:rPr>
              <w:t xml:space="preserve"> 2027</w:t>
            </w:r>
          </w:p>
        </w:tc>
        <w:tc>
          <w:tcPr>
            <w:tcW w:w="494" w:type="pct"/>
            <w:shd w:val="clear" w:color="auto" w:fill="DEEAF6"/>
            <w:vAlign w:val="center"/>
          </w:tcPr>
          <w:p w14:paraId="0C10956D" w14:textId="77777777" w:rsidR="00B14F4A" w:rsidRPr="0090639D" w:rsidRDefault="00B14F4A" w:rsidP="004E162C">
            <w:pPr>
              <w:pStyle w:val="Tabletext"/>
              <w:rPr>
                <w:rFonts w:eastAsia="DengXian"/>
                <w:sz w:val="16"/>
                <w:szCs w:val="16"/>
                <w:lang w:val="es-ES_tradnl" w:eastAsia="zh-CN"/>
              </w:rPr>
            </w:pPr>
          </w:p>
        </w:tc>
      </w:tr>
      <w:tr w:rsidR="00B14F4A" w:rsidRPr="0090639D" w14:paraId="4769AE81" w14:textId="77777777" w:rsidTr="004E162C">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27A7192D" w14:textId="77777777" w:rsidR="00B14F4A" w:rsidRPr="0090639D" w:rsidRDefault="00B14F4A" w:rsidP="004E162C">
            <w:pPr>
              <w:pStyle w:val="Tabletext"/>
              <w:rPr>
                <w:rFonts w:eastAsia="DengXian"/>
                <w:sz w:val="16"/>
                <w:szCs w:val="16"/>
                <w:lang w:val="es-ES_tradnl" w:eastAsia="zh-CN"/>
              </w:rPr>
            </w:pPr>
            <w:r w:rsidRPr="0090639D">
              <w:rPr>
                <w:rFonts w:eastAsia="DengXian"/>
                <w:sz w:val="16"/>
                <w:szCs w:val="16"/>
                <w:lang w:val="es-ES_tradnl" w:eastAsia="zh-CN"/>
              </w:rPr>
              <w:t>1.4</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507DA864" w14:textId="77777777" w:rsidR="00B14F4A" w:rsidRPr="0090639D" w:rsidRDefault="00B14F4A" w:rsidP="004E162C">
            <w:pPr>
              <w:pStyle w:val="Tabletext"/>
              <w:rPr>
                <w:rFonts w:eastAsia="DengXian"/>
                <w:sz w:val="16"/>
                <w:szCs w:val="16"/>
                <w:lang w:val="es-ES_tradnl" w:eastAsia="zh-CN"/>
              </w:rPr>
            </w:pPr>
            <w:r w:rsidRPr="0090639D">
              <w:rPr>
                <w:sz w:val="16"/>
                <w:szCs w:val="16"/>
                <w:lang w:val="es-ES_tradnl" w:eastAsia="zh-CN"/>
              </w:rPr>
              <w:t>Movilidad y rotación</w:t>
            </w:r>
          </w:p>
        </w:tc>
        <w:tc>
          <w:tcPr>
            <w:tcW w:w="1228" w:type="pct"/>
            <w:tcBorders>
              <w:left w:val="single" w:sz="4" w:space="0" w:color="auto"/>
            </w:tcBorders>
            <w:shd w:val="clear" w:color="auto" w:fill="DEEAF6"/>
            <w:vAlign w:val="center"/>
          </w:tcPr>
          <w:p w14:paraId="7FB1E462" w14:textId="166E38F4" w:rsidR="0090639D" w:rsidRPr="0090639D" w:rsidRDefault="00B14F4A" w:rsidP="0090639D">
            <w:pPr>
              <w:pStyle w:val="Tabletext"/>
              <w:rPr>
                <w:sz w:val="16"/>
                <w:szCs w:val="16"/>
                <w:lang w:val="es-ES_tradnl"/>
              </w:rPr>
            </w:pPr>
            <w:r w:rsidRPr="0090639D">
              <w:rPr>
                <w:b/>
                <w:bCs/>
                <w:sz w:val="16"/>
                <w:szCs w:val="16"/>
                <w:lang w:val="es-ES_tradnl"/>
              </w:rPr>
              <w:t xml:space="preserve">Ampliar las oportunidades de desarrollo y movilidad </w:t>
            </w:r>
            <w:r w:rsidRPr="0090639D">
              <w:rPr>
                <w:sz w:val="16"/>
                <w:szCs w:val="16"/>
                <w:lang w:val="es-ES_tradnl"/>
              </w:rPr>
              <w:t>para atribuir las capacidades allá donde son más necesarias, favorecer el desarrollo profesional y aumentar la transferencia de conocimientos, recurriendo a la movilidad interna cuando sea posible</w:t>
            </w:r>
            <w:r w:rsidRPr="0090639D">
              <w:rPr>
                <w:rFonts w:eastAsia="DengXian"/>
                <w:sz w:val="16"/>
                <w:szCs w:val="16"/>
                <w:lang w:val="es-ES_tradnl" w:eastAsia="zh-CN"/>
              </w:rPr>
              <w:t>.</w:t>
            </w:r>
          </w:p>
        </w:tc>
        <w:tc>
          <w:tcPr>
            <w:tcW w:w="1842" w:type="pct"/>
            <w:shd w:val="clear" w:color="auto" w:fill="DEEAF6"/>
            <w:vAlign w:val="center"/>
          </w:tcPr>
          <w:p w14:paraId="66937E8F" w14:textId="7D78B0FB" w:rsidR="00B14F4A" w:rsidRPr="0090639D" w:rsidRDefault="00B14F4A" w:rsidP="00A9672C">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A9672C" w:rsidRPr="0090639D">
              <w:rPr>
                <w:sz w:val="16"/>
                <w:szCs w:val="16"/>
                <w:lang w:val="es-ES_tradnl"/>
              </w:rPr>
              <w:tab/>
            </w:r>
            <w:r w:rsidRPr="0090639D">
              <w:rPr>
                <w:rFonts w:eastAsia="DengXian"/>
                <w:sz w:val="16"/>
                <w:szCs w:val="16"/>
                <w:lang w:val="es-ES_tradnl" w:eastAsia="zh-CN"/>
              </w:rPr>
              <w:t>Número de oportunidades de movilidad interna abiertas</w:t>
            </w:r>
          </w:p>
          <w:p w14:paraId="436B10A3" w14:textId="56FD6787" w:rsidR="00B14F4A" w:rsidRPr="0090639D" w:rsidRDefault="00B14F4A" w:rsidP="00A9672C">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A9672C" w:rsidRPr="0090639D">
              <w:rPr>
                <w:sz w:val="16"/>
                <w:szCs w:val="16"/>
                <w:lang w:val="es-ES_tradnl"/>
              </w:rPr>
              <w:tab/>
              <w:t>T</w:t>
            </w:r>
            <w:r w:rsidRPr="0090639D">
              <w:rPr>
                <w:rFonts w:eastAsia="DengXian"/>
                <w:sz w:val="16"/>
                <w:szCs w:val="16"/>
                <w:lang w:val="es-ES_tradnl" w:eastAsia="zh-CN"/>
              </w:rPr>
              <w:t xml:space="preserve">endencias anuales de movilidad por grado/área </w:t>
            </w:r>
            <w:r w:rsidRPr="0090639D">
              <w:rPr>
                <w:sz w:val="16"/>
                <w:szCs w:val="16"/>
                <w:lang w:val="es-ES_tradnl"/>
              </w:rPr>
              <w:t>funcional</w:t>
            </w:r>
            <w:r w:rsidRPr="0090639D">
              <w:rPr>
                <w:rFonts w:eastAsia="DengXian"/>
                <w:sz w:val="16"/>
                <w:szCs w:val="16"/>
                <w:lang w:val="es-ES_tradnl" w:eastAsia="zh-CN"/>
              </w:rPr>
              <w:t xml:space="preserve">/departamento (panel) </w:t>
            </w:r>
          </w:p>
        </w:tc>
        <w:tc>
          <w:tcPr>
            <w:tcW w:w="592" w:type="pct"/>
            <w:shd w:val="clear" w:color="auto" w:fill="DEEAF6"/>
            <w:vAlign w:val="center"/>
          </w:tcPr>
          <w:p w14:paraId="7D6A0B23" w14:textId="77777777" w:rsidR="00B14F4A" w:rsidRPr="0090639D" w:rsidRDefault="00B14F4A" w:rsidP="00615A73">
            <w:pPr>
              <w:pStyle w:val="Tabletext"/>
              <w:jc w:val="center"/>
              <w:rPr>
                <w:sz w:val="16"/>
                <w:szCs w:val="16"/>
                <w:lang w:val="es-ES_tradnl" w:eastAsia="zh-CN"/>
              </w:rPr>
            </w:pPr>
            <w:proofErr w:type="spellStart"/>
            <w:r w:rsidRPr="0090639D">
              <w:rPr>
                <w:sz w:val="16"/>
                <w:szCs w:val="16"/>
                <w:lang w:val="es-ES_tradnl"/>
              </w:rPr>
              <w:t>T1</w:t>
            </w:r>
            <w:proofErr w:type="spellEnd"/>
            <w:r w:rsidRPr="0090639D">
              <w:rPr>
                <w:sz w:val="16"/>
                <w:szCs w:val="16"/>
                <w:lang w:val="es-ES_tradnl"/>
              </w:rPr>
              <w:t xml:space="preserve"> 2027</w:t>
            </w:r>
          </w:p>
          <w:p w14:paraId="683A3A52" w14:textId="77777777" w:rsidR="00B14F4A" w:rsidRPr="0090639D" w:rsidRDefault="00B14F4A" w:rsidP="00615A73">
            <w:pPr>
              <w:pStyle w:val="Tabletext"/>
              <w:jc w:val="center"/>
              <w:rPr>
                <w:sz w:val="16"/>
                <w:szCs w:val="16"/>
                <w:lang w:val="es-ES_tradnl"/>
              </w:rPr>
            </w:pPr>
            <w:proofErr w:type="spellStart"/>
            <w:r w:rsidRPr="0090639D">
              <w:rPr>
                <w:sz w:val="16"/>
                <w:szCs w:val="16"/>
                <w:lang w:val="es-ES_tradnl" w:eastAsia="zh-CN"/>
              </w:rPr>
              <w:t>T4</w:t>
            </w:r>
            <w:proofErr w:type="spellEnd"/>
            <w:r w:rsidRPr="0090639D">
              <w:rPr>
                <w:sz w:val="16"/>
                <w:szCs w:val="16"/>
                <w:lang w:val="es-ES_tradnl" w:eastAsia="zh-CN"/>
              </w:rPr>
              <w:t xml:space="preserve"> 2027</w:t>
            </w:r>
          </w:p>
        </w:tc>
        <w:tc>
          <w:tcPr>
            <w:tcW w:w="494" w:type="pct"/>
            <w:shd w:val="clear" w:color="auto" w:fill="DEEAF6"/>
            <w:vAlign w:val="center"/>
          </w:tcPr>
          <w:p w14:paraId="1CDC3854" w14:textId="77777777" w:rsidR="00B14F4A" w:rsidRPr="0090639D" w:rsidRDefault="00B14F4A" w:rsidP="004E162C">
            <w:pPr>
              <w:pStyle w:val="Tabletext"/>
              <w:rPr>
                <w:rFonts w:eastAsia="DengXian"/>
                <w:sz w:val="16"/>
                <w:szCs w:val="16"/>
                <w:lang w:val="es-ES_tradnl" w:eastAsia="zh-CN"/>
              </w:rPr>
            </w:pPr>
          </w:p>
        </w:tc>
      </w:tr>
      <w:tr w:rsidR="00B14F4A" w:rsidRPr="0090639D" w14:paraId="2BADA13F" w14:textId="77777777" w:rsidTr="004E162C">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3C586959" w14:textId="77777777" w:rsidR="00B14F4A" w:rsidRPr="0090639D" w:rsidRDefault="00B14F4A" w:rsidP="004E162C">
            <w:pPr>
              <w:pStyle w:val="Tabletext"/>
              <w:rPr>
                <w:rFonts w:eastAsia="DengXian"/>
                <w:sz w:val="16"/>
                <w:szCs w:val="16"/>
                <w:lang w:val="es-ES_tradnl" w:eastAsia="zh-CN"/>
              </w:rPr>
            </w:pPr>
            <w:r w:rsidRPr="0090639D">
              <w:rPr>
                <w:rFonts w:eastAsia="DengXian"/>
                <w:sz w:val="16"/>
                <w:szCs w:val="16"/>
                <w:lang w:val="es-ES_tradnl" w:eastAsia="zh-CN"/>
              </w:rPr>
              <w:lastRenderedPageBreak/>
              <w:t>1.5</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26CE570C" w14:textId="77777777" w:rsidR="00B14F4A" w:rsidRPr="0090639D" w:rsidRDefault="00B14F4A" w:rsidP="004E162C">
            <w:pPr>
              <w:pStyle w:val="Tabletext"/>
              <w:rPr>
                <w:sz w:val="16"/>
                <w:szCs w:val="16"/>
                <w:lang w:val="es-ES_tradnl" w:eastAsia="zh-CN"/>
              </w:rPr>
            </w:pPr>
            <w:r w:rsidRPr="0090639D">
              <w:rPr>
                <w:sz w:val="16"/>
                <w:szCs w:val="16"/>
                <w:lang w:val="es-ES_tradnl" w:eastAsia="zh-CN"/>
              </w:rPr>
              <w:t>Asociaciones definidas</w:t>
            </w:r>
          </w:p>
        </w:tc>
        <w:tc>
          <w:tcPr>
            <w:tcW w:w="1228" w:type="pct"/>
            <w:tcBorders>
              <w:left w:val="single" w:sz="4" w:space="0" w:color="auto"/>
            </w:tcBorders>
            <w:shd w:val="clear" w:color="auto" w:fill="DEEAF6"/>
            <w:vAlign w:val="center"/>
          </w:tcPr>
          <w:p w14:paraId="54EE276C" w14:textId="77777777" w:rsidR="00B14F4A" w:rsidRPr="0090639D" w:rsidRDefault="00B14F4A" w:rsidP="004E162C">
            <w:pPr>
              <w:pStyle w:val="Tabletext"/>
              <w:rPr>
                <w:rFonts w:eastAsia="DengXian"/>
                <w:sz w:val="16"/>
                <w:szCs w:val="16"/>
                <w:lang w:val="es-ES_tradnl" w:eastAsia="zh-CN"/>
              </w:rPr>
            </w:pPr>
            <w:r w:rsidRPr="0090639D">
              <w:rPr>
                <w:b/>
                <w:bCs/>
                <w:sz w:val="16"/>
                <w:szCs w:val="16"/>
                <w:lang w:val="es-ES_tradnl"/>
              </w:rPr>
              <w:t xml:space="preserve">Afianzar las asociaciones definidas </w:t>
            </w:r>
            <w:r w:rsidRPr="0090639D">
              <w:rPr>
                <w:sz w:val="16"/>
                <w:szCs w:val="16"/>
                <w:lang w:val="es-ES_tradnl"/>
              </w:rPr>
              <w:t>con los Estados Miembros, las organizaciones y las instituciones académicas para ampliar las vías de acceso, en particular para los jóvenes profesionales y los candidatos de Estados Miembros subrepresentados, garantizando una gobernanza transparente y el beneficio mutuo</w:t>
            </w:r>
            <w:r w:rsidRPr="0090639D">
              <w:rPr>
                <w:rFonts w:eastAsia="DengXian"/>
                <w:sz w:val="16"/>
                <w:szCs w:val="16"/>
                <w:lang w:val="es-ES_tradnl" w:eastAsia="zh-CN"/>
              </w:rPr>
              <w:t>.</w:t>
            </w:r>
          </w:p>
        </w:tc>
        <w:tc>
          <w:tcPr>
            <w:tcW w:w="1842" w:type="pct"/>
            <w:shd w:val="clear" w:color="auto" w:fill="DEEAF6"/>
            <w:vAlign w:val="center"/>
          </w:tcPr>
          <w:p w14:paraId="4F6B3FB0" w14:textId="0CC01DCF"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Pr="0090639D">
              <w:rPr>
                <w:rFonts w:eastAsia="DengXian"/>
                <w:sz w:val="16"/>
                <w:szCs w:val="16"/>
                <w:lang w:val="es-ES_tradnl" w:eastAsia="zh-CN"/>
              </w:rPr>
              <w:t xml:space="preserve">Número de asociaciones creadas (FIT, </w:t>
            </w:r>
            <w:proofErr w:type="spellStart"/>
            <w:r w:rsidRPr="0090639D">
              <w:rPr>
                <w:rFonts w:eastAsia="DengXian"/>
                <w:sz w:val="16"/>
                <w:szCs w:val="16"/>
                <w:lang w:val="es-ES_tradnl" w:eastAsia="zh-CN"/>
              </w:rPr>
              <w:t>JPO</w:t>
            </w:r>
            <w:proofErr w:type="spellEnd"/>
            <w:r w:rsidRPr="0090639D">
              <w:rPr>
                <w:rFonts w:eastAsia="DengXian"/>
                <w:sz w:val="16"/>
                <w:szCs w:val="16"/>
                <w:lang w:val="es-ES_tradnl" w:eastAsia="zh-CN"/>
              </w:rPr>
              <w:t xml:space="preserve">, préstamos/traslados) </w:t>
            </w:r>
          </w:p>
          <w:p w14:paraId="60771A87" w14:textId="738CB086"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Pr="0090639D">
              <w:rPr>
                <w:rFonts w:eastAsia="DengXian"/>
                <w:sz w:val="16"/>
                <w:szCs w:val="16"/>
                <w:lang w:val="es-ES_tradnl" w:eastAsia="zh-CN"/>
              </w:rPr>
              <w:t>Número de pasantes / jóvenes especialistas</w:t>
            </w:r>
          </w:p>
          <w:p w14:paraId="544193D8" w14:textId="45BF4D5D"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Pr="0090639D">
              <w:rPr>
                <w:rFonts w:eastAsia="DengXian"/>
                <w:sz w:val="16"/>
                <w:szCs w:val="16"/>
                <w:lang w:val="es-ES_tradnl" w:eastAsia="zh-CN"/>
              </w:rPr>
              <w:t xml:space="preserve">Número de candidatos de </w:t>
            </w:r>
            <w:proofErr w:type="spellStart"/>
            <w:r w:rsidRPr="0090639D">
              <w:rPr>
                <w:rFonts w:eastAsia="DengXian"/>
                <w:sz w:val="16"/>
                <w:szCs w:val="16"/>
                <w:lang w:val="es-ES_tradnl" w:eastAsia="zh-CN"/>
              </w:rPr>
              <w:t>PMA</w:t>
            </w:r>
            <w:proofErr w:type="spellEnd"/>
            <w:r w:rsidRPr="0090639D">
              <w:rPr>
                <w:rFonts w:eastAsia="DengXian"/>
                <w:sz w:val="16"/>
                <w:szCs w:val="16"/>
                <w:lang w:val="es-ES_tradnl" w:eastAsia="zh-CN"/>
              </w:rPr>
              <w:t xml:space="preserve">, </w:t>
            </w:r>
            <w:proofErr w:type="spellStart"/>
            <w:r w:rsidRPr="0090639D">
              <w:rPr>
                <w:rFonts w:eastAsia="DengXian"/>
                <w:sz w:val="16"/>
                <w:szCs w:val="16"/>
                <w:lang w:val="es-ES_tradnl" w:eastAsia="zh-CN"/>
              </w:rPr>
              <w:t>PDSL</w:t>
            </w:r>
            <w:proofErr w:type="spellEnd"/>
            <w:r w:rsidRPr="0090639D">
              <w:rPr>
                <w:rFonts w:eastAsia="DengXian"/>
                <w:sz w:val="16"/>
                <w:szCs w:val="16"/>
                <w:lang w:val="es-ES_tradnl" w:eastAsia="zh-CN"/>
              </w:rPr>
              <w:t>, PEID</w:t>
            </w:r>
            <w:r w:rsidRPr="0090639D">
              <w:rPr>
                <w:rFonts w:eastAsia="DengXian"/>
                <w:sz w:val="16"/>
                <w:szCs w:val="16"/>
                <w:vertAlign w:val="superscript"/>
                <w:lang w:val="es-ES_tradnl" w:eastAsia="zh-CN"/>
              </w:rPr>
              <w:footnoteReference w:id="1"/>
            </w:r>
          </w:p>
        </w:tc>
        <w:tc>
          <w:tcPr>
            <w:tcW w:w="592" w:type="pct"/>
            <w:shd w:val="clear" w:color="auto" w:fill="DEEAF6"/>
            <w:vAlign w:val="center"/>
          </w:tcPr>
          <w:p w14:paraId="72D1A766" w14:textId="77777777" w:rsidR="00B14F4A" w:rsidRPr="0090639D" w:rsidRDefault="00B14F4A" w:rsidP="00615A73">
            <w:pPr>
              <w:pStyle w:val="Tabletext"/>
              <w:jc w:val="center"/>
              <w:rPr>
                <w:sz w:val="16"/>
                <w:szCs w:val="16"/>
                <w:lang w:val="es-ES_tradnl"/>
              </w:rPr>
            </w:pPr>
            <w:r w:rsidRPr="0090639D">
              <w:rPr>
                <w:sz w:val="16"/>
                <w:szCs w:val="16"/>
                <w:lang w:val="es-ES_tradnl"/>
              </w:rPr>
              <w:t>Constante a lo largo de</w:t>
            </w:r>
            <w:r w:rsidRPr="0090639D">
              <w:rPr>
                <w:sz w:val="16"/>
                <w:szCs w:val="16"/>
                <w:lang w:val="es-ES_tradnl" w:eastAsia="zh-CN"/>
              </w:rPr>
              <w:t xml:space="preserve"> 2026-2027</w:t>
            </w:r>
          </w:p>
        </w:tc>
        <w:tc>
          <w:tcPr>
            <w:tcW w:w="494" w:type="pct"/>
            <w:shd w:val="clear" w:color="auto" w:fill="DEEAF6"/>
            <w:vAlign w:val="center"/>
          </w:tcPr>
          <w:p w14:paraId="700FDD67" w14:textId="77777777" w:rsidR="00B14F4A" w:rsidRPr="0090639D" w:rsidRDefault="00B14F4A" w:rsidP="004E162C">
            <w:pPr>
              <w:pStyle w:val="Tabletext"/>
              <w:rPr>
                <w:rFonts w:eastAsia="DengXian"/>
                <w:sz w:val="16"/>
                <w:szCs w:val="16"/>
                <w:lang w:val="es-ES_tradnl" w:eastAsia="zh-CN"/>
              </w:rPr>
            </w:pPr>
          </w:p>
        </w:tc>
      </w:tr>
      <w:tr w:rsidR="00B14F4A" w:rsidRPr="0090639D" w14:paraId="592373A7" w14:textId="77777777" w:rsidTr="004E162C">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3F0FA5DC" w14:textId="77777777" w:rsidR="00B14F4A" w:rsidRPr="0090639D" w:rsidRDefault="00B14F4A" w:rsidP="004E162C">
            <w:pPr>
              <w:pStyle w:val="Tabletext"/>
              <w:rPr>
                <w:rFonts w:eastAsia="DengXian"/>
                <w:sz w:val="16"/>
                <w:szCs w:val="16"/>
                <w:lang w:val="es-ES_tradnl" w:eastAsia="zh-CN"/>
              </w:rPr>
            </w:pPr>
            <w:r w:rsidRPr="0090639D">
              <w:rPr>
                <w:rFonts w:eastAsia="DengXian"/>
                <w:sz w:val="16"/>
                <w:szCs w:val="16"/>
                <w:lang w:val="es-ES_tradnl" w:eastAsia="zh-CN"/>
              </w:rPr>
              <w:t>1.6</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565AB6B2" w14:textId="77777777" w:rsidR="00B14F4A" w:rsidRPr="0090639D" w:rsidRDefault="00B14F4A" w:rsidP="004E162C">
            <w:pPr>
              <w:pStyle w:val="Tabletext"/>
              <w:rPr>
                <w:sz w:val="16"/>
                <w:szCs w:val="16"/>
                <w:lang w:val="es-ES_tradnl" w:eastAsia="zh-CN"/>
              </w:rPr>
            </w:pPr>
            <w:r w:rsidRPr="0090639D">
              <w:rPr>
                <w:sz w:val="16"/>
                <w:szCs w:val="16"/>
                <w:lang w:val="es-ES_tradnl" w:eastAsia="zh-CN"/>
              </w:rPr>
              <w:t xml:space="preserve">Modalidades </w:t>
            </w:r>
            <w:proofErr w:type="spellStart"/>
            <w:r w:rsidRPr="0090639D">
              <w:rPr>
                <w:sz w:val="16"/>
                <w:szCs w:val="16"/>
                <w:lang w:val="es-ES_tradnl" w:eastAsia="zh-CN"/>
              </w:rPr>
              <w:t>constractuales</w:t>
            </w:r>
            <w:proofErr w:type="spellEnd"/>
            <w:r w:rsidRPr="0090639D">
              <w:rPr>
                <w:sz w:val="16"/>
                <w:szCs w:val="16"/>
                <w:lang w:val="es-ES_tradnl" w:eastAsia="zh-CN"/>
              </w:rPr>
              <w:t xml:space="preserve"> y herramientas de dotación de recursos</w:t>
            </w:r>
          </w:p>
        </w:tc>
        <w:tc>
          <w:tcPr>
            <w:tcW w:w="1228" w:type="pct"/>
            <w:tcBorders>
              <w:left w:val="single" w:sz="4" w:space="0" w:color="auto"/>
            </w:tcBorders>
            <w:shd w:val="clear" w:color="auto" w:fill="DEEAF6"/>
            <w:vAlign w:val="center"/>
          </w:tcPr>
          <w:p w14:paraId="711FB955" w14:textId="77777777" w:rsidR="00B14F4A" w:rsidRPr="0090639D" w:rsidRDefault="00B14F4A" w:rsidP="004E162C">
            <w:pPr>
              <w:pStyle w:val="Tabletext"/>
              <w:rPr>
                <w:rFonts w:eastAsia="DengXian"/>
                <w:sz w:val="16"/>
                <w:szCs w:val="16"/>
                <w:lang w:val="es-ES_tradnl" w:eastAsia="zh-CN"/>
              </w:rPr>
            </w:pPr>
            <w:r w:rsidRPr="0090639D">
              <w:rPr>
                <w:sz w:val="16"/>
                <w:szCs w:val="16"/>
                <w:lang w:val="es-ES_tradnl"/>
              </w:rPr>
              <w:t xml:space="preserve">Definir un marco contractual claro con </w:t>
            </w:r>
            <w:r w:rsidRPr="0090639D">
              <w:rPr>
                <w:b/>
                <w:bCs/>
                <w:sz w:val="16"/>
                <w:szCs w:val="16"/>
                <w:lang w:val="es-ES_tradnl"/>
              </w:rPr>
              <w:t xml:space="preserve">modalidades contractuales más flexibles </w:t>
            </w:r>
            <w:r w:rsidRPr="0090639D">
              <w:rPr>
                <w:sz w:val="16"/>
                <w:szCs w:val="16"/>
                <w:lang w:val="es-ES_tradnl"/>
              </w:rPr>
              <w:t xml:space="preserve">y </w:t>
            </w:r>
            <w:r w:rsidRPr="0090639D">
              <w:rPr>
                <w:b/>
                <w:bCs/>
                <w:sz w:val="16"/>
                <w:szCs w:val="16"/>
                <w:lang w:val="es-ES_tradnl"/>
              </w:rPr>
              <w:t xml:space="preserve">perfeccionar los instrumentos contractuales y de dotación de recursos conexos </w:t>
            </w:r>
            <w:r w:rsidRPr="0090639D">
              <w:rPr>
                <w:sz w:val="16"/>
                <w:szCs w:val="16"/>
                <w:lang w:val="es-ES_tradnl"/>
              </w:rPr>
              <w:t>para responder a aumentos repentinos de la carga de trabajo, necesidades de conocimientos especializados e iniciativas con plazos determinados</w:t>
            </w:r>
            <w:r w:rsidRPr="0090639D">
              <w:rPr>
                <w:rFonts w:eastAsia="DengXian"/>
                <w:sz w:val="16"/>
                <w:szCs w:val="16"/>
                <w:lang w:val="es-ES_tradnl" w:eastAsia="zh-CN"/>
              </w:rPr>
              <w:t>.</w:t>
            </w:r>
          </w:p>
        </w:tc>
        <w:tc>
          <w:tcPr>
            <w:tcW w:w="1842" w:type="pct"/>
            <w:shd w:val="clear" w:color="auto" w:fill="DEEAF6"/>
            <w:vAlign w:val="center"/>
          </w:tcPr>
          <w:p w14:paraId="6915D695" w14:textId="60E1B8DD"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Pr="0090639D">
              <w:rPr>
                <w:rFonts w:eastAsia="DengXian"/>
                <w:sz w:val="16"/>
                <w:szCs w:val="16"/>
                <w:lang w:val="es-ES_tradnl" w:eastAsia="zh-CN"/>
              </w:rPr>
              <w:t>Número de nuevas modalidades contractuales creadas</w:t>
            </w:r>
          </w:p>
          <w:p w14:paraId="05D5F0C4" w14:textId="4D105D00"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Pr="0090639D">
              <w:rPr>
                <w:rFonts w:eastAsia="DengXian"/>
                <w:sz w:val="16"/>
                <w:szCs w:val="16"/>
                <w:lang w:val="es-ES_tradnl" w:eastAsia="zh-CN"/>
              </w:rPr>
              <w:t>Desarrollo y aplicación de una herramienta para gestores</w:t>
            </w:r>
          </w:p>
          <w:p w14:paraId="7B82527C" w14:textId="532AC5C6"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Pr="0090639D">
              <w:rPr>
                <w:rFonts w:eastAsia="DengXian"/>
                <w:sz w:val="16"/>
                <w:szCs w:val="16"/>
                <w:lang w:val="es-ES_tradnl" w:eastAsia="zh-CN"/>
              </w:rPr>
              <w:t>Tiempo medio de cumplimentación para puestos de trabajo afines (proyectos)</w:t>
            </w:r>
          </w:p>
        </w:tc>
        <w:tc>
          <w:tcPr>
            <w:tcW w:w="592" w:type="pct"/>
            <w:shd w:val="clear" w:color="auto" w:fill="DEEAF6"/>
            <w:vAlign w:val="center"/>
          </w:tcPr>
          <w:p w14:paraId="51A36398" w14:textId="77777777" w:rsidR="00B14F4A" w:rsidRPr="0090639D" w:rsidRDefault="00B14F4A" w:rsidP="00615A73">
            <w:pPr>
              <w:pStyle w:val="Tabletext"/>
              <w:jc w:val="center"/>
              <w:rPr>
                <w:sz w:val="16"/>
                <w:szCs w:val="16"/>
                <w:lang w:val="es-ES_tradnl"/>
              </w:rPr>
            </w:pPr>
            <w:proofErr w:type="spellStart"/>
            <w:r w:rsidRPr="0090639D">
              <w:rPr>
                <w:sz w:val="16"/>
                <w:szCs w:val="16"/>
                <w:lang w:val="es-ES_tradnl"/>
              </w:rPr>
              <w:t>T4</w:t>
            </w:r>
            <w:proofErr w:type="spellEnd"/>
            <w:r w:rsidRPr="0090639D">
              <w:rPr>
                <w:sz w:val="16"/>
                <w:szCs w:val="16"/>
                <w:lang w:val="es-ES_tradnl"/>
              </w:rPr>
              <w:t xml:space="preserve"> 2026</w:t>
            </w:r>
          </w:p>
        </w:tc>
        <w:tc>
          <w:tcPr>
            <w:tcW w:w="494" w:type="pct"/>
            <w:shd w:val="clear" w:color="auto" w:fill="DEEAF6"/>
            <w:vAlign w:val="center"/>
          </w:tcPr>
          <w:p w14:paraId="0430A480" w14:textId="77777777" w:rsidR="00B14F4A" w:rsidRPr="0090639D" w:rsidRDefault="00B14F4A" w:rsidP="004E162C">
            <w:pPr>
              <w:pStyle w:val="Tabletext"/>
              <w:rPr>
                <w:rFonts w:eastAsia="DengXian"/>
                <w:sz w:val="16"/>
                <w:szCs w:val="16"/>
                <w:lang w:val="es-ES_tradnl" w:eastAsia="zh-CN"/>
              </w:rPr>
            </w:pPr>
          </w:p>
        </w:tc>
      </w:tr>
      <w:tr w:rsidR="00B14F4A" w:rsidRPr="0090639D" w14:paraId="221B9D03" w14:textId="77777777" w:rsidTr="004E162C">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4018AD80" w14:textId="77777777" w:rsidR="00B14F4A" w:rsidRPr="0090639D" w:rsidRDefault="00B14F4A" w:rsidP="004E162C">
            <w:pPr>
              <w:pStyle w:val="Tabletext"/>
              <w:rPr>
                <w:rFonts w:eastAsia="DengXian"/>
                <w:sz w:val="16"/>
                <w:szCs w:val="16"/>
                <w:lang w:val="es-ES_tradnl" w:eastAsia="zh-CN"/>
              </w:rPr>
            </w:pPr>
            <w:r w:rsidRPr="0090639D">
              <w:rPr>
                <w:rFonts w:eastAsia="DengXian"/>
                <w:sz w:val="16"/>
                <w:szCs w:val="16"/>
                <w:lang w:val="es-ES_tradnl" w:eastAsia="zh-CN"/>
              </w:rPr>
              <w:t>1.7</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0DC4ED8E" w14:textId="77777777" w:rsidR="00B14F4A" w:rsidRPr="0090639D" w:rsidRDefault="00B14F4A" w:rsidP="004E162C">
            <w:pPr>
              <w:pStyle w:val="Tabletext"/>
              <w:rPr>
                <w:sz w:val="16"/>
                <w:szCs w:val="16"/>
                <w:lang w:val="es-ES_tradnl" w:eastAsia="zh-CN"/>
              </w:rPr>
            </w:pPr>
            <w:r w:rsidRPr="0090639D">
              <w:rPr>
                <w:sz w:val="16"/>
                <w:szCs w:val="16"/>
                <w:lang w:val="es-ES_tradnl" w:eastAsia="zh-CN"/>
              </w:rPr>
              <w:t>Planificación de la mano de obra y la sucesión</w:t>
            </w:r>
          </w:p>
        </w:tc>
        <w:tc>
          <w:tcPr>
            <w:tcW w:w="1228" w:type="pct"/>
            <w:tcBorders>
              <w:left w:val="single" w:sz="4" w:space="0" w:color="auto"/>
            </w:tcBorders>
            <w:shd w:val="clear" w:color="auto" w:fill="DEEAF6"/>
            <w:vAlign w:val="center"/>
          </w:tcPr>
          <w:p w14:paraId="56DA2332" w14:textId="77777777" w:rsidR="00B14F4A" w:rsidRPr="0090639D" w:rsidRDefault="00B14F4A" w:rsidP="004E162C">
            <w:pPr>
              <w:pStyle w:val="Tabletext"/>
              <w:rPr>
                <w:rFonts w:eastAsia="DengXian"/>
                <w:sz w:val="16"/>
                <w:szCs w:val="16"/>
                <w:lang w:val="es-ES_tradnl" w:eastAsia="zh-CN"/>
              </w:rPr>
            </w:pPr>
            <w:r w:rsidRPr="0090639D">
              <w:rPr>
                <w:b/>
                <w:bCs/>
                <w:sz w:val="16"/>
                <w:szCs w:val="16"/>
                <w:lang w:val="es-ES_tradnl" w:eastAsia="zh-CN"/>
              </w:rPr>
              <w:t xml:space="preserve">Reforzar la planificación de la mano de obra y la sucesión </w:t>
            </w:r>
            <w:r w:rsidRPr="0090639D">
              <w:rPr>
                <w:sz w:val="16"/>
                <w:szCs w:val="16"/>
                <w:lang w:val="es-ES_tradnl" w:eastAsia="zh-CN"/>
              </w:rPr>
              <w:t>para prever necesidades de capacidad críticas, gestionar los riesgos vinculados al reemplazo y la jubilación y poder tomar oportunamente decisiones en materia de dotación de personal ajustadas a las prioridades institucionales</w:t>
            </w:r>
            <w:r w:rsidRPr="0090639D">
              <w:rPr>
                <w:rFonts w:eastAsia="DengXian"/>
                <w:sz w:val="16"/>
                <w:szCs w:val="16"/>
                <w:lang w:val="es-ES_tradnl" w:eastAsia="zh-CN"/>
              </w:rPr>
              <w:t>.</w:t>
            </w:r>
          </w:p>
        </w:tc>
        <w:tc>
          <w:tcPr>
            <w:tcW w:w="1842" w:type="pct"/>
            <w:shd w:val="clear" w:color="auto" w:fill="DEEAF6"/>
            <w:vAlign w:val="center"/>
          </w:tcPr>
          <w:p w14:paraId="0985215D" w14:textId="24C210D8" w:rsidR="00B14F4A" w:rsidRPr="0090639D" w:rsidRDefault="00B14F4A" w:rsidP="00375F6E">
            <w:pPr>
              <w:pStyle w:val="Tabletext"/>
              <w:tabs>
                <w:tab w:val="clear" w:pos="284"/>
                <w:tab w:val="left" w:pos="186"/>
              </w:tabs>
              <w:ind w:left="186" w:hanging="186"/>
              <w:rPr>
                <w:sz w:val="16"/>
                <w:szCs w:val="16"/>
                <w:lang w:val="es-ES_tradnl"/>
              </w:rPr>
            </w:pPr>
            <w:r w:rsidRPr="0090639D">
              <w:rPr>
                <w:sz w:val="16"/>
                <w:szCs w:val="16"/>
                <w:lang w:val="es-ES_tradnl"/>
              </w:rPr>
              <w:t>•</w:t>
            </w:r>
            <w:r w:rsidR="006B0180" w:rsidRPr="0090639D">
              <w:rPr>
                <w:sz w:val="16"/>
                <w:szCs w:val="16"/>
                <w:lang w:val="es-ES_tradnl"/>
              </w:rPr>
              <w:tab/>
            </w:r>
            <w:r w:rsidRPr="0090639D">
              <w:rPr>
                <w:sz w:val="16"/>
                <w:szCs w:val="16"/>
                <w:lang w:val="es-ES_tradnl"/>
              </w:rPr>
              <w:t>Marco de planificación de la mano de obra aprobado y aplicado (cualitativo)</w:t>
            </w:r>
          </w:p>
          <w:p w14:paraId="535DAB59" w14:textId="3F333C58" w:rsidR="00B14F4A" w:rsidRPr="0090639D" w:rsidRDefault="00B14F4A" w:rsidP="00375F6E">
            <w:pPr>
              <w:pStyle w:val="Tabletext"/>
              <w:tabs>
                <w:tab w:val="clear" w:pos="284"/>
                <w:tab w:val="left" w:pos="186"/>
              </w:tabs>
              <w:ind w:left="186" w:hanging="186"/>
              <w:rPr>
                <w:sz w:val="16"/>
                <w:szCs w:val="16"/>
                <w:lang w:val="es-ES_tradnl"/>
              </w:rPr>
            </w:pPr>
            <w:r w:rsidRPr="0090639D">
              <w:rPr>
                <w:sz w:val="16"/>
                <w:szCs w:val="16"/>
                <w:lang w:val="es-ES_tradnl"/>
              </w:rPr>
              <w:t>•</w:t>
            </w:r>
            <w:r w:rsidR="006B0180" w:rsidRPr="0090639D">
              <w:rPr>
                <w:sz w:val="16"/>
                <w:szCs w:val="16"/>
                <w:lang w:val="es-ES_tradnl"/>
              </w:rPr>
              <w:tab/>
            </w:r>
            <w:r w:rsidRPr="0090639D">
              <w:rPr>
                <w:sz w:val="16"/>
                <w:szCs w:val="16"/>
                <w:lang w:val="es-ES_tradnl"/>
              </w:rPr>
              <w:t xml:space="preserve">Planificación de la sucesión para funciones esenciales definida (cualitativo/cuantitativo) </w:t>
            </w:r>
          </w:p>
          <w:p w14:paraId="4B8368DF" w14:textId="04AE9835" w:rsidR="00B14F4A" w:rsidRPr="0090639D" w:rsidRDefault="00B14F4A" w:rsidP="00375F6E">
            <w:pPr>
              <w:pStyle w:val="Tabletext"/>
              <w:tabs>
                <w:tab w:val="clear" w:pos="284"/>
                <w:tab w:val="left" w:pos="186"/>
              </w:tabs>
              <w:ind w:left="186" w:hanging="186"/>
              <w:rPr>
                <w:sz w:val="16"/>
                <w:szCs w:val="16"/>
                <w:lang w:val="es-ES_tradnl"/>
              </w:rPr>
            </w:pPr>
            <w:r w:rsidRPr="0090639D">
              <w:rPr>
                <w:sz w:val="16"/>
                <w:szCs w:val="16"/>
                <w:lang w:val="es-ES_tradnl"/>
              </w:rPr>
              <w:t>•</w:t>
            </w:r>
            <w:r w:rsidR="006B0180" w:rsidRPr="0090639D">
              <w:rPr>
                <w:sz w:val="16"/>
                <w:szCs w:val="16"/>
                <w:lang w:val="es-ES_tradnl"/>
              </w:rPr>
              <w:tab/>
            </w:r>
            <w:r w:rsidRPr="0090639D">
              <w:rPr>
                <w:sz w:val="16"/>
                <w:szCs w:val="16"/>
                <w:lang w:val="es-ES_tradnl"/>
              </w:rPr>
              <w:t>Tendencias de vacantes y visibilidad del proceso (panel)</w:t>
            </w:r>
          </w:p>
        </w:tc>
        <w:tc>
          <w:tcPr>
            <w:tcW w:w="592" w:type="pct"/>
            <w:shd w:val="clear" w:color="auto" w:fill="DEEAF6"/>
            <w:vAlign w:val="center"/>
          </w:tcPr>
          <w:p w14:paraId="0B5B104D" w14:textId="77777777" w:rsidR="00B14F4A" w:rsidRPr="0090639D" w:rsidRDefault="00B14F4A" w:rsidP="00615A73">
            <w:pPr>
              <w:pStyle w:val="Tabletext"/>
              <w:jc w:val="center"/>
              <w:rPr>
                <w:sz w:val="16"/>
                <w:szCs w:val="16"/>
                <w:lang w:val="es-ES_tradnl"/>
              </w:rPr>
            </w:pPr>
            <w:proofErr w:type="spellStart"/>
            <w:r w:rsidRPr="0090639D">
              <w:rPr>
                <w:sz w:val="16"/>
                <w:szCs w:val="16"/>
                <w:lang w:val="es-ES_tradnl"/>
              </w:rPr>
              <w:t>T4</w:t>
            </w:r>
            <w:proofErr w:type="spellEnd"/>
            <w:r w:rsidRPr="0090639D">
              <w:rPr>
                <w:sz w:val="16"/>
                <w:szCs w:val="16"/>
                <w:lang w:val="es-ES_tradnl"/>
              </w:rPr>
              <w:t>/2026</w:t>
            </w:r>
          </w:p>
        </w:tc>
        <w:tc>
          <w:tcPr>
            <w:tcW w:w="494" w:type="pct"/>
            <w:shd w:val="clear" w:color="auto" w:fill="DEEAF6"/>
            <w:vAlign w:val="center"/>
          </w:tcPr>
          <w:p w14:paraId="3F8D12EB" w14:textId="77777777" w:rsidR="00B14F4A" w:rsidRPr="0090639D" w:rsidRDefault="00B14F4A" w:rsidP="004E162C">
            <w:pPr>
              <w:pStyle w:val="Tabletext"/>
              <w:rPr>
                <w:rFonts w:eastAsia="DengXian"/>
                <w:sz w:val="16"/>
                <w:szCs w:val="16"/>
                <w:lang w:val="es-ES_tradnl" w:eastAsia="zh-CN"/>
              </w:rPr>
            </w:pPr>
          </w:p>
        </w:tc>
      </w:tr>
      <w:tr w:rsidR="00B14F4A" w:rsidRPr="0090639D" w14:paraId="74D87C88" w14:textId="77777777" w:rsidTr="004E162C">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18633530" w14:textId="77777777" w:rsidR="00B14F4A" w:rsidRPr="0090639D" w:rsidRDefault="00B14F4A" w:rsidP="004E162C">
            <w:pPr>
              <w:pStyle w:val="Tabletext"/>
              <w:rPr>
                <w:rFonts w:eastAsia="DengXian"/>
                <w:sz w:val="16"/>
                <w:szCs w:val="16"/>
                <w:lang w:val="es-ES_tradnl" w:eastAsia="zh-CN"/>
              </w:rPr>
            </w:pPr>
            <w:r w:rsidRPr="0090639D">
              <w:rPr>
                <w:rFonts w:eastAsia="DengXian"/>
                <w:sz w:val="16"/>
                <w:szCs w:val="16"/>
                <w:lang w:val="es-ES_tradnl" w:eastAsia="zh-CN"/>
              </w:rPr>
              <w:t>2.1</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30FC35A6" w14:textId="77777777" w:rsidR="00B14F4A" w:rsidRPr="0090639D" w:rsidRDefault="00B14F4A" w:rsidP="004E162C">
            <w:pPr>
              <w:pStyle w:val="Tabletext"/>
              <w:rPr>
                <w:sz w:val="16"/>
                <w:szCs w:val="16"/>
                <w:lang w:val="es-ES_tradnl" w:eastAsia="zh-CN"/>
              </w:rPr>
            </w:pPr>
            <w:r w:rsidRPr="0090639D">
              <w:rPr>
                <w:sz w:val="16"/>
                <w:szCs w:val="16"/>
                <w:lang w:val="es-ES_tradnl" w:eastAsia="zh-CN"/>
              </w:rPr>
              <w:t>Jerarquía e identificación temprana</w:t>
            </w:r>
          </w:p>
        </w:tc>
        <w:tc>
          <w:tcPr>
            <w:tcW w:w="1228" w:type="pct"/>
            <w:tcBorders>
              <w:left w:val="single" w:sz="4" w:space="0" w:color="auto"/>
            </w:tcBorders>
            <w:shd w:val="clear" w:color="auto" w:fill="DEEAF6"/>
            <w:vAlign w:val="center"/>
          </w:tcPr>
          <w:p w14:paraId="56A2F885" w14:textId="6B21BFA5" w:rsidR="00B14F4A" w:rsidRPr="0090639D" w:rsidRDefault="00FC2749" w:rsidP="004E162C">
            <w:pPr>
              <w:pStyle w:val="Tabletext"/>
              <w:rPr>
                <w:sz w:val="16"/>
                <w:szCs w:val="16"/>
                <w:lang w:val="es-ES_tradnl"/>
              </w:rPr>
            </w:pPr>
            <w:r w:rsidRPr="0090639D">
              <w:rPr>
                <w:b/>
                <w:bCs/>
                <w:sz w:val="16"/>
                <w:szCs w:val="16"/>
                <w:lang w:val="es-ES_tradnl" w:eastAsia="zh-CN"/>
              </w:rPr>
              <w:t>R</w:t>
            </w:r>
            <w:r w:rsidR="00B14F4A" w:rsidRPr="0090639D">
              <w:rPr>
                <w:b/>
                <w:bCs/>
                <w:sz w:val="16"/>
                <w:szCs w:val="16"/>
                <w:lang w:val="es-ES_tradnl" w:eastAsia="zh-CN"/>
              </w:rPr>
              <w:t xml:space="preserve">eforzar la jerarquía y la identificación proactiva </w:t>
            </w:r>
            <w:r w:rsidR="00B14F4A" w:rsidRPr="0090639D">
              <w:rPr>
                <w:sz w:val="16"/>
                <w:szCs w:val="16"/>
                <w:lang w:val="es-ES_tradnl" w:eastAsia="zh-CN"/>
              </w:rPr>
              <w:t>aclarando las expectativas de la dirección, detectando prontamente el potencial y poniendo a disposición oportunidades de desarrollo precisas</w:t>
            </w:r>
            <w:r w:rsidR="00B14F4A" w:rsidRPr="0090639D">
              <w:rPr>
                <w:sz w:val="16"/>
                <w:szCs w:val="16"/>
                <w:lang w:val="es-ES_tradnl"/>
              </w:rPr>
              <w:t>.</w:t>
            </w:r>
          </w:p>
        </w:tc>
        <w:tc>
          <w:tcPr>
            <w:tcW w:w="1842" w:type="pct"/>
            <w:shd w:val="clear" w:color="auto" w:fill="DEEAF6"/>
            <w:vAlign w:val="center"/>
          </w:tcPr>
          <w:p w14:paraId="4524F0A4" w14:textId="7C67CDF3"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Pr="0090639D">
              <w:rPr>
                <w:rFonts w:eastAsia="DengXian"/>
                <w:sz w:val="16"/>
                <w:szCs w:val="16"/>
                <w:lang w:val="es-ES_tradnl" w:eastAsia="zh-CN"/>
              </w:rPr>
              <w:t xml:space="preserve">Número de programas de desarrollo del liderazgo ofrecidos </w:t>
            </w:r>
          </w:p>
          <w:p w14:paraId="353093C1" w14:textId="1240931C"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Pr="0090639D">
              <w:rPr>
                <w:rFonts w:eastAsia="DengXian"/>
                <w:sz w:val="16"/>
                <w:szCs w:val="16"/>
                <w:lang w:val="es-ES_tradnl" w:eastAsia="zh-CN"/>
              </w:rPr>
              <w:t>participación y compleción en formaciones de liderazgo</w:t>
            </w:r>
          </w:p>
        </w:tc>
        <w:tc>
          <w:tcPr>
            <w:tcW w:w="592" w:type="pct"/>
            <w:shd w:val="clear" w:color="auto" w:fill="DEEAF6"/>
            <w:vAlign w:val="center"/>
          </w:tcPr>
          <w:p w14:paraId="23A1143A" w14:textId="77777777" w:rsidR="00B14F4A" w:rsidRPr="0090639D" w:rsidRDefault="00B14F4A" w:rsidP="00615A73">
            <w:pPr>
              <w:pStyle w:val="Tabletext"/>
              <w:jc w:val="center"/>
              <w:rPr>
                <w:sz w:val="16"/>
                <w:szCs w:val="16"/>
                <w:lang w:val="es-ES_tradnl"/>
              </w:rPr>
            </w:pPr>
            <w:r w:rsidRPr="0090639D">
              <w:rPr>
                <w:sz w:val="16"/>
                <w:szCs w:val="16"/>
                <w:lang w:val="es-ES_tradnl"/>
              </w:rPr>
              <w:t>Oferta en 2026 y 2027</w:t>
            </w:r>
          </w:p>
        </w:tc>
        <w:tc>
          <w:tcPr>
            <w:tcW w:w="494" w:type="pct"/>
            <w:shd w:val="clear" w:color="auto" w:fill="DEEAF6"/>
            <w:vAlign w:val="center"/>
          </w:tcPr>
          <w:p w14:paraId="7591C8FD" w14:textId="77777777" w:rsidR="00B14F4A" w:rsidRPr="0090639D" w:rsidRDefault="00B14F4A" w:rsidP="004E162C">
            <w:pPr>
              <w:pStyle w:val="Tabletext"/>
              <w:rPr>
                <w:rFonts w:eastAsia="DengXian"/>
                <w:sz w:val="16"/>
                <w:szCs w:val="16"/>
                <w:lang w:val="es-ES_tradnl" w:eastAsia="zh-CN"/>
              </w:rPr>
            </w:pPr>
          </w:p>
        </w:tc>
      </w:tr>
      <w:tr w:rsidR="00B14F4A" w:rsidRPr="0090639D" w14:paraId="5F7FB6B4" w14:textId="77777777" w:rsidTr="004E162C">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302E5987" w14:textId="77777777" w:rsidR="00B14F4A" w:rsidRPr="0090639D" w:rsidRDefault="00B14F4A" w:rsidP="004E162C">
            <w:pPr>
              <w:pStyle w:val="Tabletext"/>
              <w:rPr>
                <w:rFonts w:eastAsia="DengXian"/>
                <w:sz w:val="16"/>
                <w:szCs w:val="16"/>
                <w:lang w:val="es-ES_tradnl" w:eastAsia="zh-CN"/>
              </w:rPr>
            </w:pPr>
            <w:r w:rsidRPr="0090639D">
              <w:rPr>
                <w:rFonts w:eastAsia="DengXian"/>
                <w:sz w:val="16"/>
                <w:szCs w:val="16"/>
                <w:lang w:val="es-ES_tradnl" w:eastAsia="zh-CN"/>
              </w:rPr>
              <w:t>2.2</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7D2D6E13" w14:textId="77777777" w:rsidR="00B14F4A" w:rsidRPr="0090639D" w:rsidRDefault="00B14F4A" w:rsidP="004E162C">
            <w:pPr>
              <w:pStyle w:val="Tabletext"/>
              <w:rPr>
                <w:sz w:val="16"/>
                <w:szCs w:val="16"/>
                <w:lang w:val="es-ES_tradnl" w:eastAsia="zh-CN"/>
              </w:rPr>
            </w:pPr>
            <w:r w:rsidRPr="0090639D">
              <w:rPr>
                <w:sz w:val="16"/>
                <w:szCs w:val="16"/>
                <w:lang w:val="es-ES_tradnl" w:eastAsia="zh-CN"/>
              </w:rPr>
              <w:t>Formación obligatoria de los gestores</w:t>
            </w:r>
          </w:p>
        </w:tc>
        <w:tc>
          <w:tcPr>
            <w:tcW w:w="1228" w:type="pct"/>
            <w:tcBorders>
              <w:left w:val="single" w:sz="4" w:space="0" w:color="auto"/>
            </w:tcBorders>
            <w:shd w:val="clear" w:color="auto" w:fill="DEEAF6"/>
            <w:vAlign w:val="center"/>
          </w:tcPr>
          <w:p w14:paraId="52E4CD88" w14:textId="77777777" w:rsidR="00B14F4A" w:rsidRPr="0090639D" w:rsidRDefault="00B14F4A" w:rsidP="004E162C">
            <w:pPr>
              <w:pStyle w:val="Tabletext"/>
              <w:rPr>
                <w:sz w:val="16"/>
                <w:szCs w:val="16"/>
                <w:lang w:val="es-ES_tradnl"/>
              </w:rPr>
            </w:pPr>
            <w:r w:rsidRPr="0090639D">
              <w:rPr>
                <w:b/>
                <w:bCs/>
                <w:sz w:val="16"/>
                <w:szCs w:val="16"/>
                <w:lang w:val="es-ES_tradnl" w:eastAsia="zh-CN"/>
              </w:rPr>
              <w:t xml:space="preserve">Introducir la formación obligatoria de los gestores </w:t>
            </w:r>
            <w:r w:rsidRPr="0090639D">
              <w:rPr>
                <w:sz w:val="16"/>
                <w:szCs w:val="16"/>
                <w:lang w:val="es-ES_tradnl" w:eastAsia="zh-CN"/>
              </w:rPr>
              <w:t>para crear y afianzar capacidades de gestión de personal esenciales, respaldadas por herramientas prácticas y orientaciones para la aplicación coherente de políticas y procedimientos</w:t>
            </w:r>
            <w:r w:rsidRPr="0090639D">
              <w:rPr>
                <w:sz w:val="16"/>
                <w:szCs w:val="16"/>
                <w:lang w:val="es-ES_tradnl"/>
              </w:rPr>
              <w:t>.</w:t>
            </w:r>
          </w:p>
        </w:tc>
        <w:tc>
          <w:tcPr>
            <w:tcW w:w="1842" w:type="pct"/>
            <w:shd w:val="clear" w:color="auto" w:fill="DEEAF6"/>
            <w:vAlign w:val="center"/>
          </w:tcPr>
          <w:p w14:paraId="2EADB359" w14:textId="216A2381"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Pr="0090639D">
              <w:rPr>
                <w:rFonts w:eastAsia="DengXian"/>
                <w:sz w:val="16"/>
                <w:szCs w:val="16"/>
                <w:lang w:val="es-ES_tradnl" w:eastAsia="zh-CN"/>
              </w:rPr>
              <w:t xml:space="preserve">% de compleción de formaciones obligatorias (grupos de gestores) </w:t>
            </w:r>
          </w:p>
          <w:p w14:paraId="58C6281C" w14:textId="6DBFCB44"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Pr="0090639D">
              <w:rPr>
                <w:rFonts w:eastAsia="DengXian"/>
                <w:sz w:val="16"/>
                <w:szCs w:val="16"/>
                <w:lang w:val="es-ES_tradnl" w:eastAsia="zh-CN"/>
              </w:rPr>
              <w:t>% de gestores que han completado la formación obligatoria en el plazo impartido</w:t>
            </w:r>
          </w:p>
        </w:tc>
        <w:tc>
          <w:tcPr>
            <w:tcW w:w="592" w:type="pct"/>
            <w:shd w:val="clear" w:color="auto" w:fill="DEEAF6"/>
            <w:vAlign w:val="center"/>
          </w:tcPr>
          <w:p w14:paraId="44FD9EA7" w14:textId="77777777" w:rsidR="00B14F4A" w:rsidRPr="0090639D" w:rsidRDefault="00B14F4A" w:rsidP="00615A73">
            <w:pPr>
              <w:pStyle w:val="Tabletext"/>
              <w:jc w:val="center"/>
              <w:rPr>
                <w:sz w:val="16"/>
                <w:szCs w:val="16"/>
                <w:lang w:val="es-ES_tradnl"/>
              </w:rPr>
            </w:pPr>
            <w:proofErr w:type="spellStart"/>
            <w:r w:rsidRPr="0090639D">
              <w:rPr>
                <w:sz w:val="16"/>
                <w:szCs w:val="16"/>
                <w:lang w:val="es-ES_tradnl"/>
              </w:rPr>
              <w:t>T4</w:t>
            </w:r>
            <w:proofErr w:type="spellEnd"/>
            <w:r w:rsidRPr="0090639D">
              <w:rPr>
                <w:sz w:val="16"/>
                <w:szCs w:val="16"/>
                <w:lang w:val="es-ES_tradnl"/>
              </w:rPr>
              <w:t xml:space="preserve"> 2026</w:t>
            </w:r>
          </w:p>
        </w:tc>
        <w:tc>
          <w:tcPr>
            <w:tcW w:w="494" w:type="pct"/>
            <w:shd w:val="clear" w:color="auto" w:fill="DEEAF6"/>
            <w:vAlign w:val="center"/>
          </w:tcPr>
          <w:p w14:paraId="50BC3666" w14:textId="77777777" w:rsidR="00B14F4A" w:rsidRPr="0090639D" w:rsidRDefault="00B14F4A" w:rsidP="004E162C">
            <w:pPr>
              <w:pStyle w:val="Tabletext"/>
              <w:rPr>
                <w:rFonts w:eastAsia="DengXian"/>
                <w:sz w:val="16"/>
                <w:szCs w:val="16"/>
                <w:lang w:val="es-ES_tradnl" w:eastAsia="zh-CN"/>
              </w:rPr>
            </w:pPr>
          </w:p>
        </w:tc>
      </w:tr>
      <w:tr w:rsidR="00B14F4A" w:rsidRPr="0090639D" w14:paraId="12F9F209" w14:textId="77777777" w:rsidTr="004E162C">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4190F474" w14:textId="77777777" w:rsidR="00B14F4A" w:rsidRPr="0090639D" w:rsidRDefault="00B14F4A" w:rsidP="004E162C">
            <w:pPr>
              <w:pStyle w:val="Tabletext"/>
              <w:rPr>
                <w:rFonts w:eastAsia="DengXian"/>
                <w:sz w:val="16"/>
                <w:szCs w:val="16"/>
                <w:lang w:val="es-ES_tradnl" w:eastAsia="zh-CN"/>
              </w:rPr>
            </w:pPr>
            <w:r w:rsidRPr="0090639D">
              <w:rPr>
                <w:rFonts w:eastAsia="DengXian"/>
                <w:sz w:val="16"/>
                <w:szCs w:val="16"/>
                <w:lang w:val="es-ES_tradnl" w:eastAsia="zh-CN"/>
              </w:rPr>
              <w:lastRenderedPageBreak/>
              <w:t>2.3</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70FED08B" w14:textId="77777777" w:rsidR="00B14F4A" w:rsidRPr="0090639D" w:rsidRDefault="00B14F4A" w:rsidP="004E162C">
            <w:pPr>
              <w:pStyle w:val="Tabletext"/>
              <w:rPr>
                <w:sz w:val="16"/>
                <w:szCs w:val="16"/>
                <w:lang w:val="es-ES_tradnl" w:eastAsia="zh-CN"/>
              </w:rPr>
            </w:pPr>
            <w:r w:rsidRPr="0090639D">
              <w:rPr>
                <w:sz w:val="16"/>
                <w:szCs w:val="16"/>
                <w:lang w:val="es-ES_tradnl" w:eastAsia="zh-CN"/>
              </w:rPr>
              <w:t>Liderazgo inclusivo y adaptable</w:t>
            </w:r>
          </w:p>
        </w:tc>
        <w:tc>
          <w:tcPr>
            <w:tcW w:w="1228" w:type="pct"/>
            <w:tcBorders>
              <w:left w:val="single" w:sz="4" w:space="0" w:color="auto"/>
            </w:tcBorders>
            <w:shd w:val="clear" w:color="auto" w:fill="DEEAF6"/>
            <w:vAlign w:val="center"/>
          </w:tcPr>
          <w:p w14:paraId="7A934C7E" w14:textId="77777777" w:rsidR="00B14F4A" w:rsidRPr="0090639D" w:rsidRDefault="00B14F4A" w:rsidP="004E162C">
            <w:pPr>
              <w:pStyle w:val="Tabletext"/>
              <w:rPr>
                <w:sz w:val="16"/>
                <w:szCs w:val="16"/>
                <w:lang w:val="es-ES_tradnl"/>
              </w:rPr>
            </w:pPr>
            <w:r w:rsidRPr="0090639D">
              <w:rPr>
                <w:b/>
                <w:bCs/>
                <w:sz w:val="16"/>
                <w:szCs w:val="16"/>
                <w:lang w:val="es-ES_tradnl" w:eastAsia="zh-CN"/>
              </w:rPr>
              <w:t xml:space="preserve">Cultivar el liderazgo inclusivo y adaptable </w:t>
            </w:r>
            <w:r w:rsidRPr="0090639D">
              <w:rPr>
                <w:sz w:val="16"/>
                <w:szCs w:val="16"/>
                <w:lang w:val="es-ES_tradnl" w:eastAsia="zh-CN"/>
              </w:rPr>
              <w:t>en aras de la innovación y la resiliencia institucional gracias a programas de aprendizaje definidos que integren la responsabilidad y la equidad en las decisiones cotidianas</w:t>
            </w:r>
            <w:r w:rsidRPr="0090639D">
              <w:rPr>
                <w:sz w:val="16"/>
                <w:szCs w:val="16"/>
                <w:lang w:val="es-ES_tradnl"/>
              </w:rPr>
              <w:t>.</w:t>
            </w:r>
          </w:p>
        </w:tc>
        <w:tc>
          <w:tcPr>
            <w:tcW w:w="1842" w:type="pct"/>
            <w:shd w:val="clear" w:color="auto" w:fill="DEEAF6"/>
            <w:vAlign w:val="center"/>
          </w:tcPr>
          <w:p w14:paraId="7FEA8278" w14:textId="6A6CEC67"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00FC2749" w:rsidRPr="0090639D">
              <w:rPr>
                <w:sz w:val="16"/>
                <w:szCs w:val="16"/>
                <w:lang w:val="es-ES_tradnl"/>
              </w:rPr>
              <w:t>P</w:t>
            </w:r>
            <w:r w:rsidRPr="0090639D">
              <w:rPr>
                <w:rFonts w:eastAsia="DengXian"/>
                <w:sz w:val="16"/>
                <w:szCs w:val="16"/>
                <w:lang w:val="es-ES_tradnl" w:eastAsia="zh-CN"/>
              </w:rPr>
              <w:t>articipación y compleción de formaciones de liderazgo (incluido el liderazgo adaptable, el liderazgo reactivo al género, etc.)</w:t>
            </w:r>
          </w:p>
          <w:p w14:paraId="629C29CE" w14:textId="3ACB4366"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00FC2749" w:rsidRPr="0090639D">
              <w:rPr>
                <w:sz w:val="16"/>
                <w:szCs w:val="16"/>
                <w:lang w:val="es-ES_tradnl"/>
              </w:rPr>
              <w:t>P</w:t>
            </w:r>
            <w:r w:rsidRPr="0090639D">
              <w:rPr>
                <w:rFonts w:eastAsia="DengXian"/>
                <w:sz w:val="16"/>
                <w:szCs w:val="16"/>
                <w:lang w:val="es-ES_tradnl" w:eastAsia="zh-CN"/>
              </w:rPr>
              <w:t>untuación de inclusión en la encuesta de implicación de los empleados (tendencia)</w:t>
            </w:r>
          </w:p>
        </w:tc>
        <w:tc>
          <w:tcPr>
            <w:tcW w:w="592" w:type="pct"/>
            <w:shd w:val="clear" w:color="auto" w:fill="DEEAF6"/>
            <w:vAlign w:val="center"/>
          </w:tcPr>
          <w:p w14:paraId="1BFCB98D" w14:textId="77777777" w:rsidR="00B14F4A" w:rsidRPr="0090639D" w:rsidRDefault="00B14F4A" w:rsidP="00615A73">
            <w:pPr>
              <w:pStyle w:val="Tabletext"/>
              <w:jc w:val="center"/>
              <w:rPr>
                <w:sz w:val="16"/>
                <w:szCs w:val="16"/>
                <w:lang w:val="es-ES_tradnl"/>
              </w:rPr>
            </w:pPr>
            <w:proofErr w:type="spellStart"/>
            <w:r w:rsidRPr="0090639D">
              <w:rPr>
                <w:sz w:val="16"/>
                <w:szCs w:val="16"/>
                <w:lang w:val="es-ES_tradnl"/>
              </w:rPr>
              <w:t>T3</w:t>
            </w:r>
            <w:proofErr w:type="spellEnd"/>
            <w:r w:rsidRPr="0090639D">
              <w:rPr>
                <w:sz w:val="16"/>
                <w:szCs w:val="16"/>
                <w:lang w:val="es-ES_tradnl"/>
              </w:rPr>
              <w:t xml:space="preserve"> 2026</w:t>
            </w:r>
          </w:p>
        </w:tc>
        <w:tc>
          <w:tcPr>
            <w:tcW w:w="494" w:type="pct"/>
            <w:shd w:val="clear" w:color="auto" w:fill="DEEAF6"/>
            <w:vAlign w:val="center"/>
          </w:tcPr>
          <w:p w14:paraId="49671769" w14:textId="77777777" w:rsidR="00B14F4A" w:rsidRPr="0090639D" w:rsidRDefault="00B14F4A" w:rsidP="004E162C">
            <w:pPr>
              <w:pStyle w:val="Tabletext"/>
              <w:rPr>
                <w:rFonts w:eastAsia="DengXian"/>
                <w:sz w:val="16"/>
                <w:szCs w:val="16"/>
                <w:lang w:val="es-ES_tradnl" w:eastAsia="zh-CN"/>
              </w:rPr>
            </w:pPr>
          </w:p>
        </w:tc>
      </w:tr>
      <w:tr w:rsidR="00B14F4A" w:rsidRPr="0090639D" w14:paraId="55C4B254" w14:textId="77777777" w:rsidTr="004E162C">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19C70369" w14:textId="77777777" w:rsidR="00B14F4A" w:rsidRPr="0090639D" w:rsidRDefault="00B14F4A" w:rsidP="004E162C">
            <w:pPr>
              <w:pStyle w:val="Tabletext"/>
              <w:rPr>
                <w:rFonts w:eastAsia="DengXian"/>
                <w:sz w:val="16"/>
                <w:szCs w:val="16"/>
                <w:lang w:val="es-ES_tradnl" w:eastAsia="zh-CN"/>
              </w:rPr>
            </w:pPr>
            <w:r w:rsidRPr="0090639D">
              <w:rPr>
                <w:rFonts w:eastAsia="DengXian"/>
                <w:sz w:val="16"/>
                <w:szCs w:val="16"/>
                <w:lang w:val="es-ES_tradnl" w:eastAsia="zh-CN"/>
              </w:rPr>
              <w:t>2.4</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02DA9935" w14:textId="77777777" w:rsidR="00B14F4A" w:rsidRPr="0090639D" w:rsidRDefault="00B14F4A" w:rsidP="004E162C">
            <w:pPr>
              <w:pStyle w:val="Tabletext"/>
              <w:rPr>
                <w:sz w:val="16"/>
                <w:szCs w:val="16"/>
                <w:lang w:val="es-ES_tradnl" w:eastAsia="zh-CN"/>
              </w:rPr>
            </w:pPr>
            <w:r w:rsidRPr="0090639D">
              <w:rPr>
                <w:sz w:val="16"/>
                <w:szCs w:val="16"/>
                <w:lang w:val="es-ES_tradnl" w:eastAsia="zh-CN"/>
              </w:rPr>
              <w:t>Gestión de conflictos y relaciones en el lugar de trabajo</w:t>
            </w:r>
          </w:p>
        </w:tc>
        <w:tc>
          <w:tcPr>
            <w:tcW w:w="1228" w:type="pct"/>
            <w:tcBorders>
              <w:left w:val="single" w:sz="4" w:space="0" w:color="auto"/>
            </w:tcBorders>
            <w:shd w:val="clear" w:color="auto" w:fill="DEEAF6"/>
            <w:vAlign w:val="center"/>
          </w:tcPr>
          <w:p w14:paraId="1734335D" w14:textId="77777777" w:rsidR="00B14F4A" w:rsidRPr="0090639D" w:rsidRDefault="00B14F4A" w:rsidP="004E162C">
            <w:pPr>
              <w:pStyle w:val="Tabletext"/>
              <w:rPr>
                <w:sz w:val="16"/>
                <w:szCs w:val="16"/>
                <w:lang w:val="es-ES_tradnl"/>
              </w:rPr>
            </w:pPr>
            <w:r w:rsidRPr="0090639D">
              <w:rPr>
                <w:b/>
                <w:bCs/>
                <w:sz w:val="16"/>
                <w:szCs w:val="16"/>
                <w:lang w:val="es-ES_tradnl"/>
              </w:rPr>
              <w:t xml:space="preserve">Reforzar la gestión de conflictos y las relaciones en el lugar de trabajo </w:t>
            </w:r>
            <w:r w:rsidRPr="0090639D">
              <w:rPr>
                <w:sz w:val="16"/>
                <w:szCs w:val="16"/>
                <w:lang w:val="es-ES_tradnl"/>
              </w:rPr>
              <w:t>aumentando la prevención y las vías de resolución, incluido el oportuno acceso a asesoramiento y apoyo independientes para los gestores y el personal a través del</w:t>
            </w:r>
            <w:r w:rsidRPr="0090639D">
              <w:rPr>
                <w:sz w:val="16"/>
                <w:szCs w:val="16"/>
                <w:lang w:val="es-ES_tradnl" w:eastAsia="zh-CN"/>
              </w:rPr>
              <w:t xml:space="preserve"> Ombudsman y otros mecanismos pertinentes</w:t>
            </w:r>
            <w:r w:rsidRPr="0090639D">
              <w:rPr>
                <w:sz w:val="16"/>
                <w:szCs w:val="16"/>
                <w:lang w:val="es-ES_tradnl"/>
              </w:rPr>
              <w:t>.</w:t>
            </w:r>
          </w:p>
        </w:tc>
        <w:tc>
          <w:tcPr>
            <w:tcW w:w="1842" w:type="pct"/>
            <w:shd w:val="clear" w:color="auto" w:fill="DEEAF6"/>
            <w:vAlign w:val="center"/>
          </w:tcPr>
          <w:p w14:paraId="48A3379A" w14:textId="393F6ECB" w:rsidR="00B14F4A" w:rsidRPr="0090639D" w:rsidRDefault="00B14F4A" w:rsidP="00375F6E">
            <w:pPr>
              <w:pStyle w:val="Tabletext"/>
              <w:tabs>
                <w:tab w:val="clear" w:pos="284"/>
                <w:tab w:val="left" w:pos="186"/>
              </w:tabs>
              <w:ind w:left="186" w:hanging="186"/>
              <w:rPr>
                <w:sz w:val="16"/>
                <w:szCs w:val="16"/>
                <w:lang w:val="es-ES_tradnl"/>
              </w:rPr>
            </w:pPr>
            <w:r w:rsidRPr="0090639D">
              <w:rPr>
                <w:sz w:val="16"/>
                <w:szCs w:val="16"/>
                <w:lang w:val="es-ES_tradnl"/>
              </w:rPr>
              <w:t>•</w:t>
            </w:r>
            <w:r w:rsidR="006B0180" w:rsidRPr="0090639D">
              <w:rPr>
                <w:sz w:val="16"/>
                <w:szCs w:val="16"/>
                <w:lang w:val="es-ES_tradnl"/>
              </w:rPr>
              <w:tab/>
            </w:r>
            <w:r w:rsidRPr="0090639D">
              <w:rPr>
                <w:sz w:val="16"/>
                <w:szCs w:val="16"/>
                <w:lang w:val="es-ES_tradnl"/>
              </w:rPr>
              <w:t>Número de gestores y de personal formado en prevención y resolución oficiosa de conflictos</w:t>
            </w:r>
          </w:p>
          <w:p w14:paraId="3898DDFF" w14:textId="3D7BEDEB" w:rsidR="00B14F4A" w:rsidRPr="0090639D" w:rsidRDefault="00B14F4A" w:rsidP="00375F6E">
            <w:pPr>
              <w:pStyle w:val="Tabletext"/>
              <w:tabs>
                <w:tab w:val="clear" w:pos="284"/>
                <w:tab w:val="left" w:pos="186"/>
              </w:tabs>
              <w:ind w:left="186" w:hanging="186"/>
              <w:rPr>
                <w:sz w:val="16"/>
                <w:szCs w:val="16"/>
                <w:lang w:val="es-ES_tradnl"/>
              </w:rPr>
            </w:pPr>
            <w:r w:rsidRPr="0090639D">
              <w:rPr>
                <w:sz w:val="16"/>
                <w:szCs w:val="16"/>
                <w:lang w:val="es-ES_tradnl"/>
              </w:rPr>
              <w:t>•</w:t>
            </w:r>
            <w:r w:rsidR="006B0180" w:rsidRPr="0090639D">
              <w:rPr>
                <w:sz w:val="16"/>
                <w:szCs w:val="16"/>
                <w:lang w:val="es-ES_tradnl"/>
              </w:rPr>
              <w:tab/>
            </w:r>
            <w:r w:rsidRPr="0090639D">
              <w:rPr>
                <w:sz w:val="16"/>
                <w:szCs w:val="16"/>
                <w:lang w:val="es-ES_tradnl"/>
              </w:rPr>
              <w:t>Tendencias en la utilización de vías de resolución oficiosa (por ejemplo, ombudsman y mediación)</w:t>
            </w:r>
          </w:p>
        </w:tc>
        <w:tc>
          <w:tcPr>
            <w:tcW w:w="592" w:type="pct"/>
            <w:shd w:val="clear" w:color="auto" w:fill="DEEAF6"/>
            <w:vAlign w:val="center"/>
          </w:tcPr>
          <w:p w14:paraId="5B894B50" w14:textId="77777777" w:rsidR="00B14F4A" w:rsidRPr="0090639D" w:rsidRDefault="00B14F4A" w:rsidP="00615A73">
            <w:pPr>
              <w:pStyle w:val="Tabletext"/>
              <w:jc w:val="center"/>
              <w:rPr>
                <w:sz w:val="16"/>
                <w:szCs w:val="16"/>
                <w:lang w:val="es-ES_tradnl"/>
              </w:rPr>
            </w:pPr>
            <w:proofErr w:type="spellStart"/>
            <w:r w:rsidRPr="0090639D">
              <w:rPr>
                <w:sz w:val="16"/>
                <w:szCs w:val="16"/>
                <w:lang w:val="es-ES_tradnl"/>
              </w:rPr>
              <w:t>T3</w:t>
            </w:r>
            <w:proofErr w:type="spellEnd"/>
            <w:r w:rsidRPr="0090639D">
              <w:rPr>
                <w:sz w:val="16"/>
                <w:szCs w:val="16"/>
                <w:lang w:val="es-ES_tradnl"/>
              </w:rPr>
              <w:t xml:space="preserve"> 2026</w:t>
            </w:r>
          </w:p>
        </w:tc>
        <w:tc>
          <w:tcPr>
            <w:tcW w:w="494" w:type="pct"/>
            <w:shd w:val="clear" w:color="auto" w:fill="DEEAF6"/>
            <w:vAlign w:val="center"/>
          </w:tcPr>
          <w:p w14:paraId="3D1B276F" w14:textId="77777777" w:rsidR="00B14F4A" w:rsidRPr="0090639D" w:rsidRDefault="00B14F4A" w:rsidP="004E162C">
            <w:pPr>
              <w:pStyle w:val="Tabletext"/>
              <w:rPr>
                <w:rFonts w:eastAsia="DengXian"/>
                <w:sz w:val="16"/>
                <w:szCs w:val="16"/>
                <w:lang w:val="es-ES_tradnl" w:eastAsia="zh-CN"/>
              </w:rPr>
            </w:pPr>
          </w:p>
        </w:tc>
      </w:tr>
      <w:tr w:rsidR="00B14F4A" w:rsidRPr="0090639D" w14:paraId="3E3B9B87" w14:textId="77777777" w:rsidTr="004E162C">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75FA14A8" w14:textId="77777777" w:rsidR="00B14F4A" w:rsidRPr="0090639D" w:rsidRDefault="00B14F4A" w:rsidP="004E162C">
            <w:pPr>
              <w:pStyle w:val="Tabletext"/>
              <w:rPr>
                <w:rFonts w:eastAsia="DengXian"/>
                <w:sz w:val="16"/>
                <w:szCs w:val="16"/>
                <w:lang w:val="es-ES_tradnl" w:eastAsia="zh-CN"/>
              </w:rPr>
            </w:pPr>
            <w:r w:rsidRPr="0090639D">
              <w:rPr>
                <w:rFonts w:eastAsia="DengXian"/>
                <w:sz w:val="16"/>
                <w:szCs w:val="16"/>
                <w:lang w:val="es-ES_tradnl" w:eastAsia="zh-CN"/>
              </w:rPr>
              <w:t>2.5</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15F77090" w14:textId="77777777" w:rsidR="00B14F4A" w:rsidRPr="0090639D" w:rsidRDefault="00B14F4A" w:rsidP="004E162C">
            <w:pPr>
              <w:pStyle w:val="Tabletext"/>
              <w:rPr>
                <w:rFonts w:eastAsia="DengXian"/>
                <w:sz w:val="16"/>
                <w:szCs w:val="16"/>
                <w:lang w:val="es-ES_tradnl" w:eastAsia="zh-CN"/>
              </w:rPr>
            </w:pPr>
            <w:r w:rsidRPr="0090639D">
              <w:rPr>
                <w:sz w:val="16"/>
                <w:szCs w:val="16"/>
                <w:lang w:val="es-ES_tradnl" w:eastAsia="zh-CN"/>
              </w:rPr>
              <w:t>Proceso piloto de retroinformación</w:t>
            </w:r>
          </w:p>
        </w:tc>
        <w:tc>
          <w:tcPr>
            <w:tcW w:w="1228" w:type="pct"/>
            <w:tcBorders>
              <w:left w:val="single" w:sz="4" w:space="0" w:color="auto"/>
            </w:tcBorders>
            <w:shd w:val="clear" w:color="auto" w:fill="DEEAF6"/>
            <w:vAlign w:val="center"/>
          </w:tcPr>
          <w:p w14:paraId="50A5FDC8" w14:textId="77777777" w:rsidR="00B14F4A" w:rsidRPr="0090639D" w:rsidRDefault="00B14F4A" w:rsidP="004E162C">
            <w:pPr>
              <w:pStyle w:val="Tabletext"/>
              <w:rPr>
                <w:sz w:val="16"/>
                <w:szCs w:val="16"/>
                <w:lang w:val="es-ES_tradnl"/>
              </w:rPr>
            </w:pPr>
            <w:bookmarkStart w:id="1" w:name="_Hlk220430719"/>
            <w:r w:rsidRPr="0090639D">
              <w:rPr>
                <w:b/>
                <w:bCs/>
                <w:sz w:val="16"/>
                <w:szCs w:val="16"/>
                <w:lang w:val="es-ES_tradnl" w:eastAsia="zh-CN"/>
              </w:rPr>
              <w:t>Proceso piloto de retroalimentación para directores y gestores</w:t>
            </w:r>
            <w:r w:rsidRPr="0090639D">
              <w:rPr>
                <w:sz w:val="16"/>
                <w:szCs w:val="16"/>
                <w:lang w:val="es-ES_tradnl" w:eastAsia="zh-CN"/>
              </w:rPr>
              <w:t xml:space="preserve"> (por ejemplo, retroalimentación a 360 grados) para fortalecer la consciencia propia, los comportamientos dirigentes y la mejora continua</w:t>
            </w:r>
            <w:r w:rsidRPr="0090639D">
              <w:rPr>
                <w:sz w:val="16"/>
                <w:szCs w:val="16"/>
                <w:lang w:val="es-ES_tradnl"/>
              </w:rPr>
              <w:t>.</w:t>
            </w:r>
            <w:bookmarkEnd w:id="1"/>
          </w:p>
        </w:tc>
        <w:tc>
          <w:tcPr>
            <w:tcW w:w="1842" w:type="pct"/>
            <w:shd w:val="clear" w:color="auto" w:fill="DEEAF6"/>
            <w:vAlign w:val="center"/>
          </w:tcPr>
          <w:p w14:paraId="0B05C7B6" w14:textId="32D62821"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Pr="0090639D">
              <w:rPr>
                <w:rFonts w:eastAsia="DengXian"/>
                <w:sz w:val="16"/>
                <w:szCs w:val="16"/>
                <w:lang w:val="es-ES_tradnl" w:eastAsia="zh-CN"/>
              </w:rPr>
              <w:t xml:space="preserve">Proceso piloto implementado (sí/no) </w:t>
            </w:r>
          </w:p>
          <w:p w14:paraId="77CB53BA" w14:textId="721F616F"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Pr="0090639D">
              <w:rPr>
                <w:rFonts w:eastAsia="DengXian"/>
                <w:sz w:val="16"/>
                <w:szCs w:val="16"/>
                <w:lang w:val="es-ES_tradnl" w:eastAsia="zh-CN"/>
              </w:rPr>
              <w:t>Tasa de participación</w:t>
            </w:r>
          </w:p>
        </w:tc>
        <w:tc>
          <w:tcPr>
            <w:tcW w:w="592" w:type="pct"/>
            <w:shd w:val="clear" w:color="auto" w:fill="DEEAF6"/>
            <w:vAlign w:val="center"/>
          </w:tcPr>
          <w:p w14:paraId="4E57F2C4" w14:textId="77777777" w:rsidR="00B14F4A" w:rsidRPr="0090639D" w:rsidRDefault="00B14F4A" w:rsidP="00615A73">
            <w:pPr>
              <w:pStyle w:val="Tabletext"/>
              <w:jc w:val="center"/>
              <w:rPr>
                <w:rFonts w:eastAsia="DengXian"/>
                <w:sz w:val="16"/>
                <w:szCs w:val="16"/>
                <w:lang w:val="es-ES_tradnl" w:eastAsia="zh-CN"/>
              </w:rPr>
            </w:pPr>
            <w:proofErr w:type="spellStart"/>
            <w:r w:rsidRPr="0090639D">
              <w:rPr>
                <w:rFonts w:eastAsia="DengXian"/>
                <w:sz w:val="16"/>
                <w:szCs w:val="16"/>
                <w:lang w:val="es-ES_tradnl" w:eastAsia="zh-CN"/>
              </w:rPr>
              <w:t>T2</w:t>
            </w:r>
            <w:proofErr w:type="spellEnd"/>
            <w:r w:rsidRPr="0090639D">
              <w:rPr>
                <w:rFonts w:eastAsia="DengXian"/>
                <w:sz w:val="16"/>
                <w:szCs w:val="16"/>
                <w:lang w:val="es-ES_tradnl" w:eastAsia="zh-CN"/>
              </w:rPr>
              <w:t xml:space="preserve"> 2026</w:t>
            </w:r>
          </w:p>
        </w:tc>
        <w:tc>
          <w:tcPr>
            <w:tcW w:w="494" w:type="pct"/>
            <w:shd w:val="clear" w:color="auto" w:fill="DEEAF6"/>
            <w:vAlign w:val="center"/>
          </w:tcPr>
          <w:p w14:paraId="1F092E22" w14:textId="77777777" w:rsidR="00B14F4A" w:rsidRPr="0090639D" w:rsidRDefault="00B14F4A" w:rsidP="004E162C">
            <w:pPr>
              <w:pStyle w:val="Tabletext"/>
              <w:rPr>
                <w:rFonts w:eastAsia="DengXian"/>
                <w:sz w:val="16"/>
                <w:szCs w:val="16"/>
                <w:lang w:val="es-ES_tradnl" w:eastAsia="zh-CN"/>
              </w:rPr>
            </w:pPr>
          </w:p>
        </w:tc>
      </w:tr>
      <w:tr w:rsidR="00B14F4A" w:rsidRPr="0090639D" w14:paraId="41E2F06C" w14:textId="77777777" w:rsidTr="004E162C">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0FCA6755" w14:textId="77777777" w:rsidR="00B14F4A" w:rsidRPr="0090639D" w:rsidRDefault="00B14F4A" w:rsidP="004E162C">
            <w:pPr>
              <w:pStyle w:val="Tabletext"/>
              <w:rPr>
                <w:rFonts w:eastAsia="DengXian"/>
                <w:sz w:val="16"/>
                <w:szCs w:val="16"/>
                <w:lang w:val="es-ES_tradnl" w:eastAsia="zh-CN"/>
              </w:rPr>
            </w:pPr>
            <w:r w:rsidRPr="0090639D">
              <w:rPr>
                <w:rFonts w:eastAsia="DengXian"/>
                <w:sz w:val="16"/>
                <w:szCs w:val="16"/>
                <w:lang w:val="es-ES_tradnl" w:eastAsia="zh-CN"/>
              </w:rPr>
              <w:t>2.6</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62EAE0D3" w14:textId="77777777" w:rsidR="00B14F4A" w:rsidRPr="0090639D" w:rsidRDefault="00B14F4A" w:rsidP="004E162C">
            <w:pPr>
              <w:pStyle w:val="Tabletext"/>
              <w:rPr>
                <w:sz w:val="16"/>
                <w:szCs w:val="16"/>
                <w:lang w:val="es-ES_tradnl" w:eastAsia="zh-CN"/>
              </w:rPr>
            </w:pPr>
            <w:r w:rsidRPr="0090639D">
              <w:rPr>
                <w:sz w:val="16"/>
                <w:szCs w:val="16"/>
                <w:lang w:val="es-ES_tradnl" w:eastAsia="zh-CN"/>
              </w:rPr>
              <w:t>Asesoramiento ejecutivo</w:t>
            </w:r>
          </w:p>
        </w:tc>
        <w:tc>
          <w:tcPr>
            <w:tcW w:w="1228" w:type="pct"/>
            <w:tcBorders>
              <w:left w:val="single" w:sz="4" w:space="0" w:color="auto"/>
            </w:tcBorders>
            <w:shd w:val="clear" w:color="auto" w:fill="DEEAF6"/>
            <w:vAlign w:val="center"/>
          </w:tcPr>
          <w:p w14:paraId="67BFDA4A" w14:textId="1C0351EB" w:rsidR="00B14F4A" w:rsidRPr="0090639D" w:rsidRDefault="00FC2749" w:rsidP="004E162C">
            <w:pPr>
              <w:pStyle w:val="Tabletext"/>
              <w:rPr>
                <w:sz w:val="16"/>
                <w:szCs w:val="16"/>
                <w:lang w:val="es-ES_tradnl"/>
              </w:rPr>
            </w:pPr>
            <w:r w:rsidRPr="0090639D">
              <w:rPr>
                <w:b/>
                <w:bCs/>
                <w:sz w:val="16"/>
                <w:szCs w:val="16"/>
                <w:lang w:val="es-ES_tradnl" w:eastAsia="zh-CN"/>
              </w:rPr>
              <w:t>A</w:t>
            </w:r>
            <w:r w:rsidR="00B14F4A" w:rsidRPr="0090639D">
              <w:rPr>
                <w:b/>
                <w:bCs/>
                <w:sz w:val="16"/>
                <w:szCs w:val="16"/>
                <w:lang w:val="es-ES_tradnl" w:eastAsia="zh-CN"/>
              </w:rPr>
              <w:t xml:space="preserve">mpliar el asesoramiento ejecutivo </w:t>
            </w:r>
            <w:r w:rsidR="00B14F4A" w:rsidRPr="0090639D">
              <w:rPr>
                <w:sz w:val="16"/>
                <w:szCs w:val="16"/>
                <w:lang w:val="es-ES_tradnl" w:eastAsia="zh-CN"/>
              </w:rPr>
              <w:t>para ayudar a los altos directivos y grupos prioritarios a liderar el cambio y hacer frente a situaciones de gestión de personal complejas</w:t>
            </w:r>
            <w:r w:rsidR="00B14F4A" w:rsidRPr="0090639D">
              <w:rPr>
                <w:sz w:val="16"/>
                <w:szCs w:val="16"/>
                <w:lang w:val="es-ES_tradnl"/>
              </w:rPr>
              <w:t>.</w:t>
            </w:r>
          </w:p>
        </w:tc>
        <w:tc>
          <w:tcPr>
            <w:tcW w:w="1842" w:type="pct"/>
            <w:shd w:val="clear" w:color="auto" w:fill="DEEAF6"/>
            <w:vAlign w:val="center"/>
          </w:tcPr>
          <w:p w14:paraId="46262857" w14:textId="7FC968DB"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Pr="0090639D">
              <w:rPr>
                <w:rFonts w:eastAsia="DengXian"/>
                <w:sz w:val="16"/>
                <w:szCs w:val="16"/>
                <w:lang w:val="es-ES_tradnl" w:eastAsia="zh-CN"/>
              </w:rPr>
              <w:t>Número de altos directivos que reciben asesoramiento</w:t>
            </w:r>
          </w:p>
        </w:tc>
        <w:tc>
          <w:tcPr>
            <w:tcW w:w="592" w:type="pct"/>
            <w:shd w:val="clear" w:color="auto" w:fill="DEEAF6"/>
            <w:vAlign w:val="center"/>
          </w:tcPr>
          <w:p w14:paraId="40E67B2E" w14:textId="77777777" w:rsidR="00B14F4A" w:rsidRPr="0090639D" w:rsidRDefault="00B14F4A" w:rsidP="00615A73">
            <w:pPr>
              <w:pStyle w:val="Tabletext"/>
              <w:jc w:val="center"/>
              <w:rPr>
                <w:sz w:val="16"/>
                <w:szCs w:val="16"/>
                <w:lang w:val="es-ES_tradnl"/>
              </w:rPr>
            </w:pPr>
            <w:proofErr w:type="spellStart"/>
            <w:r w:rsidRPr="0090639D">
              <w:rPr>
                <w:sz w:val="16"/>
                <w:szCs w:val="16"/>
                <w:lang w:val="es-ES_tradnl"/>
              </w:rPr>
              <w:t>T4</w:t>
            </w:r>
            <w:proofErr w:type="spellEnd"/>
            <w:r w:rsidRPr="0090639D">
              <w:rPr>
                <w:sz w:val="16"/>
                <w:szCs w:val="16"/>
                <w:lang w:val="es-ES_tradnl"/>
              </w:rPr>
              <w:t xml:space="preserve"> 2026</w:t>
            </w:r>
          </w:p>
        </w:tc>
        <w:tc>
          <w:tcPr>
            <w:tcW w:w="494" w:type="pct"/>
            <w:shd w:val="clear" w:color="auto" w:fill="DEEAF6"/>
            <w:vAlign w:val="center"/>
          </w:tcPr>
          <w:p w14:paraId="65106AED" w14:textId="77777777" w:rsidR="00B14F4A" w:rsidRPr="0090639D" w:rsidRDefault="00B14F4A" w:rsidP="004E162C">
            <w:pPr>
              <w:pStyle w:val="Tabletext"/>
              <w:rPr>
                <w:rFonts w:eastAsia="DengXian"/>
                <w:sz w:val="16"/>
                <w:szCs w:val="16"/>
                <w:lang w:val="es-ES_tradnl" w:eastAsia="zh-CN"/>
              </w:rPr>
            </w:pPr>
          </w:p>
        </w:tc>
      </w:tr>
      <w:tr w:rsidR="00B14F4A" w:rsidRPr="0090639D" w14:paraId="24F195E3" w14:textId="77777777" w:rsidTr="004E162C">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3A2E2F69" w14:textId="77777777" w:rsidR="00B14F4A" w:rsidRPr="0090639D" w:rsidRDefault="00B14F4A" w:rsidP="004E162C">
            <w:pPr>
              <w:pStyle w:val="Tabletext"/>
              <w:rPr>
                <w:rFonts w:eastAsia="DengXian"/>
                <w:sz w:val="16"/>
                <w:szCs w:val="16"/>
                <w:lang w:val="es-ES_tradnl" w:eastAsia="zh-CN"/>
              </w:rPr>
            </w:pPr>
            <w:r w:rsidRPr="0090639D">
              <w:rPr>
                <w:rFonts w:eastAsia="DengXian"/>
                <w:sz w:val="16"/>
                <w:szCs w:val="16"/>
                <w:lang w:val="es-ES_tradnl" w:eastAsia="zh-CN"/>
              </w:rPr>
              <w:t>2.7</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18DD9043" w14:textId="77777777" w:rsidR="00B14F4A" w:rsidRPr="0090639D" w:rsidRDefault="00B14F4A" w:rsidP="004E162C">
            <w:pPr>
              <w:pStyle w:val="Tabletext"/>
              <w:rPr>
                <w:sz w:val="16"/>
                <w:szCs w:val="16"/>
                <w:lang w:val="es-ES_tradnl" w:eastAsia="zh-CN"/>
              </w:rPr>
            </w:pPr>
            <w:r w:rsidRPr="0090639D">
              <w:rPr>
                <w:sz w:val="16"/>
                <w:szCs w:val="16"/>
                <w:lang w:val="es-ES_tradnl" w:eastAsia="zh-CN"/>
              </w:rPr>
              <w:t>Gestión del rendimiento y conversaciones difíciles</w:t>
            </w:r>
          </w:p>
        </w:tc>
        <w:tc>
          <w:tcPr>
            <w:tcW w:w="1228" w:type="pct"/>
            <w:tcBorders>
              <w:left w:val="single" w:sz="4" w:space="0" w:color="auto"/>
            </w:tcBorders>
            <w:shd w:val="clear" w:color="auto" w:fill="DEEAF6"/>
            <w:vAlign w:val="center"/>
          </w:tcPr>
          <w:p w14:paraId="06F407E6" w14:textId="77777777" w:rsidR="00B14F4A" w:rsidRPr="0090639D" w:rsidRDefault="00B14F4A" w:rsidP="004E162C">
            <w:pPr>
              <w:pStyle w:val="Tabletext"/>
              <w:rPr>
                <w:sz w:val="16"/>
                <w:szCs w:val="16"/>
                <w:lang w:val="es-ES_tradnl" w:eastAsia="zh-CN"/>
              </w:rPr>
            </w:pPr>
            <w:r w:rsidRPr="0090639D">
              <w:rPr>
                <w:b/>
                <w:bCs/>
                <w:sz w:val="16"/>
                <w:szCs w:val="16"/>
                <w:lang w:val="es-ES_tradnl" w:eastAsia="zh-CN"/>
              </w:rPr>
              <w:t>Reforzar la gestión del rendimiento</w:t>
            </w:r>
            <w:r w:rsidRPr="0090639D">
              <w:rPr>
                <w:sz w:val="16"/>
                <w:szCs w:val="16"/>
                <w:lang w:val="es-ES_tradnl" w:eastAsia="zh-CN"/>
              </w:rPr>
              <w:t>, incluida la gestión del bajo rendimiento mediante normas más claras, prácticas mejor documentadas y una capacitación especialmente destinada a los gestores.</w:t>
            </w:r>
          </w:p>
        </w:tc>
        <w:tc>
          <w:tcPr>
            <w:tcW w:w="1842" w:type="pct"/>
            <w:shd w:val="clear" w:color="auto" w:fill="DEEAF6"/>
            <w:vAlign w:val="center"/>
          </w:tcPr>
          <w:p w14:paraId="5ADFC6D0" w14:textId="6871AC22"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Pr="0090639D">
              <w:rPr>
                <w:rFonts w:eastAsia="DengXian"/>
                <w:sz w:val="16"/>
                <w:szCs w:val="16"/>
                <w:lang w:val="es-ES_tradnl" w:eastAsia="zh-CN"/>
              </w:rPr>
              <w:t xml:space="preserve">Tasa de cumplimiento (gestión del rendimiento) </w:t>
            </w:r>
          </w:p>
          <w:p w14:paraId="55DB059C" w14:textId="5C8496AD"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Pr="0090639D">
              <w:rPr>
                <w:rFonts w:eastAsia="DengXian"/>
                <w:sz w:val="16"/>
                <w:szCs w:val="16"/>
                <w:lang w:val="es-ES_tradnl" w:eastAsia="zh-CN"/>
              </w:rPr>
              <w:t>% de gestores formados en gestión del rendimiento, gestión del bajo rendimiento y conversaciones difíciles</w:t>
            </w:r>
          </w:p>
        </w:tc>
        <w:tc>
          <w:tcPr>
            <w:tcW w:w="592" w:type="pct"/>
            <w:shd w:val="clear" w:color="auto" w:fill="DEEAF6"/>
            <w:vAlign w:val="center"/>
          </w:tcPr>
          <w:p w14:paraId="4E7308AA" w14:textId="77777777" w:rsidR="00B14F4A" w:rsidRPr="0090639D" w:rsidRDefault="00B14F4A" w:rsidP="00615A73">
            <w:pPr>
              <w:pStyle w:val="Tabletext"/>
              <w:jc w:val="center"/>
              <w:rPr>
                <w:sz w:val="16"/>
                <w:szCs w:val="16"/>
                <w:lang w:val="es-ES_tradnl"/>
              </w:rPr>
            </w:pPr>
            <w:proofErr w:type="spellStart"/>
            <w:r w:rsidRPr="0090639D">
              <w:rPr>
                <w:sz w:val="16"/>
                <w:szCs w:val="16"/>
                <w:lang w:val="es-ES_tradnl"/>
              </w:rPr>
              <w:t>T4</w:t>
            </w:r>
            <w:proofErr w:type="spellEnd"/>
            <w:r w:rsidRPr="0090639D">
              <w:rPr>
                <w:sz w:val="16"/>
                <w:szCs w:val="16"/>
                <w:lang w:val="es-ES_tradnl"/>
              </w:rPr>
              <w:t xml:space="preserve"> 2026 y </w:t>
            </w:r>
            <w:proofErr w:type="spellStart"/>
            <w:r w:rsidRPr="0090639D">
              <w:rPr>
                <w:sz w:val="16"/>
                <w:szCs w:val="16"/>
                <w:lang w:val="es-ES_tradnl"/>
              </w:rPr>
              <w:t>T4</w:t>
            </w:r>
            <w:proofErr w:type="spellEnd"/>
            <w:r w:rsidRPr="0090639D">
              <w:rPr>
                <w:sz w:val="16"/>
                <w:szCs w:val="16"/>
                <w:lang w:val="es-ES_tradnl"/>
              </w:rPr>
              <w:t xml:space="preserve"> 2027 (periodicidad anual)</w:t>
            </w:r>
          </w:p>
        </w:tc>
        <w:tc>
          <w:tcPr>
            <w:tcW w:w="494" w:type="pct"/>
            <w:shd w:val="clear" w:color="auto" w:fill="DEEAF6"/>
            <w:vAlign w:val="center"/>
          </w:tcPr>
          <w:p w14:paraId="2E20372D" w14:textId="77777777" w:rsidR="00B14F4A" w:rsidRPr="0090639D" w:rsidRDefault="00B14F4A" w:rsidP="004E162C">
            <w:pPr>
              <w:pStyle w:val="Tabletext"/>
              <w:rPr>
                <w:rFonts w:eastAsia="DengXian"/>
                <w:sz w:val="16"/>
                <w:szCs w:val="16"/>
                <w:lang w:val="es-ES_tradnl" w:eastAsia="zh-CN"/>
              </w:rPr>
            </w:pPr>
          </w:p>
        </w:tc>
      </w:tr>
      <w:tr w:rsidR="00B14F4A" w:rsidRPr="0090639D" w14:paraId="1970743B" w14:textId="77777777" w:rsidTr="004E162C">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630FE574" w14:textId="77777777" w:rsidR="00B14F4A" w:rsidRPr="0090639D" w:rsidRDefault="00B14F4A" w:rsidP="004E162C">
            <w:pPr>
              <w:pStyle w:val="Tabletext"/>
              <w:rPr>
                <w:rFonts w:eastAsia="DengXian"/>
                <w:sz w:val="16"/>
                <w:szCs w:val="16"/>
                <w:lang w:val="es-ES_tradnl" w:eastAsia="zh-CN"/>
              </w:rPr>
            </w:pPr>
            <w:r w:rsidRPr="0090639D">
              <w:rPr>
                <w:rFonts w:eastAsia="DengXian"/>
                <w:sz w:val="16"/>
                <w:szCs w:val="16"/>
                <w:lang w:val="es-ES_tradnl" w:eastAsia="zh-CN"/>
              </w:rPr>
              <w:t>2.8</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73E2719F" w14:textId="77777777" w:rsidR="00B14F4A" w:rsidRPr="0090639D" w:rsidRDefault="00B14F4A" w:rsidP="004E162C">
            <w:pPr>
              <w:pStyle w:val="Tabletext"/>
              <w:rPr>
                <w:rFonts w:eastAsia="DengXian"/>
                <w:sz w:val="16"/>
                <w:szCs w:val="16"/>
                <w:lang w:val="es-ES_tradnl" w:eastAsia="zh-CN"/>
              </w:rPr>
            </w:pPr>
            <w:r w:rsidRPr="0090639D">
              <w:rPr>
                <w:rFonts w:eastAsia="DengXian"/>
                <w:sz w:val="16"/>
                <w:szCs w:val="16"/>
                <w:lang w:val="es-ES_tradnl" w:eastAsia="zh-CN"/>
              </w:rPr>
              <w:t>Marco de recompensas y reconocimiento</w:t>
            </w:r>
          </w:p>
        </w:tc>
        <w:tc>
          <w:tcPr>
            <w:tcW w:w="1228" w:type="pct"/>
            <w:tcBorders>
              <w:left w:val="single" w:sz="4" w:space="0" w:color="auto"/>
            </w:tcBorders>
            <w:shd w:val="clear" w:color="auto" w:fill="DEEAF6"/>
            <w:vAlign w:val="center"/>
          </w:tcPr>
          <w:p w14:paraId="512DE2D6" w14:textId="77777777" w:rsidR="00B14F4A" w:rsidRPr="0090639D" w:rsidRDefault="00B14F4A" w:rsidP="004E162C">
            <w:pPr>
              <w:pStyle w:val="Tabletext"/>
              <w:rPr>
                <w:sz w:val="16"/>
                <w:szCs w:val="16"/>
                <w:lang w:val="es-ES_tradnl"/>
              </w:rPr>
            </w:pPr>
            <w:r w:rsidRPr="0090639D">
              <w:rPr>
                <w:b/>
                <w:bCs/>
                <w:sz w:val="16"/>
                <w:szCs w:val="16"/>
                <w:lang w:val="es-ES_tradnl" w:eastAsia="zh-CN"/>
              </w:rPr>
              <w:t xml:space="preserve">Implementar el marco de recompensas y reconocimiento </w:t>
            </w:r>
            <w:r w:rsidRPr="0090639D">
              <w:rPr>
                <w:sz w:val="16"/>
                <w:szCs w:val="16"/>
                <w:lang w:val="es-ES_tradnl" w:eastAsia="zh-CN"/>
              </w:rPr>
              <w:t>para fomentar una cultura del reconocimiento oportuno, transparente e inclusivo de acuerdo con el rendimiento y los valores compartidos</w:t>
            </w:r>
            <w:r w:rsidRPr="0090639D">
              <w:rPr>
                <w:sz w:val="16"/>
                <w:szCs w:val="16"/>
                <w:lang w:val="es-ES_tradnl"/>
              </w:rPr>
              <w:t>.</w:t>
            </w:r>
          </w:p>
        </w:tc>
        <w:tc>
          <w:tcPr>
            <w:tcW w:w="1842" w:type="pct"/>
            <w:shd w:val="clear" w:color="auto" w:fill="DEEAF6"/>
            <w:vAlign w:val="center"/>
          </w:tcPr>
          <w:p w14:paraId="6864122B" w14:textId="2E6CB817"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Pr="0090639D">
              <w:rPr>
                <w:rFonts w:eastAsia="DengXian"/>
                <w:sz w:val="16"/>
                <w:szCs w:val="16"/>
                <w:lang w:val="es-ES_tradnl" w:eastAsia="zh-CN"/>
              </w:rPr>
              <w:t xml:space="preserve">Marco aprobado y aplicado (cualitativo) </w:t>
            </w:r>
          </w:p>
          <w:p w14:paraId="6219E112" w14:textId="5C8E733D"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00FC2749" w:rsidRPr="0090639D">
              <w:rPr>
                <w:sz w:val="16"/>
                <w:szCs w:val="16"/>
                <w:lang w:val="es-ES_tradnl"/>
              </w:rPr>
              <w:t>A</w:t>
            </w:r>
            <w:r w:rsidRPr="0090639D">
              <w:rPr>
                <w:rFonts w:eastAsia="DengXian"/>
                <w:sz w:val="16"/>
                <w:szCs w:val="16"/>
                <w:lang w:val="es-ES_tradnl" w:eastAsia="zh-CN"/>
              </w:rPr>
              <w:t>dopción de mecanismos de reconocimiento (número/</w:t>
            </w:r>
            <w:r w:rsidR="00FC2749" w:rsidRPr="0090639D">
              <w:rPr>
                <w:rFonts w:eastAsia="DengXian"/>
                <w:sz w:val="16"/>
                <w:szCs w:val="16"/>
                <w:lang w:val="es-ES_tradnl" w:eastAsia="zh-CN"/>
              </w:rPr>
              <w:t> </w:t>
            </w:r>
            <w:r w:rsidRPr="0090639D">
              <w:rPr>
                <w:rFonts w:eastAsia="DengXian"/>
                <w:sz w:val="16"/>
                <w:szCs w:val="16"/>
                <w:lang w:val="es-ES_tradnl" w:eastAsia="zh-CN"/>
              </w:rPr>
              <w:t xml:space="preserve">%) </w:t>
            </w:r>
          </w:p>
          <w:p w14:paraId="15DC6D7F" w14:textId="7339CB02"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Pr="0090639D">
              <w:rPr>
                <w:rFonts w:eastAsia="DengXian"/>
                <w:sz w:val="16"/>
                <w:szCs w:val="16"/>
                <w:lang w:val="es-ES_tradnl" w:eastAsia="zh-CN"/>
              </w:rPr>
              <w:t>Percepción del reconocimiento/equidad (puntos de la encuesta de implicación de los empleados /cualitativo)</w:t>
            </w:r>
          </w:p>
        </w:tc>
        <w:tc>
          <w:tcPr>
            <w:tcW w:w="592" w:type="pct"/>
            <w:shd w:val="clear" w:color="auto" w:fill="DEEAF6"/>
            <w:vAlign w:val="center"/>
          </w:tcPr>
          <w:p w14:paraId="44616193" w14:textId="5FE7D2DC" w:rsidR="00B14F4A" w:rsidRPr="0090639D" w:rsidRDefault="00B14F4A" w:rsidP="00615A73">
            <w:pPr>
              <w:pStyle w:val="Tabletext"/>
              <w:jc w:val="center"/>
              <w:rPr>
                <w:sz w:val="16"/>
                <w:szCs w:val="16"/>
                <w:lang w:val="es-ES_tradnl"/>
              </w:rPr>
            </w:pPr>
            <w:proofErr w:type="spellStart"/>
            <w:r w:rsidRPr="0090639D">
              <w:rPr>
                <w:sz w:val="16"/>
                <w:szCs w:val="16"/>
                <w:lang w:val="es-ES_tradnl"/>
              </w:rPr>
              <w:t>T4</w:t>
            </w:r>
            <w:proofErr w:type="spellEnd"/>
            <w:r w:rsidRPr="0090639D">
              <w:rPr>
                <w:sz w:val="16"/>
                <w:szCs w:val="16"/>
                <w:lang w:val="es-ES_tradnl"/>
              </w:rPr>
              <w:t xml:space="preserve"> 2026 (y </w:t>
            </w:r>
            <w:r w:rsidR="00FC2749" w:rsidRPr="0090639D">
              <w:rPr>
                <w:sz w:val="16"/>
                <w:szCs w:val="16"/>
                <w:lang w:val="es-ES_tradnl"/>
              </w:rPr>
              <w:t>(</w:t>
            </w:r>
            <w:r w:rsidRPr="0090639D">
              <w:rPr>
                <w:sz w:val="16"/>
                <w:szCs w:val="16"/>
                <w:lang w:val="es-ES_tradnl"/>
              </w:rPr>
              <w:t>periodicidad anual)</w:t>
            </w:r>
          </w:p>
        </w:tc>
        <w:tc>
          <w:tcPr>
            <w:tcW w:w="494" w:type="pct"/>
            <w:shd w:val="clear" w:color="auto" w:fill="DEEAF6"/>
            <w:vAlign w:val="center"/>
          </w:tcPr>
          <w:p w14:paraId="66E92655" w14:textId="77777777" w:rsidR="00B14F4A" w:rsidRPr="0090639D" w:rsidRDefault="00B14F4A" w:rsidP="004E162C">
            <w:pPr>
              <w:pStyle w:val="Tabletext"/>
              <w:rPr>
                <w:rFonts w:eastAsia="DengXian"/>
                <w:sz w:val="16"/>
                <w:szCs w:val="16"/>
                <w:lang w:val="es-ES_tradnl" w:eastAsia="zh-CN"/>
              </w:rPr>
            </w:pPr>
          </w:p>
        </w:tc>
      </w:tr>
      <w:tr w:rsidR="00B14F4A" w:rsidRPr="0090639D" w14:paraId="4863CCC6" w14:textId="77777777" w:rsidTr="004E162C">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0A27BDC0" w14:textId="77777777" w:rsidR="00B14F4A" w:rsidRPr="0090639D" w:rsidRDefault="00B14F4A" w:rsidP="004E162C">
            <w:pPr>
              <w:pStyle w:val="Tabletext"/>
              <w:rPr>
                <w:rFonts w:eastAsia="DengXian"/>
                <w:sz w:val="16"/>
                <w:szCs w:val="16"/>
                <w:lang w:val="es-ES_tradnl" w:eastAsia="zh-CN"/>
              </w:rPr>
            </w:pPr>
            <w:r w:rsidRPr="0090639D">
              <w:rPr>
                <w:rFonts w:eastAsia="DengXian"/>
                <w:sz w:val="16"/>
                <w:szCs w:val="16"/>
                <w:lang w:val="es-ES_tradnl" w:eastAsia="zh-CN"/>
              </w:rPr>
              <w:t>3.1</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31A718B6" w14:textId="77777777" w:rsidR="00B14F4A" w:rsidRPr="0090639D" w:rsidRDefault="00B14F4A" w:rsidP="004E162C">
            <w:pPr>
              <w:pStyle w:val="Tabletext"/>
              <w:rPr>
                <w:sz w:val="16"/>
                <w:szCs w:val="16"/>
                <w:lang w:val="es-ES_tradnl" w:eastAsia="zh-CN"/>
              </w:rPr>
            </w:pPr>
            <w:r w:rsidRPr="0090639D">
              <w:rPr>
                <w:sz w:val="16"/>
                <w:szCs w:val="16"/>
                <w:lang w:val="es-ES_tradnl" w:eastAsia="zh-CN"/>
              </w:rPr>
              <w:t>Desarrollo profesional</w:t>
            </w:r>
          </w:p>
        </w:tc>
        <w:tc>
          <w:tcPr>
            <w:tcW w:w="1228" w:type="pct"/>
            <w:tcBorders>
              <w:left w:val="single" w:sz="4" w:space="0" w:color="auto"/>
            </w:tcBorders>
            <w:shd w:val="clear" w:color="auto" w:fill="DEEAF6"/>
            <w:vAlign w:val="center"/>
          </w:tcPr>
          <w:p w14:paraId="726BCD2A" w14:textId="77777777" w:rsidR="00B14F4A" w:rsidRPr="0090639D" w:rsidRDefault="00B14F4A" w:rsidP="004E162C">
            <w:pPr>
              <w:pStyle w:val="Tabletext"/>
              <w:rPr>
                <w:sz w:val="16"/>
                <w:szCs w:val="16"/>
                <w:lang w:val="es-ES_tradnl" w:eastAsia="zh-CN"/>
              </w:rPr>
            </w:pPr>
            <w:r w:rsidRPr="0090639D">
              <w:rPr>
                <w:b/>
                <w:bCs/>
                <w:sz w:val="16"/>
                <w:szCs w:val="16"/>
                <w:lang w:val="es-ES_tradnl" w:eastAsia="zh-CN"/>
              </w:rPr>
              <w:t xml:space="preserve">Reforzar los marcos de desarrollo profesional </w:t>
            </w:r>
            <w:r w:rsidRPr="0090639D">
              <w:rPr>
                <w:sz w:val="16"/>
                <w:szCs w:val="16"/>
                <w:lang w:val="es-ES_tradnl" w:eastAsia="zh-CN"/>
              </w:rPr>
              <w:t>para ofrecer expectativas claras y opciones de desarrollo en todas las esferas funcionales y todos los grados</w:t>
            </w:r>
            <w:r w:rsidRPr="0090639D">
              <w:rPr>
                <w:sz w:val="16"/>
                <w:szCs w:val="16"/>
                <w:lang w:val="es-ES_tradnl"/>
              </w:rPr>
              <w:t>.</w:t>
            </w:r>
          </w:p>
        </w:tc>
        <w:tc>
          <w:tcPr>
            <w:tcW w:w="1842" w:type="pct"/>
            <w:shd w:val="clear" w:color="auto" w:fill="DEEAF6"/>
            <w:vAlign w:val="center"/>
          </w:tcPr>
          <w:p w14:paraId="2CAAB64D" w14:textId="7CEEE4D9"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Pr="0090639D">
              <w:rPr>
                <w:rFonts w:eastAsia="DengXian"/>
                <w:sz w:val="16"/>
                <w:szCs w:val="16"/>
                <w:lang w:val="es-ES_tradnl" w:eastAsia="zh-CN"/>
              </w:rPr>
              <w:t>% del personal que ha completado programas de desarrollo/mejora profesional concretos</w:t>
            </w:r>
          </w:p>
          <w:p w14:paraId="2C206D22" w14:textId="4CD8EFD9"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Pr="0090639D">
              <w:rPr>
                <w:rFonts w:eastAsia="DengXian"/>
                <w:sz w:val="16"/>
                <w:szCs w:val="16"/>
                <w:lang w:val="es-ES_tradnl" w:eastAsia="zh-CN"/>
              </w:rPr>
              <w:t>Oferta de programas de desarrollo profesional particulares, incluida la redacción de CV, la formación para entrevistas basadas en competencias (puntos de la encuesta de implicación de los empleados/cualitativo)</w:t>
            </w:r>
          </w:p>
        </w:tc>
        <w:tc>
          <w:tcPr>
            <w:tcW w:w="592" w:type="pct"/>
            <w:shd w:val="clear" w:color="auto" w:fill="DEEAF6"/>
            <w:vAlign w:val="center"/>
          </w:tcPr>
          <w:p w14:paraId="7CB84376" w14:textId="35062485" w:rsidR="00FC2749" w:rsidRPr="0090639D" w:rsidRDefault="00B14F4A" w:rsidP="00615A73">
            <w:pPr>
              <w:pStyle w:val="Tabletext"/>
              <w:jc w:val="center"/>
              <w:rPr>
                <w:sz w:val="16"/>
                <w:szCs w:val="16"/>
                <w:lang w:val="es-ES_tradnl"/>
              </w:rPr>
            </w:pPr>
            <w:proofErr w:type="spellStart"/>
            <w:r w:rsidRPr="0090639D">
              <w:rPr>
                <w:sz w:val="16"/>
                <w:szCs w:val="16"/>
                <w:lang w:val="es-ES_tradnl"/>
              </w:rPr>
              <w:t>T3</w:t>
            </w:r>
            <w:proofErr w:type="spellEnd"/>
            <w:r w:rsidRPr="0090639D">
              <w:rPr>
                <w:sz w:val="16"/>
                <w:szCs w:val="16"/>
                <w:lang w:val="es-ES_tradnl"/>
              </w:rPr>
              <w:t xml:space="preserve"> 2026 /</w:t>
            </w:r>
          </w:p>
          <w:p w14:paraId="73077DED" w14:textId="466A7285" w:rsidR="00B14F4A" w:rsidRPr="0090639D" w:rsidRDefault="00B14F4A" w:rsidP="00615A73">
            <w:pPr>
              <w:pStyle w:val="Tabletext"/>
              <w:jc w:val="center"/>
              <w:rPr>
                <w:sz w:val="16"/>
                <w:szCs w:val="16"/>
                <w:lang w:val="es-ES_tradnl"/>
              </w:rPr>
            </w:pPr>
            <w:proofErr w:type="spellStart"/>
            <w:r w:rsidRPr="0090639D">
              <w:rPr>
                <w:sz w:val="16"/>
                <w:szCs w:val="16"/>
                <w:lang w:val="es-ES_tradnl"/>
              </w:rPr>
              <w:t>Q3</w:t>
            </w:r>
            <w:proofErr w:type="spellEnd"/>
            <w:r w:rsidRPr="0090639D">
              <w:rPr>
                <w:sz w:val="16"/>
                <w:szCs w:val="16"/>
                <w:lang w:val="es-ES_tradnl"/>
              </w:rPr>
              <w:t xml:space="preserve"> 2027 (oferta anual)</w:t>
            </w:r>
          </w:p>
        </w:tc>
        <w:tc>
          <w:tcPr>
            <w:tcW w:w="494" w:type="pct"/>
            <w:shd w:val="clear" w:color="auto" w:fill="DEEAF6"/>
          </w:tcPr>
          <w:p w14:paraId="0176DF5E" w14:textId="77777777" w:rsidR="00B14F4A" w:rsidRPr="0090639D" w:rsidRDefault="00B14F4A" w:rsidP="004E162C">
            <w:pPr>
              <w:pStyle w:val="Tabletext"/>
              <w:rPr>
                <w:rFonts w:eastAsia="DengXian"/>
                <w:sz w:val="16"/>
                <w:szCs w:val="16"/>
                <w:lang w:val="es-ES_tradnl" w:eastAsia="zh-CN"/>
              </w:rPr>
            </w:pPr>
          </w:p>
        </w:tc>
      </w:tr>
      <w:tr w:rsidR="00B14F4A" w:rsidRPr="0090639D" w14:paraId="1FF3A980" w14:textId="77777777" w:rsidTr="004E162C">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37B3A78A" w14:textId="77777777" w:rsidR="00B14F4A" w:rsidRPr="0090639D" w:rsidRDefault="00B14F4A" w:rsidP="004E162C">
            <w:pPr>
              <w:pStyle w:val="Tabletext"/>
              <w:rPr>
                <w:rFonts w:eastAsia="DengXian"/>
                <w:sz w:val="16"/>
                <w:szCs w:val="16"/>
                <w:lang w:val="es-ES_tradnl" w:eastAsia="zh-CN"/>
              </w:rPr>
            </w:pPr>
            <w:r w:rsidRPr="0090639D">
              <w:rPr>
                <w:rFonts w:eastAsia="DengXian"/>
                <w:sz w:val="16"/>
                <w:szCs w:val="16"/>
                <w:lang w:val="es-ES_tradnl" w:eastAsia="zh-CN"/>
              </w:rPr>
              <w:lastRenderedPageBreak/>
              <w:t>3.2</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022F35C0" w14:textId="77777777" w:rsidR="00B14F4A" w:rsidRPr="0090639D" w:rsidRDefault="00B14F4A" w:rsidP="004E162C">
            <w:pPr>
              <w:pStyle w:val="Tabletext"/>
              <w:rPr>
                <w:sz w:val="16"/>
                <w:szCs w:val="16"/>
                <w:lang w:val="es-ES_tradnl" w:eastAsia="zh-CN"/>
              </w:rPr>
            </w:pPr>
            <w:r w:rsidRPr="0090639D">
              <w:rPr>
                <w:sz w:val="16"/>
                <w:szCs w:val="16"/>
                <w:lang w:val="es-ES_tradnl" w:eastAsia="zh-CN"/>
              </w:rPr>
              <w:t>Aprendizaje continuo</w:t>
            </w:r>
          </w:p>
        </w:tc>
        <w:tc>
          <w:tcPr>
            <w:tcW w:w="1228" w:type="pct"/>
            <w:tcBorders>
              <w:left w:val="single" w:sz="4" w:space="0" w:color="auto"/>
            </w:tcBorders>
            <w:shd w:val="clear" w:color="auto" w:fill="DEEAF6"/>
            <w:vAlign w:val="center"/>
          </w:tcPr>
          <w:p w14:paraId="682DA757" w14:textId="77777777" w:rsidR="00B14F4A" w:rsidRPr="0090639D" w:rsidRDefault="00B14F4A" w:rsidP="004E162C">
            <w:pPr>
              <w:pStyle w:val="Tabletext"/>
              <w:rPr>
                <w:sz w:val="16"/>
                <w:szCs w:val="16"/>
                <w:lang w:val="es-ES_tradnl"/>
              </w:rPr>
            </w:pPr>
            <w:r w:rsidRPr="0090639D">
              <w:rPr>
                <w:b/>
                <w:bCs/>
                <w:sz w:val="16"/>
                <w:szCs w:val="16"/>
                <w:lang w:val="es-ES_tradnl" w:eastAsia="zh-CN"/>
              </w:rPr>
              <w:t xml:space="preserve">Fomentar una cultura del aprendizaje </w:t>
            </w:r>
            <w:proofErr w:type="gramStart"/>
            <w:r w:rsidRPr="0090639D">
              <w:rPr>
                <w:b/>
                <w:bCs/>
                <w:sz w:val="16"/>
                <w:szCs w:val="16"/>
                <w:lang w:val="es-ES_tradnl" w:eastAsia="zh-CN"/>
              </w:rPr>
              <w:t>continuo</w:t>
            </w:r>
            <w:proofErr w:type="gramEnd"/>
            <w:r w:rsidRPr="0090639D">
              <w:rPr>
                <w:b/>
                <w:bCs/>
                <w:sz w:val="16"/>
                <w:szCs w:val="16"/>
                <w:lang w:val="es-ES_tradnl" w:eastAsia="zh-CN"/>
              </w:rPr>
              <w:t xml:space="preserve"> </w:t>
            </w:r>
            <w:r w:rsidRPr="0090639D">
              <w:rPr>
                <w:sz w:val="16"/>
                <w:szCs w:val="16"/>
                <w:lang w:val="es-ES_tradnl" w:eastAsia="zh-CN"/>
              </w:rPr>
              <w:t>reforzando la responsabilidad común de aprendizaje entre el personal, los gestores y la organización y fomentando la existencia de oportunidades de aprendizaje accesibles</w:t>
            </w:r>
            <w:r w:rsidRPr="0090639D">
              <w:rPr>
                <w:sz w:val="16"/>
                <w:szCs w:val="16"/>
                <w:lang w:val="es-ES_tradnl"/>
              </w:rPr>
              <w:t>.</w:t>
            </w:r>
          </w:p>
        </w:tc>
        <w:tc>
          <w:tcPr>
            <w:tcW w:w="1842" w:type="pct"/>
            <w:shd w:val="clear" w:color="auto" w:fill="DEEAF6"/>
            <w:vAlign w:val="center"/>
          </w:tcPr>
          <w:p w14:paraId="3A79B556" w14:textId="078757B6"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Pr="0090639D">
              <w:rPr>
                <w:rFonts w:eastAsia="DengXian"/>
                <w:sz w:val="16"/>
                <w:szCs w:val="16"/>
                <w:lang w:val="es-ES_tradnl" w:eastAsia="zh-CN"/>
              </w:rPr>
              <w:t>% del personal que ha completado al menos una de las formaciones en servicio concretas</w:t>
            </w:r>
          </w:p>
        </w:tc>
        <w:tc>
          <w:tcPr>
            <w:tcW w:w="592" w:type="pct"/>
            <w:shd w:val="clear" w:color="auto" w:fill="DEEAF6"/>
            <w:vAlign w:val="center"/>
          </w:tcPr>
          <w:p w14:paraId="3FBA0280" w14:textId="47B3D4AA" w:rsidR="00FC2749" w:rsidRPr="0090639D" w:rsidRDefault="00B14F4A" w:rsidP="00615A73">
            <w:pPr>
              <w:pStyle w:val="Tabletext"/>
              <w:jc w:val="center"/>
              <w:rPr>
                <w:sz w:val="16"/>
                <w:szCs w:val="16"/>
                <w:lang w:val="es-ES_tradnl"/>
              </w:rPr>
            </w:pPr>
            <w:r w:rsidRPr="0090639D">
              <w:rPr>
                <w:sz w:val="16"/>
                <w:szCs w:val="16"/>
                <w:lang w:val="es-ES_tradnl"/>
              </w:rPr>
              <w:t>Anual (</w:t>
            </w:r>
            <w:proofErr w:type="spellStart"/>
            <w:r w:rsidRPr="0090639D">
              <w:rPr>
                <w:sz w:val="16"/>
                <w:szCs w:val="16"/>
                <w:lang w:val="es-ES_tradnl"/>
              </w:rPr>
              <w:t>T4</w:t>
            </w:r>
            <w:proofErr w:type="spellEnd"/>
            <w:r w:rsidRPr="0090639D">
              <w:rPr>
                <w:sz w:val="16"/>
                <w:szCs w:val="16"/>
                <w:lang w:val="es-ES_tradnl"/>
              </w:rPr>
              <w:t xml:space="preserve"> 2026 /</w:t>
            </w:r>
          </w:p>
          <w:p w14:paraId="6A2E70F7" w14:textId="056646E2" w:rsidR="00B14F4A" w:rsidRPr="0090639D" w:rsidRDefault="00B14F4A" w:rsidP="00615A73">
            <w:pPr>
              <w:pStyle w:val="Tabletext"/>
              <w:jc w:val="center"/>
              <w:rPr>
                <w:sz w:val="16"/>
                <w:szCs w:val="16"/>
                <w:lang w:val="es-ES_tradnl"/>
              </w:rPr>
            </w:pPr>
            <w:proofErr w:type="spellStart"/>
            <w:r w:rsidRPr="0090639D">
              <w:rPr>
                <w:sz w:val="16"/>
                <w:szCs w:val="16"/>
                <w:lang w:val="es-ES_tradnl"/>
              </w:rPr>
              <w:t>T4</w:t>
            </w:r>
            <w:proofErr w:type="spellEnd"/>
            <w:r w:rsidRPr="0090639D">
              <w:rPr>
                <w:sz w:val="16"/>
                <w:szCs w:val="16"/>
                <w:lang w:val="es-ES_tradnl"/>
              </w:rPr>
              <w:t xml:space="preserve"> 2027)</w:t>
            </w:r>
          </w:p>
        </w:tc>
        <w:tc>
          <w:tcPr>
            <w:tcW w:w="494" w:type="pct"/>
            <w:shd w:val="clear" w:color="auto" w:fill="DEEAF6"/>
          </w:tcPr>
          <w:p w14:paraId="12B0B3F0" w14:textId="77777777" w:rsidR="00B14F4A" w:rsidRPr="0090639D" w:rsidRDefault="00B14F4A" w:rsidP="004E162C">
            <w:pPr>
              <w:pStyle w:val="Tabletext"/>
              <w:rPr>
                <w:rFonts w:eastAsia="DengXian"/>
                <w:sz w:val="16"/>
                <w:szCs w:val="16"/>
                <w:lang w:val="es-ES_tradnl" w:eastAsia="zh-CN"/>
              </w:rPr>
            </w:pPr>
          </w:p>
        </w:tc>
      </w:tr>
      <w:tr w:rsidR="00B14F4A" w:rsidRPr="0090639D" w14:paraId="1EC123E1" w14:textId="77777777" w:rsidTr="004E162C">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61BA4686" w14:textId="77777777" w:rsidR="00B14F4A" w:rsidRPr="0090639D" w:rsidRDefault="00B14F4A" w:rsidP="004E162C">
            <w:pPr>
              <w:pStyle w:val="Tabletext"/>
              <w:rPr>
                <w:rFonts w:eastAsia="DengXian"/>
                <w:sz w:val="16"/>
                <w:szCs w:val="16"/>
                <w:lang w:val="es-ES_tradnl" w:eastAsia="zh-CN"/>
              </w:rPr>
            </w:pPr>
            <w:r w:rsidRPr="0090639D">
              <w:rPr>
                <w:rFonts w:eastAsia="DengXian"/>
                <w:sz w:val="16"/>
                <w:szCs w:val="16"/>
                <w:lang w:val="es-ES_tradnl" w:eastAsia="zh-CN"/>
              </w:rPr>
              <w:t>3.3</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42307745" w14:textId="77777777" w:rsidR="00B14F4A" w:rsidRPr="0090639D" w:rsidRDefault="00B14F4A" w:rsidP="004E162C">
            <w:pPr>
              <w:pStyle w:val="Tabletext"/>
              <w:rPr>
                <w:sz w:val="16"/>
                <w:szCs w:val="16"/>
                <w:lang w:val="es-ES_tradnl" w:eastAsia="zh-CN"/>
              </w:rPr>
            </w:pPr>
            <w:r w:rsidRPr="0090639D">
              <w:rPr>
                <w:sz w:val="16"/>
                <w:szCs w:val="16"/>
                <w:lang w:val="es-ES_tradnl" w:eastAsia="zh-CN"/>
              </w:rPr>
              <w:t>Plan de aprendizaje anual</w:t>
            </w:r>
          </w:p>
        </w:tc>
        <w:tc>
          <w:tcPr>
            <w:tcW w:w="1228" w:type="pct"/>
            <w:tcBorders>
              <w:left w:val="single" w:sz="4" w:space="0" w:color="auto"/>
            </w:tcBorders>
            <w:shd w:val="clear" w:color="auto" w:fill="DEEAF6"/>
            <w:vAlign w:val="center"/>
          </w:tcPr>
          <w:p w14:paraId="585C5DD1" w14:textId="77777777" w:rsidR="00B14F4A" w:rsidRPr="0090639D" w:rsidRDefault="00B14F4A" w:rsidP="004E162C">
            <w:pPr>
              <w:pStyle w:val="Tabletext"/>
              <w:rPr>
                <w:rFonts w:eastAsia="DengXian"/>
                <w:sz w:val="16"/>
                <w:szCs w:val="16"/>
                <w:lang w:val="es-ES_tradnl" w:eastAsia="zh-CN"/>
              </w:rPr>
            </w:pPr>
            <w:r w:rsidRPr="0090639D">
              <w:rPr>
                <w:b/>
                <w:bCs/>
                <w:sz w:val="16"/>
                <w:szCs w:val="16"/>
                <w:lang w:val="es-ES_tradnl" w:eastAsia="zh-CN"/>
              </w:rPr>
              <w:t xml:space="preserve">Implementar un plan de aprendizaje anual armonizado con el Plan Estratégico de la UIT </w:t>
            </w:r>
            <w:r w:rsidRPr="0090639D">
              <w:rPr>
                <w:sz w:val="16"/>
                <w:szCs w:val="16"/>
                <w:lang w:val="es-ES_tradnl" w:eastAsia="zh-CN"/>
              </w:rPr>
              <w:t>para priorizar las inversiones en aprendizaje y garantizar su pertinencia en relación con las prioridades estratégicas</w:t>
            </w:r>
            <w:r w:rsidRPr="0090639D">
              <w:rPr>
                <w:sz w:val="16"/>
                <w:szCs w:val="16"/>
                <w:lang w:val="es-ES_tradnl"/>
              </w:rPr>
              <w:t>.</w:t>
            </w:r>
          </w:p>
        </w:tc>
        <w:tc>
          <w:tcPr>
            <w:tcW w:w="1842" w:type="pct"/>
            <w:shd w:val="clear" w:color="auto" w:fill="DEEAF6"/>
            <w:vAlign w:val="center"/>
          </w:tcPr>
          <w:p w14:paraId="6A880D44" w14:textId="240F290D"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Pr="0090639D">
              <w:rPr>
                <w:rFonts w:eastAsia="DengXian"/>
                <w:sz w:val="16"/>
                <w:szCs w:val="16"/>
                <w:lang w:val="es-ES_tradnl" w:eastAsia="zh-CN"/>
              </w:rPr>
              <w:t>Plan publicado y ejecutado (cualitativo)</w:t>
            </w:r>
          </w:p>
          <w:p w14:paraId="0071CA97" w14:textId="34B56F83"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Pr="0090639D">
              <w:rPr>
                <w:rFonts w:eastAsia="DengXian"/>
                <w:sz w:val="16"/>
                <w:szCs w:val="16"/>
                <w:lang w:val="es-ES_tradnl" w:eastAsia="zh-CN"/>
              </w:rPr>
              <w:t>inversión en formación en % de los gastos de personal (objetivo = 3%)</w:t>
            </w:r>
          </w:p>
        </w:tc>
        <w:tc>
          <w:tcPr>
            <w:tcW w:w="592" w:type="pct"/>
            <w:shd w:val="clear" w:color="auto" w:fill="DEEAF6"/>
            <w:vAlign w:val="center"/>
          </w:tcPr>
          <w:p w14:paraId="10B49DD1" w14:textId="58F24922" w:rsidR="00FC2749" w:rsidRPr="0090639D" w:rsidRDefault="00B14F4A" w:rsidP="00615A73">
            <w:pPr>
              <w:pStyle w:val="Tabletext"/>
              <w:jc w:val="center"/>
              <w:rPr>
                <w:sz w:val="16"/>
                <w:szCs w:val="16"/>
                <w:lang w:val="es-ES_tradnl"/>
              </w:rPr>
            </w:pPr>
            <w:proofErr w:type="spellStart"/>
            <w:r w:rsidRPr="0090639D">
              <w:rPr>
                <w:sz w:val="16"/>
                <w:szCs w:val="16"/>
                <w:lang w:val="es-ES_tradnl"/>
              </w:rPr>
              <w:t>T1</w:t>
            </w:r>
            <w:proofErr w:type="spellEnd"/>
            <w:r w:rsidRPr="0090639D">
              <w:rPr>
                <w:sz w:val="16"/>
                <w:szCs w:val="16"/>
                <w:lang w:val="es-ES_tradnl"/>
              </w:rPr>
              <w:t xml:space="preserve"> 2026 /</w:t>
            </w:r>
          </w:p>
          <w:p w14:paraId="2875B103" w14:textId="5DFEBD64" w:rsidR="00B14F4A" w:rsidRPr="0090639D" w:rsidRDefault="00B14F4A" w:rsidP="00615A73">
            <w:pPr>
              <w:pStyle w:val="Tabletext"/>
              <w:jc w:val="center"/>
              <w:rPr>
                <w:sz w:val="16"/>
                <w:szCs w:val="16"/>
                <w:lang w:val="es-ES_tradnl"/>
              </w:rPr>
            </w:pPr>
            <w:proofErr w:type="spellStart"/>
            <w:r w:rsidRPr="0090639D">
              <w:rPr>
                <w:sz w:val="16"/>
                <w:szCs w:val="16"/>
                <w:lang w:val="es-ES_tradnl"/>
              </w:rPr>
              <w:t>T1</w:t>
            </w:r>
            <w:proofErr w:type="spellEnd"/>
            <w:r w:rsidRPr="0090639D">
              <w:rPr>
                <w:sz w:val="16"/>
                <w:szCs w:val="16"/>
                <w:lang w:val="es-ES_tradnl"/>
              </w:rPr>
              <w:t xml:space="preserve"> 2027 (anual)</w:t>
            </w:r>
          </w:p>
        </w:tc>
        <w:tc>
          <w:tcPr>
            <w:tcW w:w="494" w:type="pct"/>
            <w:shd w:val="clear" w:color="auto" w:fill="DEEAF6"/>
            <w:vAlign w:val="center"/>
          </w:tcPr>
          <w:p w14:paraId="461495BC" w14:textId="77777777" w:rsidR="00B14F4A" w:rsidRPr="0090639D" w:rsidRDefault="00B14F4A" w:rsidP="004E162C">
            <w:pPr>
              <w:pStyle w:val="Tabletext"/>
              <w:rPr>
                <w:rFonts w:eastAsia="DengXian"/>
                <w:sz w:val="16"/>
                <w:szCs w:val="16"/>
                <w:lang w:val="es-ES_tradnl" w:eastAsia="zh-CN"/>
              </w:rPr>
            </w:pPr>
          </w:p>
        </w:tc>
      </w:tr>
      <w:tr w:rsidR="00B14F4A" w:rsidRPr="0090639D" w14:paraId="55CA49AD" w14:textId="77777777" w:rsidTr="004E162C">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728A30F9" w14:textId="77777777" w:rsidR="00B14F4A" w:rsidRPr="0090639D" w:rsidRDefault="00B14F4A" w:rsidP="004E162C">
            <w:pPr>
              <w:pStyle w:val="Tabletext"/>
              <w:rPr>
                <w:rFonts w:eastAsia="DengXian"/>
                <w:sz w:val="16"/>
                <w:szCs w:val="16"/>
                <w:lang w:val="es-ES_tradnl" w:eastAsia="zh-CN"/>
              </w:rPr>
            </w:pPr>
            <w:r w:rsidRPr="0090639D">
              <w:rPr>
                <w:rFonts w:eastAsia="DengXian"/>
                <w:sz w:val="16"/>
                <w:szCs w:val="16"/>
                <w:lang w:val="es-ES_tradnl" w:eastAsia="zh-CN"/>
              </w:rPr>
              <w:t>3.4</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3A85B02D" w14:textId="77777777" w:rsidR="00B14F4A" w:rsidRPr="0090639D" w:rsidRDefault="00B14F4A" w:rsidP="004E162C">
            <w:pPr>
              <w:pStyle w:val="Tabletext"/>
              <w:rPr>
                <w:sz w:val="16"/>
                <w:szCs w:val="16"/>
                <w:lang w:val="es-ES_tradnl" w:eastAsia="zh-CN"/>
              </w:rPr>
            </w:pPr>
            <w:r w:rsidRPr="0090639D">
              <w:rPr>
                <w:sz w:val="16"/>
                <w:szCs w:val="16"/>
                <w:lang w:val="es-ES_tradnl" w:eastAsia="zh-CN"/>
              </w:rPr>
              <w:t>Desarrollo de competencias para el futuro</w:t>
            </w:r>
          </w:p>
        </w:tc>
        <w:tc>
          <w:tcPr>
            <w:tcW w:w="1228" w:type="pct"/>
            <w:tcBorders>
              <w:left w:val="single" w:sz="4" w:space="0" w:color="auto"/>
            </w:tcBorders>
            <w:shd w:val="clear" w:color="auto" w:fill="DEEAF6"/>
            <w:vAlign w:val="center"/>
          </w:tcPr>
          <w:p w14:paraId="35C48198" w14:textId="77777777" w:rsidR="00B14F4A" w:rsidRPr="0090639D" w:rsidRDefault="00B14F4A" w:rsidP="004E162C">
            <w:pPr>
              <w:pStyle w:val="Tabletext"/>
              <w:rPr>
                <w:rFonts w:eastAsia="DengXian"/>
                <w:sz w:val="16"/>
                <w:szCs w:val="16"/>
                <w:lang w:val="es-ES_tradnl" w:eastAsia="zh-CN"/>
              </w:rPr>
            </w:pPr>
            <w:r w:rsidRPr="0090639D">
              <w:rPr>
                <w:b/>
                <w:bCs/>
                <w:sz w:val="16"/>
                <w:szCs w:val="16"/>
                <w:lang w:val="es-ES_tradnl" w:eastAsia="zh-CN"/>
              </w:rPr>
              <w:t xml:space="preserve">Reforzar el desarrollo de competencias para el futuro </w:t>
            </w:r>
            <w:r w:rsidRPr="0090639D">
              <w:rPr>
                <w:sz w:val="16"/>
                <w:szCs w:val="16"/>
                <w:lang w:val="es-ES_tradnl" w:eastAsia="zh-CN"/>
              </w:rPr>
              <w:t>armonizando el aprendizaje con las tecnologías incipientes, las necesidades prioritarias en cuanto a capacidad y las funciones esenciales, gracias a programas definidos y el aprendizaje práctico</w:t>
            </w:r>
            <w:r w:rsidRPr="0090639D">
              <w:rPr>
                <w:sz w:val="16"/>
                <w:szCs w:val="16"/>
                <w:lang w:val="es-ES_tradnl"/>
              </w:rPr>
              <w:t>.</w:t>
            </w:r>
          </w:p>
        </w:tc>
        <w:tc>
          <w:tcPr>
            <w:tcW w:w="1842" w:type="pct"/>
            <w:shd w:val="clear" w:color="auto" w:fill="DEEAF6"/>
            <w:vAlign w:val="center"/>
          </w:tcPr>
          <w:p w14:paraId="4EAC767D" w14:textId="6A5A5442"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Pr="0090639D">
              <w:rPr>
                <w:rFonts w:eastAsia="DengXian"/>
                <w:sz w:val="16"/>
                <w:szCs w:val="16"/>
                <w:lang w:val="es-ES_tradnl" w:eastAsia="zh-CN"/>
              </w:rPr>
              <w:t>Número de programas impartidos</w:t>
            </w:r>
          </w:p>
          <w:p w14:paraId="494A842F" w14:textId="319A6782"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Pr="0090639D">
              <w:rPr>
                <w:rFonts w:eastAsia="DengXian"/>
                <w:sz w:val="16"/>
                <w:szCs w:val="16"/>
                <w:lang w:val="es-ES_tradnl" w:eastAsia="zh-CN"/>
              </w:rPr>
              <w:t>Participación en programas de competencias (número /%)</w:t>
            </w:r>
          </w:p>
        </w:tc>
        <w:tc>
          <w:tcPr>
            <w:tcW w:w="592" w:type="pct"/>
            <w:shd w:val="clear" w:color="auto" w:fill="DEEAF6"/>
            <w:vAlign w:val="center"/>
          </w:tcPr>
          <w:p w14:paraId="4ABDD2B2" w14:textId="77777777" w:rsidR="00B14F4A" w:rsidRPr="0090639D" w:rsidRDefault="00B14F4A" w:rsidP="00615A73">
            <w:pPr>
              <w:pStyle w:val="Tabletext"/>
              <w:jc w:val="center"/>
              <w:rPr>
                <w:sz w:val="16"/>
                <w:szCs w:val="16"/>
                <w:lang w:val="es-ES_tradnl"/>
              </w:rPr>
            </w:pPr>
            <w:proofErr w:type="spellStart"/>
            <w:r w:rsidRPr="0090639D">
              <w:rPr>
                <w:sz w:val="16"/>
                <w:szCs w:val="16"/>
                <w:lang w:val="es-ES_tradnl"/>
              </w:rPr>
              <w:t>T4</w:t>
            </w:r>
            <w:proofErr w:type="spellEnd"/>
            <w:r w:rsidRPr="0090639D">
              <w:rPr>
                <w:sz w:val="16"/>
                <w:szCs w:val="16"/>
                <w:lang w:val="es-ES_tradnl"/>
              </w:rPr>
              <w:t xml:space="preserve"> 2026</w:t>
            </w:r>
          </w:p>
        </w:tc>
        <w:tc>
          <w:tcPr>
            <w:tcW w:w="494" w:type="pct"/>
            <w:shd w:val="clear" w:color="auto" w:fill="DEEAF6"/>
            <w:vAlign w:val="center"/>
          </w:tcPr>
          <w:p w14:paraId="6F48C569" w14:textId="77777777" w:rsidR="00B14F4A" w:rsidRPr="0090639D" w:rsidRDefault="00B14F4A" w:rsidP="004E162C">
            <w:pPr>
              <w:pStyle w:val="Tabletext"/>
              <w:rPr>
                <w:rFonts w:eastAsia="DengXian"/>
                <w:sz w:val="16"/>
                <w:szCs w:val="16"/>
                <w:lang w:val="es-ES_tradnl" w:eastAsia="zh-CN"/>
              </w:rPr>
            </w:pPr>
          </w:p>
        </w:tc>
      </w:tr>
      <w:tr w:rsidR="00B14F4A" w:rsidRPr="0090639D" w14:paraId="1222E2B5" w14:textId="77777777" w:rsidTr="004E162C">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4C79477E" w14:textId="77777777" w:rsidR="00B14F4A" w:rsidRPr="0090639D" w:rsidRDefault="00B14F4A" w:rsidP="004E162C">
            <w:pPr>
              <w:pStyle w:val="Tabletext"/>
              <w:rPr>
                <w:rFonts w:eastAsia="DengXian"/>
                <w:sz w:val="16"/>
                <w:szCs w:val="16"/>
                <w:lang w:val="es-ES_tradnl" w:eastAsia="zh-CN"/>
              </w:rPr>
            </w:pPr>
            <w:r w:rsidRPr="0090639D">
              <w:rPr>
                <w:rFonts w:eastAsia="DengXian"/>
                <w:sz w:val="16"/>
                <w:szCs w:val="16"/>
                <w:lang w:val="es-ES_tradnl" w:eastAsia="zh-CN"/>
              </w:rPr>
              <w:t>3.5</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63B877DA" w14:textId="77777777" w:rsidR="00B14F4A" w:rsidRPr="0090639D" w:rsidRDefault="00B14F4A" w:rsidP="004E162C">
            <w:pPr>
              <w:pStyle w:val="Tabletext"/>
              <w:rPr>
                <w:sz w:val="16"/>
                <w:szCs w:val="16"/>
                <w:lang w:val="es-ES_tradnl" w:eastAsia="zh-CN"/>
              </w:rPr>
            </w:pPr>
            <w:r w:rsidRPr="0090639D">
              <w:rPr>
                <w:sz w:val="16"/>
                <w:szCs w:val="16"/>
                <w:lang w:val="es-ES_tradnl" w:eastAsia="zh-CN"/>
              </w:rPr>
              <w:t>Analítica del aprendizaje y evaluación de competencias</w:t>
            </w:r>
          </w:p>
        </w:tc>
        <w:tc>
          <w:tcPr>
            <w:tcW w:w="1228" w:type="pct"/>
            <w:tcBorders>
              <w:left w:val="single" w:sz="4" w:space="0" w:color="auto"/>
            </w:tcBorders>
            <w:shd w:val="clear" w:color="auto" w:fill="DEEAF6"/>
            <w:vAlign w:val="center"/>
          </w:tcPr>
          <w:p w14:paraId="36DAC02F" w14:textId="77777777" w:rsidR="00B14F4A" w:rsidRPr="0090639D" w:rsidRDefault="00B14F4A" w:rsidP="004E162C">
            <w:pPr>
              <w:pStyle w:val="Tabletext"/>
              <w:rPr>
                <w:rFonts w:eastAsia="DengXian"/>
                <w:sz w:val="16"/>
                <w:szCs w:val="16"/>
                <w:lang w:val="es-ES_tradnl" w:eastAsia="zh-CN"/>
              </w:rPr>
            </w:pPr>
            <w:r w:rsidRPr="0090639D">
              <w:rPr>
                <w:b/>
                <w:bCs/>
                <w:sz w:val="16"/>
                <w:szCs w:val="16"/>
                <w:lang w:val="es-ES_tradnl" w:eastAsia="zh-CN"/>
              </w:rPr>
              <w:t xml:space="preserve">Desarrollo de la analítica del aprendizaje y la evaluación de competencias </w:t>
            </w:r>
            <w:r w:rsidRPr="0090639D">
              <w:rPr>
                <w:sz w:val="16"/>
                <w:szCs w:val="16"/>
                <w:lang w:val="es-ES_tradnl" w:eastAsia="zh-CN"/>
              </w:rPr>
              <w:t>para entender mejor las carencias en materia de capacidad, personalizar las ofertas de formación y hacer un seguimiento de la adopción y la efectividad de la formación</w:t>
            </w:r>
            <w:r w:rsidRPr="0090639D">
              <w:rPr>
                <w:sz w:val="16"/>
                <w:szCs w:val="16"/>
                <w:lang w:val="es-ES_tradnl"/>
              </w:rPr>
              <w:t>.</w:t>
            </w:r>
          </w:p>
        </w:tc>
        <w:tc>
          <w:tcPr>
            <w:tcW w:w="1842" w:type="pct"/>
            <w:shd w:val="clear" w:color="auto" w:fill="DEEAF6"/>
            <w:vAlign w:val="center"/>
          </w:tcPr>
          <w:p w14:paraId="010BAAB0" w14:textId="0C8C9406"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Pr="0090639D">
              <w:rPr>
                <w:rFonts w:eastAsia="DengXian"/>
                <w:sz w:val="16"/>
                <w:szCs w:val="16"/>
                <w:lang w:val="es-ES_tradnl" w:eastAsia="zh-CN"/>
              </w:rPr>
              <w:t>Utilización activa del Panel de aprendizaje</w:t>
            </w:r>
          </w:p>
          <w:p w14:paraId="379FCCB9" w14:textId="026E1359"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Pr="0090639D">
              <w:rPr>
                <w:rFonts w:eastAsia="DengXian"/>
                <w:sz w:val="16"/>
                <w:szCs w:val="16"/>
                <w:lang w:val="es-ES_tradnl" w:eastAsia="zh-CN"/>
              </w:rPr>
              <w:t>% de ofertas de formación personalizadas para las carencias en materia de competencias identificadas</w:t>
            </w:r>
          </w:p>
          <w:p w14:paraId="087DA430" w14:textId="1E567243"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00903D32" w:rsidRPr="0090639D">
              <w:rPr>
                <w:sz w:val="16"/>
                <w:szCs w:val="16"/>
                <w:lang w:val="es-ES_tradnl"/>
              </w:rPr>
              <w:t>P</w:t>
            </w:r>
            <w:r w:rsidRPr="0090639D">
              <w:rPr>
                <w:rFonts w:eastAsia="DengXian"/>
                <w:sz w:val="16"/>
                <w:szCs w:val="16"/>
                <w:lang w:val="es-ES_tradnl" w:eastAsia="zh-CN"/>
              </w:rPr>
              <w:t>untuación media de la efectividad del aprendizaje (evaluación posterior a la formación)</w:t>
            </w:r>
          </w:p>
        </w:tc>
        <w:tc>
          <w:tcPr>
            <w:tcW w:w="592" w:type="pct"/>
            <w:shd w:val="clear" w:color="auto" w:fill="DEEAF6"/>
            <w:vAlign w:val="center"/>
          </w:tcPr>
          <w:p w14:paraId="57106F3F" w14:textId="77777777" w:rsidR="00B14F4A" w:rsidRPr="0090639D" w:rsidRDefault="00B14F4A" w:rsidP="00615A73">
            <w:pPr>
              <w:pStyle w:val="Tabletext"/>
              <w:jc w:val="center"/>
              <w:rPr>
                <w:sz w:val="16"/>
                <w:szCs w:val="16"/>
                <w:lang w:val="es-ES_tradnl"/>
              </w:rPr>
            </w:pPr>
            <w:proofErr w:type="spellStart"/>
            <w:r w:rsidRPr="0090639D">
              <w:rPr>
                <w:sz w:val="16"/>
                <w:szCs w:val="16"/>
                <w:lang w:val="es-ES_tradnl"/>
              </w:rPr>
              <w:t>T3</w:t>
            </w:r>
            <w:proofErr w:type="spellEnd"/>
            <w:r w:rsidRPr="0090639D">
              <w:rPr>
                <w:sz w:val="16"/>
                <w:szCs w:val="16"/>
                <w:lang w:val="es-ES_tradnl"/>
              </w:rPr>
              <w:t xml:space="preserve"> 2026</w:t>
            </w:r>
          </w:p>
        </w:tc>
        <w:tc>
          <w:tcPr>
            <w:tcW w:w="494" w:type="pct"/>
            <w:shd w:val="clear" w:color="auto" w:fill="DEEAF6"/>
            <w:vAlign w:val="center"/>
          </w:tcPr>
          <w:p w14:paraId="2C88AB5D" w14:textId="77777777" w:rsidR="00B14F4A" w:rsidRPr="0090639D" w:rsidRDefault="00B14F4A" w:rsidP="004E162C">
            <w:pPr>
              <w:pStyle w:val="Tabletext"/>
              <w:rPr>
                <w:rFonts w:eastAsia="DengXian"/>
                <w:sz w:val="16"/>
                <w:szCs w:val="16"/>
                <w:lang w:val="es-ES_tradnl" w:eastAsia="zh-CN"/>
              </w:rPr>
            </w:pPr>
          </w:p>
        </w:tc>
      </w:tr>
      <w:tr w:rsidR="00B14F4A" w:rsidRPr="0090639D" w14:paraId="01FA33C3" w14:textId="77777777" w:rsidTr="004E162C">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5F5FFE03" w14:textId="77777777" w:rsidR="00B14F4A" w:rsidRPr="0090639D" w:rsidRDefault="00B14F4A" w:rsidP="004E162C">
            <w:pPr>
              <w:pStyle w:val="Tabletext"/>
              <w:rPr>
                <w:rFonts w:eastAsia="DengXian"/>
                <w:sz w:val="16"/>
                <w:szCs w:val="16"/>
                <w:lang w:val="es-ES_tradnl" w:eastAsia="zh-CN"/>
              </w:rPr>
            </w:pPr>
            <w:r w:rsidRPr="0090639D">
              <w:rPr>
                <w:rFonts w:eastAsia="DengXian"/>
                <w:sz w:val="16"/>
                <w:szCs w:val="16"/>
                <w:lang w:val="es-ES_tradnl" w:eastAsia="zh-CN"/>
              </w:rPr>
              <w:t>3.6</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00A0A524" w14:textId="77777777" w:rsidR="00B14F4A" w:rsidRPr="0090639D" w:rsidRDefault="00B14F4A" w:rsidP="004E162C">
            <w:pPr>
              <w:pStyle w:val="Tabletext"/>
              <w:rPr>
                <w:sz w:val="16"/>
                <w:szCs w:val="16"/>
                <w:lang w:val="es-ES_tradnl" w:eastAsia="zh-CN"/>
              </w:rPr>
            </w:pPr>
            <w:r w:rsidRPr="0090639D">
              <w:rPr>
                <w:sz w:val="16"/>
                <w:szCs w:val="16"/>
                <w:lang w:val="es-ES_tradnl" w:eastAsia="zh-CN"/>
              </w:rPr>
              <w:t>Compartición de conocimientos y aprendizaje entre pares</w:t>
            </w:r>
          </w:p>
        </w:tc>
        <w:tc>
          <w:tcPr>
            <w:tcW w:w="1228" w:type="pct"/>
            <w:tcBorders>
              <w:left w:val="single" w:sz="4" w:space="0" w:color="auto"/>
            </w:tcBorders>
            <w:shd w:val="clear" w:color="auto" w:fill="DEEAF6"/>
            <w:vAlign w:val="center"/>
          </w:tcPr>
          <w:p w14:paraId="2DEC06B5" w14:textId="77777777" w:rsidR="00B14F4A" w:rsidRPr="0090639D" w:rsidRDefault="00B14F4A" w:rsidP="004E162C">
            <w:pPr>
              <w:pStyle w:val="Tabletext"/>
              <w:rPr>
                <w:rFonts w:eastAsia="DengXian"/>
                <w:sz w:val="16"/>
                <w:szCs w:val="16"/>
                <w:lang w:val="es-ES_tradnl" w:eastAsia="zh-CN"/>
              </w:rPr>
            </w:pPr>
            <w:r w:rsidRPr="0090639D">
              <w:rPr>
                <w:b/>
                <w:bCs/>
                <w:sz w:val="16"/>
                <w:szCs w:val="16"/>
                <w:lang w:val="es-ES_tradnl" w:eastAsia="zh-CN"/>
              </w:rPr>
              <w:t xml:space="preserve">Promover la compartición de conocimientos y el aprendizaje entre pares </w:t>
            </w:r>
            <w:r w:rsidRPr="0090639D">
              <w:rPr>
                <w:sz w:val="16"/>
                <w:szCs w:val="16"/>
                <w:lang w:val="es-ES_tradnl" w:eastAsia="zh-CN"/>
              </w:rPr>
              <w:t>recurriendo a comunidades de práctica, mentorías y oportunidades estructuradas para compartir los conocimientos en equipos y departamentos</w:t>
            </w:r>
            <w:r w:rsidRPr="0090639D">
              <w:rPr>
                <w:rFonts w:eastAsia="DengXian"/>
                <w:sz w:val="16"/>
                <w:szCs w:val="16"/>
                <w:lang w:val="es-ES_tradnl" w:eastAsia="zh-CN"/>
              </w:rPr>
              <w:t>.</w:t>
            </w:r>
          </w:p>
        </w:tc>
        <w:tc>
          <w:tcPr>
            <w:tcW w:w="1842" w:type="pct"/>
            <w:shd w:val="clear" w:color="auto" w:fill="DEEAF6"/>
            <w:vAlign w:val="center"/>
          </w:tcPr>
          <w:p w14:paraId="52CA232C" w14:textId="6373FC40"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Pr="0090639D">
              <w:rPr>
                <w:rFonts w:eastAsia="DengXian"/>
                <w:sz w:val="16"/>
                <w:szCs w:val="16"/>
                <w:lang w:val="es-ES_tradnl" w:eastAsia="zh-CN"/>
              </w:rPr>
              <w:t>Número de miembros del personal beneficiarios de mentorías</w:t>
            </w:r>
          </w:p>
        </w:tc>
        <w:tc>
          <w:tcPr>
            <w:tcW w:w="592" w:type="pct"/>
            <w:shd w:val="clear" w:color="auto" w:fill="DEEAF6"/>
            <w:vAlign w:val="center"/>
          </w:tcPr>
          <w:p w14:paraId="2FB43706" w14:textId="77777777" w:rsidR="00B14F4A" w:rsidRPr="0090639D" w:rsidRDefault="00B14F4A" w:rsidP="00615A73">
            <w:pPr>
              <w:pStyle w:val="Tabletext"/>
              <w:jc w:val="center"/>
              <w:rPr>
                <w:sz w:val="16"/>
                <w:szCs w:val="16"/>
                <w:lang w:val="es-ES_tradnl"/>
              </w:rPr>
            </w:pPr>
            <w:proofErr w:type="spellStart"/>
            <w:r w:rsidRPr="0090639D">
              <w:rPr>
                <w:sz w:val="16"/>
                <w:szCs w:val="16"/>
                <w:lang w:val="es-ES_tradnl"/>
              </w:rPr>
              <w:t>T4</w:t>
            </w:r>
            <w:proofErr w:type="spellEnd"/>
            <w:r w:rsidRPr="0090639D">
              <w:rPr>
                <w:sz w:val="16"/>
                <w:szCs w:val="16"/>
                <w:lang w:val="es-ES_tradnl"/>
              </w:rPr>
              <w:t xml:space="preserve"> 2026 (y periódicamente)</w:t>
            </w:r>
          </w:p>
        </w:tc>
        <w:tc>
          <w:tcPr>
            <w:tcW w:w="494" w:type="pct"/>
            <w:shd w:val="clear" w:color="auto" w:fill="DEEAF6"/>
            <w:vAlign w:val="center"/>
          </w:tcPr>
          <w:p w14:paraId="2FAFAFDB" w14:textId="77777777" w:rsidR="00B14F4A" w:rsidRPr="0090639D" w:rsidRDefault="00B14F4A" w:rsidP="004E162C">
            <w:pPr>
              <w:pStyle w:val="Tabletext"/>
              <w:rPr>
                <w:rFonts w:eastAsia="DengXian"/>
                <w:sz w:val="16"/>
                <w:szCs w:val="16"/>
                <w:lang w:val="es-ES_tradnl" w:eastAsia="zh-CN"/>
              </w:rPr>
            </w:pPr>
          </w:p>
        </w:tc>
      </w:tr>
      <w:tr w:rsidR="00B14F4A" w:rsidRPr="0090639D" w14:paraId="72CE02F9" w14:textId="77777777" w:rsidTr="004E162C">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76A07316" w14:textId="77777777" w:rsidR="00B14F4A" w:rsidRPr="0090639D" w:rsidRDefault="00B14F4A" w:rsidP="004E162C">
            <w:pPr>
              <w:pStyle w:val="Tabletext"/>
              <w:rPr>
                <w:rFonts w:eastAsia="DengXian"/>
                <w:sz w:val="16"/>
                <w:szCs w:val="16"/>
                <w:lang w:val="es-ES_tradnl" w:eastAsia="zh-CN"/>
              </w:rPr>
            </w:pPr>
            <w:r w:rsidRPr="0090639D">
              <w:rPr>
                <w:rFonts w:eastAsia="DengXian"/>
                <w:sz w:val="16"/>
                <w:szCs w:val="16"/>
                <w:lang w:val="es-ES_tradnl" w:eastAsia="zh-CN"/>
              </w:rPr>
              <w:t>4.1</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046C1C7E" w14:textId="77777777" w:rsidR="00B14F4A" w:rsidRPr="0090639D" w:rsidRDefault="00B14F4A" w:rsidP="004E162C">
            <w:pPr>
              <w:pStyle w:val="Tabletext"/>
              <w:rPr>
                <w:sz w:val="16"/>
                <w:szCs w:val="16"/>
                <w:lang w:val="es-ES_tradnl" w:eastAsia="zh-CN"/>
              </w:rPr>
            </w:pPr>
            <w:r w:rsidRPr="0090639D">
              <w:rPr>
                <w:sz w:val="16"/>
                <w:szCs w:val="16"/>
                <w:lang w:val="es-ES_tradnl" w:eastAsia="zh-CN"/>
              </w:rPr>
              <w:t>Salud y seguridad ocupacional</w:t>
            </w:r>
          </w:p>
        </w:tc>
        <w:tc>
          <w:tcPr>
            <w:tcW w:w="1228" w:type="pct"/>
            <w:tcBorders>
              <w:left w:val="single" w:sz="4" w:space="0" w:color="auto"/>
            </w:tcBorders>
            <w:shd w:val="clear" w:color="auto" w:fill="DEEAF6"/>
            <w:vAlign w:val="center"/>
          </w:tcPr>
          <w:p w14:paraId="428DBDCD" w14:textId="77777777" w:rsidR="00B14F4A" w:rsidRPr="0090639D" w:rsidRDefault="00B14F4A" w:rsidP="004E162C">
            <w:pPr>
              <w:pStyle w:val="Tabletext"/>
              <w:rPr>
                <w:rFonts w:eastAsia="DengXian"/>
                <w:sz w:val="16"/>
                <w:szCs w:val="16"/>
                <w:lang w:val="es-ES_tradnl" w:eastAsia="zh-CN"/>
              </w:rPr>
            </w:pPr>
            <w:r w:rsidRPr="0090639D">
              <w:rPr>
                <w:b/>
                <w:bCs/>
                <w:sz w:val="16"/>
                <w:szCs w:val="16"/>
                <w:lang w:val="es-ES_tradnl" w:eastAsia="zh-CN"/>
              </w:rPr>
              <w:t xml:space="preserve">Facilitar la transición hacia un enfoque de salud y seguridad ocupacional más integrado </w:t>
            </w:r>
            <w:r w:rsidRPr="0090639D">
              <w:rPr>
                <w:sz w:val="16"/>
                <w:szCs w:val="16"/>
                <w:lang w:val="es-ES_tradnl" w:eastAsia="zh-CN"/>
              </w:rPr>
              <w:t xml:space="preserve">sobre la base de los servicios médicos existentes, la vinculación </w:t>
            </w:r>
            <w:proofErr w:type="spellStart"/>
            <w:r w:rsidRPr="0090639D">
              <w:rPr>
                <w:sz w:val="16"/>
                <w:szCs w:val="16"/>
                <w:lang w:val="es-ES_tradnl" w:eastAsia="zh-CN"/>
              </w:rPr>
              <w:t>interorganismos</w:t>
            </w:r>
            <w:proofErr w:type="spellEnd"/>
            <w:r w:rsidRPr="0090639D">
              <w:rPr>
                <w:sz w:val="16"/>
                <w:szCs w:val="16"/>
                <w:lang w:val="es-ES_tradnl" w:eastAsia="zh-CN"/>
              </w:rPr>
              <w:t xml:space="preserve"> y el refuerzo de la prevención, la gestión de riesgos y la sensibilización</w:t>
            </w:r>
            <w:r w:rsidRPr="0090639D">
              <w:rPr>
                <w:rFonts w:eastAsia="DengXian"/>
                <w:sz w:val="16"/>
                <w:szCs w:val="16"/>
                <w:lang w:val="es-ES_tradnl" w:eastAsia="zh-CN"/>
              </w:rPr>
              <w:t>.</w:t>
            </w:r>
          </w:p>
        </w:tc>
        <w:tc>
          <w:tcPr>
            <w:tcW w:w="1842" w:type="pct"/>
            <w:shd w:val="clear" w:color="auto" w:fill="DEEAF6"/>
            <w:vAlign w:val="center"/>
          </w:tcPr>
          <w:p w14:paraId="52B74BDF" w14:textId="04D10B3D"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00903D32" w:rsidRPr="0090639D">
              <w:rPr>
                <w:sz w:val="16"/>
                <w:szCs w:val="16"/>
                <w:lang w:val="es-ES_tradnl"/>
              </w:rPr>
              <w:t>E</w:t>
            </w:r>
            <w:r w:rsidRPr="0090639D">
              <w:rPr>
                <w:rFonts w:eastAsia="DengXian"/>
                <w:sz w:val="16"/>
                <w:szCs w:val="16"/>
                <w:lang w:val="es-ES_tradnl" w:eastAsia="zh-CN"/>
              </w:rPr>
              <w:t>xamen de salud ocupacional realizado</w:t>
            </w:r>
          </w:p>
          <w:p w14:paraId="5CE68127" w14:textId="035E6FF5"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00903D32" w:rsidRPr="0090639D">
              <w:rPr>
                <w:sz w:val="16"/>
                <w:szCs w:val="16"/>
                <w:lang w:val="es-ES_tradnl"/>
              </w:rPr>
              <w:t>R</w:t>
            </w:r>
            <w:r w:rsidRPr="0090639D">
              <w:rPr>
                <w:rFonts w:eastAsia="DengXian"/>
                <w:sz w:val="16"/>
                <w:szCs w:val="16"/>
                <w:lang w:val="es-ES_tradnl" w:eastAsia="zh-CN"/>
              </w:rPr>
              <w:t>iesgos sanitarios y ocupacionales integrados en el Registro de Riesgos de la UIT</w:t>
            </w:r>
          </w:p>
          <w:p w14:paraId="11F59887" w14:textId="358E9F4A"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Pr="0090639D">
              <w:rPr>
                <w:rFonts w:eastAsia="DengXian"/>
                <w:sz w:val="16"/>
                <w:szCs w:val="16"/>
                <w:lang w:val="es-ES_tradnl" w:eastAsia="zh-CN"/>
              </w:rPr>
              <w:t xml:space="preserve">% del personal que ha completado la formación de sensibilización y </w:t>
            </w:r>
            <w:r w:rsidRPr="0090639D">
              <w:rPr>
                <w:sz w:val="16"/>
                <w:szCs w:val="16"/>
                <w:lang w:val="es-ES_tradnl"/>
              </w:rPr>
              <w:t>prevención</w:t>
            </w:r>
            <w:r w:rsidRPr="0090639D">
              <w:rPr>
                <w:rFonts w:eastAsia="DengXian"/>
                <w:sz w:val="16"/>
                <w:szCs w:val="16"/>
                <w:lang w:val="es-ES_tradnl" w:eastAsia="zh-CN"/>
              </w:rPr>
              <w:t xml:space="preserve"> de salud y seguridad ocupacional</w:t>
            </w:r>
          </w:p>
        </w:tc>
        <w:tc>
          <w:tcPr>
            <w:tcW w:w="592" w:type="pct"/>
            <w:shd w:val="clear" w:color="auto" w:fill="DEEAF6"/>
            <w:vAlign w:val="center"/>
          </w:tcPr>
          <w:p w14:paraId="15E920FA" w14:textId="77777777" w:rsidR="00B14F4A" w:rsidRPr="0090639D" w:rsidRDefault="00B14F4A" w:rsidP="00615A73">
            <w:pPr>
              <w:pStyle w:val="Tabletext"/>
              <w:jc w:val="center"/>
              <w:rPr>
                <w:sz w:val="16"/>
                <w:szCs w:val="16"/>
                <w:lang w:val="es-ES_tradnl" w:eastAsia="zh-CN"/>
              </w:rPr>
            </w:pPr>
            <w:proofErr w:type="spellStart"/>
            <w:r w:rsidRPr="0090639D">
              <w:rPr>
                <w:sz w:val="16"/>
                <w:szCs w:val="16"/>
                <w:lang w:val="es-ES_tradnl"/>
              </w:rPr>
              <w:t>T4</w:t>
            </w:r>
            <w:proofErr w:type="spellEnd"/>
            <w:r w:rsidRPr="0090639D">
              <w:rPr>
                <w:sz w:val="16"/>
                <w:szCs w:val="16"/>
                <w:lang w:val="es-ES_tradnl"/>
              </w:rPr>
              <w:t xml:space="preserve"> 202</w:t>
            </w:r>
            <w:r w:rsidRPr="0090639D">
              <w:rPr>
                <w:sz w:val="16"/>
                <w:szCs w:val="16"/>
                <w:lang w:val="es-ES_tradnl" w:eastAsia="zh-CN"/>
              </w:rPr>
              <w:t>7</w:t>
            </w:r>
          </w:p>
          <w:p w14:paraId="2BA2D78F" w14:textId="77777777" w:rsidR="00B14F4A" w:rsidRPr="0090639D" w:rsidRDefault="00B14F4A" w:rsidP="00615A73">
            <w:pPr>
              <w:pStyle w:val="Tabletext"/>
              <w:jc w:val="center"/>
              <w:rPr>
                <w:sz w:val="16"/>
                <w:szCs w:val="16"/>
                <w:lang w:val="es-ES_tradnl" w:eastAsia="zh-CN"/>
              </w:rPr>
            </w:pPr>
            <w:proofErr w:type="spellStart"/>
            <w:r w:rsidRPr="0090639D">
              <w:rPr>
                <w:sz w:val="16"/>
                <w:szCs w:val="16"/>
                <w:lang w:val="es-ES_tradnl"/>
              </w:rPr>
              <w:t>T4</w:t>
            </w:r>
            <w:proofErr w:type="spellEnd"/>
            <w:r w:rsidRPr="0090639D">
              <w:rPr>
                <w:sz w:val="16"/>
                <w:szCs w:val="16"/>
                <w:lang w:val="es-ES_tradnl"/>
              </w:rPr>
              <w:t xml:space="preserve"> 202</w:t>
            </w:r>
            <w:r w:rsidRPr="0090639D">
              <w:rPr>
                <w:sz w:val="16"/>
                <w:szCs w:val="16"/>
                <w:lang w:val="es-ES_tradnl" w:eastAsia="zh-CN"/>
              </w:rPr>
              <w:t>7</w:t>
            </w:r>
          </w:p>
          <w:p w14:paraId="21346065" w14:textId="77777777" w:rsidR="00B14F4A" w:rsidRPr="0090639D" w:rsidRDefault="00B14F4A" w:rsidP="00615A73">
            <w:pPr>
              <w:pStyle w:val="Tabletext"/>
              <w:jc w:val="center"/>
              <w:rPr>
                <w:sz w:val="16"/>
                <w:szCs w:val="16"/>
                <w:lang w:val="es-ES_tradnl"/>
              </w:rPr>
            </w:pPr>
            <w:proofErr w:type="spellStart"/>
            <w:r w:rsidRPr="0090639D">
              <w:rPr>
                <w:sz w:val="16"/>
                <w:szCs w:val="16"/>
                <w:lang w:val="es-ES_tradnl"/>
              </w:rPr>
              <w:t>T4</w:t>
            </w:r>
            <w:proofErr w:type="spellEnd"/>
            <w:r w:rsidRPr="0090639D">
              <w:rPr>
                <w:sz w:val="16"/>
                <w:szCs w:val="16"/>
                <w:lang w:val="es-ES_tradnl"/>
              </w:rPr>
              <w:t xml:space="preserve"> 2026</w:t>
            </w:r>
            <w:r w:rsidRPr="0090639D">
              <w:rPr>
                <w:sz w:val="16"/>
                <w:szCs w:val="16"/>
                <w:lang w:val="es-ES_tradnl" w:eastAsia="zh-CN"/>
              </w:rPr>
              <w:t>/</w:t>
            </w:r>
            <w:proofErr w:type="spellStart"/>
            <w:r w:rsidRPr="0090639D">
              <w:rPr>
                <w:sz w:val="16"/>
                <w:szCs w:val="16"/>
                <w:lang w:val="es-ES_tradnl" w:eastAsia="zh-CN"/>
              </w:rPr>
              <w:t>Q4</w:t>
            </w:r>
            <w:proofErr w:type="spellEnd"/>
            <w:r w:rsidRPr="0090639D">
              <w:rPr>
                <w:sz w:val="16"/>
                <w:szCs w:val="16"/>
                <w:lang w:val="es-ES_tradnl" w:eastAsia="zh-CN"/>
              </w:rPr>
              <w:t xml:space="preserve"> 2027</w:t>
            </w:r>
          </w:p>
        </w:tc>
        <w:tc>
          <w:tcPr>
            <w:tcW w:w="494" w:type="pct"/>
            <w:shd w:val="clear" w:color="auto" w:fill="DEEAF6"/>
            <w:vAlign w:val="center"/>
          </w:tcPr>
          <w:p w14:paraId="7162B531" w14:textId="77777777" w:rsidR="00B14F4A" w:rsidRPr="0090639D" w:rsidRDefault="00B14F4A" w:rsidP="004E162C">
            <w:pPr>
              <w:pStyle w:val="Tabletext"/>
              <w:rPr>
                <w:rFonts w:eastAsia="DengXian"/>
                <w:sz w:val="16"/>
                <w:szCs w:val="16"/>
                <w:lang w:val="es-ES_tradnl" w:eastAsia="zh-CN"/>
              </w:rPr>
            </w:pPr>
          </w:p>
        </w:tc>
      </w:tr>
      <w:tr w:rsidR="00B14F4A" w:rsidRPr="0090639D" w14:paraId="5D63E11D" w14:textId="77777777" w:rsidTr="004E162C">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6454F321" w14:textId="77777777" w:rsidR="00B14F4A" w:rsidRPr="0090639D" w:rsidRDefault="00B14F4A" w:rsidP="004E162C">
            <w:pPr>
              <w:pStyle w:val="Tabletext"/>
              <w:rPr>
                <w:rFonts w:eastAsia="DengXian"/>
                <w:sz w:val="16"/>
                <w:szCs w:val="16"/>
                <w:lang w:val="es-ES_tradnl" w:eastAsia="zh-CN"/>
              </w:rPr>
            </w:pPr>
            <w:r w:rsidRPr="0090639D">
              <w:rPr>
                <w:rFonts w:eastAsia="DengXian"/>
                <w:sz w:val="16"/>
                <w:szCs w:val="16"/>
                <w:lang w:val="es-ES_tradnl" w:eastAsia="zh-CN"/>
              </w:rPr>
              <w:t>4.2</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2A002FC0" w14:textId="77777777" w:rsidR="00B14F4A" w:rsidRPr="0090639D" w:rsidRDefault="00B14F4A" w:rsidP="004E162C">
            <w:pPr>
              <w:pStyle w:val="Tabletext"/>
              <w:rPr>
                <w:sz w:val="16"/>
                <w:szCs w:val="16"/>
                <w:lang w:val="es-ES_tradnl" w:eastAsia="zh-CN"/>
              </w:rPr>
            </w:pPr>
            <w:r w:rsidRPr="0090639D">
              <w:rPr>
                <w:sz w:val="16"/>
                <w:szCs w:val="16"/>
                <w:lang w:val="es-ES_tradnl" w:eastAsia="zh-CN"/>
              </w:rPr>
              <w:t>Programas de vuelta al trabajo</w:t>
            </w:r>
          </w:p>
        </w:tc>
        <w:tc>
          <w:tcPr>
            <w:tcW w:w="1228" w:type="pct"/>
            <w:tcBorders>
              <w:left w:val="single" w:sz="4" w:space="0" w:color="auto"/>
            </w:tcBorders>
            <w:shd w:val="clear" w:color="auto" w:fill="DEEAF6"/>
            <w:vAlign w:val="center"/>
          </w:tcPr>
          <w:p w14:paraId="6434AEC4" w14:textId="77777777" w:rsidR="00B14F4A" w:rsidRPr="0090639D" w:rsidRDefault="00B14F4A" w:rsidP="004E162C">
            <w:pPr>
              <w:pStyle w:val="Tabletext"/>
              <w:rPr>
                <w:rFonts w:eastAsia="DengXian"/>
                <w:sz w:val="16"/>
                <w:szCs w:val="16"/>
                <w:lang w:val="es-ES_tradnl" w:eastAsia="zh-CN"/>
              </w:rPr>
            </w:pPr>
            <w:r w:rsidRPr="0090639D">
              <w:rPr>
                <w:b/>
                <w:bCs/>
                <w:sz w:val="16"/>
                <w:szCs w:val="16"/>
                <w:lang w:val="es-ES_tradnl" w:eastAsia="zh-CN"/>
              </w:rPr>
              <w:t xml:space="preserve">Mejorar los programas de vuelta al trabajo </w:t>
            </w:r>
            <w:r w:rsidRPr="0090639D">
              <w:rPr>
                <w:sz w:val="16"/>
                <w:szCs w:val="16"/>
                <w:lang w:val="es-ES_tradnl" w:eastAsia="zh-CN"/>
              </w:rPr>
              <w:t>para ayudar al personal a reintegrarse tras una enfermedad o ausencia mediante procedimientos claros, coordinación oportuna y ajustes adecuados del lugar de trabajo en caso necesario</w:t>
            </w:r>
            <w:r w:rsidRPr="0090639D">
              <w:rPr>
                <w:rFonts w:eastAsia="DengXian"/>
                <w:sz w:val="16"/>
                <w:szCs w:val="16"/>
                <w:lang w:val="es-ES_tradnl" w:eastAsia="zh-CN"/>
              </w:rPr>
              <w:t>.</w:t>
            </w:r>
          </w:p>
        </w:tc>
        <w:tc>
          <w:tcPr>
            <w:tcW w:w="1842" w:type="pct"/>
            <w:shd w:val="clear" w:color="auto" w:fill="DEEAF6"/>
            <w:vAlign w:val="center"/>
          </w:tcPr>
          <w:p w14:paraId="5421831F" w14:textId="01511911"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00903D32" w:rsidRPr="0090639D">
              <w:rPr>
                <w:sz w:val="16"/>
                <w:szCs w:val="16"/>
                <w:lang w:val="es-ES_tradnl"/>
              </w:rPr>
              <w:t>P</w:t>
            </w:r>
            <w:r w:rsidRPr="0090639D">
              <w:rPr>
                <w:rFonts w:eastAsia="DengXian"/>
                <w:sz w:val="16"/>
                <w:szCs w:val="16"/>
                <w:lang w:val="es-ES_tradnl" w:eastAsia="zh-CN"/>
              </w:rPr>
              <w:t>rocedimientos operativos normalizados (SOP) para la vuelta al trabajo implementados (cualitativo)</w:t>
            </w:r>
          </w:p>
          <w:p w14:paraId="24B02803" w14:textId="6BBF0BE4"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Pr="0090639D">
              <w:rPr>
                <w:rFonts w:eastAsia="DengXian"/>
                <w:sz w:val="16"/>
                <w:szCs w:val="16"/>
                <w:lang w:val="es-ES_tradnl" w:eastAsia="zh-CN"/>
              </w:rPr>
              <w:t>% de casos de vuelta al trabajo facilitados</w:t>
            </w:r>
          </w:p>
        </w:tc>
        <w:tc>
          <w:tcPr>
            <w:tcW w:w="592" w:type="pct"/>
            <w:shd w:val="clear" w:color="auto" w:fill="DEEAF6"/>
            <w:vAlign w:val="center"/>
          </w:tcPr>
          <w:p w14:paraId="14FBB636" w14:textId="77777777" w:rsidR="00B14F4A" w:rsidRPr="0090639D" w:rsidRDefault="00B14F4A" w:rsidP="00615A73">
            <w:pPr>
              <w:pStyle w:val="Tabletext"/>
              <w:spacing w:after="240"/>
              <w:jc w:val="center"/>
              <w:rPr>
                <w:sz w:val="16"/>
                <w:szCs w:val="16"/>
                <w:lang w:val="es-ES_tradnl"/>
              </w:rPr>
            </w:pPr>
            <w:proofErr w:type="spellStart"/>
            <w:r w:rsidRPr="0090639D">
              <w:rPr>
                <w:sz w:val="16"/>
                <w:szCs w:val="16"/>
                <w:lang w:val="es-ES_tradnl"/>
              </w:rPr>
              <w:t>T4</w:t>
            </w:r>
            <w:proofErr w:type="spellEnd"/>
            <w:r w:rsidRPr="0090639D">
              <w:rPr>
                <w:sz w:val="16"/>
                <w:szCs w:val="16"/>
                <w:lang w:val="es-ES_tradnl"/>
              </w:rPr>
              <w:t xml:space="preserve"> 2026</w:t>
            </w:r>
          </w:p>
          <w:p w14:paraId="1789F529" w14:textId="77777777" w:rsidR="00B14F4A" w:rsidRPr="0090639D" w:rsidRDefault="00B14F4A" w:rsidP="00615A73">
            <w:pPr>
              <w:pStyle w:val="Tabletext"/>
              <w:jc w:val="center"/>
              <w:rPr>
                <w:sz w:val="16"/>
                <w:szCs w:val="16"/>
                <w:lang w:val="es-ES_tradnl"/>
              </w:rPr>
            </w:pPr>
            <w:proofErr w:type="spellStart"/>
            <w:r w:rsidRPr="0090639D">
              <w:rPr>
                <w:sz w:val="16"/>
                <w:szCs w:val="16"/>
                <w:lang w:val="es-ES_tradnl"/>
              </w:rPr>
              <w:t>T4</w:t>
            </w:r>
            <w:proofErr w:type="spellEnd"/>
            <w:r w:rsidRPr="0090639D">
              <w:rPr>
                <w:sz w:val="16"/>
                <w:szCs w:val="16"/>
                <w:lang w:val="es-ES_tradnl"/>
              </w:rPr>
              <w:t xml:space="preserve"> 2026</w:t>
            </w:r>
            <w:r w:rsidRPr="0090639D">
              <w:rPr>
                <w:sz w:val="16"/>
                <w:szCs w:val="16"/>
                <w:lang w:val="es-ES_tradnl" w:eastAsia="zh-CN"/>
              </w:rPr>
              <w:t>/</w:t>
            </w:r>
            <w:proofErr w:type="spellStart"/>
            <w:r w:rsidRPr="0090639D">
              <w:rPr>
                <w:sz w:val="16"/>
                <w:szCs w:val="16"/>
                <w:lang w:val="es-ES_tradnl" w:eastAsia="zh-CN"/>
              </w:rPr>
              <w:t>T4</w:t>
            </w:r>
            <w:proofErr w:type="spellEnd"/>
            <w:r w:rsidRPr="0090639D">
              <w:rPr>
                <w:sz w:val="16"/>
                <w:szCs w:val="16"/>
                <w:lang w:val="es-ES_tradnl" w:eastAsia="zh-CN"/>
              </w:rPr>
              <w:t xml:space="preserve"> 2027</w:t>
            </w:r>
          </w:p>
        </w:tc>
        <w:tc>
          <w:tcPr>
            <w:tcW w:w="494" w:type="pct"/>
            <w:shd w:val="clear" w:color="auto" w:fill="DEEAF6"/>
            <w:vAlign w:val="center"/>
          </w:tcPr>
          <w:p w14:paraId="228EDA92" w14:textId="77777777" w:rsidR="00B14F4A" w:rsidRPr="0090639D" w:rsidRDefault="00B14F4A" w:rsidP="004E162C">
            <w:pPr>
              <w:pStyle w:val="Tabletext"/>
              <w:rPr>
                <w:rFonts w:eastAsia="DengXian"/>
                <w:sz w:val="16"/>
                <w:szCs w:val="16"/>
                <w:lang w:val="es-ES_tradnl" w:eastAsia="zh-CN"/>
              </w:rPr>
            </w:pPr>
          </w:p>
        </w:tc>
      </w:tr>
      <w:tr w:rsidR="00B14F4A" w:rsidRPr="0090639D" w14:paraId="39C11DF5" w14:textId="77777777" w:rsidTr="004E162C">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5BBFF9B7" w14:textId="77777777" w:rsidR="00B14F4A" w:rsidRPr="0090639D" w:rsidRDefault="00B14F4A" w:rsidP="004E162C">
            <w:pPr>
              <w:pStyle w:val="Tabletext"/>
              <w:rPr>
                <w:rFonts w:eastAsia="DengXian"/>
                <w:sz w:val="16"/>
                <w:szCs w:val="16"/>
                <w:lang w:val="es-ES_tradnl" w:eastAsia="zh-CN"/>
              </w:rPr>
            </w:pPr>
            <w:r w:rsidRPr="0090639D">
              <w:rPr>
                <w:rFonts w:eastAsia="DengXian"/>
                <w:sz w:val="16"/>
                <w:szCs w:val="16"/>
                <w:lang w:val="es-ES_tradnl" w:eastAsia="zh-CN"/>
              </w:rPr>
              <w:lastRenderedPageBreak/>
              <w:t>4.3</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6EDBB5B3" w14:textId="77777777" w:rsidR="00B14F4A" w:rsidRPr="0090639D" w:rsidRDefault="00B14F4A" w:rsidP="004E162C">
            <w:pPr>
              <w:pStyle w:val="Tabletext"/>
              <w:rPr>
                <w:sz w:val="16"/>
                <w:szCs w:val="16"/>
                <w:lang w:val="es-ES_tradnl" w:eastAsia="zh-CN"/>
              </w:rPr>
            </w:pPr>
            <w:r w:rsidRPr="0090639D">
              <w:rPr>
                <w:sz w:val="16"/>
                <w:szCs w:val="16"/>
                <w:lang w:val="es-ES_tradnl" w:eastAsia="zh-CN"/>
              </w:rPr>
              <w:t>Plan de acción de bienestar y salud mental</w:t>
            </w:r>
          </w:p>
        </w:tc>
        <w:tc>
          <w:tcPr>
            <w:tcW w:w="1228" w:type="pct"/>
            <w:tcBorders>
              <w:left w:val="single" w:sz="4" w:space="0" w:color="auto"/>
            </w:tcBorders>
            <w:shd w:val="clear" w:color="auto" w:fill="DEEAF6"/>
            <w:vAlign w:val="center"/>
          </w:tcPr>
          <w:p w14:paraId="7DD67428" w14:textId="77777777" w:rsidR="00B14F4A" w:rsidRPr="0090639D" w:rsidRDefault="00B14F4A" w:rsidP="004E162C">
            <w:pPr>
              <w:pStyle w:val="Tabletext"/>
              <w:rPr>
                <w:rFonts w:eastAsia="DengXian"/>
                <w:sz w:val="16"/>
                <w:szCs w:val="16"/>
                <w:lang w:val="es-ES_tradnl" w:eastAsia="zh-CN"/>
              </w:rPr>
            </w:pPr>
            <w:r w:rsidRPr="0090639D">
              <w:rPr>
                <w:b/>
                <w:bCs/>
                <w:sz w:val="16"/>
                <w:szCs w:val="16"/>
                <w:lang w:val="es-ES_tradnl" w:eastAsia="zh-CN"/>
              </w:rPr>
              <w:t xml:space="preserve">Implementar el Plan de acción de bienestar y salud mental </w:t>
            </w:r>
            <w:r w:rsidRPr="0090639D">
              <w:rPr>
                <w:sz w:val="16"/>
                <w:szCs w:val="16"/>
                <w:lang w:val="es-ES_tradnl" w:eastAsia="zh-CN"/>
              </w:rPr>
              <w:t>para aumentar la prevención, dar acceso a servicios de apoyo y sensibilización y fomentar un entorno propicio al bienestar mental</w:t>
            </w:r>
            <w:r w:rsidRPr="0090639D">
              <w:rPr>
                <w:rFonts w:eastAsia="DengXian"/>
                <w:sz w:val="16"/>
                <w:szCs w:val="16"/>
                <w:lang w:val="es-ES_tradnl" w:eastAsia="zh-CN"/>
              </w:rPr>
              <w:t>.</w:t>
            </w:r>
          </w:p>
        </w:tc>
        <w:tc>
          <w:tcPr>
            <w:tcW w:w="1842" w:type="pct"/>
            <w:shd w:val="clear" w:color="auto" w:fill="DEEAF6"/>
            <w:vAlign w:val="center"/>
          </w:tcPr>
          <w:p w14:paraId="27332489" w14:textId="5067380E"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Pr="0090639D">
              <w:rPr>
                <w:rFonts w:eastAsia="DengXian"/>
                <w:sz w:val="16"/>
                <w:szCs w:val="16"/>
                <w:lang w:val="es-ES_tradnl" w:eastAsia="zh-CN"/>
              </w:rPr>
              <w:t>% de objetivos del Plan de acción de salud mental alcanzados</w:t>
            </w:r>
          </w:p>
          <w:p w14:paraId="700D54F0" w14:textId="0B8215E1"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375F6E" w:rsidRPr="0090639D">
              <w:rPr>
                <w:sz w:val="16"/>
                <w:szCs w:val="16"/>
                <w:lang w:val="es-ES_tradnl"/>
              </w:rPr>
              <w:tab/>
            </w:r>
            <w:r w:rsidR="00903D32" w:rsidRPr="0090639D">
              <w:rPr>
                <w:sz w:val="16"/>
                <w:szCs w:val="16"/>
                <w:lang w:val="es-ES_tradnl"/>
              </w:rPr>
              <w:t>P</w:t>
            </w:r>
            <w:r w:rsidRPr="0090639D">
              <w:rPr>
                <w:rFonts w:eastAsia="DengXian"/>
                <w:sz w:val="16"/>
                <w:szCs w:val="16"/>
                <w:lang w:val="es-ES_tradnl" w:eastAsia="zh-CN"/>
              </w:rPr>
              <w:t xml:space="preserve">untuación del apartado </w:t>
            </w:r>
            <w:r w:rsidR="00903D32" w:rsidRPr="0090639D">
              <w:rPr>
                <w:rFonts w:eastAsia="DengXian"/>
                <w:sz w:val="16"/>
                <w:szCs w:val="16"/>
                <w:lang w:val="es-ES_tradnl" w:eastAsia="zh-CN"/>
              </w:rPr>
              <w:t>"</w:t>
            </w:r>
            <w:r w:rsidRPr="0090639D">
              <w:rPr>
                <w:rFonts w:eastAsia="DengXian"/>
                <w:sz w:val="16"/>
                <w:szCs w:val="16"/>
                <w:lang w:val="es-ES_tradnl" w:eastAsia="zh-CN"/>
              </w:rPr>
              <w:t>Combinación vida laboral y vida privada y nuestra cultura de la encuesta de implicación de los empleados</w:t>
            </w:r>
            <w:r w:rsidR="00903D32" w:rsidRPr="0090639D">
              <w:rPr>
                <w:rFonts w:eastAsia="DengXian"/>
                <w:sz w:val="16"/>
                <w:szCs w:val="16"/>
                <w:lang w:val="es-ES_tradnl" w:eastAsia="zh-CN"/>
              </w:rPr>
              <w:t>"</w:t>
            </w:r>
            <w:r w:rsidRPr="0090639D">
              <w:rPr>
                <w:rFonts w:eastAsia="DengXian"/>
                <w:sz w:val="16"/>
                <w:szCs w:val="16"/>
                <w:lang w:val="es-ES_tradnl" w:eastAsia="zh-CN"/>
              </w:rPr>
              <w:t xml:space="preserve"> (tendencia)</w:t>
            </w:r>
          </w:p>
        </w:tc>
        <w:tc>
          <w:tcPr>
            <w:tcW w:w="592" w:type="pct"/>
            <w:shd w:val="clear" w:color="auto" w:fill="DEEAF6"/>
            <w:vAlign w:val="center"/>
          </w:tcPr>
          <w:p w14:paraId="4A806BBB" w14:textId="77777777" w:rsidR="00B14F4A" w:rsidRPr="0090639D" w:rsidRDefault="00B14F4A" w:rsidP="00615A73">
            <w:pPr>
              <w:pStyle w:val="Tabletext"/>
              <w:spacing w:before="0" w:after="0"/>
              <w:jc w:val="center"/>
              <w:rPr>
                <w:sz w:val="16"/>
                <w:szCs w:val="16"/>
                <w:lang w:val="es-ES_tradnl" w:eastAsia="zh-CN"/>
              </w:rPr>
            </w:pPr>
            <w:proofErr w:type="spellStart"/>
            <w:r w:rsidRPr="0090639D">
              <w:rPr>
                <w:sz w:val="16"/>
                <w:szCs w:val="16"/>
                <w:lang w:val="es-ES_tradnl"/>
              </w:rPr>
              <w:t>T4</w:t>
            </w:r>
            <w:proofErr w:type="spellEnd"/>
            <w:r w:rsidRPr="0090639D">
              <w:rPr>
                <w:sz w:val="16"/>
                <w:szCs w:val="16"/>
                <w:lang w:val="es-ES_tradnl"/>
              </w:rPr>
              <w:t xml:space="preserve"> 2026</w:t>
            </w:r>
            <w:r w:rsidRPr="0090639D">
              <w:rPr>
                <w:sz w:val="16"/>
                <w:szCs w:val="16"/>
                <w:lang w:val="es-ES_tradnl" w:eastAsia="zh-CN"/>
              </w:rPr>
              <w:t>/</w:t>
            </w:r>
            <w:proofErr w:type="spellStart"/>
            <w:r w:rsidRPr="0090639D">
              <w:rPr>
                <w:sz w:val="16"/>
                <w:szCs w:val="16"/>
                <w:lang w:val="es-ES_tradnl" w:eastAsia="zh-CN"/>
              </w:rPr>
              <w:t>T4</w:t>
            </w:r>
            <w:proofErr w:type="spellEnd"/>
            <w:r w:rsidRPr="0090639D">
              <w:rPr>
                <w:sz w:val="16"/>
                <w:szCs w:val="16"/>
                <w:lang w:val="es-ES_tradnl" w:eastAsia="zh-CN"/>
              </w:rPr>
              <w:t xml:space="preserve"> 2027</w:t>
            </w:r>
          </w:p>
          <w:p w14:paraId="3BB1B82E" w14:textId="77777777" w:rsidR="00B14F4A" w:rsidRPr="0090639D" w:rsidRDefault="00B14F4A" w:rsidP="00615A73">
            <w:pPr>
              <w:pStyle w:val="Tabletext"/>
              <w:spacing w:after="240"/>
              <w:jc w:val="center"/>
              <w:rPr>
                <w:sz w:val="16"/>
                <w:szCs w:val="16"/>
                <w:lang w:val="es-ES_tradnl"/>
              </w:rPr>
            </w:pPr>
            <w:proofErr w:type="spellStart"/>
            <w:r w:rsidRPr="0090639D">
              <w:rPr>
                <w:sz w:val="16"/>
                <w:szCs w:val="16"/>
                <w:lang w:val="es-ES_tradnl"/>
              </w:rPr>
              <w:t>T4</w:t>
            </w:r>
            <w:proofErr w:type="spellEnd"/>
            <w:r w:rsidRPr="0090639D">
              <w:rPr>
                <w:sz w:val="16"/>
                <w:szCs w:val="16"/>
                <w:lang w:val="es-ES_tradnl"/>
              </w:rPr>
              <w:t xml:space="preserve"> 202</w:t>
            </w:r>
            <w:r w:rsidRPr="0090639D">
              <w:rPr>
                <w:sz w:val="16"/>
                <w:szCs w:val="16"/>
                <w:lang w:val="es-ES_tradnl" w:eastAsia="zh-CN"/>
              </w:rPr>
              <w:t>7</w:t>
            </w:r>
          </w:p>
        </w:tc>
        <w:tc>
          <w:tcPr>
            <w:tcW w:w="494" w:type="pct"/>
            <w:shd w:val="clear" w:color="auto" w:fill="DEEAF6"/>
            <w:vAlign w:val="center"/>
          </w:tcPr>
          <w:p w14:paraId="2BF38EFC" w14:textId="77777777" w:rsidR="00B14F4A" w:rsidRPr="0090639D" w:rsidRDefault="00B14F4A" w:rsidP="004E162C">
            <w:pPr>
              <w:pStyle w:val="Tabletext"/>
              <w:rPr>
                <w:rFonts w:eastAsia="DengXian"/>
                <w:sz w:val="16"/>
                <w:szCs w:val="16"/>
                <w:lang w:val="es-ES_tradnl" w:eastAsia="zh-CN"/>
              </w:rPr>
            </w:pPr>
          </w:p>
        </w:tc>
      </w:tr>
      <w:tr w:rsidR="00B14F4A" w:rsidRPr="0090639D" w14:paraId="3AFF0D52" w14:textId="77777777" w:rsidTr="004E162C">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40A713A0" w14:textId="77777777" w:rsidR="00B14F4A" w:rsidRPr="0090639D" w:rsidRDefault="00B14F4A" w:rsidP="004E162C">
            <w:pPr>
              <w:pStyle w:val="Tabletext"/>
              <w:rPr>
                <w:rFonts w:eastAsia="DengXian"/>
                <w:sz w:val="16"/>
                <w:szCs w:val="16"/>
                <w:lang w:val="es-ES_tradnl" w:eastAsia="zh-CN"/>
              </w:rPr>
            </w:pPr>
            <w:r w:rsidRPr="0090639D">
              <w:rPr>
                <w:rFonts w:eastAsia="DengXian"/>
                <w:sz w:val="16"/>
                <w:szCs w:val="16"/>
                <w:lang w:val="es-ES_tradnl" w:eastAsia="zh-CN"/>
              </w:rPr>
              <w:t>4.4</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64A8AFDF" w14:textId="77777777" w:rsidR="00B14F4A" w:rsidRPr="0090639D" w:rsidRDefault="00B14F4A" w:rsidP="004E162C">
            <w:pPr>
              <w:pStyle w:val="Tabletext"/>
              <w:rPr>
                <w:sz w:val="16"/>
                <w:szCs w:val="16"/>
                <w:lang w:val="es-ES_tradnl" w:eastAsia="zh-CN"/>
              </w:rPr>
            </w:pPr>
            <w:r w:rsidRPr="0090639D">
              <w:rPr>
                <w:sz w:val="16"/>
                <w:szCs w:val="16"/>
                <w:lang w:val="es-ES_tradnl" w:eastAsia="zh-CN"/>
              </w:rPr>
              <w:t>Factores de estrés y resiliencia</w:t>
            </w:r>
          </w:p>
        </w:tc>
        <w:tc>
          <w:tcPr>
            <w:tcW w:w="1228" w:type="pct"/>
            <w:tcBorders>
              <w:left w:val="single" w:sz="4" w:space="0" w:color="auto"/>
            </w:tcBorders>
            <w:shd w:val="clear" w:color="auto" w:fill="DEEAF6"/>
            <w:vAlign w:val="center"/>
          </w:tcPr>
          <w:p w14:paraId="366FFA8B" w14:textId="77777777" w:rsidR="00B14F4A" w:rsidRPr="0090639D" w:rsidRDefault="00B14F4A" w:rsidP="004E162C">
            <w:pPr>
              <w:pStyle w:val="Tabletext"/>
              <w:rPr>
                <w:rFonts w:eastAsia="DengXian"/>
                <w:sz w:val="16"/>
                <w:szCs w:val="16"/>
                <w:lang w:val="es-ES_tradnl" w:eastAsia="zh-CN"/>
              </w:rPr>
            </w:pPr>
            <w:r w:rsidRPr="0090639D">
              <w:rPr>
                <w:b/>
                <w:bCs/>
                <w:sz w:val="16"/>
                <w:szCs w:val="16"/>
                <w:lang w:val="es-ES_tradnl" w:eastAsia="zh-CN"/>
              </w:rPr>
              <w:t xml:space="preserve">Mitigar los factores de estrés en el lugar de trabajo y aumentar la resiliencia </w:t>
            </w:r>
            <w:r w:rsidRPr="0090639D">
              <w:rPr>
                <w:sz w:val="16"/>
                <w:szCs w:val="16"/>
                <w:lang w:val="es-ES_tradnl" w:eastAsia="zh-CN"/>
              </w:rPr>
              <w:t>mediante intervenciones concretas, recursos prácticos para el personal y la dirección e iniciativas de fomento del trabajo saludable</w:t>
            </w:r>
            <w:r w:rsidRPr="0090639D">
              <w:rPr>
                <w:rFonts w:eastAsia="DengXian"/>
                <w:sz w:val="16"/>
                <w:szCs w:val="16"/>
                <w:lang w:val="es-ES_tradnl" w:eastAsia="zh-CN"/>
              </w:rPr>
              <w:t>.</w:t>
            </w:r>
          </w:p>
        </w:tc>
        <w:tc>
          <w:tcPr>
            <w:tcW w:w="1842" w:type="pct"/>
            <w:shd w:val="clear" w:color="auto" w:fill="DEEAF6"/>
            <w:vAlign w:val="center"/>
          </w:tcPr>
          <w:p w14:paraId="00EB7BFE" w14:textId="66B1BF84"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Pr="0090639D">
              <w:rPr>
                <w:rFonts w:eastAsia="DengXian"/>
                <w:sz w:val="16"/>
                <w:szCs w:val="16"/>
                <w:lang w:val="es-ES_tradnl" w:eastAsia="zh-CN"/>
              </w:rPr>
              <w:t>% de personal participante en las sesiones de sensibilización a la salud mental o la resiliencia</w:t>
            </w:r>
          </w:p>
          <w:p w14:paraId="65007C6A" w14:textId="1EEFCF34"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00903D32" w:rsidRPr="0090639D">
              <w:rPr>
                <w:sz w:val="16"/>
                <w:szCs w:val="16"/>
                <w:lang w:val="es-ES_tradnl"/>
              </w:rPr>
              <w:t>E</w:t>
            </w:r>
            <w:r w:rsidRPr="0090639D">
              <w:rPr>
                <w:rFonts w:eastAsia="DengXian"/>
                <w:sz w:val="16"/>
                <w:szCs w:val="16"/>
                <w:lang w:val="es-ES_tradnl" w:eastAsia="zh-CN"/>
              </w:rPr>
              <w:t>stadísticas de bajas médicas/vacaciones (tendencia)</w:t>
            </w:r>
          </w:p>
        </w:tc>
        <w:tc>
          <w:tcPr>
            <w:tcW w:w="592" w:type="pct"/>
            <w:shd w:val="clear" w:color="auto" w:fill="DEEAF6"/>
            <w:vAlign w:val="center"/>
          </w:tcPr>
          <w:p w14:paraId="136508C0" w14:textId="77777777" w:rsidR="00903D32" w:rsidRPr="0090639D" w:rsidRDefault="00B14F4A" w:rsidP="00615A73">
            <w:pPr>
              <w:pStyle w:val="Tabletext"/>
              <w:jc w:val="center"/>
              <w:rPr>
                <w:sz w:val="16"/>
                <w:szCs w:val="16"/>
                <w:lang w:val="es-ES_tradnl"/>
              </w:rPr>
            </w:pPr>
            <w:proofErr w:type="spellStart"/>
            <w:r w:rsidRPr="0090639D">
              <w:rPr>
                <w:sz w:val="16"/>
                <w:szCs w:val="16"/>
                <w:lang w:val="es-ES_tradnl"/>
              </w:rPr>
              <w:t>T4</w:t>
            </w:r>
            <w:proofErr w:type="spellEnd"/>
            <w:r w:rsidRPr="0090639D">
              <w:rPr>
                <w:sz w:val="16"/>
                <w:szCs w:val="16"/>
                <w:lang w:val="es-ES_tradnl"/>
              </w:rPr>
              <w:t xml:space="preserve"> 2026</w:t>
            </w:r>
            <w:r w:rsidRPr="0090639D">
              <w:rPr>
                <w:sz w:val="16"/>
                <w:szCs w:val="16"/>
                <w:lang w:val="es-ES_tradnl" w:eastAsia="zh-CN"/>
              </w:rPr>
              <w:t>/</w:t>
            </w:r>
            <w:proofErr w:type="spellStart"/>
            <w:r w:rsidRPr="0090639D">
              <w:rPr>
                <w:sz w:val="16"/>
                <w:szCs w:val="16"/>
                <w:lang w:val="es-ES_tradnl" w:eastAsia="zh-CN"/>
              </w:rPr>
              <w:t>T4</w:t>
            </w:r>
            <w:proofErr w:type="spellEnd"/>
            <w:r w:rsidRPr="0090639D">
              <w:rPr>
                <w:sz w:val="16"/>
                <w:szCs w:val="16"/>
                <w:lang w:val="es-ES_tradnl" w:eastAsia="zh-CN"/>
              </w:rPr>
              <w:t xml:space="preserve"> 2027</w:t>
            </w:r>
          </w:p>
          <w:p w14:paraId="66A1CCFB" w14:textId="0633FC5C" w:rsidR="00B14F4A" w:rsidRPr="0090639D" w:rsidRDefault="00B14F4A" w:rsidP="00615A73">
            <w:pPr>
              <w:pStyle w:val="Tabletext"/>
              <w:spacing w:before="240"/>
              <w:jc w:val="center"/>
              <w:rPr>
                <w:sz w:val="16"/>
                <w:szCs w:val="16"/>
                <w:lang w:val="es-ES_tradnl"/>
              </w:rPr>
            </w:pPr>
            <w:proofErr w:type="spellStart"/>
            <w:r w:rsidRPr="0090639D">
              <w:rPr>
                <w:sz w:val="16"/>
                <w:szCs w:val="16"/>
                <w:lang w:val="es-ES_tradnl"/>
              </w:rPr>
              <w:t>T4</w:t>
            </w:r>
            <w:proofErr w:type="spellEnd"/>
            <w:r w:rsidRPr="0090639D">
              <w:rPr>
                <w:sz w:val="16"/>
                <w:szCs w:val="16"/>
                <w:lang w:val="es-ES_tradnl"/>
              </w:rPr>
              <w:t xml:space="preserve"> 202</w:t>
            </w:r>
            <w:r w:rsidRPr="0090639D">
              <w:rPr>
                <w:sz w:val="16"/>
                <w:szCs w:val="16"/>
                <w:lang w:val="es-ES_tradnl" w:eastAsia="zh-CN"/>
              </w:rPr>
              <w:t>7</w:t>
            </w:r>
          </w:p>
        </w:tc>
        <w:tc>
          <w:tcPr>
            <w:tcW w:w="494" w:type="pct"/>
            <w:shd w:val="clear" w:color="auto" w:fill="DEEAF6"/>
            <w:vAlign w:val="center"/>
          </w:tcPr>
          <w:p w14:paraId="6841AFB8" w14:textId="77777777" w:rsidR="00B14F4A" w:rsidRPr="0090639D" w:rsidRDefault="00B14F4A" w:rsidP="004E162C">
            <w:pPr>
              <w:pStyle w:val="Tabletext"/>
              <w:rPr>
                <w:rFonts w:eastAsia="DengXian"/>
                <w:sz w:val="16"/>
                <w:szCs w:val="16"/>
                <w:lang w:val="es-ES_tradnl" w:eastAsia="zh-CN"/>
              </w:rPr>
            </w:pPr>
          </w:p>
        </w:tc>
      </w:tr>
      <w:tr w:rsidR="00B14F4A" w:rsidRPr="0090639D" w14:paraId="279B575F" w14:textId="77777777" w:rsidTr="004E162C">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65AED6B5" w14:textId="77777777" w:rsidR="00B14F4A" w:rsidRPr="0090639D" w:rsidRDefault="00B14F4A" w:rsidP="004E162C">
            <w:pPr>
              <w:pStyle w:val="Tabletext"/>
              <w:rPr>
                <w:rFonts w:eastAsia="DengXian"/>
                <w:sz w:val="16"/>
                <w:szCs w:val="16"/>
                <w:lang w:val="es-ES_tradnl" w:eastAsia="zh-CN"/>
              </w:rPr>
            </w:pPr>
            <w:r w:rsidRPr="0090639D">
              <w:rPr>
                <w:rFonts w:eastAsia="DengXian"/>
                <w:sz w:val="16"/>
                <w:szCs w:val="16"/>
                <w:lang w:val="es-ES_tradnl" w:eastAsia="zh-CN"/>
              </w:rPr>
              <w:t>4.5</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7F6FC860" w14:textId="77777777" w:rsidR="00B14F4A" w:rsidRPr="0090639D" w:rsidRDefault="00B14F4A" w:rsidP="004E162C">
            <w:pPr>
              <w:pStyle w:val="Tabletext"/>
              <w:rPr>
                <w:rFonts w:eastAsia="DengXian"/>
                <w:sz w:val="16"/>
                <w:szCs w:val="16"/>
                <w:lang w:val="es-ES_tradnl" w:eastAsia="zh-CN"/>
              </w:rPr>
            </w:pPr>
            <w:r w:rsidRPr="0090639D">
              <w:rPr>
                <w:sz w:val="16"/>
                <w:szCs w:val="16"/>
                <w:lang w:val="es-ES_tradnl" w:eastAsia="zh-CN"/>
              </w:rPr>
              <w:t>Disposiciones de trabajo flexible</w:t>
            </w:r>
          </w:p>
        </w:tc>
        <w:tc>
          <w:tcPr>
            <w:tcW w:w="1228" w:type="pct"/>
            <w:tcBorders>
              <w:left w:val="single" w:sz="4" w:space="0" w:color="auto"/>
            </w:tcBorders>
            <w:shd w:val="clear" w:color="auto" w:fill="DEEAF6"/>
            <w:vAlign w:val="center"/>
          </w:tcPr>
          <w:p w14:paraId="7E66F6EB" w14:textId="77777777" w:rsidR="00B14F4A" w:rsidRPr="0090639D" w:rsidRDefault="00B14F4A" w:rsidP="004E162C">
            <w:pPr>
              <w:pStyle w:val="Tabletext"/>
              <w:spacing w:line="259" w:lineRule="auto"/>
              <w:rPr>
                <w:rFonts w:eastAsia="DengXian"/>
                <w:sz w:val="16"/>
                <w:szCs w:val="16"/>
                <w:lang w:val="es-ES_tradnl" w:eastAsia="zh-CN"/>
              </w:rPr>
            </w:pPr>
            <w:r w:rsidRPr="0090639D">
              <w:rPr>
                <w:b/>
                <w:bCs/>
                <w:sz w:val="16"/>
                <w:szCs w:val="16"/>
                <w:lang w:val="es-ES_tradnl" w:eastAsia="zh-CN"/>
              </w:rPr>
              <w:t xml:space="preserve">Implementar disposiciones de trabajo flexible </w:t>
            </w:r>
            <w:r w:rsidRPr="0090639D">
              <w:rPr>
                <w:sz w:val="16"/>
                <w:szCs w:val="16"/>
                <w:lang w:val="es-ES_tradnl" w:eastAsia="zh-CN"/>
              </w:rPr>
              <w:t>adecuadas a las necesidades operativas a favor del equilibrio entre vida profesional y vida privada mediante políticas y orientaciones claras, aplicadas de manera coherente en todos los equipos</w:t>
            </w:r>
            <w:r w:rsidRPr="0090639D">
              <w:rPr>
                <w:rFonts w:eastAsia="DengXian"/>
                <w:sz w:val="16"/>
                <w:szCs w:val="16"/>
                <w:lang w:val="es-ES_tradnl" w:eastAsia="zh-CN"/>
              </w:rPr>
              <w:t>.</w:t>
            </w:r>
          </w:p>
        </w:tc>
        <w:tc>
          <w:tcPr>
            <w:tcW w:w="1842" w:type="pct"/>
            <w:shd w:val="clear" w:color="auto" w:fill="DEEAF6"/>
            <w:vAlign w:val="center"/>
          </w:tcPr>
          <w:p w14:paraId="4F1B92E0" w14:textId="043962C7"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Pr="0090639D">
              <w:rPr>
                <w:rFonts w:eastAsia="DengXian"/>
                <w:sz w:val="16"/>
                <w:szCs w:val="16"/>
                <w:lang w:val="es-ES_tradnl" w:eastAsia="zh-CN"/>
              </w:rPr>
              <w:t>Política actualizada promulgada y aplicada (cualitativo)</w:t>
            </w:r>
          </w:p>
          <w:p w14:paraId="6FDE7ECD" w14:textId="45685D48"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00903D32" w:rsidRPr="0090639D">
              <w:rPr>
                <w:sz w:val="16"/>
                <w:szCs w:val="16"/>
                <w:lang w:val="es-ES_tradnl"/>
              </w:rPr>
              <w:t>U</w:t>
            </w:r>
            <w:r w:rsidRPr="0090639D">
              <w:rPr>
                <w:rFonts w:eastAsia="DengXian"/>
                <w:sz w:val="16"/>
                <w:szCs w:val="16"/>
                <w:lang w:val="es-ES_tradnl" w:eastAsia="zh-CN"/>
              </w:rPr>
              <w:t>tilización del panel para el seguimiento y supervisión de las disposiciones de trabajo flexible</w:t>
            </w:r>
          </w:p>
        </w:tc>
        <w:tc>
          <w:tcPr>
            <w:tcW w:w="592" w:type="pct"/>
            <w:shd w:val="clear" w:color="auto" w:fill="DEEAF6"/>
            <w:vAlign w:val="center"/>
          </w:tcPr>
          <w:p w14:paraId="45B38019" w14:textId="77777777" w:rsidR="00B14F4A" w:rsidRPr="0090639D" w:rsidRDefault="00B14F4A" w:rsidP="00615A73">
            <w:pPr>
              <w:pStyle w:val="Tabletext"/>
              <w:jc w:val="center"/>
              <w:rPr>
                <w:sz w:val="16"/>
                <w:szCs w:val="16"/>
                <w:lang w:val="es-ES_tradnl"/>
              </w:rPr>
            </w:pPr>
            <w:proofErr w:type="spellStart"/>
            <w:r w:rsidRPr="0090639D">
              <w:rPr>
                <w:rFonts w:eastAsia="DengXian"/>
                <w:sz w:val="16"/>
                <w:szCs w:val="16"/>
                <w:lang w:val="es-ES_tradnl" w:eastAsia="zh-CN"/>
              </w:rPr>
              <w:t>T1</w:t>
            </w:r>
            <w:proofErr w:type="spellEnd"/>
            <w:r w:rsidRPr="0090639D">
              <w:rPr>
                <w:rFonts w:eastAsia="DengXian"/>
                <w:sz w:val="16"/>
                <w:szCs w:val="16"/>
                <w:lang w:val="es-ES_tradnl" w:eastAsia="zh-CN"/>
              </w:rPr>
              <w:t xml:space="preserve"> 2026</w:t>
            </w:r>
          </w:p>
        </w:tc>
        <w:tc>
          <w:tcPr>
            <w:tcW w:w="494" w:type="pct"/>
            <w:shd w:val="clear" w:color="auto" w:fill="DEEAF6"/>
            <w:vAlign w:val="center"/>
          </w:tcPr>
          <w:p w14:paraId="12462237" w14:textId="77777777" w:rsidR="00B14F4A" w:rsidRPr="0090639D" w:rsidRDefault="00B14F4A" w:rsidP="004E162C">
            <w:pPr>
              <w:pStyle w:val="Tabletext"/>
              <w:rPr>
                <w:rFonts w:eastAsia="DengXian"/>
                <w:sz w:val="16"/>
                <w:szCs w:val="16"/>
                <w:lang w:val="es-ES_tradnl" w:eastAsia="zh-CN"/>
              </w:rPr>
            </w:pPr>
          </w:p>
        </w:tc>
      </w:tr>
      <w:tr w:rsidR="00B14F4A" w:rsidRPr="0090639D" w14:paraId="4DC65BB5" w14:textId="77777777" w:rsidTr="004E162C">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0D73A49E" w14:textId="77777777" w:rsidR="00B14F4A" w:rsidRPr="0090639D" w:rsidRDefault="00B14F4A" w:rsidP="004E162C">
            <w:pPr>
              <w:pStyle w:val="Tabletext"/>
              <w:rPr>
                <w:rFonts w:eastAsia="DengXian"/>
                <w:sz w:val="16"/>
                <w:szCs w:val="16"/>
                <w:lang w:val="es-ES_tradnl" w:eastAsia="zh-CN"/>
              </w:rPr>
            </w:pPr>
            <w:r w:rsidRPr="0090639D">
              <w:rPr>
                <w:rFonts w:eastAsia="DengXian"/>
                <w:sz w:val="16"/>
                <w:szCs w:val="16"/>
                <w:lang w:val="es-ES_tradnl" w:eastAsia="zh-CN"/>
              </w:rPr>
              <w:t>4.6</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287EF15B" w14:textId="77777777" w:rsidR="00B14F4A" w:rsidRPr="0090639D" w:rsidRDefault="00B14F4A" w:rsidP="004E162C">
            <w:pPr>
              <w:pStyle w:val="Tabletext"/>
              <w:rPr>
                <w:sz w:val="16"/>
                <w:szCs w:val="16"/>
                <w:lang w:val="es-ES_tradnl" w:eastAsia="zh-CN"/>
              </w:rPr>
            </w:pPr>
            <w:r w:rsidRPr="0090639D">
              <w:rPr>
                <w:rFonts w:eastAsia="DengXian"/>
                <w:sz w:val="16"/>
                <w:szCs w:val="16"/>
                <w:lang w:val="es-ES_tradnl" w:eastAsia="zh-CN"/>
              </w:rPr>
              <w:t>Lugar de trabajo respetuoso e inclusivo</w:t>
            </w:r>
          </w:p>
        </w:tc>
        <w:tc>
          <w:tcPr>
            <w:tcW w:w="1228" w:type="pct"/>
            <w:tcBorders>
              <w:left w:val="single" w:sz="4" w:space="0" w:color="auto"/>
            </w:tcBorders>
            <w:shd w:val="clear" w:color="auto" w:fill="DEEAF6"/>
            <w:vAlign w:val="center"/>
          </w:tcPr>
          <w:p w14:paraId="28FDED20" w14:textId="77777777" w:rsidR="00B14F4A" w:rsidRPr="0090639D" w:rsidRDefault="00B14F4A" w:rsidP="004E162C">
            <w:pPr>
              <w:pStyle w:val="Tabletext"/>
              <w:rPr>
                <w:rFonts w:eastAsia="DengXian"/>
                <w:sz w:val="16"/>
                <w:szCs w:val="16"/>
                <w:lang w:val="es-ES_tradnl" w:eastAsia="zh-CN"/>
              </w:rPr>
            </w:pPr>
            <w:r w:rsidRPr="0090639D">
              <w:rPr>
                <w:b/>
                <w:bCs/>
                <w:sz w:val="16"/>
                <w:szCs w:val="16"/>
                <w:lang w:val="es-ES_tradnl" w:eastAsia="zh-CN"/>
              </w:rPr>
              <w:t xml:space="preserve">Establecer un lugar de trabajo inclusivo </w:t>
            </w:r>
            <w:r w:rsidRPr="0090639D">
              <w:rPr>
                <w:sz w:val="16"/>
                <w:szCs w:val="16"/>
                <w:lang w:val="es-ES_tradnl" w:eastAsia="zh-CN"/>
              </w:rPr>
              <w:t>fomentando la adopción de una cultura respetuosa y de apoyo, aprovechando la diversidad, previniendo conductas inaceptables y promoviendo la inclusión de la discapacidad a través de ajustes razonables, junto con oportunidades equitativas para todos</w:t>
            </w:r>
            <w:r w:rsidRPr="0090639D">
              <w:rPr>
                <w:rFonts w:eastAsia="DengXian"/>
                <w:sz w:val="16"/>
                <w:szCs w:val="16"/>
                <w:lang w:val="es-ES_tradnl" w:eastAsia="zh-CN"/>
              </w:rPr>
              <w:t>.</w:t>
            </w:r>
          </w:p>
        </w:tc>
        <w:tc>
          <w:tcPr>
            <w:tcW w:w="1842" w:type="pct"/>
            <w:shd w:val="clear" w:color="auto" w:fill="DEEAF6"/>
            <w:vAlign w:val="center"/>
          </w:tcPr>
          <w:p w14:paraId="307EBFE4" w14:textId="4573591F"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Pr="0090639D">
              <w:rPr>
                <w:rFonts w:eastAsia="DengXian"/>
                <w:sz w:val="16"/>
                <w:szCs w:val="16"/>
                <w:lang w:val="es-ES_tradnl" w:eastAsia="zh-CN"/>
              </w:rPr>
              <w:t xml:space="preserve">% del personal que ha completado las formaciones sobre prevención del acoso y las conductas indebidas </w:t>
            </w:r>
          </w:p>
          <w:p w14:paraId="09944A73" w14:textId="1FB704B1"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Pr="0090639D">
              <w:rPr>
                <w:rFonts w:eastAsia="DengXian"/>
                <w:sz w:val="16"/>
                <w:szCs w:val="16"/>
                <w:lang w:val="es-ES_tradnl" w:eastAsia="zh-CN"/>
              </w:rPr>
              <w:t>% de solicitudes de ajustes razonables a las que se ha dado una respuesta favorable</w:t>
            </w:r>
          </w:p>
        </w:tc>
        <w:tc>
          <w:tcPr>
            <w:tcW w:w="592" w:type="pct"/>
            <w:shd w:val="clear" w:color="auto" w:fill="DEEAF6"/>
            <w:vAlign w:val="center"/>
          </w:tcPr>
          <w:p w14:paraId="16FCE555" w14:textId="77777777" w:rsidR="00903D32" w:rsidRPr="0090639D" w:rsidRDefault="00B14F4A" w:rsidP="00615A73">
            <w:pPr>
              <w:pStyle w:val="Tabletext"/>
              <w:spacing w:before="0" w:after="120"/>
              <w:jc w:val="center"/>
              <w:rPr>
                <w:sz w:val="16"/>
                <w:szCs w:val="16"/>
                <w:lang w:val="es-ES_tradnl"/>
              </w:rPr>
            </w:pPr>
            <w:proofErr w:type="spellStart"/>
            <w:r w:rsidRPr="0090639D">
              <w:rPr>
                <w:sz w:val="16"/>
                <w:szCs w:val="16"/>
                <w:lang w:val="es-ES_tradnl"/>
              </w:rPr>
              <w:t>T4</w:t>
            </w:r>
            <w:proofErr w:type="spellEnd"/>
            <w:r w:rsidRPr="0090639D">
              <w:rPr>
                <w:sz w:val="16"/>
                <w:szCs w:val="16"/>
                <w:lang w:val="es-ES_tradnl"/>
              </w:rPr>
              <w:t xml:space="preserve"> 2026</w:t>
            </w:r>
            <w:r w:rsidRPr="0090639D">
              <w:rPr>
                <w:sz w:val="16"/>
                <w:szCs w:val="16"/>
                <w:lang w:val="es-ES_tradnl" w:eastAsia="zh-CN"/>
              </w:rPr>
              <w:t>/</w:t>
            </w:r>
            <w:proofErr w:type="spellStart"/>
            <w:r w:rsidRPr="0090639D">
              <w:rPr>
                <w:sz w:val="16"/>
                <w:szCs w:val="16"/>
                <w:lang w:val="es-ES_tradnl" w:eastAsia="zh-CN"/>
              </w:rPr>
              <w:t>T4</w:t>
            </w:r>
            <w:proofErr w:type="spellEnd"/>
            <w:r w:rsidRPr="0090639D">
              <w:rPr>
                <w:sz w:val="16"/>
                <w:szCs w:val="16"/>
                <w:lang w:val="es-ES_tradnl" w:eastAsia="zh-CN"/>
              </w:rPr>
              <w:t xml:space="preserve"> 2027</w:t>
            </w:r>
          </w:p>
          <w:p w14:paraId="620AA465" w14:textId="3EED3904" w:rsidR="00B14F4A" w:rsidRPr="0090639D" w:rsidRDefault="00B14F4A" w:rsidP="00615A73">
            <w:pPr>
              <w:pStyle w:val="Tabletext"/>
              <w:spacing w:before="240"/>
              <w:jc w:val="center"/>
              <w:rPr>
                <w:sz w:val="16"/>
                <w:szCs w:val="16"/>
                <w:lang w:val="es-ES_tradnl"/>
              </w:rPr>
            </w:pPr>
            <w:proofErr w:type="spellStart"/>
            <w:r w:rsidRPr="0090639D">
              <w:rPr>
                <w:sz w:val="16"/>
                <w:szCs w:val="16"/>
                <w:lang w:val="es-ES_tradnl"/>
              </w:rPr>
              <w:t>T4</w:t>
            </w:r>
            <w:proofErr w:type="spellEnd"/>
            <w:r w:rsidRPr="0090639D">
              <w:rPr>
                <w:sz w:val="16"/>
                <w:szCs w:val="16"/>
                <w:lang w:val="es-ES_tradnl"/>
              </w:rPr>
              <w:t xml:space="preserve"> 2026</w:t>
            </w:r>
            <w:r w:rsidRPr="0090639D">
              <w:rPr>
                <w:sz w:val="16"/>
                <w:szCs w:val="16"/>
                <w:lang w:val="es-ES_tradnl" w:eastAsia="zh-CN"/>
              </w:rPr>
              <w:t>/</w:t>
            </w:r>
            <w:proofErr w:type="spellStart"/>
            <w:r w:rsidRPr="0090639D">
              <w:rPr>
                <w:sz w:val="16"/>
                <w:szCs w:val="16"/>
                <w:lang w:val="es-ES_tradnl" w:eastAsia="zh-CN"/>
              </w:rPr>
              <w:t>T4</w:t>
            </w:r>
            <w:proofErr w:type="spellEnd"/>
            <w:r w:rsidRPr="0090639D">
              <w:rPr>
                <w:sz w:val="16"/>
                <w:szCs w:val="16"/>
                <w:lang w:val="es-ES_tradnl" w:eastAsia="zh-CN"/>
              </w:rPr>
              <w:t xml:space="preserve"> 2027</w:t>
            </w:r>
          </w:p>
        </w:tc>
        <w:tc>
          <w:tcPr>
            <w:tcW w:w="494" w:type="pct"/>
            <w:shd w:val="clear" w:color="auto" w:fill="DEEAF6"/>
            <w:vAlign w:val="center"/>
          </w:tcPr>
          <w:p w14:paraId="4D5194CD" w14:textId="77777777" w:rsidR="00B14F4A" w:rsidRPr="0090639D" w:rsidRDefault="00B14F4A" w:rsidP="004E162C">
            <w:pPr>
              <w:pStyle w:val="Tabletext"/>
              <w:rPr>
                <w:rFonts w:eastAsia="DengXian"/>
                <w:sz w:val="16"/>
                <w:szCs w:val="16"/>
                <w:lang w:val="es-ES_tradnl" w:eastAsia="zh-CN"/>
              </w:rPr>
            </w:pPr>
          </w:p>
        </w:tc>
      </w:tr>
      <w:tr w:rsidR="00B14F4A" w:rsidRPr="0090639D" w14:paraId="42777BF8" w14:textId="77777777" w:rsidTr="004E162C">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4DB9036C" w14:textId="77777777" w:rsidR="00B14F4A" w:rsidRPr="0090639D" w:rsidRDefault="00B14F4A" w:rsidP="004E162C">
            <w:pPr>
              <w:pStyle w:val="Tabletext"/>
              <w:rPr>
                <w:rFonts w:eastAsia="DengXian"/>
                <w:sz w:val="16"/>
                <w:szCs w:val="16"/>
                <w:lang w:val="es-ES_tradnl" w:eastAsia="zh-CN"/>
              </w:rPr>
            </w:pPr>
            <w:r w:rsidRPr="0090639D">
              <w:rPr>
                <w:rFonts w:eastAsia="DengXian"/>
                <w:sz w:val="16"/>
                <w:szCs w:val="16"/>
                <w:lang w:val="es-ES_tradnl" w:eastAsia="zh-CN"/>
              </w:rPr>
              <w:t>4.7</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4DC529D0" w14:textId="77777777" w:rsidR="00B14F4A" w:rsidRPr="0090639D" w:rsidRDefault="00B14F4A" w:rsidP="004E162C">
            <w:pPr>
              <w:pStyle w:val="Tabletext"/>
              <w:rPr>
                <w:sz w:val="16"/>
                <w:szCs w:val="16"/>
                <w:lang w:val="es-ES_tradnl" w:eastAsia="zh-CN"/>
              </w:rPr>
            </w:pPr>
            <w:r w:rsidRPr="0090639D">
              <w:rPr>
                <w:rFonts w:eastAsia="DengXian"/>
                <w:sz w:val="16"/>
                <w:szCs w:val="16"/>
                <w:lang w:val="es-ES_tradnl" w:eastAsia="zh-CN"/>
              </w:rPr>
              <w:t>Encuesta sobre la implicación de los empleados y planes de acción</w:t>
            </w:r>
          </w:p>
        </w:tc>
        <w:tc>
          <w:tcPr>
            <w:tcW w:w="1228" w:type="pct"/>
            <w:tcBorders>
              <w:left w:val="single" w:sz="4" w:space="0" w:color="auto"/>
            </w:tcBorders>
            <w:shd w:val="clear" w:color="auto" w:fill="DEEAF6"/>
            <w:vAlign w:val="center"/>
          </w:tcPr>
          <w:p w14:paraId="1FE1F9C4" w14:textId="77777777" w:rsidR="00B14F4A" w:rsidRPr="0090639D" w:rsidRDefault="00B14F4A" w:rsidP="004E162C">
            <w:pPr>
              <w:pStyle w:val="Tabletext"/>
              <w:rPr>
                <w:rFonts w:eastAsia="DengXian"/>
                <w:sz w:val="16"/>
                <w:szCs w:val="16"/>
                <w:lang w:val="es-ES_tradnl" w:eastAsia="zh-CN"/>
              </w:rPr>
            </w:pPr>
            <w:r w:rsidRPr="0090639D">
              <w:rPr>
                <w:b/>
                <w:bCs/>
                <w:sz w:val="16"/>
                <w:szCs w:val="16"/>
                <w:lang w:val="es-ES_tradnl" w:eastAsia="zh-CN"/>
              </w:rPr>
              <w:t xml:space="preserve">Aprovechar la encuesta sobre la implicación de los empleados y los planes de acción </w:t>
            </w:r>
            <w:r w:rsidRPr="0090639D">
              <w:rPr>
                <w:sz w:val="16"/>
                <w:szCs w:val="16"/>
                <w:lang w:val="es-ES_tradnl" w:eastAsia="zh-CN"/>
              </w:rPr>
              <w:t>para institucionalizar los mecanismos de retroinformación del personal, priorizar las intervenciones basadas en pruebas y hacer un seguimiento de los progresos mediante la comunicación transparente y la responsabilidad mutua</w:t>
            </w:r>
            <w:r w:rsidRPr="0090639D">
              <w:rPr>
                <w:rFonts w:eastAsia="DengXian"/>
                <w:sz w:val="16"/>
                <w:szCs w:val="16"/>
                <w:lang w:val="es-ES_tradnl" w:eastAsia="zh-CN"/>
              </w:rPr>
              <w:t>.</w:t>
            </w:r>
          </w:p>
        </w:tc>
        <w:tc>
          <w:tcPr>
            <w:tcW w:w="1842" w:type="pct"/>
            <w:shd w:val="clear" w:color="auto" w:fill="DEEAF6"/>
            <w:vAlign w:val="center"/>
          </w:tcPr>
          <w:p w14:paraId="3B378894" w14:textId="15791308"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0002677A" w:rsidRPr="0090639D">
              <w:rPr>
                <w:sz w:val="16"/>
                <w:szCs w:val="16"/>
                <w:lang w:val="es-ES_tradnl"/>
              </w:rPr>
              <w:t>T</w:t>
            </w:r>
            <w:r w:rsidRPr="0090639D">
              <w:rPr>
                <w:rFonts w:eastAsia="DengXian"/>
                <w:sz w:val="16"/>
                <w:szCs w:val="16"/>
                <w:lang w:val="es-ES_tradnl" w:eastAsia="zh-CN"/>
              </w:rPr>
              <w:t>asa de participación en la encuesta sobre la implicación de los empleados</w:t>
            </w:r>
          </w:p>
          <w:p w14:paraId="5C7F6E54" w14:textId="13961200"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Pr="0090639D">
              <w:rPr>
                <w:rFonts w:eastAsia="DengXian"/>
                <w:sz w:val="16"/>
                <w:szCs w:val="16"/>
                <w:lang w:val="es-ES_tradnl" w:eastAsia="zh-CN"/>
              </w:rPr>
              <w:t xml:space="preserve">% de departamentos con un plan de acción de la encuesta sobre la implicación de los empleados activo </w:t>
            </w:r>
          </w:p>
          <w:p w14:paraId="1FB8812E" w14:textId="6EB39D3A"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Pr="0090639D">
              <w:rPr>
                <w:rFonts w:eastAsia="DengXian"/>
                <w:sz w:val="16"/>
                <w:szCs w:val="16"/>
                <w:lang w:val="es-ES_tradnl" w:eastAsia="zh-CN"/>
              </w:rPr>
              <w:t>Tendencias de la puntuación de las principales dimensiones de la encuesta a lo largo del tiempo</w:t>
            </w:r>
          </w:p>
        </w:tc>
        <w:tc>
          <w:tcPr>
            <w:tcW w:w="592" w:type="pct"/>
            <w:shd w:val="clear" w:color="auto" w:fill="DEEAF6"/>
            <w:vAlign w:val="center"/>
          </w:tcPr>
          <w:p w14:paraId="04409470" w14:textId="77777777" w:rsidR="00B14F4A" w:rsidRPr="0090639D" w:rsidRDefault="00B14F4A" w:rsidP="00615A73">
            <w:pPr>
              <w:pStyle w:val="Tabletext"/>
              <w:jc w:val="center"/>
              <w:rPr>
                <w:sz w:val="16"/>
                <w:szCs w:val="16"/>
                <w:lang w:val="es-ES_tradnl"/>
              </w:rPr>
            </w:pPr>
            <w:proofErr w:type="spellStart"/>
            <w:r w:rsidRPr="0090639D">
              <w:rPr>
                <w:sz w:val="16"/>
                <w:szCs w:val="16"/>
                <w:lang w:val="es-ES_tradnl"/>
              </w:rPr>
              <w:t>T4</w:t>
            </w:r>
            <w:proofErr w:type="spellEnd"/>
            <w:r w:rsidRPr="0090639D">
              <w:rPr>
                <w:sz w:val="16"/>
                <w:szCs w:val="16"/>
                <w:lang w:val="es-ES_tradnl"/>
              </w:rPr>
              <w:t xml:space="preserve"> 2026 (la nueva edición de la encuesta se realizará en </w:t>
            </w:r>
            <w:proofErr w:type="spellStart"/>
            <w:r w:rsidRPr="0090639D">
              <w:rPr>
                <w:sz w:val="16"/>
                <w:szCs w:val="16"/>
                <w:lang w:val="es-ES_tradnl"/>
              </w:rPr>
              <w:t>T1</w:t>
            </w:r>
            <w:proofErr w:type="spellEnd"/>
            <w:r w:rsidRPr="0090639D">
              <w:rPr>
                <w:sz w:val="16"/>
                <w:szCs w:val="16"/>
                <w:lang w:val="es-ES_tradnl"/>
              </w:rPr>
              <w:t xml:space="preserve"> 2027)</w:t>
            </w:r>
          </w:p>
        </w:tc>
        <w:tc>
          <w:tcPr>
            <w:tcW w:w="494" w:type="pct"/>
            <w:shd w:val="clear" w:color="auto" w:fill="DEEAF6"/>
            <w:vAlign w:val="center"/>
          </w:tcPr>
          <w:p w14:paraId="3C8B2E2E" w14:textId="77777777" w:rsidR="00B14F4A" w:rsidRPr="0090639D" w:rsidRDefault="00B14F4A" w:rsidP="004E162C">
            <w:pPr>
              <w:pStyle w:val="Tabletext"/>
              <w:rPr>
                <w:rFonts w:eastAsia="DengXian"/>
                <w:sz w:val="16"/>
                <w:szCs w:val="16"/>
                <w:lang w:val="es-ES_tradnl" w:eastAsia="zh-CN"/>
              </w:rPr>
            </w:pPr>
          </w:p>
        </w:tc>
      </w:tr>
      <w:tr w:rsidR="00B14F4A" w:rsidRPr="0090639D" w14:paraId="3E750897" w14:textId="77777777" w:rsidTr="004E162C">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7CDBAA16" w14:textId="77777777" w:rsidR="00B14F4A" w:rsidRPr="0090639D" w:rsidRDefault="00B14F4A" w:rsidP="004E162C">
            <w:pPr>
              <w:pStyle w:val="Tabletext"/>
              <w:rPr>
                <w:rFonts w:eastAsia="DengXian"/>
                <w:sz w:val="16"/>
                <w:szCs w:val="16"/>
                <w:lang w:val="es-ES_tradnl" w:eastAsia="zh-CN"/>
              </w:rPr>
            </w:pPr>
            <w:r w:rsidRPr="0090639D">
              <w:rPr>
                <w:rFonts w:eastAsia="DengXian"/>
                <w:sz w:val="16"/>
                <w:szCs w:val="16"/>
                <w:lang w:val="es-ES_tradnl" w:eastAsia="zh-CN"/>
              </w:rPr>
              <w:t>5.1</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12191BC2" w14:textId="77777777" w:rsidR="00B14F4A" w:rsidRPr="0090639D" w:rsidRDefault="00B14F4A" w:rsidP="004E162C">
            <w:pPr>
              <w:pStyle w:val="Tabletext"/>
              <w:rPr>
                <w:sz w:val="16"/>
                <w:szCs w:val="16"/>
                <w:lang w:val="es-ES_tradnl" w:eastAsia="zh-CN"/>
              </w:rPr>
            </w:pPr>
            <w:r w:rsidRPr="0090639D">
              <w:rPr>
                <w:sz w:val="16"/>
                <w:szCs w:val="16"/>
                <w:lang w:val="es-ES_tradnl" w:eastAsia="zh-CN"/>
              </w:rPr>
              <w:t>Marco reglamentario de RR.HH.</w:t>
            </w:r>
          </w:p>
        </w:tc>
        <w:tc>
          <w:tcPr>
            <w:tcW w:w="1228" w:type="pct"/>
            <w:tcBorders>
              <w:left w:val="single" w:sz="4" w:space="0" w:color="auto"/>
            </w:tcBorders>
            <w:shd w:val="clear" w:color="auto" w:fill="DEEAF6"/>
            <w:vAlign w:val="center"/>
          </w:tcPr>
          <w:p w14:paraId="684AAE6D" w14:textId="77777777" w:rsidR="00B14F4A" w:rsidRPr="0090639D" w:rsidRDefault="00B14F4A" w:rsidP="004E162C">
            <w:pPr>
              <w:pStyle w:val="Tabletext"/>
              <w:rPr>
                <w:rFonts w:eastAsia="DengXian"/>
                <w:sz w:val="16"/>
                <w:szCs w:val="16"/>
                <w:lang w:val="es-ES_tradnl" w:eastAsia="zh-CN"/>
              </w:rPr>
            </w:pPr>
            <w:r w:rsidRPr="0090639D">
              <w:rPr>
                <w:b/>
                <w:bCs/>
                <w:sz w:val="16"/>
                <w:szCs w:val="16"/>
                <w:lang w:val="es-ES_tradnl" w:eastAsia="zh-CN"/>
              </w:rPr>
              <w:t xml:space="preserve">Reforzar el marco reglamentario de RR.HH. </w:t>
            </w:r>
            <w:r w:rsidRPr="0090639D">
              <w:rPr>
                <w:sz w:val="16"/>
                <w:szCs w:val="16"/>
                <w:lang w:val="es-ES_tradnl" w:eastAsia="zh-CN"/>
              </w:rPr>
              <w:t>revisando y actualizando las políticas, reglas y directivas para colmar carencias, aumentar la coherencia y facilitar la aplicación coherente</w:t>
            </w:r>
            <w:r w:rsidRPr="0090639D">
              <w:rPr>
                <w:rFonts w:eastAsia="DengXian"/>
                <w:sz w:val="16"/>
                <w:szCs w:val="16"/>
                <w:lang w:val="es-ES_tradnl" w:eastAsia="zh-CN"/>
              </w:rPr>
              <w:t>.</w:t>
            </w:r>
          </w:p>
        </w:tc>
        <w:tc>
          <w:tcPr>
            <w:tcW w:w="1842" w:type="pct"/>
            <w:shd w:val="clear" w:color="auto" w:fill="DEEAF6"/>
            <w:vAlign w:val="center"/>
          </w:tcPr>
          <w:p w14:paraId="14127A58" w14:textId="5105FA02"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Pr="0090639D">
              <w:rPr>
                <w:rFonts w:eastAsia="DengXian"/>
                <w:sz w:val="16"/>
                <w:szCs w:val="16"/>
                <w:lang w:val="es-ES_tradnl" w:eastAsia="zh-CN"/>
              </w:rPr>
              <w:t>Número de políticas de RR.HH./órdenes de servicio revisadas y actualizadas</w:t>
            </w:r>
          </w:p>
          <w:p w14:paraId="23EC4748" w14:textId="6EA5B1CC"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Pr="0090639D">
              <w:rPr>
                <w:rFonts w:eastAsia="DengXian"/>
                <w:sz w:val="16"/>
                <w:szCs w:val="16"/>
                <w:lang w:val="es-ES_tradnl" w:eastAsia="zh-CN"/>
              </w:rPr>
              <w:t>Reglamento/Reglas de Personal actualizado y aprobado (cualitativo)</w:t>
            </w:r>
          </w:p>
          <w:p w14:paraId="3A77494F" w14:textId="2F8F8929"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Pr="0090639D">
              <w:rPr>
                <w:rFonts w:eastAsia="DengXian"/>
                <w:sz w:val="16"/>
                <w:szCs w:val="16"/>
                <w:lang w:val="es-ES_tradnl" w:eastAsia="zh-CN"/>
              </w:rPr>
              <w:t>Porcentaje de políticas de RR.HH. nuevas/revisadas disponibles para todo el personal en una plataforma unificada accesible y número de sesiones de formación/iniciativas de comunicación impartidas</w:t>
            </w:r>
          </w:p>
        </w:tc>
        <w:tc>
          <w:tcPr>
            <w:tcW w:w="592" w:type="pct"/>
            <w:shd w:val="clear" w:color="auto" w:fill="DEEAF6"/>
            <w:vAlign w:val="center"/>
          </w:tcPr>
          <w:p w14:paraId="0D441F5D" w14:textId="77777777" w:rsidR="00B14F4A" w:rsidRPr="0090639D" w:rsidRDefault="00B14F4A" w:rsidP="00615A73">
            <w:pPr>
              <w:pStyle w:val="Tabletext"/>
              <w:jc w:val="center"/>
              <w:rPr>
                <w:sz w:val="16"/>
                <w:szCs w:val="16"/>
                <w:lang w:val="es-ES_tradnl"/>
              </w:rPr>
            </w:pPr>
            <w:r w:rsidRPr="0090639D">
              <w:rPr>
                <w:sz w:val="16"/>
                <w:szCs w:val="16"/>
                <w:lang w:val="es-ES_tradnl"/>
              </w:rPr>
              <w:t>Constante a lo largo de 2026</w:t>
            </w:r>
            <w:r w:rsidRPr="0090639D">
              <w:rPr>
                <w:sz w:val="16"/>
                <w:szCs w:val="16"/>
                <w:lang w:val="es-ES_tradnl" w:eastAsia="zh-CN"/>
              </w:rPr>
              <w:t>-2027</w:t>
            </w:r>
          </w:p>
        </w:tc>
        <w:tc>
          <w:tcPr>
            <w:tcW w:w="494" w:type="pct"/>
            <w:shd w:val="clear" w:color="auto" w:fill="DEEAF6"/>
            <w:vAlign w:val="center"/>
          </w:tcPr>
          <w:p w14:paraId="0973E717" w14:textId="77777777" w:rsidR="00B14F4A" w:rsidRPr="0090639D" w:rsidRDefault="00B14F4A" w:rsidP="004E162C">
            <w:pPr>
              <w:pStyle w:val="Tabletext"/>
              <w:rPr>
                <w:rFonts w:eastAsia="DengXian"/>
                <w:sz w:val="16"/>
                <w:szCs w:val="16"/>
                <w:lang w:val="es-ES_tradnl" w:eastAsia="zh-CN"/>
              </w:rPr>
            </w:pPr>
          </w:p>
        </w:tc>
      </w:tr>
      <w:tr w:rsidR="00B14F4A" w:rsidRPr="0090639D" w14:paraId="0EDF6099" w14:textId="77777777" w:rsidTr="004E162C">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2AD75B47" w14:textId="77777777" w:rsidR="00B14F4A" w:rsidRPr="0090639D" w:rsidRDefault="00B14F4A" w:rsidP="004E162C">
            <w:pPr>
              <w:pStyle w:val="Tabletext"/>
              <w:rPr>
                <w:rFonts w:eastAsia="DengXian"/>
                <w:sz w:val="16"/>
                <w:szCs w:val="16"/>
                <w:lang w:val="es-ES_tradnl" w:eastAsia="zh-CN"/>
              </w:rPr>
            </w:pPr>
            <w:r w:rsidRPr="0090639D">
              <w:rPr>
                <w:rFonts w:eastAsia="DengXian"/>
                <w:sz w:val="16"/>
                <w:szCs w:val="16"/>
                <w:lang w:val="es-ES_tradnl" w:eastAsia="zh-CN"/>
              </w:rPr>
              <w:lastRenderedPageBreak/>
              <w:t>5.2</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22D58524" w14:textId="77777777" w:rsidR="00B14F4A" w:rsidRPr="0090639D" w:rsidRDefault="00B14F4A" w:rsidP="004E162C">
            <w:pPr>
              <w:pStyle w:val="Tabletext"/>
              <w:rPr>
                <w:sz w:val="16"/>
                <w:szCs w:val="16"/>
                <w:lang w:val="es-ES_tradnl" w:eastAsia="zh-CN"/>
              </w:rPr>
            </w:pPr>
            <w:r w:rsidRPr="0090639D">
              <w:rPr>
                <w:rFonts w:eastAsia="DengXian"/>
                <w:sz w:val="16"/>
                <w:szCs w:val="16"/>
                <w:lang w:val="es-ES_tradnl" w:eastAsia="zh-CN"/>
              </w:rPr>
              <w:t>Cuadro de dotación de personal</w:t>
            </w:r>
          </w:p>
        </w:tc>
        <w:tc>
          <w:tcPr>
            <w:tcW w:w="1228" w:type="pct"/>
            <w:tcBorders>
              <w:left w:val="single" w:sz="4" w:space="0" w:color="auto"/>
            </w:tcBorders>
            <w:shd w:val="clear" w:color="auto" w:fill="DEEAF6"/>
            <w:vAlign w:val="center"/>
          </w:tcPr>
          <w:p w14:paraId="74618174" w14:textId="77777777" w:rsidR="00B14F4A" w:rsidRPr="0090639D" w:rsidRDefault="00B14F4A" w:rsidP="004E162C">
            <w:pPr>
              <w:pStyle w:val="Tabletext"/>
              <w:rPr>
                <w:rFonts w:eastAsia="DengXian"/>
                <w:sz w:val="16"/>
                <w:szCs w:val="16"/>
                <w:lang w:val="es-ES_tradnl" w:eastAsia="zh-CN"/>
              </w:rPr>
            </w:pPr>
            <w:r w:rsidRPr="0090639D">
              <w:rPr>
                <w:b/>
                <w:bCs/>
                <w:sz w:val="16"/>
                <w:szCs w:val="16"/>
                <w:lang w:val="es-ES_tradnl" w:eastAsia="zh-CN"/>
              </w:rPr>
              <w:t xml:space="preserve">Desarrollar y mantener un cuadro de dotación de personal </w:t>
            </w:r>
            <w:r w:rsidRPr="0090639D">
              <w:rPr>
                <w:sz w:val="16"/>
                <w:szCs w:val="16"/>
                <w:lang w:val="es-ES_tradnl" w:eastAsia="zh-CN"/>
              </w:rPr>
              <w:t>para aumentar la visibilidad de la mano de obra y facilitar la planificación estratégica del personal, la optimización de recursos y la reorganización institucional para garantizar la transparencia en tiempo real de las tendencias de dotación.</w:t>
            </w:r>
          </w:p>
        </w:tc>
        <w:tc>
          <w:tcPr>
            <w:tcW w:w="1842" w:type="pct"/>
            <w:shd w:val="clear" w:color="auto" w:fill="DEEAF6"/>
            <w:vAlign w:val="center"/>
          </w:tcPr>
          <w:p w14:paraId="5BB03500" w14:textId="6E1D7AD8"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0002677A" w:rsidRPr="0090639D">
              <w:rPr>
                <w:sz w:val="16"/>
                <w:szCs w:val="16"/>
                <w:lang w:val="es-ES_tradnl"/>
              </w:rPr>
              <w:t>C</w:t>
            </w:r>
            <w:r w:rsidRPr="0090639D">
              <w:rPr>
                <w:rFonts w:eastAsia="DengXian"/>
                <w:sz w:val="16"/>
                <w:szCs w:val="16"/>
                <w:lang w:val="es-ES_tradnl" w:eastAsia="zh-CN"/>
              </w:rPr>
              <w:t>uadro de dotación de personal creado y actualizado (cualitativo)</w:t>
            </w:r>
          </w:p>
          <w:p w14:paraId="11EE3691" w14:textId="7422EFC9"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0002677A" w:rsidRPr="0090639D">
              <w:rPr>
                <w:sz w:val="16"/>
                <w:szCs w:val="16"/>
                <w:lang w:val="es-ES_tradnl"/>
              </w:rPr>
              <w:t>V</w:t>
            </w:r>
            <w:r w:rsidRPr="0090639D">
              <w:rPr>
                <w:rFonts w:eastAsia="DengXian"/>
                <w:sz w:val="16"/>
                <w:szCs w:val="16"/>
                <w:lang w:val="es-ES_tradnl" w:eastAsia="zh-CN"/>
              </w:rPr>
              <w:t>isibilidad en tiempo real de las tendencias de dotación de personal (panel)</w:t>
            </w:r>
          </w:p>
          <w:p w14:paraId="7AB00BEC" w14:textId="7B55D871"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Pr="0090639D">
              <w:rPr>
                <w:rFonts w:eastAsia="DengXian"/>
                <w:sz w:val="16"/>
                <w:szCs w:val="16"/>
                <w:lang w:val="es-ES_tradnl" w:eastAsia="zh-CN"/>
              </w:rPr>
              <w:t>% de error inferior al 1</w:t>
            </w:r>
            <w:r w:rsidR="0002677A" w:rsidRPr="0090639D">
              <w:rPr>
                <w:rFonts w:eastAsia="DengXian"/>
                <w:sz w:val="16"/>
                <w:szCs w:val="16"/>
                <w:lang w:val="es-ES_tradnl" w:eastAsia="zh-CN"/>
              </w:rPr>
              <w:t> </w:t>
            </w:r>
            <w:r w:rsidRPr="0090639D">
              <w:rPr>
                <w:rFonts w:eastAsia="DengXian"/>
                <w:sz w:val="16"/>
                <w:szCs w:val="16"/>
                <w:lang w:val="es-ES_tradnl" w:eastAsia="zh-CN"/>
              </w:rPr>
              <w:t>%</w:t>
            </w:r>
          </w:p>
        </w:tc>
        <w:tc>
          <w:tcPr>
            <w:tcW w:w="592" w:type="pct"/>
            <w:shd w:val="clear" w:color="auto" w:fill="DEEAF6"/>
            <w:vAlign w:val="center"/>
          </w:tcPr>
          <w:p w14:paraId="4EC6663A" w14:textId="77777777" w:rsidR="00B14F4A" w:rsidRPr="0090639D" w:rsidRDefault="00B14F4A" w:rsidP="00615A73">
            <w:pPr>
              <w:pStyle w:val="Tabletext"/>
              <w:jc w:val="center"/>
              <w:rPr>
                <w:rFonts w:eastAsia="DengXian"/>
                <w:sz w:val="16"/>
                <w:szCs w:val="16"/>
                <w:lang w:val="es-ES_tradnl" w:eastAsia="zh-CN"/>
              </w:rPr>
            </w:pPr>
            <w:proofErr w:type="spellStart"/>
            <w:r w:rsidRPr="0090639D">
              <w:rPr>
                <w:rFonts w:eastAsia="DengXian"/>
                <w:sz w:val="16"/>
                <w:szCs w:val="16"/>
                <w:lang w:val="es-ES_tradnl" w:eastAsia="zh-CN"/>
              </w:rPr>
              <w:t>T3</w:t>
            </w:r>
            <w:proofErr w:type="spellEnd"/>
            <w:r w:rsidRPr="0090639D">
              <w:rPr>
                <w:rFonts w:eastAsia="DengXian"/>
                <w:sz w:val="16"/>
                <w:szCs w:val="16"/>
                <w:lang w:val="es-ES_tradnl" w:eastAsia="zh-CN"/>
              </w:rPr>
              <w:t xml:space="preserve"> 2026</w:t>
            </w:r>
          </w:p>
          <w:p w14:paraId="2C4CA4E6" w14:textId="77777777" w:rsidR="00B14F4A" w:rsidRPr="0090639D" w:rsidRDefault="00B14F4A" w:rsidP="00615A73">
            <w:pPr>
              <w:pStyle w:val="Tabletext"/>
              <w:jc w:val="center"/>
              <w:rPr>
                <w:rFonts w:eastAsia="DengXian"/>
                <w:sz w:val="16"/>
                <w:szCs w:val="16"/>
                <w:lang w:val="es-ES_tradnl" w:eastAsia="zh-CN"/>
              </w:rPr>
            </w:pPr>
            <w:proofErr w:type="spellStart"/>
            <w:r w:rsidRPr="0090639D">
              <w:rPr>
                <w:rFonts w:eastAsia="DengXian"/>
                <w:sz w:val="16"/>
                <w:szCs w:val="16"/>
                <w:lang w:val="es-ES_tradnl" w:eastAsia="zh-CN"/>
              </w:rPr>
              <w:t>T3</w:t>
            </w:r>
            <w:proofErr w:type="spellEnd"/>
            <w:r w:rsidRPr="0090639D">
              <w:rPr>
                <w:rFonts w:eastAsia="DengXian"/>
                <w:sz w:val="16"/>
                <w:szCs w:val="16"/>
                <w:lang w:val="es-ES_tradnl" w:eastAsia="zh-CN"/>
              </w:rPr>
              <w:t xml:space="preserve"> 2026</w:t>
            </w:r>
          </w:p>
          <w:p w14:paraId="135EDFA1" w14:textId="77777777" w:rsidR="00B14F4A" w:rsidRPr="0090639D" w:rsidRDefault="00B14F4A" w:rsidP="00615A73">
            <w:pPr>
              <w:pStyle w:val="Tabletext"/>
              <w:jc w:val="center"/>
              <w:rPr>
                <w:rFonts w:eastAsia="DengXian"/>
                <w:sz w:val="16"/>
                <w:szCs w:val="16"/>
                <w:lang w:val="es-ES_tradnl" w:eastAsia="zh-CN"/>
              </w:rPr>
            </w:pPr>
            <w:proofErr w:type="spellStart"/>
            <w:r w:rsidRPr="0090639D">
              <w:rPr>
                <w:rFonts w:eastAsia="DengXian"/>
                <w:sz w:val="16"/>
                <w:szCs w:val="16"/>
                <w:lang w:val="es-ES_tradnl" w:eastAsia="zh-CN"/>
              </w:rPr>
              <w:t>T1</w:t>
            </w:r>
            <w:proofErr w:type="spellEnd"/>
            <w:r w:rsidRPr="0090639D">
              <w:rPr>
                <w:rFonts w:eastAsia="DengXian"/>
                <w:sz w:val="16"/>
                <w:szCs w:val="16"/>
                <w:lang w:val="es-ES_tradnl" w:eastAsia="zh-CN"/>
              </w:rPr>
              <w:t xml:space="preserve"> 2027</w:t>
            </w:r>
          </w:p>
        </w:tc>
        <w:tc>
          <w:tcPr>
            <w:tcW w:w="494" w:type="pct"/>
            <w:shd w:val="clear" w:color="auto" w:fill="DEEAF6"/>
            <w:vAlign w:val="center"/>
          </w:tcPr>
          <w:p w14:paraId="39B5CF52" w14:textId="77777777" w:rsidR="00B14F4A" w:rsidRPr="0090639D" w:rsidRDefault="00B14F4A" w:rsidP="004E162C">
            <w:pPr>
              <w:pStyle w:val="Tabletext"/>
              <w:rPr>
                <w:rFonts w:eastAsia="DengXian"/>
                <w:sz w:val="16"/>
                <w:szCs w:val="16"/>
                <w:lang w:val="es-ES_tradnl" w:eastAsia="zh-CN"/>
              </w:rPr>
            </w:pPr>
          </w:p>
        </w:tc>
      </w:tr>
      <w:tr w:rsidR="00B14F4A" w:rsidRPr="0090639D" w14:paraId="19EF1E97" w14:textId="77777777" w:rsidTr="004E162C">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2A897EF6" w14:textId="77777777" w:rsidR="00B14F4A" w:rsidRPr="0090639D" w:rsidRDefault="00B14F4A" w:rsidP="004E162C">
            <w:pPr>
              <w:pStyle w:val="Tabletext"/>
              <w:rPr>
                <w:rFonts w:eastAsia="DengXian"/>
                <w:sz w:val="16"/>
                <w:szCs w:val="16"/>
                <w:lang w:val="es-ES_tradnl" w:eastAsia="zh-CN"/>
              </w:rPr>
            </w:pPr>
            <w:r w:rsidRPr="0090639D">
              <w:rPr>
                <w:rFonts w:eastAsia="DengXian"/>
                <w:sz w:val="16"/>
                <w:szCs w:val="16"/>
                <w:lang w:val="es-ES_tradnl" w:eastAsia="zh-CN"/>
              </w:rPr>
              <w:t>5.3</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77D871BD" w14:textId="77777777" w:rsidR="00B14F4A" w:rsidRPr="0090639D" w:rsidRDefault="00B14F4A" w:rsidP="004E162C">
            <w:pPr>
              <w:pStyle w:val="Tabletext"/>
              <w:rPr>
                <w:sz w:val="16"/>
                <w:szCs w:val="16"/>
                <w:lang w:val="es-ES_tradnl" w:eastAsia="zh-CN"/>
              </w:rPr>
            </w:pPr>
            <w:r w:rsidRPr="0090639D">
              <w:rPr>
                <w:rFonts w:eastAsia="DengXian"/>
                <w:sz w:val="16"/>
                <w:szCs w:val="16"/>
                <w:lang w:val="es-ES_tradnl" w:eastAsia="zh-CN"/>
              </w:rPr>
              <w:t>Marco contractual</w:t>
            </w:r>
          </w:p>
        </w:tc>
        <w:tc>
          <w:tcPr>
            <w:tcW w:w="1228" w:type="pct"/>
            <w:tcBorders>
              <w:left w:val="single" w:sz="4" w:space="0" w:color="auto"/>
            </w:tcBorders>
            <w:shd w:val="clear" w:color="auto" w:fill="DEEAF6"/>
            <w:vAlign w:val="center"/>
          </w:tcPr>
          <w:p w14:paraId="45905FB6" w14:textId="77777777" w:rsidR="00B14F4A" w:rsidRPr="0090639D" w:rsidRDefault="00B14F4A" w:rsidP="004E162C">
            <w:pPr>
              <w:pStyle w:val="Tabletext"/>
              <w:rPr>
                <w:rFonts w:eastAsia="DengXian"/>
                <w:sz w:val="16"/>
                <w:szCs w:val="16"/>
                <w:lang w:val="es-ES_tradnl" w:eastAsia="zh-CN"/>
              </w:rPr>
            </w:pPr>
            <w:r w:rsidRPr="0090639D">
              <w:rPr>
                <w:b/>
                <w:bCs/>
                <w:sz w:val="16"/>
                <w:szCs w:val="16"/>
                <w:lang w:val="es-ES_tradnl" w:eastAsia="zh-CN"/>
              </w:rPr>
              <w:t xml:space="preserve">Establecer un marco contractual robusto </w:t>
            </w:r>
            <w:r w:rsidRPr="0090639D">
              <w:rPr>
                <w:sz w:val="16"/>
                <w:szCs w:val="16"/>
                <w:lang w:val="es-ES_tradnl" w:eastAsia="zh-CN"/>
              </w:rPr>
              <w:t>para aclarar las modalidades contractuales y la gobernanza conexa para permitir una utilización coherente, conforme y eficiente de las disposiciones contractuales</w:t>
            </w:r>
            <w:r w:rsidRPr="0090639D">
              <w:rPr>
                <w:rFonts w:eastAsia="DengXian"/>
                <w:sz w:val="16"/>
                <w:szCs w:val="16"/>
                <w:lang w:val="es-ES_tradnl" w:eastAsia="zh-CN"/>
              </w:rPr>
              <w:t>.</w:t>
            </w:r>
          </w:p>
        </w:tc>
        <w:tc>
          <w:tcPr>
            <w:tcW w:w="1842" w:type="pct"/>
            <w:shd w:val="clear" w:color="auto" w:fill="DEEAF6"/>
            <w:vAlign w:val="center"/>
          </w:tcPr>
          <w:p w14:paraId="4EB4B34A" w14:textId="470F662F" w:rsidR="00B14F4A" w:rsidRPr="0090639D" w:rsidRDefault="00B14F4A" w:rsidP="00375F6E">
            <w:pPr>
              <w:pStyle w:val="Tabletext"/>
              <w:tabs>
                <w:tab w:val="clear" w:pos="284"/>
                <w:tab w:val="left" w:pos="186"/>
              </w:tabs>
              <w:ind w:left="186" w:hanging="186"/>
              <w:rPr>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0002677A" w:rsidRPr="0090639D">
              <w:rPr>
                <w:sz w:val="16"/>
                <w:szCs w:val="16"/>
                <w:lang w:val="es-ES_tradnl"/>
              </w:rPr>
              <w:t>M</w:t>
            </w:r>
            <w:r w:rsidRPr="0090639D">
              <w:rPr>
                <w:rFonts w:eastAsia="DengXian"/>
                <w:sz w:val="16"/>
                <w:szCs w:val="16"/>
                <w:lang w:val="es-ES_tradnl" w:eastAsia="zh-CN"/>
              </w:rPr>
              <w:t>arco contractual integral implementado (sí/no)</w:t>
            </w:r>
          </w:p>
        </w:tc>
        <w:tc>
          <w:tcPr>
            <w:tcW w:w="592" w:type="pct"/>
            <w:shd w:val="clear" w:color="auto" w:fill="DEEAF6"/>
            <w:vAlign w:val="center"/>
          </w:tcPr>
          <w:p w14:paraId="054F067D" w14:textId="77777777" w:rsidR="00B14F4A" w:rsidRPr="0090639D" w:rsidRDefault="00B14F4A" w:rsidP="00615A73">
            <w:pPr>
              <w:pStyle w:val="Tabletext"/>
              <w:jc w:val="center"/>
              <w:rPr>
                <w:sz w:val="16"/>
                <w:szCs w:val="16"/>
                <w:lang w:val="es-ES_tradnl" w:eastAsia="zh-CN"/>
              </w:rPr>
            </w:pPr>
            <w:proofErr w:type="spellStart"/>
            <w:r w:rsidRPr="0090639D">
              <w:rPr>
                <w:sz w:val="16"/>
                <w:szCs w:val="16"/>
                <w:lang w:val="es-ES_tradnl" w:eastAsia="zh-CN"/>
              </w:rPr>
              <w:t>T4</w:t>
            </w:r>
            <w:proofErr w:type="spellEnd"/>
            <w:r w:rsidRPr="0090639D">
              <w:rPr>
                <w:sz w:val="16"/>
                <w:szCs w:val="16"/>
                <w:lang w:val="es-ES_tradnl" w:eastAsia="zh-CN"/>
              </w:rPr>
              <w:t xml:space="preserve"> 2026</w:t>
            </w:r>
          </w:p>
        </w:tc>
        <w:tc>
          <w:tcPr>
            <w:tcW w:w="494" w:type="pct"/>
            <w:shd w:val="clear" w:color="auto" w:fill="DEEAF6"/>
            <w:vAlign w:val="center"/>
          </w:tcPr>
          <w:p w14:paraId="43B88C67" w14:textId="77777777" w:rsidR="00B14F4A" w:rsidRPr="0090639D" w:rsidRDefault="00B14F4A" w:rsidP="004E162C">
            <w:pPr>
              <w:pStyle w:val="Tabletext"/>
              <w:rPr>
                <w:rFonts w:eastAsia="DengXian"/>
                <w:sz w:val="16"/>
                <w:szCs w:val="16"/>
                <w:lang w:val="es-ES_tradnl" w:eastAsia="zh-CN"/>
              </w:rPr>
            </w:pPr>
          </w:p>
        </w:tc>
      </w:tr>
      <w:tr w:rsidR="00B14F4A" w:rsidRPr="0090639D" w14:paraId="120F570D" w14:textId="77777777" w:rsidTr="004E162C">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0575522A" w14:textId="77777777" w:rsidR="00B14F4A" w:rsidRPr="0090639D" w:rsidRDefault="00B14F4A" w:rsidP="004E162C">
            <w:pPr>
              <w:pStyle w:val="Tabletext"/>
              <w:rPr>
                <w:rFonts w:eastAsia="DengXian"/>
                <w:sz w:val="16"/>
                <w:szCs w:val="16"/>
                <w:lang w:val="es-ES_tradnl" w:eastAsia="zh-CN"/>
              </w:rPr>
            </w:pPr>
            <w:r w:rsidRPr="0090639D">
              <w:rPr>
                <w:rFonts w:eastAsia="DengXian"/>
                <w:sz w:val="16"/>
                <w:szCs w:val="16"/>
                <w:lang w:val="es-ES_tradnl" w:eastAsia="zh-CN"/>
              </w:rPr>
              <w:t>5.4</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00DDB76E" w14:textId="77777777" w:rsidR="00B14F4A" w:rsidRPr="0090639D" w:rsidRDefault="00B14F4A" w:rsidP="004E162C">
            <w:pPr>
              <w:pStyle w:val="Tabletext"/>
              <w:rPr>
                <w:sz w:val="16"/>
                <w:szCs w:val="16"/>
                <w:lang w:val="es-ES_tradnl" w:eastAsia="zh-CN"/>
              </w:rPr>
            </w:pPr>
            <w:r w:rsidRPr="0090639D">
              <w:rPr>
                <w:sz w:val="16"/>
                <w:szCs w:val="16"/>
                <w:lang w:val="es-ES_tradnl" w:eastAsia="zh-CN"/>
              </w:rPr>
              <w:t>Delegación de autoridad</w:t>
            </w:r>
          </w:p>
        </w:tc>
        <w:tc>
          <w:tcPr>
            <w:tcW w:w="1228" w:type="pct"/>
            <w:tcBorders>
              <w:left w:val="single" w:sz="4" w:space="0" w:color="auto"/>
            </w:tcBorders>
            <w:shd w:val="clear" w:color="auto" w:fill="DEEAF6"/>
            <w:vAlign w:val="center"/>
          </w:tcPr>
          <w:p w14:paraId="54D2A3D8" w14:textId="77777777" w:rsidR="00B14F4A" w:rsidRPr="0090639D" w:rsidRDefault="00B14F4A" w:rsidP="004E162C">
            <w:pPr>
              <w:pStyle w:val="Tabletext"/>
              <w:rPr>
                <w:rFonts w:eastAsia="DengXian"/>
                <w:sz w:val="16"/>
                <w:szCs w:val="16"/>
                <w:lang w:val="es-ES_tradnl" w:eastAsia="zh-CN"/>
              </w:rPr>
            </w:pPr>
            <w:r w:rsidRPr="0090639D">
              <w:rPr>
                <w:b/>
                <w:bCs/>
                <w:sz w:val="16"/>
                <w:szCs w:val="16"/>
                <w:lang w:val="es-ES_tradnl" w:eastAsia="zh-CN"/>
              </w:rPr>
              <w:t xml:space="preserve">Desarrollar el marco de delegación de autoridad </w:t>
            </w:r>
            <w:r w:rsidRPr="0090639D">
              <w:rPr>
                <w:sz w:val="16"/>
                <w:szCs w:val="16"/>
                <w:lang w:val="es-ES_tradnl" w:eastAsia="zh-CN"/>
              </w:rPr>
              <w:t>para aumentar la agilidad operativa, reforzar la responsabilidad y racionalizar la toma de decisiones en toda la Unión</w:t>
            </w:r>
            <w:r w:rsidRPr="0090639D">
              <w:rPr>
                <w:rFonts w:eastAsia="DengXian"/>
                <w:sz w:val="16"/>
                <w:szCs w:val="16"/>
                <w:lang w:val="es-ES_tradnl" w:eastAsia="zh-CN"/>
              </w:rPr>
              <w:t>.</w:t>
            </w:r>
          </w:p>
        </w:tc>
        <w:tc>
          <w:tcPr>
            <w:tcW w:w="1842" w:type="pct"/>
            <w:shd w:val="clear" w:color="auto" w:fill="DEEAF6"/>
            <w:vAlign w:val="center"/>
          </w:tcPr>
          <w:p w14:paraId="2FE467BE" w14:textId="2B055165"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0002677A" w:rsidRPr="0090639D">
              <w:rPr>
                <w:sz w:val="16"/>
                <w:szCs w:val="16"/>
                <w:lang w:val="es-ES_tradnl"/>
              </w:rPr>
              <w:t>M</w:t>
            </w:r>
            <w:r w:rsidRPr="0090639D">
              <w:rPr>
                <w:rFonts w:eastAsia="DengXian"/>
                <w:sz w:val="16"/>
                <w:szCs w:val="16"/>
                <w:lang w:val="es-ES_tradnl" w:eastAsia="zh-CN"/>
              </w:rPr>
              <w:t>arco de delegación de autoridad promulgado (cualitativo)</w:t>
            </w:r>
          </w:p>
          <w:p w14:paraId="686CB3E5" w14:textId="3AC7E4F4"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0002677A" w:rsidRPr="0090639D">
              <w:rPr>
                <w:sz w:val="16"/>
                <w:szCs w:val="16"/>
                <w:lang w:val="es-ES_tradnl"/>
              </w:rPr>
              <w:t>F</w:t>
            </w:r>
            <w:r w:rsidRPr="0090639D">
              <w:rPr>
                <w:rFonts w:eastAsia="DengXian"/>
                <w:sz w:val="16"/>
                <w:szCs w:val="16"/>
                <w:lang w:val="es-ES_tradnl" w:eastAsia="zh-CN"/>
              </w:rPr>
              <w:t>lujos de aprobación armonizados en el sistema ERP (sí/no)</w:t>
            </w:r>
          </w:p>
        </w:tc>
        <w:tc>
          <w:tcPr>
            <w:tcW w:w="592" w:type="pct"/>
            <w:shd w:val="clear" w:color="auto" w:fill="DEEAF6"/>
            <w:vAlign w:val="center"/>
          </w:tcPr>
          <w:p w14:paraId="2D3E4A29" w14:textId="77777777" w:rsidR="00B14F4A" w:rsidRPr="0090639D" w:rsidRDefault="00B14F4A" w:rsidP="00615A73">
            <w:pPr>
              <w:pStyle w:val="Tabletext"/>
              <w:jc w:val="center"/>
              <w:rPr>
                <w:sz w:val="16"/>
                <w:szCs w:val="16"/>
                <w:lang w:val="es-ES_tradnl" w:eastAsia="zh-CN"/>
              </w:rPr>
            </w:pPr>
            <w:proofErr w:type="spellStart"/>
            <w:r w:rsidRPr="0090639D">
              <w:rPr>
                <w:sz w:val="16"/>
                <w:szCs w:val="16"/>
                <w:lang w:val="es-ES_tradnl" w:eastAsia="zh-CN"/>
              </w:rPr>
              <w:t>T4</w:t>
            </w:r>
            <w:proofErr w:type="spellEnd"/>
            <w:r w:rsidRPr="0090639D">
              <w:rPr>
                <w:sz w:val="16"/>
                <w:szCs w:val="16"/>
                <w:lang w:val="es-ES_tradnl" w:eastAsia="zh-CN"/>
              </w:rPr>
              <w:t xml:space="preserve"> 2026</w:t>
            </w:r>
          </w:p>
          <w:p w14:paraId="49AFC4EF" w14:textId="77777777" w:rsidR="00B14F4A" w:rsidRPr="0090639D" w:rsidRDefault="00B14F4A" w:rsidP="00615A73">
            <w:pPr>
              <w:pStyle w:val="Tabletext"/>
              <w:jc w:val="center"/>
              <w:rPr>
                <w:sz w:val="16"/>
                <w:szCs w:val="16"/>
                <w:lang w:val="es-ES_tradnl" w:eastAsia="zh-CN"/>
              </w:rPr>
            </w:pPr>
            <w:proofErr w:type="spellStart"/>
            <w:r w:rsidRPr="0090639D">
              <w:rPr>
                <w:sz w:val="16"/>
                <w:szCs w:val="16"/>
                <w:lang w:val="es-ES_tradnl" w:eastAsia="zh-CN"/>
              </w:rPr>
              <w:t>T4</w:t>
            </w:r>
            <w:proofErr w:type="spellEnd"/>
            <w:r w:rsidRPr="0090639D">
              <w:rPr>
                <w:sz w:val="16"/>
                <w:szCs w:val="16"/>
                <w:lang w:val="es-ES_tradnl" w:eastAsia="zh-CN"/>
              </w:rPr>
              <w:t xml:space="preserve"> 2026</w:t>
            </w:r>
          </w:p>
        </w:tc>
        <w:tc>
          <w:tcPr>
            <w:tcW w:w="494" w:type="pct"/>
            <w:shd w:val="clear" w:color="auto" w:fill="DEEAF6"/>
            <w:vAlign w:val="center"/>
          </w:tcPr>
          <w:p w14:paraId="7722EDF2" w14:textId="77777777" w:rsidR="00B14F4A" w:rsidRPr="0090639D" w:rsidRDefault="00B14F4A" w:rsidP="004E162C">
            <w:pPr>
              <w:pStyle w:val="Tabletext"/>
              <w:rPr>
                <w:rFonts w:eastAsia="DengXian"/>
                <w:sz w:val="16"/>
                <w:szCs w:val="16"/>
                <w:lang w:val="es-ES_tradnl" w:eastAsia="zh-CN"/>
              </w:rPr>
            </w:pPr>
          </w:p>
        </w:tc>
      </w:tr>
      <w:tr w:rsidR="00B14F4A" w:rsidRPr="0090639D" w14:paraId="62126893" w14:textId="77777777" w:rsidTr="004E162C">
        <w:trPr>
          <w:cantSplit/>
          <w:jc w:val="center"/>
        </w:trPr>
        <w:tc>
          <w:tcPr>
            <w:tcW w:w="205" w:type="pct"/>
            <w:vMerge w:val="restart"/>
            <w:tcBorders>
              <w:top w:val="single" w:sz="4" w:space="0" w:color="auto"/>
              <w:left w:val="single" w:sz="4" w:space="0" w:color="auto"/>
              <w:right w:val="single" w:sz="4" w:space="0" w:color="auto"/>
            </w:tcBorders>
            <w:shd w:val="clear" w:color="auto" w:fill="C1E4F5"/>
            <w:vAlign w:val="center"/>
          </w:tcPr>
          <w:p w14:paraId="718B4431" w14:textId="77777777" w:rsidR="00B14F4A" w:rsidRPr="0090639D" w:rsidRDefault="00B14F4A" w:rsidP="004E162C">
            <w:pPr>
              <w:pStyle w:val="Tabletext"/>
              <w:rPr>
                <w:rFonts w:eastAsia="DengXian"/>
                <w:sz w:val="16"/>
                <w:szCs w:val="16"/>
                <w:lang w:val="es-ES_tradnl" w:eastAsia="zh-CN"/>
              </w:rPr>
            </w:pPr>
            <w:r w:rsidRPr="0090639D">
              <w:rPr>
                <w:rFonts w:eastAsia="DengXian"/>
                <w:sz w:val="16"/>
                <w:szCs w:val="16"/>
                <w:lang w:val="es-ES_tradnl" w:eastAsia="zh-CN"/>
              </w:rPr>
              <w:t>5.5</w:t>
            </w:r>
          </w:p>
        </w:tc>
        <w:tc>
          <w:tcPr>
            <w:tcW w:w="639" w:type="pct"/>
            <w:vMerge w:val="restart"/>
            <w:tcBorders>
              <w:top w:val="single" w:sz="4" w:space="0" w:color="auto"/>
              <w:left w:val="single" w:sz="4" w:space="0" w:color="auto"/>
              <w:right w:val="single" w:sz="4" w:space="0" w:color="auto"/>
            </w:tcBorders>
            <w:shd w:val="clear" w:color="auto" w:fill="DEEAF6"/>
            <w:vAlign w:val="center"/>
          </w:tcPr>
          <w:p w14:paraId="06C40E08" w14:textId="77777777" w:rsidR="00B14F4A" w:rsidRPr="0090639D" w:rsidRDefault="00B14F4A" w:rsidP="004E162C">
            <w:pPr>
              <w:pStyle w:val="Tabletext"/>
              <w:rPr>
                <w:sz w:val="16"/>
                <w:szCs w:val="16"/>
                <w:lang w:val="es-ES_tradnl" w:eastAsia="zh-CN"/>
              </w:rPr>
            </w:pPr>
            <w:r w:rsidRPr="0090639D">
              <w:rPr>
                <w:sz w:val="16"/>
                <w:szCs w:val="16"/>
                <w:lang w:val="es-ES_tradnl" w:eastAsia="zh-CN"/>
              </w:rPr>
              <w:t>Procesos de RR.HH.</w:t>
            </w:r>
          </w:p>
        </w:tc>
        <w:tc>
          <w:tcPr>
            <w:tcW w:w="1228" w:type="pct"/>
            <w:vMerge w:val="restart"/>
            <w:tcBorders>
              <w:left w:val="single" w:sz="4" w:space="0" w:color="auto"/>
            </w:tcBorders>
            <w:shd w:val="clear" w:color="auto" w:fill="DEEAF6"/>
            <w:vAlign w:val="center"/>
          </w:tcPr>
          <w:p w14:paraId="2A5AF0B2" w14:textId="77777777" w:rsidR="00B14F4A" w:rsidRPr="0090639D" w:rsidRDefault="00B14F4A" w:rsidP="004E162C">
            <w:pPr>
              <w:pStyle w:val="Tabletext"/>
              <w:rPr>
                <w:rFonts w:eastAsia="DengXian"/>
                <w:sz w:val="16"/>
                <w:szCs w:val="16"/>
                <w:lang w:val="es-ES_tradnl" w:eastAsia="zh-CN"/>
              </w:rPr>
            </w:pPr>
            <w:r w:rsidRPr="0090639D">
              <w:rPr>
                <w:b/>
                <w:bCs/>
                <w:sz w:val="16"/>
                <w:szCs w:val="16"/>
                <w:lang w:val="es-ES_tradnl" w:eastAsia="zh-CN"/>
              </w:rPr>
              <w:t xml:space="preserve">Racionalizar, simplificar y automatizar los procesos de RR.HH. </w:t>
            </w:r>
            <w:r w:rsidRPr="0090639D">
              <w:rPr>
                <w:sz w:val="16"/>
                <w:szCs w:val="16"/>
                <w:lang w:val="es-ES_tradnl" w:eastAsia="zh-CN"/>
              </w:rPr>
              <w:t>mediante procedimientos operativos normalizados (SOP) para procesos esenciales, mejoras del SAP-HR e inversiones en tecnología de RR.HH. concretas para aumentar la eficiencia y mejorar la prestación de servicios</w:t>
            </w:r>
            <w:r w:rsidRPr="0090639D">
              <w:rPr>
                <w:rFonts w:eastAsia="DengXian"/>
                <w:sz w:val="16"/>
                <w:szCs w:val="16"/>
                <w:lang w:val="es-ES_tradnl" w:eastAsia="zh-CN"/>
              </w:rPr>
              <w:t>.</w:t>
            </w:r>
          </w:p>
        </w:tc>
        <w:tc>
          <w:tcPr>
            <w:tcW w:w="1842" w:type="pct"/>
            <w:shd w:val="clear" w:color="auto" w:fill="DEEAF6"/>
            <w:vAlign w:val="center"/>
          </w:tcPr>
          <w:p w14:paraId="7DD0A172" w14:textId="2998D4E6"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0002677A" w:rsidRPr="0090639D">
              <w:rPr>
                <w:sz w:val="16"/>
                <w:szCs w:val="16"/>
                <w:lang w:val="es-ES_tradnl"/>
              </w:rPr>
              <w:t>N</w:t>
            </w:r>
            <w:r w:rsidRPr="0090639D">
              <w:rPr>
                <w:rFonts w:eastAsia="DengXian"/>
                <w:sz w:val="16"/>
                <w:szCs w:val="16"/>
                <w:lang w:val="es-ES_tradnl" w:eastAsia="zh-CN"/>
              </w:rPr>
              <w:t>úmero de SOP aprobados por el Jefe y archivados centralmente</w:t>
            </w:r>
          </w:p>
          <w:p w14:paraId="47CE88E0" w14:textId="27E0D761"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0002677A" w:rsidRPr="0090639D">
              <w:rPr>
                <w:sz w:val="16"/>
                <w:szCs w:val="16"/>
                <w:lang w:val="es-ES_tradnl"/>
              </w:rPr>
              <w:t>N</w:t>
            </w:r>
            <w:r w:rsidRPr="0090639D">
              <w:rPr>
                <w:rFonts w:eastAsia="DengXian"/>
                <w:sz w:val="16"/>
                <w:szCs w:val="16"/>
                <w:lang w:val="es-ES_tradnl" w:eastAsia="zh-CN"/>
              </w:rPr>
              <w:t>úmero de mejoras al SAP HR/SAS propuestas</w:t>
            </w:r>
          </w:p>
          <w:p w14:paraId="5965D9F5" w14:textId="0CDB85AD"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Pr="0090639D">
              <w:rPr>
                <w:rFonts w:eastAsia="DengXian"/>
                <w:sz w:val="16"/>
                <w:szCs w:val="16"/>
                <w:lang w:val="es-ES_tradnl" w:eastAsia="zh-CN"/>
              </w:rPr>
              <w:t>Reducción de las búsquedas relacionadas con los procedimientos</w:t>
            </w:r>
          </w:p>
        </w:tc>
        <w:tc>
          <w:tcPr>
            <w:tcW w:w="592" w:type="pct"/>
            <w:shd w:val="clear" w:color="auto" w:fill="DEEAF6"/>
            <w:vAlign w:val="center"/>
          </w:tcPr>
          <w:p w14:paraId="33676B04" w14:textId="77777777" w:rsidR="00B14F4A" w:rsidRPr="0090639D" w:rsidRDefault="00B14F4A" w:rsidP="00615A73">
            <w:pPr>
              <w:pStyle w:val="Tabletext"/>
              <w:jc w:val="center"/>
              <w:rPr>
                <w:sz w:val="16"/>
                <w:szCs w:val="16"/>
                <w:lang w:val="es-ES_tradnl" w:eastAsia="zh-CN"/>
              </w:rPr>
            </w:pPr>
            <w:proofErr w:type="spellStart"/>
            <w:r w:rsidRPr="0090639D">
              <w:rPr>
                <w:sz w:val="16"/>
                <w:szCs w:val="16"/>
                <w:lang w:val="es-ES_tradnl" w:eastAsia="zh-CN"/>
              </w:rPr>
              <w:t>T4</w:t>
            </w:r>
            <w:proofErr w:type="spellEnd"/>
            <w:r w:rsidRPr="0090639D">
              <w:rPr>
                <w:sz w:val="16"/>
                <w:szCs w:val="16"/>
                <w:lang w:val="es-ES_tradnl" w:eastAsia="zh-CN"/>
              </w:rPr>
              <w:t xml:space="preserve"> 2026/</w:t>
            </w:r>
            <w:proofErr w:type="spellStart"/>
            <w:r w:rsidRPr="0090639D">
              <w:rPr>
                <w:sz w:val="16"/>
                <w:szCs w:val="16"/>
                <w:lang w:val="es-ES_tradnl" w:eastAsia="zh-CN"/>
              </w:rPr>
              <w:t>T4</w:t>
            </w:r>
            <w:proofErr w:type="spellEnd"/>
            <w:r w:rsidRPr="0090639D">
              <w:rPr>
                <w:sz w:val="16"/>
                <w:szCs w:val="16"/>
                <w:lang w:val="es-ES_tradnl" w:eastAsia="zh-CN"/>
              </w:rPr>
              <w:t xml:space="preserve"> 2027</w:t>
            </w:r>
          </w:p>
          <w:p w14:paraId="21813838" w14:textId="77777777" w:rsidR="00B14F4A" w:rsidRPr="0090639D" w:rsidRDefault="00B14F4A" w:rsidP="00615A73">
            <w:pPr>
              <w:pStyle w:val="Tabletext"/>
              <w:jc w:val="center"/>
              <w:rPr>
                <w:sz w:val="16"/>
                <w:szCs w:val="16"/>
                <w:lang w:val="es-ES_tradnl" w:eastAsia="zh-CN"/>
              </w:rPr>
            </w:pPr>
            <w:proofErr w:type="spellStart"/>
            <w:r w:rsidRPr="0090639D">
              <w:rPr>
                <w:sz w:val="16"/>
                <w:szCs w:val="16"/>
                <w:lang w:val="es-ES_tradnl" w:eastAsia="zh-CN"/>
              </w:rPr>
              <w:t>T4</w:t>
            </w:r>
            <w:proofErr w:type="spellEnd"/>
            <w:r w:rsidRPr="0090639D">
              <w:rPr>
                <w:sz w:val="16"/>
                <w:szCs w:val="16"/>
                <w:lang w:val="es-ES_tradnl" w:eastAsia="zh-CN"/>
              </w:rPr>
              <w:t xml:space="preserve"> 2026/</w:t>
            </w:r>
            <w:proofErr w:type="spellStart"/>
            <w:r w:rsidRPr="0090639D">
              <w:rPr>
                <w:sz w:val="16"/>
                <w:szCs w:val="16"/>
                <w:lang w:val="es-ES_tradnl" w:eastAsia="zh-CN"/>
              </w:rPr>
              <w:t>T4</w:t>
            </w:r>
            <w:proofErr w:type="spellEnd"/>
            <w:r w:rsidRPr="0090639D">
              <w:rPr>
                <w:sz w:val="16"/>
                <w:szCs w:val="16"/>
                <w:lang w:val="es-ES_tradnl" w:eastAsia="zh-CN"/>
              </w:rPr>
              <w:t xml:space="preserve"> 2027</w:t>
            </w:r>
          </w:p>
          <w:p w14:paraId="755685EC" w14:textId="77777777" w:rsidR="00B14F4A" w:rsidRPr="0090639D" w:rsidRDefault="00B14F4A" w:rsidP="00615A73">
            <w:pPr>
              <w:pStyle w:val="Tabletext"/>
              <w:jc w:val="center"/>
              <w:rPr>
                <w:sz w:val="16"/>
                <w:szCs w:val="16"/>
                <w:lang w:val="es-ES_tradnl" w:eastAsia="zh-CN"/>
              </w:rPr>
            </w:pPr>
            <w:proofErr w:type="spellStart"/>
            <w:r w:rsidRPr="0090639D">
              <w:rPr>
                <w:sz w:val="16"/>
                <w:szCs w:val="16"/>
                <w:lang w:val="es-ES_tradnl" w:eastAsia="zh-CN"/>
              </w:rPr>
              <w:t>T4</w:t>
            </w:r>
            <w:proofErr w:type="spellEnd"/>
            <w:r w:rsidRPr="0090639D">
              <w:rPr>
                <w:sz w:val="16"/>
                <w:szCs w:val="16"/>
                <w:lang w:val="es-ES_tradnl" w:eastAsia="zh-CN"/>
              </w:rPr>
              <w:t xml:space="preserve"> 2026</w:t>
            </w:r>
          </w:p>
        </w:tc>
        <w:tc>
          <w:tcPr>
            <w:tcW w:w="494" w:type="pct"/>
            <w:shd w:val="clear" w:color="auto" w:fill="DEEAF6"/>
            <w:vAlign w:val="center"/>
          </w:tcPr>
          <w:p w14:paraId="135C96D0" w14:textId="77777777" w:rsidR="00B14F4A" w:rsidRPr="0090639D" w:rsidRDefault="00B14F4A" w:rsidP="004E162C">
            <w:pPr>
              <w:pStyle w:val="Tabletext"/>
              <w:rPr>
                <w:rFonts w:eastAsia="DengXian"/>
                <w:sz w:val="16"/>
                <w:szCs w:val="16"/>
                <w:lang w:val="es-ES_tradnl" w:eastAsia="zh-CN"/>
              </w:rPr>
            </w:pPr>
          </w:p>
        </w:tc>
      </w:tr>
      <w:tr w:rsidR="00B14F4A" w:rsidRPr="0090639D" w14:paraId="068F73EE" w14:textId="77777777" w:rsidTr="004E162C">
        <w:trPr>
          <w:cantSplit/>
          <w:jc w:val="center"/>
        </w:trPr>
        <w:tc>
          <w:tcPr>
            <w:tcW w:w="205" w:type="pct"/>
            <w:vMerge/>
            <w:vAlign w:val="center"/>
          </w:tcPr>
          <w:p w14:paraId="7742C663" w14:textId="77777777" w:rsidR="00B14F4A" w:rsidRPr="0090639D" w:rsidRDefault="00B14F4A" w:rsidP="004E162C">
            <w:pPr>
              <w:pStyle w:val="Tabletext"/>
              <w:rPr>
                <w:rFonts w:eastAsia="DengXian"/>
                <w:sz w:val="16"/>
                <w:szCs w:val="16"/>
                <w:lang w:val="es-ES_tradnl" w:eastAsia="zh-CN"/>
              </w:rPr>
            </w:pPr>
          </w:p>
        </w:tc>
        <w:tc>
          <w:tcPr>
            <w:tcW w:w="639" w:type="pct"/>
            <w:vMerge/>
            <w:vAlign w:val="center"/>
          </w:tcPr>
          <w:p w14:paraId="57C1AEE3" w14:textId="77777777" w:rsidR="00B14F4A" w:rsidRPr="0090639D" w:rsidRDefault="00B14F4A" w:rsidP="004E162C">
            <w:pPr>
              <w:pStyle w:val="Tabletext"/>
              <w:rPr>
                <w:sz w:val="16"/>
                <w:szCs w:val="16"/>
                <w:lang w:val="es-ES_tradnl" w:eastAsia="zh-CN"/>
              </w:rPr>
            </w:pPr>
          </w:p>
        </w:tc>
        <w:tc>
          <w:tcPr>
            <w:tcW w:w="1228" w:type="pct"/>
            <w:vMerge/>
            <w:vAlign w:val="center"/>
          </w:tcPr>
          <w:p w14:paraId="3C5F1C19" w14:textId="77777777" w:rsidR="00B14F4A" w:rsidRPr="0090639D" w:rsidRDefault="00B14F4A" w:rsidP="004E162C">
            <w:pPr>
              <w:pStyle w:val="Tabletext"/>
              <w:rPr>
                <w:rFonts w:eastAsia="DengXian"/>
                <w:sz w:val="16"/>
                <w:szCs w:val="16"/>
                <w:lang w:val="es-ES_tradnl" w:eastAsia="zh-CN"/>
              </w:rPr>
            </w:pPr>
          </w:p>
        </w:tc>
        <w:tc>
          <w:tcPr>
            <w:tcW w:w="1842" w:type="pct"/>
            <w:shd w:val="clear" w:color="auto" w:fill="DEEAF6"/>
            <w:vAlign w:val="center"/>
          </w:tcPr>
          <w:p w14:paraId="27C5B88F" w14:textId="379A693F"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0002677A" w:rsidRPr="0090639D">
              <w:rPr>
                <w:sz w:val="16"/>
                <w:szCs w:val="16"/>
                <w:lang w:val="es-ES_tradnl"/>
              </w:rPr>
              <w:t>E</w:t>
            </w:r>
            <w:r w:rsidRPr="0090639D">
              <w:rPr>
                <w:rFonts w:eastAsia="DengXian"/>
                <w:sz w:val="16"/>
                <w:szCs w:val="16"/>
                <w:lang w:val="es-ES_tradnl" w:eastAsia="zh-CN"/>
              </w:rPr>
              <w:t>jecución puntual del ciclo mensual de nóminas</w:t>
            </w:r>
          </w:p>
          <w:p w14:paraId="674618BE" w14:textId="1258D25F"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Pr="0090639D">
              <w:rPr>
                <w:rFonts w:eastAsia="DengXian"/>
                <w:sz w:val="16"/>
                <w:szCs w:val="16"/>
                <w:lang w:val="es-ES_tradnl" w:eastAsia="zh-CN"/>
              </w:rPr>
              <w:t>Número de mejoras al SAP HR/</w:t>
            </w:r>
            <w:proofErr w:type="spellStart"/>
            <w:r w:rsidRPr="0090639D">
              <w:rPr>
                <w:rFonts w:eastAsia="DengXian"/>
                <w:sz w:val="16"/>
                <w:szCs w:val="16"/>
                <w:lang w:val="es-ES_tradnl" w:eastAsia="zh-CN"/>
              </w:rPr>
              <w:t>Payroll</w:t>
            </w:r>
            <w:proofErr w:type="spellEnd"/>
            <w:r w:rsidRPr="0090639D">
              <w:rPr>
                <w:rFonts w:eastAsia="DengXian"/>
                <w:sz w:val="16"/>
                <w:szCs w:val="16"/>
                <w:lang w:val="es-ES_tradnl" w:eastAsia="zh-CN"/>
              </w:rPr>
              <w:t xml:space="preserve"> propuestas</w:t>
            </w:r>
          </w:p>
          <w:p w14:paraId="07302637" w14:textId="3EB752FC"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0002677A" w:rsidRPr="0090639D">
              <w:rPr>
                <w:sz w:val="16"/>
                <w:szCs w:val="16"/>
                <w:lang w:val="es-ES_tradnl"/>
              </w:rPr>
              <w:t>N</w:t>
            </w:r>
            <w:r w:rsidRPr="0090639D">
              <w:rPr>
                <w:rFonts w:eastAsia="DengXian"/>
                <w:sz w:val="16"/>
                <w:szCs w:val="16"/>
                <w:lang w:val="es-ES_tradnl" w:eastAsia="zh-CN"/>
              </w:rPr>
              <w:t>úmero de SOP aprobados por el Jefe y archivados centralmente</w:t>
            </w:r>
          </w:p>
        </w:tc>
        <w:tc>
          <w:tcPr>
            <w:tcW w:w="592" w:type="pct"/>
            <w:shd w:val="clear" w:color="auto" w:fill="DEEAF6"/>
            <w:vAlign w:val="center"/>
          </w:tcPr>
          <w:p w14:paraId="2347737C" w14:textId="77777777" w:rsidR="0002677A" w:rsidRPr="0090639D" w:rsidRDefault="00B14F4A" w:rsidP="00615A73">
            <w:pPr>
              <w:pStyle w:val="Tabletext"/>
              <w:jc w:val="center"/>
              <w:rPr>
                <w:sz w:val="16"/>
                <w:szCs w:val="16"/>
                <w:lang w:val="es-ES_tradnl"/>
              </w:rPr>
            </w:pPr>
            <w:r w:rsidRPr="0090639D">
              <w:rPr>
                <w:sz w:val="16"/>
                <w:szCs w:val="16"/>
                <w:lang w:val="es-ES_tradnl" w:eastAsia="zh-CN"/>
              </w:rPr>
              <w:t>Mensual 2026</w:t>
            </w:r>
          </w:p>
          <w:p w14:paraId="6F8CBC6D" w14:textId="77777777" w:rsidR="0002677A" w:rsidRPr="0090639D" w:rsidRDefault="00B14F4A" w:rsidP="00615A73">
            <w:pPr>
              <w:pStyle w:val="Tabletext"/>
              <w:jc w:val="center"/>
              <w:rPr>
                <w:sz w:val="16"/>
                <w:szCs w:val="16"/>
                <w:lang w:val="es-ES_tradnl"/>
              </w:rPr>
            </w:pPr>
            <w:proofErr w:type="spellStart"/>
            <w:r w:rsidRPr="0090639D">
              <w:rPr>
                <w:sz w:val="16"/>
                <w:szCs w:val="16"/>
                <w:lang w:val="es-ES_tradnl" w:eastAsia="zh-CN"/>
              </w:rPr>
              <w:t>T4</w:t>
            </w:r>
            <w:proofErr w:type="spellEnd"/>
            <w:r w:rsidRPr="0090639D">
              <w:rPr>
                <w:sz w:val="16"/>
                <w:szCs w:val="16"/>
                <w:lang w:val="es-ES_tradnl" w:eastAsia="zh-CN"/>
              </w:rPr>
              <w:t xml:space="preserve"> 2026/</w:t>
            </w:r>
            <w:proofErr w:type="spellStart"/>
            <w:r w:rsidRPr="0090639D">
              <w:rPr>
                <w:sz w:val="16"/>
                <w:szCs w:val="16"/>
                <w:lang w:val="es-ES_tradnl" w:eastAsia="zh-CN"/>
              </w:rPr>
              <w:t>T4</w:t>
            </w:r>
            <w:proofErr w:type="spellEnd"/>
            <w:r w:rsidRPr="0090639D">
              <w:rPr>
                <w:sz w:val="16"/>
                <w:szCs w:val="16"/>
                <w:lang w:val="es-ES_tradnl" w:eastAsia="zh-CN"/>
              </w:rPr>
              <w:t xml:space="preserve"> 2027</w:t>
            </w:r>
          </w:p>
          <w:p w14:paraId="5D36C2C0" w14:textId="5F2D7FCD" w:rsidR="00B14F4A" w:rsidRPr="0090639D" w:rsidRDefault="00B14F4A" w:rsidP="00615A73">
            <w:pPr>
              <w:pStyle w:val="Tabletext"/>
              <w:jc w:val="center"/>
              <w:rPr>
                <w:sz w:val="16"/>
                <w:szCs w:val="16"/>
                <w:lang w:val="es-ES_tradnl" w:eastAsia="zh-CN"/>
              </w:rPr>
            </w:pPr>
            <w:proofErr w:type="spellStart"/>
            <w:r w:rsidRPr="0090639D">
              <w:rPr>
                <w:sz w:val="16"/>
                <w:szCs w:val="16"/>
                <w:lang w:val="es-ES_tradnl" w:eastAsia="zh-CN"/>
              </w:rPr>
              <w:t>T4</w:t>
            </w:r>
            <w:proofErr w:type="spellEnd"/>
            <w:r w:rsidRPr="0090639D">
              <w:rPr>
                <w:sz w:val="16"/>
                <w:szCs w:val="16"/>
                <w:lang w:val="es-ES_tradnl" w:eastAsia="zh-CN"/>
              </w:rPr>
              <w:t xml:space="preserve"> 2026/</w:t>
            </w:r>
            <w:proofErr w:type="spellStart"/>
            <w:r w:rsidRPr="0090639D">
              <w:rPr>
                <w:sz w:val="16"/>
                <w:szCs w:val="16"/>
                <w:lang w:val="es-ES_tradnl" w:eastAsia="zh-CN"/>
              </w:rPr>
              <w:t>T4</w:t>
            </w:r>
            <w:proofErr w:type="spellEnd"/>
            <w:r w:rsidRPr="0090639D">
              <w:rPr>
                <w:sz w:val="16"/>
                <w:szCs w:val="16"/>
                <w:lang w:val="es-ES_tradnl" w:eastAsia="zh-CN"/>
              </w:rPr>
              <w:t xml:space="preserve"> 2027</w:t>
            </w:r>
          </w:p>
        </w:tc>
        <w:tc>
          <w:tcPr>
            <w:tcW w:w="494" w:type="pct"/>
            <w:shd w:val="clear" w:color="auto" w:fill="DEEAF6"/>
            <w:vAlign w:val="center"/>
          </w:tcPr>
          <w:p w14:paraId="18DA377D" w14:textId="77777777" w:rsidR="00B14F4A" w:rsidRPr="0090639D" w:rsidDel="004B5D0E" w:rsidRDefault="00B14F4A" w:rsidP="004E162C">
            <w:pPr>
              <w:pStyle w:val="Tabletext"/>
              <w:rPr>
                <w:rFonts w:eastAsia="DengXian"/>
                <w:sz w:val="16"/>
                <w:szCs w:val="16"/>
                <w:lang w:val="es-ES_tradnl" w:eastAsia="zh-CN"/>
              </w:rPr>
            </w:pPr>
          </w:p>
        </w:tc>
      </w:tr>
      <w:tr w:rsidR="00B14F4A" w:rsidRPr="0090639D" w14:paraId="5011D838" w14:textId="77777777" w:rsidTr="004E162C">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485F29CF" w14:textId="77777777" w:rsidR="00B14F4A" w:rsidRPr="0090639D" w:rsidRDefault="00B14F4A" w:rsidP="004E162C">
            <w:pPr>
              <w:pStyle w:val="Tabletext"/>
              <w:rPr>
                <w:rFonts w:eastAsia="DengXian"/>
                <w:sz w:val="16"/>
                <w:szCs w:val="16"/>
                <w:lang w:val="es-ES_tradnl" w:eastAsia="zh-CN"/>
              </w:rPr>
            </w:pPr>
            <w:r w:rsidRPr="0090639D">
              <w:rPr>
                <w:rFonts w:eastAsia="DengXian"/>
                <w:sz w:val="16"/>
                <w:szCs w:val="16"/>
                <w:lang w:val="es-ES_tradnl" w:eastAsia="zh-CN"/>
              </w:rPr>
              <w:t>5.6</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05D3B475" w14:textId="77777777" w:rsidR="00B14F4A" w:rsidRPr="0090639D" w:rsidRDefault="00B14F4A" w:rsidP="004E162C">
            <w:pPr>
              <w:pStyle w:val="Tabletext"/>
              <w:rPr>
                <w:sz w:val="16"/>
                <w:szCs w:val="16"/>
                <w:lang w:val="es-ES_tradnl" w:eastAsia="zh-CN"/>
              </w:rPr>
            </w:pPr>
            <w:r w:rsidRPr="0090639D">
              <w:rPr>
                <w:sz w:val="16"/>
                <w:szCs w:val="16"/>
                <w:lang w:val="es-ES_tradnl" w:eastAsia="zh-CN"/>
              </w:rPr>
              <w:t>Función de relaciones con el personal</w:t>
            </w:r>
          </w:p>
        </w:tc>
        <w:tc>
          <w:tcPr>
            <w:tcW w:w="1228" w:type="pct"/>
            <w:tcBorders>
              <w:left w:val="single" w:sz="4" w:space="0" w:color="auto"/>
            </w:tcBorders>
            <w:shd w:val="clear" w:color="auto" w:fill="DEEAF6"/>
            <w:vAlign w:val="center"/>
          </w:tcPr>
          <w:p w14:paraId="25BEA035" w14:textId="77777777" w:rsidR="00B14F4A" w:rsidRPr="0090639D" w:rsidRDefault="00B14F4A" w:rsidP="004E162C">
            <w:pPr>
              <w:pStyle w:val="Tabletext"/>
              <w:rPr>
                <w:rFonts w:eastAsia="DengXian"/>
                <w:sz w:val="16"/>
                <w:szCs w:val="16"/>
                <w:lang w:val="es-ES_tradnl" w:eastAsia="zh-CN"/>
              </w:rPr>
            </w:pPr>
            <w:r w:rsidRPr="0090639D">
              <w:rPr>
                <w:b/>
                <w:bCs/>
                <w:sz w:val="16"/>
                <w:szCs w:val="16"/>
                <w:lang w:val="es-ES_tradnl" w:eastAsia="zh-CN"/>
              </w:rPr>
              <w:t xml:space="preserve">Reforzar la función de relaciones con el personal </w:t>
            </w:r>
            <w:r w:rsidRPr="0090639D">
              <w:rPr>
                <w:sz w:val="16"/>
                <w:szCs w:val="16"/>
                <w:lang w:val="es-ES_tradnl" w:eastAsia="zh-CN"/>
              </w:rPr>
              <w:t>mediante la colaboración constante y periódica con el Consejo de Personal, así como una mayor coordinación con las Oficinas Regionales, reforzando la equidad procesas y mitigando los riesgos relacionados con el personal en la Unión</w:t>
            </w:r>
            <w:r w:rsidRPr="0090639D">
              <w:rPr>
                <w:rFonts w:eastAsia="DengXian"/>
                <w:sz w:val="16"/>
                <w:szCs w:val="16"/>
                <w:lang w:val="es-ES_tradnl" w:eastAsia="zh-CN"/>
              </w:rPr>
              <w:t>.</w:t>
            </w:r>
          </w:p>
        </w:tc>
        <w:tc>
          <w:tcPr>
            <w:tcW w:w="1842" w:type="pct"/>
            <w:shd w:val="clear" w:color="auto" w:fill="DEEAF6"/>
            <w:vAlign w:val="center"/>
          </w:tcPr>
          <w:p w14:paraId="1D14D178" w14:textId="0D7B54FE"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Pr="0090639D">
              <w:rPr>
                <w:rFonts w:eastAsia="DengXian"/>
                <w:sz w:val="16"/>
                <w:szCs w:val="16"/>
                <w:lang w:val="es-ES_tradnl" w:eastAsia="zh-CN"/>
              </w:rPr>
              <w:t>Colaboración periódica con el Consejo de Personal</w:t>
            </w:r>
          </w:p>
          <w:p w14:paraId="42B4B59F" w14:textId="55459855"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Pr="0090639D">
              <w:rPr>
                <w:rFonts w:eastAsia="DengXian"/>
                <w:sz w:val="16"/>
                <w:szCs w:val="16"/>
                <w:lang w:val="es-ES_tradnl" w:eastAsia="zh-CN"/>
              </w:rPr>
              <w:t>Mayor comunicación con las Oficinas Regionales</w:t>
            </w:r>
          </w:p>
        </w:tc>
        <w:tc>
          <w:tcPr>
            <w:tcW w:w="592" w:type="pct"/>
            <w:shd w:val="clear" w:color="auto" w:fill="DEEAF6"/>
            <w:vAlign w:val="center"/>
          </w:tcPr>
          <w:p w14:paraId="29A8641D" w14:textId="77777777" w:rsidR="00B14F4A" w:rsidRPr="0090639D" w:rsidRDefault="00B14F4A" w:rsidP="00615A73">
            <w:pPr>
              <w:pStyle w:val="Tabletext"/>
              <w:jc w:val="center"/>
              <w:rPr>
                <w:sz w:val="16"/>
                <w:szCs w:val="16"/>
                <w:lang w:val="es-ES_tradnl" w:eastAsia="zh-CN"/>
              </w:rPr>
            </w:pPr>
            <w:proofErr w:type="spellStart"/>
            <w:r w:rsidRPr="0090639D">
              <w:rPr>
                <w:sz w:val="16"/>
                <w:szCs w:val="16"/>
                <w:lang w:val="es-ES_tradnl" w:eastAsia="zh-CN"/>
              </w:rPr>
              <w:t>T4</w:t>
            </w:r>
            <w:proofErr w:type="spellEnd"/>
            <w:r w:rsidRPr="0090639D">
              <w:rPr>
                <w:sz w:val="16"/>
                <w:szCs w:val="16"/>
                <w:lang w:val="es-ES_tradnl" w:eastAsia="zh-CN"/>
              </w:rPr>
              <w:t xml:space="preserve"> 2026/</w:t>
            </w:r>
            <w:proofErr w:type="spellStart"/>
            <w:r w:rsidRPr="0090639D">
              <w:rPr>
                <w:sz w:val="16"/>
                <w:szCs w:val="16"/>
                <w:lang w:val="es-ES_tradnl" w:eastAsia="zh-CN"/>
              </w:rPr>
              <w:t>T4</w:t>
            </w:r>
            <w:proofErr w:type="spellEnd"/>
            <w:r w:rsidRPr="0090639D">
              <w:rPr>
                <w:sz w:val="16"/>
                <w:szCs w:val="16"/>
                <w:lang w:val="es-ES_tradnl" w:eastAsia="zh-CN"/>
              </w:rPr>
              <w:t xml:space="preserve"> 2027</w:t>
            </w:r>
          </w:p>
          <w:p w14:paraId="3C156DB9" w14:textId="77777777" w:rsidR="00B14F4A" w:rsidRPr="0090639D" w:rsidRDefault="00B14F4A" w:rsidP="00615A73">
            <w:pPr>
              <w:pStyle w:val="Tabletext"/>
              <w:jc w:val="center"/>
              <w:rPr>
                <w:sz w:val="16"/>
                <w:szCs w:val="16"/>
                <w:lang w:val="es-ES_tradnl" w:eastAsia="zh-CN"/>
              </w:rPr>
            </w:pPr>
            <w:proofErr w:type="spellStart"/>
            <w:r w:rsidRPr="0090639D">
              <w:rPr>
                <w:sz w:val="16"/>
                <w:szCs w:val="16"/>
                <w:lang w:val="es-ES_tradnl" w:eastAsia="zh-CN"/>
              </w:rPr>
              <w:t>T4</w:t>
            </w:r>
            <w:proofErr w:type="spellEnd"/>
            <w:r w:rsidRPr="0090639D">
              <w:rPr>
                <w:sz w:val="16"/>
                <w:szCs w:val="16"/>
                <w:lang w:val="es-ES_tradnl" w:eastAsia="zh-CN"/>
              </w:rPr>
              <w:t xml:space="preserve"> 2026/</w:t>
            </w:r>
            <w:proofErr w:type="spellStart"/>
            <w:r w:rsidRPr="0090639D">
              <w:rPr>
                <w:sz w:val="16"/>
                <w:szCs w:val="16"/>
                <w:lang w:val="es-ES_tradnl" w:eastAsia="zh-CN"/>
              </w:rPr>
              <w:t>T4</w:t>
            </w:r>
            <w:proofErr w:type="spellEnd"/>
            <w:r w:rsidRPr="0090639D">
              <w:rPr>
                <w:sz w:val="16"/>
                <w:szCs w:val="16"/>
                <w:lang w:val="es-ES_tradnl" w:eastAsia="zh-CN"/>
              </w:rPr>
              <w:t xml:space="preserve"> 2027</w:t>
            </w:r>
          </w:p>
        </w:tc>
        <w:tc>
          <w:tcPr>
            <w:tcW w:w="494" w:type="pct"/>
            <w:shd w:val="clear" w:color="auto" w:fill="DEEAF6"/>
            <w:vAlign w:val="center"/>
          </w:tcPr>
          <w:p w14:paraId="1D1F2D19" w14:textId="77777777" w:rsidR="00B14F4A" w:rsidRPr="0090639D" w:rsidRDefault="00B14F4A" w:rsidP="004E162C">
            <w:pPr>
              <w:pStyle w:val="Tabletext"/>
              <w:rPr>
                <w:rFonts w:eastAsia="DengXian"/>
                <w:sz w:val="16"/>
                <w:szCs w:val="16"/>
                <w:lang w:val="es-ES_tradnl" w:eastAsia="zh-CN"/>
              </w:rPr>
            </w:pPr>
          </w:p>
        </w:tc>
      </w:tr>
      <w:tr w:rsidR="00B14F4A" w:rsidRPr="0090639D" w14:paraId="0EF6479B" w14:textId="77777777" w:rsidTr="004E162C">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57A0C8C4" w14:textId="77777777" w:rsidR="00B14F4A" w:rsidRPr="0090639D" w:rsidRDefault="00B14F4A" w:rsidP="004E162C">
            <w:pPr>
              <w:pStyle w:val="Tabletext"/>
              <w:rPr>
                <w:rFonts w:eastAsia="DengXian"/>
                <w:sz w:val="16"/>
                <w:szCs w:val="16"/>
                <w:lang w:val="es-ES_tradnl" w:eastAsia="zh-CN"/>
              </w:rPr>
            </w:pPr>
            <w:r w:rsidRPr="0090639D">
              <w:rPr>
                <w:rFonts w:eastAsia="DengXian"/>
                <w:sz w:val="16"/>
                <w:szCs w:val="16"/>
                <w:lang w:val="es-ES_tradnl" w:eastAsia="zh-CN"/>
              </w:rPr>
              <w:t>5.7</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4E42DAAC" w14:textId="77777777" w:rsidR="00B14F4A" w:rsidRPr="0090639D" w:rsidRDefault="00B14F4A" w:rsidP="004E162C">
            <w:pPr>
              <w:pStyle w:val="Tabletext"/>
              <w:rPr>
                <w:sz w:val="16"/>
                <w:szCs w:val="16"/>
                <w:lang w:val="es-ES_tradnl" w:eastAsia="zh-CN"/>
              </w:rPr>
            </w:pPr>
            <w:r w:rsidRPr="0090639D">
              <w:rPr>
                <w:sz w:val="16"/>
                <w:szCs w:val="16"/>
                <w:lang w:val="es-ES_tradnl" w:eastAsia="zh-CN"/>
              </w:rPr>
              <w:t>Seguro médico, pensiones y otros servicios administrativos conexos</w:t>
            </w:r>
          </w:p>
        </w:tc>
        <w:tc>
          <w:tcPr>
            <w:tcW w:w="1228" w:type="pct"/>
            <w:tcBorders>
              <w:left w:val="single" w:sz="4" w:space="0" w:color="auto"/>
            </w:tcBorders>
            <w:shd w:val="clear" w:color="auto" w:fill="DEEAF6"/>
            <w:vAlign w:val="center"/>
          </w:tcPr>
          <w:p w14:paraId="75CBDFA8" w14:textId="77777777" w:rsidR="00B14F4A" w:rsidRPr="0090639D" w:rsidRDefault="00B14F4A" w:rsidP="00B447BE">
            <w:pPr>
              <w:pStyle w:val="Tabletext"/>
              <w:spacing w:after="0"/>
              <w:rPr>
                <w:rFonts w:eastAsia="DengXian"/>
                <w:sz w:val="16"/>
                <w:szCs w:val="16"/>
                <w:lang w:val="es-ES_tradnl" w:eastAsia="zh-CN"/>
              </w:rPr>
            </w:pPr>
            <w:r w:rsidRPr="0090639D">
              <w:rPr>
                <w:b/>
                <w:bCs/>
                <w:sz w:val="16"/>
                <w:szCs w:val="16"/>
                <w:lang w:val="es-ES_tradnl" w:eastAsia="zh-CN"/>
              </w:rPr>
              <w:t xml:space="preserve">Prestar servicios de seguro médico, pensiones y otros servicios administrativos conexos </w:t>
            </w:r>
            <w:r w:rsidRPr="0090639D">
              <w:rPr>
                <w:sz w:val="16"/>
                <w:szCs w:val="16"/>
                <w:lang w:val="es-ES_tradnl" w:eastAsia="zh-CN"/>
              </w:rPr>
              <w:t>en toda la organización, incluidas las Oficinas Regionales, de acuerdo con normas, procesos y normas de servicio coherentes. Además, se prestará un apoyo particular a las Oficinas Regionales mediante sesiones sobre emergencias médicas y orientaciones prácticas sobre los procedimientos y canales de apoyo</w:t>
            </w:r>
            <w:r w:rsidRPr="0090639D">
              <w:rPr>
                <w:rFonts w:eastAsia="DengXian"/>
                <w:sz w:val="16"/>
                <w:szCs w:val="16"/>
                <w:lang w:val="es-ES_tradnl" w:eastAsia="zh-CN"/>
              </w:rPr>
              <w:t>.</w:t>
            </w:r>
          </w:p>
        </w:tc>
        <w:tc>
          <w:tcPr>
            <w:tcW w:w="1842" w:type="pct"/>
            <w:shd w:val="clear" w:color="auto" w:fill="DEEAF6"/>
            <w:vAlign w:val="center"/>
          </w:tcPr>
          <w:p w14:paraId="295034CE" w14:textId="0FFC4461"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Pr="0090639D">
              <w:rPr>
                <w:rFonts w:eastAsia="DengXian"/>
                <w:sz w:val="16"/>
                <w:szCs w:val="16"/>
                <w:lang w:val="es-ES_tradnl" w:eastAsia="zh-CN"/>
              </w:rPr>
              <w:t>% de informes de primas/</w:t>
            </w:r>
            <w:r w:rsidR="0002677A" w:rsidRPr="0090639D">
              <w:rPr>
                <w:rFonts w:eastAsia="DengXian"/>
                <w:sz w:val="16"/>
                <w:szCs w:val="16"/>
                <w:lang w:val="es-ES_tradnl" w:eastAsia="zh-CN"/>
              </w:rPr>
              <w:t>pensiones transmitidas</w:t>
            </w:r>
            <w:r w:rsidRPr="0090639D">
              <w:rPr>
                <w:rFonts w:eastAsia="DengXian"/>
                <w:sz w:val="16"/>
                <w:szCs w:val="16"/>
                <w:lang w:val="es-ES_tradnl" w:eastAsia="zh-CN"/>
              </w:rPr>
              <w:t xml:space="preserve"> a UNSMIS/</w:t>
            </w:r>
            <w:proofErr w:type="spellStart"/>
            <w:r w:rsidRPr="0090639D">
              <w:rPr>
                <w:rFonts w:eastAsia="DengXian"/>
                <w:sz w:val="16"/>
                <w:szCs w:val="16"/>
                <w:lang w:val="es-ES_tradnl" w:eastAsia="zh-CN"/>
              </w:rPr>
              <w:t>UNJSPF</w:t>
            </w:r>
            <w:proofErr w:type="spellEnd"/>
            <w:r w:rsidRPr="0090639D">
              <w:rPr>
                <w:rFonts w:eastAsia="DengXian"/>
                <w:sz w:val="16"/>
                <w:szCs w:val="16"/>
                <w:lang w:val="es-ES_tradnl" w:eastAsia="zh-CN"/>
              </w:rPr>
              <w:t xml:space="preserve"> a tiempo y sin errores</w:t>
            </w:r>
          </w:p>
          <w:p w14:paraId="05069795" w14:textId="580FC475" w:rsidR="00B14F4A" w:rsidRPr="0090639D" w:rsidDel="00037073"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Pr="0090639D">
              <w:rPr>
                <w:rFonts w:eastAsia="DengXian"/>
                <w:sz w:val="16"/>
                <w:szCs w:val="16"/>
                <w:lang w:val="es-ES_tradnl" w:eastAsia="zh-CN"/>
              </w:rPr>
              <w:t>Número de sesiones sobre emergencias médicas impartidas a las Oficinas Regionales y tasa de participación por sesión</w:t>
            </w:r>
          </w:p>
        </w:tc>
        <w:tc>
          <w:tcPr>
            <w:tcW w:w="592" w:type="pct"/>
            <w:shd w:val="clear" w:color="auto" w:fill="DEEAF6"/>
            <w:vAlign w:val="center"/>
          </w:tcPr>
          <w:p w14:paraId="68F1F350" w14:textId="77777777" w:rsidR="00B14F4A" w:rsidRPr="0090639D" w:rsidRDefault="00B14F4A" w:rsidP="00615A73">
            <w:pPr>
              <w:pStyle w:val="Tabletext"/>
              <w:spacing w:after="480"/>
              <w:jc w:val="center"/>
              <w:rPr>
                <w:sz w:val="16"/>
                <w:szCs w:val="16"/>
                <w:lang w:val="es-ES_tradnl" w:eastAsia="zh-CN"/>
              </w:rPr>
            </w:pPr>
            <w:r w:rsidRPr="0090639D">
              <w:rPr>
                <w:sz w:val="16"/>
                <w:szCs w:val="16"/>
                <w:lang w:val="es-ES_tradnl" w:eastAsia="zh-CN"/>
              </w:rPr>
              <w:t>Mensual 2026</w:t>
            </w:r>
          </w:p>
          <w:p w14:paraId="78072530" w14:textId="77777777" w:rsidR="00B14F4A" w:rsidRPr="0090639D" w:rsidRDefault="00B14F4A" w:rsidP="00615A73">
            <w:pPr>
              <w:pStyle w:val="Tabletext"/>
              <w:spacing w:before="0" w:after="0"/>
              <w:jc w:val="center"/>
              <w:rPr>
                <w:sz w:val="16"/>
                <w:szCs w:val="16"/>
                <w:lang w:val="es-ES_tradnl" w:eastAsia="zh-CN"/>
              </w:rPr>
            </w:pPr>
            <w:proofErr w:type="spellStart"/>
            <w:r w:rsidRPr="0090639D">
              <w:rPr>
                <w:sz w:val="16"/>
                <w:szCs w:val="16"/>
                <w:lang w:val="es-ES_tradnl" w:eastAsia="zh-CN"/>
              </w:rPr>
              <w:t>T2</w:t>
            </w:r>
            <w:proofErr w:type="spellEnd"/>
            <w:r w:rsidRPr="0090639D">
              <w:rPr>
                <w:sz w:val="16"/>
                <w:szCs w:val="16"/>
                <w:lang w:val="es-ES_tradnl" w:eastAsia="zh-CN"/>
              </w:rPr>
              <w:t xml:space="preserve"> &amp; </w:t>
            </w:r>
            <w:proofErr w:type="spellStart"/>
            <w:r w:rsidRPr="0090639D">
              <w:rPr>
                <w:sz w:val="16"/>
                <w:szCs w:val="16"/>
                <w:lang w:val="es-ES_tradnl" w:eastAsia="zh-CN"/>
              </w:rPr>
              <w:t>T3</w:t>
            </w:r>
            <w:proofErr w:type="spellEnd"/>
            <w:r w:rsidRPr="0090639D">
              <w:rPr>
                <w:sz w:val="16"/>
                <w:szCs w:val="16"/>
                <w:lang w:val="es-ES_tradnl" w:eastAsia="zh-CN"/>
              </w:rPr>
              <w:t xml:space="preserve"> 2026</w:t>
            </w:r>
          </w:p>
        </w:tc>
        <w:tc>
          <w:tcPr>
            <w:tcW w:w="494" w:type="pct"/>
            <w:shd w:val="clear" w:color="auto" w:fill="DEEAF6"/>
            <w:vAlign w:val="center"/>
          </w:tcPr>
          <w:p w14:paraId="452A9DD8" w14:textId="77777777" w:rsidR="00B14F4A" w:rsidRPr="0090639D" w:rsidDel="004B5D0E" w:rsidRDefault="00B14F4A" w:rsidP="004E162C">
            <w:pPr>
              <w:pStyle w:val="Tabletext"/>
              <w:rPr>
                <w:rFonts w:eastAsia="DengXian"/>
                <w:sz w:val="16"/>
                <w:szCs w:val="16"/>
                <w:lang w:val="es-ES_tradnl" w:eastAsia="zh-CN"/>
              </w:rPr>
            </w:pPr>
          </w:p>
        </w:tc>
      </w:tr>
      <w:tr w:rsidR="00B14F4A" w:rsidRPr="0090639D" w14:paraId="7E267B4C" w14:textId="77777777" w:rsidTr="004E162C">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1925BA83" w14:textId="77777777" w:rsidR="00B14F4A" w:rsidRPr="0090639D" w:rsidRDefault="00B14F4A" w:rsidP="004E162C">
            <w:pPr>
              <w:pStyle w:val="Tabletext"/>
              <w:rPr>
                <w:rFonts w:eastAsia="DengXian"/>
                <w:sz w:val="16"/>
                <w:szCs w:val="16"/>
                <w:lang w:val="es-ES_tradnl" w:eastAsia="zh-CN"/>
              </w:rPr>
            </w:pPr>
            <w:r w:rsidRPr="0090639D">
              <w:rPr>
                <w:rFonts w:eastAsia="DengXian"/>
                <w:sz w:val="16"/>
                <w:szCs w:val="16"/>
                <w:lang w:val="es-ES_tradnl" w:eastAsia="zh-CN"/>
              </w:rPr>
              <w:lastRenderedPageBreak/>
              <w:t>5.8</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5770E5B7" w14:textId="77777777" w:rsidR="00B14F4A" w:rsidRPr="0090639D" w:rsidRDefault="00B14F4A" w:rsidP="004E162C">
            <w:pPr>
              <w:pStyle w:val="Tabletext"/>
              <w:rPr>
                <w:sz w:val="16"/>
                <w:szCs w:val="16"/>
                <w:lang w:val="es-ES_tradnl" w:eastAsia="zh-CN"/>
              </w:rPr>
            </w:pPr>
            <w:r w:rsidRPr="0090639D">
              <w:rPr>
                <w:sz w:val="16"/>
                <w:szCs w:val="16"/>
                <w:lang w:val="es-ES_tradnl" w:eastAsia="zh-CN"/>
              </w:rPr>
              <w:t>Datos de RR.HH. y analítica</w:t>
            </w:r>
          </w:p>
        </w:tc>
        <w:tc>
          <w:tcPr>
            <w:tcW w:w="1228" w:type="pct"/>
            <w:tcBorders>
              <w:left w:val="single" w:sz="4" w:space="0" w:color="auto"/>
            </w:tcBorders>
            <w:shd w:val="clear" w:color="auto" w:fill="DEEAF6"/>
            <w:vAlign w:val="center"/>
          </w:tcPr>
          <w:p w14:paraId="21298B2D" w14:textId="77777777" w:rsidR="00B14F4A" w:rsidRPr="0090639D" w:rsidRDefault="00B14F4A" w:rsidP="004E162C">
            <w:pPr>
              <w:pStyle w:val="Tabletext"/>
              <w:rPr>
                <w:rFonts w:eastAsia="DengXian"/>
                <w:sz w:val="16"/>
                <w:szCs w:val="16"/>
                <w:lang w:val="es-ES_tradnl" w:eastAsia="zh-CN"/>
              </w:rPr>
            </w:pPr>
            <w:r w:rsidRPr="0090639D">
              <w:rPr>
                <w:b/>
                <w:bCs/>
                <w:sz w:val="16"/>
                <w:szCs w:val="16"/>
                <w:lang w:val="es-ES_tradnl" w:eastAsia="zh-CN"/>
              </w:rPr>
              <w:t xml:space="preserve">Reforzar los datos de RR.HH. y las capacidades analíticas </w:t>
            </w:r>
            <w:r w:rsidRPr="0090639D">
              <w:rPr>
                <w:sz w:val="16"/>
                <w:szCs w:val="16"/>
                <w:lang w:val="es-ES_tradnl" w:eastAsia="zh-CN"/>
              </w:rPr>
              <w:t>estableciendo fuentes de datos de RR.HH. fiables y consolidadas, ampliando la inteligencia institucional y recurriendo a la analítica predictiva para la planificación, la rendición de informes y la toma de decisiones</w:t>
            </w:r>
            <w:r w:rsidRPr="0090639D">
              <w:rPr>
                <w:rFonts w:eastAsia="DengXian"/>
                <w:sz w:val="16"/>
                <w:szCs w:val="16"/>
                <w:lang w:val="es-ES_tradnl" w:eastAsia="zh-CN"/>
              </w:rPr>
              <w:t>.</w:t>
            </w:r>
          </w:p>
        </w:tc>
        <w:tc>
          <w:tcPr>
            <w:tcW w:w="1842" w:type="pct"/>
            <w:shd w:val="clear" w:color="auto" w:fill="DEEAF6"/>
            <w:vAlign w:val="center"/>
          </w:tcPr>
          <w:p w14:paraId="51CD1430" w14:textId="00EB445F" w:rsidR="00B14F4A" w:rsidRPr="0090639D" w:rsidRDefault="00B14F4A" w:rsidP="00375F6E">
            <w:pPr>
              <w:pStyle w:val="Tabletext"/>
              <w:tabs>
                <w:tab w:val="clear" w:pos="284"/>
                <w:tab w:val="left" w:pos="186"/>
              </w:tabs>
              <w:ind w:left="186" w:hanging="186"/>
              <w:rPr>
                <w:sz w:val="16"/>
                <w:szCs w:val="16"/>
                <w:lang w:val="es-ES_tradnl" w:eastAsia="zh-CN"/>
              </w:rPr>
            </w:pPr>
            <w:r w:rsidRPr="0090639D">
              <w:rPr>
                <w:rFonts w:eastAsia="DengXian"/>
                <w:sz w:val="16"/>
                <w:szCs w:val="16"/>
                <w:lang w:val="es-ES_tradnl" w:eastAsia="zh-CN"/>
              </w:rPr>
              <w:t>•</w:t>
            </w:r>
            <w:r w:rsidR="006B0180" w:rsidRPr="0090639D">
              <w:rPr>
                <w:sz w:val="16"/>
                <w:szCs w:val="16"/>
                <w:lang w:val="es-ES_tradnl"/>
              </w:rPr>
              <w:tab/>
            </w:r>
            <w:r w:rsidR="00B447BE" w:rsidRPr="0090639D">
              <w:rPr>
                <w:sz w:val="16"/>
                <w:szCs w:val="16"/>
                <w:lang w:val="es-ES_tradnl"/>
              </w:rPr>
              <w:t>D</w:t>
            </w:r>
            <w:r w:rsidRPr="0090639D">
              <w:rPr>
                <w:sz w:val="16"/>
                <w:szCs w:val="16"/>
                <w:lang w:val="es-ES_tradnl"/>
              </w:rPr>
              <w:t>isponibilidad</w:t>
            </w:r>
            <w:r w:rsidRPr="0090639D">
              <w:rPr>
                <w:rFonts w:eastAsia="DengXian"/>
                <w:sz w:val="16"/>
                <w:szCs w:val="16"/>
                <w:lang w:val="es-ES_tradnl" w:eastAsia="zh-CN"/>
              </w:rPr>
              <w:t xml:space="preserve"> de un sistema de supervisión de la calidad de los datos (por ejemplo, panel) (sí/no</w:t>
            </w:r>
            <w:r w:rsidRPr="0090639D">
              <w:rPr>
                <w:sz w:val="16"/>
                <w:szCs w:val="16"/>
                <w:lang w:val="es-ES_tradnl" w:eastAsia="zh-CN"/>
              </w:rPr>
              <w:t>)</w:t>
            </w:r>
          </w:p>
          <w:p w14:paraId="438C6348" w14:textId="011CB4E8" w:rsidR="00B14F4A" w:rsidRPr="0090639D" w:rsidRDefault="00B14F4A" w:rsidP="00375F6E">
            <w:pPr>
              <w:pStyle w:val="Tabletext"/>
              <w:tabs>
                <w:tab w:val="clear" w:pos="284"/>
                <w:tab w:val="left" w:pos="186"/>
              </w:tabs>
              <w:ind w:left="186" w:hanging="186"/>
              <w:rPr>
                <w:rFonts w:eastAsia="Malgun Gothic"/>
                <w:sz w:val="16"/>
                <w:szCs w:val="16"/>
                <w:lang w:val="es-ES_tradnl" w:eastAsia="ko-KR"/>
              </w:rPr>
            </w:pPr>
            <w:r w:rsidRPr="0090639D">
              <w:rPr>
                <w:rFonts w:eastAsia="DengXian"/>
                <w:sz w:val="16"/>
                <w:szCs w:val="16"/>
                <w:lang w:val="es-ES_tradnl" w:eastAsia="zh-CN"/>
              </w:rPr>
              <w:t>•</w:t>
            </w:r>
            <w:r w:rsidR="00375F6E" w:rsidRPr="0090639D">
              <w:rPr>
                <w:sz w:val="16"/>
                <w:szCs w:val="16"/>
                <w:lang w:val="es-ES_tradnl"/>
              </w:rPr>
              <w:tab/>
            </w:r>
            <w:r w:rsidRPr="0090639D">
              <w:rPr>
                <w:rFonts w:eastAsia="DengXian"/>
                <w:sz w:val="16"/>
                <w:szCs w:val="16"/>
                <w:lang w:val="es-ES_tradnl" w:eastAsia="zh-CN"/>
              </w:rPr>
              <w:t xml:space="preserve">Número de herramientas analíticas utilizadas para la inteligencia institucional y la consolidación de datos de </w:t>
            </w:r>
            <w:proofErr w:type="spellStart"/>
            <w:proofErr w:type="gramStart"/>
            <w:r w:rsidRPr="0090639D">
              <w:rPr>
                <w:rFonts w:eastAsia="DengXian"/>
                <w:sz w:val="16"/>
                <w:szCs w:val="16"/>
                <w:lang w:val="es-ES_tradnl" w:eastAsia="zh-CN"/>
              </w:rPr>
              <w:t>RR.HH</w:t>
            </w:r>
            <w:proofErr w:type="spellEnd"/>
            <w:proofErr w:type="gramEnd"/>
          </w:p>
          <w:p w14:paraId="7BC9A5EE" w14:textId="64DE235F" w:rsidR="00B14F4A" w:rsidRPr="0090639D" w:rsidDel="00037073"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375F6E" w:rsidRPr="0090639D">
              <w:rPr>
                <w:sz w:val="16"/>
                <w:szCs w:val="16"/>
                <w:lang w:val="es-ES_tradnl"/>
              </w:rPr>
              <w:tab/>
            </w:r>
            <w:r w:rsidRPr="0090639D">
              <w:rPr>
                <w:sz w:val="16"/>
                <w:szCs w:val="16"/>
                <w:lang w:val="es-ES_tradnl" w:eastAsia="zh-CN"/>
              </w:rPr>
              <w:t>Número de herramientas de IA adoptadas</w:t>
            </w:r>
          </w:p>
        </w:tc>
        <w:tc>
          <w:tcPr>
            <w:tcW w:w="592" w:type="pct"/>
            <w:shd w:val="clear" w:color="auto" w:fill="DEEAF6"/>
            <w:vAlign w:val="center"/>
          </w:tcPr>
          <w:p w14:paraId="57E73830" w14:textId="77777777" w:rsidR="00B14F4A" w:rsidRPr="0090639D" w:rsidRDefault="00B14F4A" w:rsidP="00615A73">
            <w:pPr>
              <w:pStyle w:val="Tabletext"/>
              <w:spacing w:before="120" w:after="240"/>
              <w:jc w:val="center"/>
              <w:rPr>
                <w:rFonts w:eastAsia="Malgun Gothic"/>
                <w:sz w:val="16"/>
                <w:szCs w:val="16"/>
                <w:lang w:val="es-ES_tradnl" w:eastAsia="ko-KR"/>
              </w:rPr>
            </w:pPr>
            <w:proofErr w:type="spellStart"/>
            <w:r w:rsidRPr="0090639D">
              <w:rPr>
                <w:sz w:val="16"/>
                <w:szCs w:val="16"/>
                <w:lang w:val="es-ES_tradnl"/>
              </w:rPr>
              <w:t>T</w:t>
            </w:r>
            <w:r w:rsidRPr="0090639D">
              <w:rPr>
                <w:rFonts w:eastAsia="Malgun Gothic"/>
                <w:sz w:val="16"/>
                <w:szCs w:val="16"/>
                <w:lang w:val="es-ES_tradnl" w:eastAsia="ko-KR"/>
              </w:rPr>
              <w:t>4</w:t>
            </w:r>
            <w:proofErr w:type="spellEnd"/>
            <w:r w:rsidRPr="0090639D">
              <w:rPr>
                <w:rFonts w:eastAsia="Malgun Gothic"/>
                <w:sz w:val="16"/>
                <w:szCs w:val="16"/>
                <w:lang w:val="es-ES_tradnl" w:eastAsia="ko-KR"/>
              </w:rPr>
              <w:t xml:space="preserve"> 2026</w:t>
            </w:r>
          </w:p>
          <w:p w14:paraId="5C635CC2" w14:textId="77777777" w:rsidR="00B14F4A" w:rsidRPr="0090639D" w:rsidRDefault="00B14F4A" w:rsidP="00615A73">
            <w:pPr>
              <w:pStyle w:val="Tabletext"/>
              <w:spacing w:before="0" w:after="120"/>
              <w:jc w:val="center"/>
              <w:rPr>
                <w:rFonts w:eastAsia="Malgun Gothic"/>
                <w:sz w:val="16"/>
                <w:szCs w:val="16"/>
                <w:lang w:val="es-ES_tradnl" w:eastAsia="ko-KR"/>
              </w:rPr>
            </w:pPr>
            <w:proofErr w:type="spellStart"/>
            <w:r w:rsidRPr="0090639D">
              <w:rPr>
                <w:rFonts w:eastAsia="Malgun Gothic"/>
                <w:sz w:val="16"/>
                <w:szCs w:val="16"/>
                <w:lang w:val="es-ES_tradnl" w:eastAsia="ko-KR"/>
              </w:rPr>
              <w:t>T4</w:t>
            </w:r>
            <w:proofErr w:type="spellEnd"/>
            <w:r w:rsidRPr="0090639D">
              <w:rPr>
                <w:rFonts w:eastAsia="Malgun Gothic"/>
                <w:sz w:val="16"/>
                <w:szCs w:val="16"/>
                <w:lang w:val="es-ES_tradnl" w:eastAsia="ko-KR"/>
              </w:rPr>
              <w:t xml:space="preserve"> 2026</w:t>
            </w:r>
          </w:p>
          <w:p w14:paraId="3B33EE22" w14:textId="77777777" w:rsidR="00B14F4A" w:rsidRPr="0090639D" w:rsidRDefault="00B14F4A" w:rsidP="00615A73">
            <w:pPr>
              <w:pStyle w:val="Tabletext"/>
              <w:jc w:val="center"/>
              <w:rPr>
                <w:rFonts w:eastAsia="Malgun Gothic"/>
                <w:sz w:val="16"/>
                <w:szCs w:val="16"/>
                <w:lang w:val="es-ES_tradnl" w:eastAsia="ko-KR"/>
              </w:rPr>
            </w:pPr>
            <w:proofErr w:type="spellStart"/>
            <w:r w:rsidRPr="0090639D">
              <w:rPr>
                <w:rFonts w:eastAsia="Malgun Gothic"/>
                <w:sz w:val="16"/>
                <w:szCs w:val="16"/>
                <w:lang w:val="es-ES_tradnl" w:eastAsia="ko-KR"/>
              </w:rPr>
              <w:t>T4</w:t>
            </w:r>
            <w:proofErr w:type="spellEnd"/>
            <w:r w:rsidRPr="0090639D">
              <w:rPr>
                <w:rFonts w:eastAsia="Malgun Gothic"/>
                <w:sz w:val="16"/>
                <w:szCs w:val="16"/>
                <w:lang w:val="es-ES_tradnl" w:eastAsia="ko-KR"/>
              </w:rPr>
              <w:t xml:space="preserve"> 2027</w:t>
            </w:r>
          </w:p>
        </w:tc>
        <w:tc>
          <w:tcPr>
            <w:tcW w:w="494" w:type="pct"/>
            <w:shd w:val="clear" w:color="auto" w:fill="DEEAF6"/>
            <w:vAlign w:val="center"/>
          </w:tcPr>
          <w:p w14:paraId="5243627F" w14:textId="77777777" w:rsidR="00B14F4A" w:rsidRPr="0090639D" w:rsidDel="004B5D0E" w:rsidRDefault="00B14F4A" w:rsidP="004E162C">
            <w:pPr>
              <w:pStyle w:val="Tabletext"/>
              <w:rPr>
                <w:rFonts w:eastAsia="DengXian"/>
                <w:sz w:val="16"/>
                <w:szCs w:val="16"/>
                <w:lang w:val="es-ES_tradnl" w:eastAsia="zh-CN"/>
              </w:rPr>
            </w:pPr>
          </w:p>
        </w:tc>
      </w:tr>
      <w:tr w:rsidR="00B14F4A" w:rsidRPr="0090639D" w14:paraId="2218CA65" w14:textId="77777777" w:rsidTr="004E162C">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255518A8" w14:textId="77777777" w:rsidR="00B14F4A" w:rsidRPr="0090639D" w:rsidRDefault="00B14F4A" w:rsidP="004E162C">
            <w:pPr>
              <w:pStyle w:val="Tabletext"/>
              <w:rPr>
                <w:rFonts w:eastAsia="DengXian"/>
                <w:sz w:val="16"/>
                <w:szCs w:val="16"/>
                <w:lang w:val="es-ES_tradnl" w:eastAsia="zh-CN"/>
              </w:rPr>
            </w:pPr>
            <w:r w:rsidRPr="0090639D">
              <w:rPr>
                <w:rFonts w:eastAsia="DengXian"/>
                <w:sz w:val="16"/>
                <w:szCs w:val="16"/>
                <w:lang w:val="es-ES_tradnl" w:eastAsia="zh-CN"/>
              </w:rPr>
              <w:t>5.9</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4C9FBD39" w14:textId="77777777" w:rsidR="00B14F4A" w:rsidRPr="0090639D" w:rsidRDefault="00B14F4A" w:rsidP="004E162C">
            <w:pPr>
              <w:pStyle w:val="Tabletext"/>
              <w:rPr>
                <w:sz w:val="16"/>
                <w:szCs w:val="16"/>
                <w:lang w:val="es-ES_tradnl" w:eastAsia="zh-CN"/>
              </w:rPr>
            </w:pPr>
            <w:r w:rsidRPr="0090639D">
              <w:rPr>
                <w:sz w:val="16"/>
                <w:szCs w:val="16"/>
                <w:lang w:val="es-ES_tradnl" w:eastAsia="zh-CN"/>
              </w:rPr>
              <w:t>Soluciones de RR.HH. de IA</w:t>
            </w:r>
          </w:p>
        </w:tc>
        <w:tc>
          <w:tcPr>
            <w:tcW w:w="1228" w:type="pct"/>
            <w:tcBorders>
              <w:left w:val="single" w:sz="4" w:space="0" w:color="auto"/>
            </w:tcBorders>
            <w:shd w:val="clear" w:color="auto" w:fill="DEEAF6"/>
            <w:vAlign w:val="center"/>
          </w:tcPr>
          <w:p w14:paraId="272B0588" w14:textId="77777777" w:rsidR="00B14F4A" w:rsidRPr="0090639D" w:rsidRDefault="00B14F4A" w:rsidP="004E162C">
            <w:pPr>
              <w:pStyle w:val="Tabletext"/>
              <w:rPr>
                <w:rFonts w:eastAsia="DengXian"/>
                <w:sz w:val="16"/>
                <w:szCs w:val="16"/>
                <w:lang w:val="es-ES_tradnl" w:eastAsia="zh-CN"/>
              </w:rPr>
            </w:pPr>
            <w:r w:rsidRPr="0090639D">
              <w:rPr>
                <w:b/>
                <w:bCs/>
                <w:sz w:val="16"/>
                <w:szCs w:val="16"/>
                <w:lang w:val="es-ES_tradnl" w:eastAsia="zh-CN"/>
              </w:rPr>
              <w:t>Evaluar y probar soluciones de RR.HH. de IA</w:t>
            </w:r>
            <w:r w:rsidRPr="0090639D">
              <w:rPr>
                <w:sz w:val="16"/>
                <w:szCs w:val="16"/>
                <w:lang w:val="es-ES_tradnl" w:eastAsia="zh-CN"/>
              </w:rPr>
              <w:t xml:space="preserve"> a nivel interno y con otras organizaciones para validar su eficacia, compartir prácticas idóneas y paliar eventuales riesgos</w:t>
            </w:r>
            <w:r w:rsidRPr="0090639D">
              <w:rPr>
                <w:rFonts w:eastAsia="DengXian"/>
                <w:sz w:val="16"/>
                <w:szCs w:val="16"/>
                <w:lang w:val="es-ES_tradnl" w:eastAsia="zh-CN"/>
              </w:rPr>
              <w:t>.</w:t>
            </w:r>
          </w:p>
        </w:tc>
        <w:tc>
          <w:tcPr>
            <w:tcW w:w="1842" w:type="pct"/>
            <w:shd w:val="clear" w:color="auto" w:fill="DEEAF6"/>
            <w:vAlign w:val="center"/>
          </w:tcPr>
          <w:p w14:paraId="387FF35F" w14:textId="49811B57" w:rsidR="00B14F4A" w:rsidRPr="0090639D"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375F6E" w:rsidRPr="0090639D">
              <w:rPr>
                <w:sz w:val="16"/>
                <w:szCs w:val="16"/>
                <w:lang w:val="es-ES_tradnl"/>
              </w:rPr>
              <w:tab/>
            </w:r>
            <w:r w:rsidRPr="0090639D">
              <w:rPr>
                <w:rFonts w:eastAsia="DengXian"/>
                <w:sz w:val="16"/>
                <w:szCs w:val="16"/>
                <w:lang w:val="es-ES_tradnl" w:eastAsia="zh-CN"/>
              </w:rPr>
              <w:t>Número de casos de uso de IA activos</w:t>
            </w:r>
          </w:p>
          <w:p w14:paraId="1FA8497F" w14:textId="7781B136" w:rsidR="00B14F4A" w:rsidRPr="0090639D" w:rsidDel="00037073" w:rsidRDefault="00B14F4A" w:rsidP="00375F6E">
            <w:pPr>
              <w:pStyle w:val="Tabletext"/>
              <w:tabs>
                <w:tab w:val="clear" w:pos="284"/>
                <w:tab w:val="left" w:pos="186"/>
              </w:tabs>
              <w:ind w:left="186" w:hanging="186"/>
              <w:rPr>
                <w:rFonts w:eastAsia="DengXian"/>
                <w:sz w:val="16"/>
                <w:szCs w:val="16"/>
                <w:lang w:val="es-ES_tradnl" w:eastAsia="zh-CN"/>
              </w:rPr>
            </w:pPr>
            <w:r w:rsidRPr="0090639D">
              <w:rPr>
                <w:rFonts w:eastAsia="DengXian"/>
                <w:sz w:val="16"/>
                <w:szCs w:val="16"/>
                <w:lang w:val="es-ES_tradnl" w:eastAsia="zh-CN"/>
              </w:rPr>
              <w:t>•</w:t>
            </w:r>
            <w:r w:rsidR="00375F6E" w:rsidRPr="0090639D">
              <w:rPr>
                <w:sz w:val="16"/>
                <w:szCs w:val="16"/>
                <w:lang w:val="es-ES_tradnl"/>
              </w:rPr>
              <w:tab/>
            </w:r>
            <w:r w:rsidRPr="0090639D">
              <w:rPr>
                <w:rFonts w:eastAsia="DengXian"/>
                <w:sz w:val="16"/>
                <w:szCs w:val="16"/>
                <w:lang w:val="es-ES_tradnl" w:eastAsia="zh-CN"/>
              </w:rPr>
              <w:t>Lecciones extraídas y prácticas idóneas compartidas a nivel interno y con otras organizaciones (cualitativo)</w:t>
            </w:r>
          </w:p>
        </w:tc>
        <w:tc>
          <w:tcPr>
            <w:tcW w:w="592" w:type="pct"/>
            <w:shd w:val="clear" w:color="auto" w:fill="DEEAF6"/>
            <w:vAlign w:val="center"/>
          </w:tcPr>
          <w:p w14:paraId="161859A4" w14:textId="77777777" w:rsidR="00B14F4A" w:rsidRPr="0090639D" w:rsidRDefault="00B14F4A" w:rsidP="00615A73">
            <w:pPr>
              <w:pStyle w:val="Tabletext"/>
              <w:spacing w:after="240"/>
              <w:jc w:val="center"/>
              <w:rPr>
                <w:sz w:val="16"/>
                <w:szCs w:val="16"/>
                <w:lang w:val="es-ES_tradnl" w:eastAsia="zh-CN"/>
              </w:rPr>
            </w:pPr>
            <w:proofErr w:type="spellStart"/>
            <w:r w:rsidRPr="0090639D">
              <w:rPr>
                <w:sz w:val="16"/>
                <w:szCs w:val="16"/>
                <w:lang w:val="es-ES_tradnl" w:eastAsia="zh-CN"/>
              </w:rPr>
              <w:t>T4</w:t>
            </w:r>
            <w:proofErr w:type="spellEnd"/>
            <w:r w:rsidRPr="0090639D">
              <w:rPr>
                <w:sz w:val="16"/>
                <w:szCs w:val="16"/>
                <w:lang w:val="es-ES_tradnl" w:eastAsia="zh-CN"/>
              </w:rPr>
              <w:t xml:space="preserve"> 2027</w:t>
            </w:r>
          </w:p>
          <w:p w14:paraId="3F33AD83" w14:textId="77777777" w:rsidR="00B14F4A" w:rsidRPr="0090639D" w:rsidRDefault="00B14F4A" w:rsidP="00615A73">
            <w:pPr>
              <w:pStyle w:val="Tabletext"/>
              <w:jc w:val="center"/>
              <w:rPr>
                <w:sz w:val="16"/>
                <w:szCs w:val="16"/>
                <w:lang w:val="es-ES_tradnl" w:eastAsia="zh-CN"/>
              </w:rPr>
            </w:pPr>
            <w:proofErr w:type="spellStart"/>
            <w:r w:rsidRPr="0090639D">
              <w:rPr>
                <w:rFonts w:eastAsia="Malgun Gothic"/>
                <w:sz w:val="16"/>
                <w:szCs w:val="16"/>
                <w:lang w:val="es-ES_tradnl" w:eastAsia="ko-KR"/>
              </w:rPr>
              <w:t>T4</w:t>
            </w:r>
            <w:proofErr w:type="spellEnd"/>
            <w:r w:rsidRPr="0090639D">
              <w:rPr>
                <w:rFonts w:eastAsia="Malgun Gothic"/>
                <w:sz w:val="16"/>
                <w:szCs w:val="16"/>
                <w:lang w:val="es-ES_tradnl" w:eastAsia="ko-KR"/>
              </w:rPr>
              <w:t xml:space="preserve"> 2027</w:t>
            </w:r>
          </w:p>
        </w:tc>
        <w:tc>
          <w:tcPr>
            <w:tcW w:w="494" w:type="pct"/>
            <w:shd w:val="clear" w:color="auto" w:fill="DEEAF6"/>
            <w:vAlign w:val="center"/>
          </w:tcPr>
          <w:p w14:paraId="3C9458A0" w14:textId="77777777" w:rsidR="00B14F4A" w:rsidRPr="0090639D" w:rsidDel="004B5D0E" w:rsidRDefault="00B14F4A" w:rsidP="004E162C">
            <w:pPr>
              <w:pStyle w:val="Tabletext"/>
              <w:rPr>
                <w:rFonts w:eastAsia="DengXian"/>
                <w:sz w:val="16"/>
                <w:szCs w:val="16"/>
                <w:lang w:val="es-ES_tradnl" w:eastAsia="zh-CN"/>
              </w:rPr>
            </w:pPr>
          </w:p>
        </w:tc>
      </w:tr>
    </w:tbl>
    <w:p w14:paraId="2C19371F" w14:textId="77777777" w:rsidR="00B14F4A" w:rsidRPr="0090639D" w:rsidRDefault="00B14F4A" w:rsidP="00B14F4A">
      <w:pPr>
        <w:pStyle w:val="Reasons"/>
        <w:rPr>
          <w:lang w:val="es-ES_tradnl"/>
        </w:rPr>
      </w:pPr>
    </w:p>
    <w:p w14:paraId="4E24C069" w14:textId="65596BF5" w:rsidR="00F92BED" w:rsidRPr="0090639D" w:rsidRDefault="00B14F4A" w:rsidP="00F92BED">
      <w:pPr>
        <w:jc w:val="center"/>
        <w:rPr>
          <w:lang w:val="es-ES_tradnl"/>
        </w:rPr>
      </w:pPr>
      <w:r w:rsidRPr="0090639D">
        <w:rPr>
          <w:lang w:val="es-ES_tradnl"/>
        </w:rPr>
        <w:t>______________</w:t>
      </w:r>
    </w:p>
    <w:sectPr w:rsidR="00F92BED" w:rsidRPr="0090639D" w:rsidSect="0090639D">
      <w:headerReference w:type="first" r:id="rId13"/>
      <w:pgSz w:w="16834" w:h="11907" w:orient="landscape"/>
      <w:pgMar w:top="1418" w:right="1418" w:bottom="1418" w:left="1418" w:header="720" w:footer="720" w:gutter="0"/>
      <w:paperSrc w:first="286" w:other="286"/>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AEC3F" w14:textId="77777777" w:rsidR="00B14F4A" w:rsidRDefault="00B14F4A">
      <w:r>
        <w:separator/>
      </w:r>
    </w:p>
  </w:endnote>
  <w:endnote w:type="continuationSeparator" w:id="0">
    <w:p w14:paraId="58005C99" w14:textId="77777777" w:rsidR="00B14F4A" w:rsidRDefault="00B14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90639D" w:rsidRPr="0090639D" w14:paraId="32EF7370" w14:textId="77777777" w:rsidTr="00E31DCE">
      <w:trPr>
        <w:jc w:val="center"/>
      </w:trPr>
      <w:tc>
        <w:tcPr>
          <w:tcW w:w="1803" w:type="dxa"/>
          <w:vAlign w:val="center"/>
        </w:tcPr>
        <w:p w14:paraId="48FF8F34" w14:textId="2E3756AE" w:rsidR="003273A4" w:rsidRPr="0090639D" w:rsidRDefault="0090639D" w:rsidP="003273A4">
          <w:pPr>
            <w:pStyle w:val="Header"/>
            <w:jc w:val="left"/>
            <w:rPr>
              <w:noProof/>
              <w:color w:val="7F7F7F" w:themeColor="text1" w:themeTint="80"/>
            </w:rPr>
          </w:pPr>
          <w:r w:rsidRPr="0090639D">
            <w:rPr>
              <w:noProof/>
              <w:color w:val="7F7F7F" w:themeColor="text1" w:themeTint="80"/>
            </w:rPr>
            <w:t>2600754</w:t>
          </w:r>
        </w:p>
      </w:tc>
      <w:tc>
        <w:tcPr>
          <w:tcW w:w="8261" w:type="dxa"/>
        </w:tcPr>
        <w:p w14:paraId="0F25A9CA" w14:textId="46EADCD0" w:rsidR="003273A4" w:rsidRPr="0090639D" w:rsidRDefault="003273A4" w:rsidP="00B060DF">
          <w:pPr>
            <w:pStyle w:val="Header"/>
            <w:tabs>
              <w:tab w:val="left" w:pos="6731"/>
              <w:tab w:val="right" w:pos="8505"/>
              <w:tab w:val="right" w:pos="9639"/>
            </w:tabs>
            <w:jc w:val="left"/>
            <w:rPr>
              <w:rFonts w:ascii="Arial" w:hAnsi="Arial" w:cs="Arial"/>
              <w:b/>
              <w:bCs/>
              <w:color w:val="7F7F7F" w:themeColor="text1" w:themeTint="80"/>
              <w:szCs w:val="18"/>
            </w:rPr>
          </w:pPr>
          <w:r w:rsidRPr="0090639D">
            <w:rPr>
              <w:bCs/>
              <w:color w:val="7F7F7F" w:themeColor="text1" w:themeTint="80"/>
            </w:rPr>
            <w:tab/>
          </w:r>
          <w:proofErr w:type="spellStart"/>
          <w:r w:rsidRPr="0090639D">
            <w:rPr>
              <w:bCs/>
              <w:color w:val="7F7F7F" w:themeColor="text1" w:themeTint="80"/>
            </w:rPr>
            <w:t>C2</w:t>
          </w:r>
          <w:r w:rsidR="00F85E5C" w:rsidRPr="0090639D">
            <w:rPr>
              <w:bCs/>
              <w:color w:val="7F7F7F" w:themeColor="text1" w:themeTint="80"/>
            </w:rPr>
            <w:t>6</w:t>
          </w:r>
          <w:proofErr w:type="spellEnd"/>
          <w:r w:rsidRPr="0090639D">
            <w:rPr>
              <w:bCs/>
              <w:color w:val="7F7F7F" w:themeColor="text1" w:themeTint="80"/>
            </w:rPr>
            <w:t>/</w:t>
          </w:r>
          <w:r w:rsidR="00B14F4A" w:rsidRPr="0090639D">
            <w:rPr>
              <w:bCs/>
              <w:color w:val="7F7F7F" w:themeColor="text1" w:themeTint="80"/>
            </w:rPr>
            <w:t>67</w:t>
          </w:r>
          <w:r w:rsidRPr="0090639D">
            <w:rPr>
              <w:bCs/>
              <w:color w:val="7F7F7F" w:themeColor="text1" w:themeTint="80"/>
            </w:rPr>
            <w:t>-S</w:t>
          </w:r>
          <w:r w:rsidRPr="0090639D">
            <w:rPr>
              <w:bCs/>
              <w:color w:val="7F7F7F" w:themeColor="text1" w:themeTint="80"/>
            </w:rPr>
            <w:tab/>
          </w:r>
          <w:r w:rsidRPr="0090639D">
            <w:rPr>
              <w:color w:val="7F7F7F" w:themeColor="text1" w:themeTint="80"/>
            </w:rPr>
            <w:fldChar w:fldCharType="begin"/>
          </w:r>
          <w:r w:rsidRPr="0090639D">
            <w:rPr>
              <w:color w:val="7F7F7F" w:themeColor="text1" w:themeTint="80"/>
            </w:rPr>
            <w:instrText>PAGE</w:instrText>
          </w:r>
          <w:r w:rsidRPr="0090639D">
            <w:rPr>
              <w:color w:val="7F7F7F" w:themeColor="text1" w:themeTint="80"/>
            </w:rPr>
            <w:fldChar w:fldCharType="separate"/>
          </w:r>
          <w:r w:rsidRPr="0090639D">
            <w:rPr>
              <w:color w:val="7F7F7F" w:themeColor="text1" w:themeTint="80"/>
            </w:rPr>
            <w:t>1</w:t>
          </w:r>
          <w:r w:rsidRPr="0090639D">
            <w:rPr>
              <w:noProof/>
              <w:color w:val="7F7F7F" w:themeColor="text1" w:themeTint="80"/>
            </w:rPr>
            <w:fldChar w:fldCharType="end"/>
          </w:r>
        </w:p>
      </w:tc>
    </w:tr>
  </w:tbl>
  <w:p w14:paraId="272C6D5A"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012C4E50" w14:textId="77777777" w:rsidTr="00E31DCE">
      <w:trPr>
        <w:jc w:val="center"/>
      </w:trPr>
      <w:tc>
        <w:tcPr>
          <w:tcW w:w="1803" w:type="dxa"/>
          <w:vAlign w:val="center"/>
        </w:tcPr>
        <w:p w14:paraId="6876AEBB"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2C1A1F37" w14:textId="449D17CB" w:rsidR="00F24B71" w:rsidRPr="00E06FD5" w:rsidRDefault="00F24B71" w:rsidP="00B060DF">
          <w:pPr>
            <w:pStyle w:val="Header"/>
            <w:tabs>
              <w:tab w:val="left" w:pos="6731"/>
              <w:tab w:val="right" w:pos="8505"/>
              <w:tab w:val="right" w:pos="9639"/>
            </w:tabs>
            <w:jc w:val="left"/>
            <w:rPr>
              <w:rFonts w:ascii="Arial" w:hAnsi="Arial" w:cs="Arial"/>
              <w:b/>
              <w:bCs/>
              <w:szCs w:val="18"/>
            </w:rPr>
          </w:pPr>
          <w:r w:rsidRPr="0090639D">
            <w:rPr>
              <w:bCs/>
              <w:color w:val="7F7F7F" w:themeColor="text1" w:themeTint="80"/>
            </w:rPr>
            <w:tab/>
          </w:r>
          <w:proofErr w:type="spellStart"/>
          <w:r w:rsidRPr="0090639D">
            <w:rPr>
              <w:bCs/>
              <w:color w:val="7F7F7F" w:themeColor="text1" w:themeTint="80"/>
            </w:rPr>
            <w:t>C2</w:t>
          </w:r>
          <w:r w:rsidR="00F85E5C" w:rsidRPr="0090639D">
            <w:rPr>
              <w:bCs/>
              <w:color w:val="7F7F7F" w:themeColor="text1" w:themeTint="80"/>
            </w:rPr>
            <w:t>6</w:t>
          </w:r>
          <w:proofErr w:type="spellEnd"/>
          <w:r w:rsidRPr="0090639D">
            <w:rPr>
              <w:bCs/>
              <w:color w:val="7F7F7F" w:themeColor="text1" w:themeTint="80"/>
            </w:rPr>
            <w:t>/</w:t>
          </w:r>
          <w:r w:rsidR="00B14F4A" w:rsidRPr="0090639D">
            <w:rPr>
              <w:bCs/>
              <w:color w:val="7F7F7F" w:themeColor="text1" w:themeTint="80"/>
            </w:rPr>
            <w:t>67</w:t>
          </w:r>
          <w:r w:rsidRPr="0090639D">
            <w:rPr>
              <w:bCs/>
              <w:color w:val="7F7F7F" w:themeColor="text1" w:themeTint="80"/>
            </w:rPr>
            <w:t>-</w:t>
          </w:r>
          <w:r w:rsidR="003273A4" w:rsidRPr="0090639D">
            <w:rPr>
              <w:bCs/>
              <w:color w:val="7F7F7F" w:themeColor="text1" w:themeTint="80"/>
            </w:rPr>
            <w:t>S</w:t>
          </w:r>
          <w:r w:rsidRPr="0090639D">
            <w:rPr>
              <w:bCs/>
              <w:color w:val="7F7F7F" w:themeColor="text1" w:themeTint="80"/>
            </w:rPr>
            <w:tab/>
          </w:r>
          <w:r w:rsidRPr="0090639D">
            <w:rPr>
              <w:color w:val="7F7F7F" w:themeColor="text1" w:themeTint="80"/>
            </w:rPr>
            <w:fldChar w:fldCharType="begin"/>
          </w:r>
          <w:r w:rsidRPr="0090639D">
            <w:rPr>
              <w:color w:val="7F7F7F" w:themeColor="text1" w:themeTint="80"/>
            </w:rPr>
            <w:instrText>PAGE</w:instrText>
          </w:r>
          <w:r w:rsidRPr="0090639D">
            <w:rPr>
              <w:color w:val="7F7F7F" w:themeColor="text1" w:themeTint="80"/>
            </w:rPr>
            <w:fldChar w:fldCharType="separate"/>
          </w:r>
          <w:r w:rsidRPr="0090639D">
            <w:rPr>
              <w:color w:val="7F7F7F" w:themeColor="text1" w:themeTint="80"/>
            </w:rPr>
            <w:t>1</w:t>
          </w:r>
          <w:r w:rsidRPr="0090639D">
            <w:rPr>
              <w:noProof/>
              <w:color w:val="7F7F7F" w:themeColor="text1" w:themeTint="80"/>
            </w:rPr>
            <w:fldChar w:fldCharType="end"/>
          </w:r>
        </w:p>
      </w:tc>
    </w:tr>
  </w:tbl>
  <w:p w14:paraId="1BC4F190"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23D33" w14:textId="77777777" w:rsidR="00B14F4A" w:rsidRDefault="00B14F4A">
      <w:r>
        <w:t>____________________</w:t>
      </w:r>
    </w:p>
  </w:footnote>
  <w:footnote w:type="continuationSeparator" w:id="0">
    <w:p w14:paraId="04C4DEA7" w14:textId="77777777" w:rsidR="00B14F4A" w:rsidRDefault="00B14F4A">
      <w:r>
        <w:continuationSeparator/>
      </w:r>
    </w:p>
  </w:footnote>
  <w:footnote w:id="1">
    <w:p w14:paraId="4B549B2A" w14:textId="77777777" w:rsidR="00B14F4A" w:rsidRPr="00A80826" w:rsidRDefault="00B14F4A" w:rsidP="00B14F4A">
      <w:pPr>
        <w:pStyle w:val="FootnoteText"/>
        <w:rPr>
          <w:rFonts w:eastAsia="DengXian"/>
          <w:lang w:val="es-ES"/>
        </w:rPr>
      </w:pPr>
      <w:r w:rsidRPr="00FF6536">
        <w:rPr>
          <w:rStyle w:val="FootnoteReference"/>
          <w:szCs w:val="16"/>
        </w:rPr>
        <w:footnoteRef/>
      </w:r>
      <w:r w:rsidRPr="00A80826">
        <w:rPr>
          <w:lang w:val="es-ES"/>
        </w:rPr>
        <w:tab/>
        <w:t>Países menos adelantados/países en desarrollo sin litoral/pequeños Estados insulares en desarrollo</w:t>
      </w:r>
      <w:r w:rsidRPr="00A80826">
        <w:rPr>
          <w:sz w:val="20"/>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C2B4B" w14:textId="77777777" w:rsidR="001559F5" w:rsidRPr="00B1560D" w:rsidRDefault="00B1560D" w:rsidP="00B1560D">
    <w:pPr>
      <w:pStyle w:val="Header"/>
    </w:pPr>
    <w:r>
      <w:rPr>
        <w:noProof/>
      </w:rPr>
      <w:drawing>
        <wp:inline distT="0" distB="0" distL="0" distR="0" wp14:anchorId="51ECF0F0" wp14:editId="7373E94A">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E22D5" w14:textId="656C5C59" w:rsidR="00A9672C" w:rsidRPr="00B1560D" w:rsidRDefault="00A9672C" w:rsidP="00B156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87349"/>
    <w:multiLevelType w:val="hybridMultilevel"/>
    <w:tmpl w:val="A73AE5D6"/>
    <w:lvl w:ilvl="0" w:tplc="D1845880">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6103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F4A"/>
    <w:rsid w:val="000007D1"/>
    <w:rsid w:val="00026636"/>
    <w:rsid w:val="0002677A"/>
    <w:rsid w:val="0006007D"/>
    <w:rsid w:val="00070A1C"/>
    <w:rsid w:val="00093EEB"/>
    <w:rsid w:val="000B0D00"/>
    <w:rsid w:val="000B7C15"/>
    <w:rsid w:val="000D1D0F"/>
    <w:rsid w:val="000E3F07"/>
    <w:rsid w:val="000F5290"/>
    <w:rsid w:val="000F5A95"/>
    <w:rsid w:val="0010165C"/>
    <w:rsid w:val="00146BFB"/>
    <w:rsid w:val="00147E6E"/>
    <w:rsid w:val="00154A9B"/>
    <w:rsid w:val="001559F5"/>
    <w:rsid w:val="00157AC4"/>
    <w:rsid w:val="0016169C"/>
    <w:rsid w:val="001958F5"/>
    <w:rsid w:val="001B6E2B"/>
    <w:rsid w:val="001F14A2"/>
    <w:rsid w:val="00277DEA"/>
    <w:rsid w:val="002801AA"/>
    <w:rsid w:val="002946E2"/>
    <w:rsid w:val="002C3F32"/>
    <w:rsid w:val="002C4676"/>
    <w:rsid w:val="002C70B0"/>
    <w:rsid w:val="002F3CC4"/>
    <w:rsid w:val="003032E2"/>
    <w:rsid w:val="0031104E"/>
    <w:rsid w:val="0031300A"/>
    <w:rsid w:val="00314A00"/>
    <w:rsid w:val="003273A4"/>
    <w:rsid w:val="0034796E"/>
    <w:rsid w:val="00375F6E"/>
    <w:rsid w:val="004571B0"/>
    <w:rsid w:val="00465C35"/>
    <w:rsid w:val="00473962"/>
    <w:rsid w:val="00490BD8"/>
    <w:rsid w:val="004B5D49"/>
    <w:rsid w:val="004D3A3C"/>
    <w:rsid w:val="00506D41"/>
    <w:rsid w:val="00513630"/>
    <w:rsid w:val="00560125"/>
    <w:rsid w:val="00566FDD"/>
    <w:rsid w:val="00585553"/>
    <w:rsid w:val="005B34D9"/>
    <w:rsid w:val="005D0CCF"/>
    <w:rsid w:val="005E4A19"/>
    <w:rsid w:val="005E61CD"/>
    <w:rsid w:val="005F0915"/>
    <w:rsid w:val="005F3BCB"/>
    <w:rsid w:val="005F410F"/>
    <w:rsid w:val="0060149A"/>
    <w:rsid w:val="00601924"/>
    <w:rsid w:val="00615A73"/>
    <w:rsid w:val="006447EA"/>
    <w:rsid w:val="0064481D"/>
    <w:rsid w:val="0064731F"/>
    <w:rsid w:val="00664572"/>
    <w:rsid w:val="00666D09"/>
    <w:rsid w:val="00670579"/>
    <w:rsid w:val="006710F6"/>
    <w:rsid w:val="00677A97"/>
    <w:rsid w:val="006B0180"/>
    <w:rsid w:val="006B477B"/>
    <w:rsid w:val="006C1B56"/>
    <w:rsid w:val="006D4761"/>
    <w:rsid w:val="00726872"/>
    <w:rsid w:val="0075327C"/>
    <w:rsid w:val="00760F1C"/>
    <w:rsid w:val="007657F0"/>
    <w:rsid w:val="0077110E"/>
    <w:rsid w:val="0077252D"/>
    <w:rsid w:val="007955DA"/>
    <w:rsid w:val="007D787B"/>
    <w:rsid w:val="007E5DD3"/>
    <w:rsid w:val="007F350B"/>
    <w:rsid w:val="00820BE4"/>
    <w:rsid w:val="008451E8"/>
    <w:rsid w:val="0084546D"/>
    <w:rsid w:val="008F51B4"/>
    <w:rsid w:val="008F6ABC"/>
    <w:rsid w:val="00903D32"/>
    <w:rsid w:val="0090639D"/>
    <w:rsid w:val="00913B9C"/>
    <w:rsid w:val="00927F93"/>
    <w:rsid w:val="0094438E"/>
    <w:rsid w:val="00956E77"/>
    <w:rsid w:val="009A338E"/>
    <w:rsid w:val="009A76A8"/>
    <w:rsid w:val="009A7779"/>
    <w:rsid w:val="009E2D34"/>
    <w:rsid w:val="009F4811"/>
    <w:rsid w:val="00A01F4F"/>
    <w:rsid w:val="00A109AF"/>
    <w:rsid w:val="00A229C7"/>
    <w:rsid w:val="00A94438"/>
    <w:rsid w:val="00A9672C"/>
    <w:rsid w:val="00AA02A1"/>
    <w:rsid w:val="00AA390C"/>
    <w:rsid w:val="00AD5A4D"/>
    <w:rsid w:val="00AF0EAC"/>
    <w:rsid w:val="00B0200A"/>
    <w:rsid w:val="00B060DF"/>
    <w:rsid w:val="00B14F4A"/>
    <w:rsid w:val="00B1560D"/>
    <w:rsid w:val="00B447BE"/>
    <w:rsid w:val="00B574DB"/>
    <w:rsid w:val="00B826C2"/>
    <w:rsid w:val="00B8298E"/>
    <w:rsid w:val="00BB6FD8"/>
    <w:rsid w:val="00BC4C9A"/>
    <w:rsid w:val="00BD0723"/>
    <w:rsid w:val="00BD2518"/>
    <w:rsid w:val="00BF1D1C"/>
    <w:rsid w:val="00C20C59"/>
    <w:rsid w:val="00C2727F"/>
    <w:rsid w:val="00C4421B"/>
    <w:rsid w:val="00C538FC"/>
    <w:rsid w:val="00C55B1F"/>
    <w:rsid w:val="00CC1FAF"/>
    <w:rsid w:val="00CF1A67"/>
    <w:rsid w:val="00D2750E"/>
    <w:rsid w:val="00D375E0"/>
    <w:rsid w:val="00D50A36"/>
    <w:rsid w:val="00D62446"/>
    <w:rsid w:val="00DA4EA2"/>
    <w:rsid w:val="00DC3D3E"/>
    <w:rsid w:val="00DE2C90"/>
    <w:rsid w:val="00DE3B24"/>
    <w:rsid w:val="00DE7376"/>
    <w:rsid w:val="00E06947"/>
    <w:rsid w:val="00E11319"/>
    <w:rsid w:val="00E21444"/>
    <w:rsid w:val="00E34072"/>
    <w:rsid w:val="00E3592D"/>
    <w:rsid w:val="00E50D76"/>
    <w:rsid w:val="00E8018B"/>
    <w:rsid w:val="00E92DE8"/>
    <w:rsid w:val="00EB1212"/>
    <w:rsid w:val="00ED65AB"/>
    <w:rsid w:val="00F12850"/>
    <w:rsid w:val="00F24B71"/>
    <w:rsid w:val="00F33BF4"/>
    <w:rsid w:val="00F7105E"/>
    <w:rsid w:val="00F75F57"/>
    <w:rsid w:val="00F82FEE"/>
    <w:rsid w:val="00F85E5C"/>
    <w:rsid w:val="00F92BED"/>
    <w:rsid w:val="00FC2749"/>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616A10"/>
  <w15:docId w15:val="{85AD8F32-BC75-47D8-963D-10D350B35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link w:val="Heading1Char"/>
    <w:uiPriority w:val="9"/>
    <w:qFormat/>
    <w:rsid w:val="000F5A95"/>
    <w:pPr>
      <w:keepNext/>
      <w:keepLines/>
      <w:spacing w:before="360"/>
      <w:ind w:left="567" w:hanging="567"/>
      <w:outlineLvl w:val="0"/>
    </w:pPr>
    <w:rPr>
      <w:b/>
      <w:sz w:val="28"/>
    </w:rPr>
  </w:style>
  <w:style w:type="paragraph" w:styleId="Heading2">
    <w:name w:val="heading 2"/>
    <w:basedOn w:val="Heading1"/>
    <w:next w:val="Normal"/>
    <w:link w:val="Heading2Char"/>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qFormat/>
    <w:rsid w:val="000F5A95"/>
    <w:rPr>
      <w:rFonts w:ascii="Calibri" w:hAnsi="Calibri"/>
      <w:position w:val="6"/>
      <w:sz w:val="16"/>
    </w:rPr>
  </w:style>
  <w:style w:type="paragraph" w:styleId="FootnoteText">
    <w:name w:val="footnote text"/>
    <w:aliases w:val="ALTS FOOTNOTE,Schriftart: 9 pt,Schriftart: 10 pt,Schriftart: 8 pt,WB-Fuكnotentext,Footnote text,Footnote Text Char Char Char Char,Footnote Text Char Char,Footnote Text Char Char Char Char Char,WB-Fußnotentext,MTFootnote,fn,Fußn"/>
    <w:basedOn w:val="Normal"/>
    <w:link w:val="FootnoteTextChar"/>
    <w:qFormat/>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qFormat/>
    <w:rsid w:val="000F5A95"/>
    <w:pPr>
      <w:keepNext/>
      <w:keepLines/>
      <w:spacing w:before="720"/>
      <w:jc w:val="center"/>
    </w:pPr>
    <w:rPr>
      <w:caps/>
      <w:sz w:val="28"/>
    </w:rPr>
  </w:style>
  <w:style w:type="paragraph" w:customStyle="1" w:styleId="Annextitle">
    <w:name w:val="Annex_title"/>
    <w:basedOn w:val="Normal"/>
    <w:next w:val="Normalaftertitle"/>
    <w:qFormat/>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link w:val="enumlev1Char"/>
    <w:uiPriority w:val="99"/>
    <w:qFormat/>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qFormat/>
    <w:rsid w:val="000F5A95"/>
    <w:pPr>
      <w:spacing w:after="240"/>
      <w:jc w:val="center"/>
    </w:pPr>
  </w:style>
  <w:style w:type="paragraph" w:customStyle="1" w:styleId="Figuretitle">
    <w:name w:val="Figure_title"/>
    <w:basedOn w:val="Tabletitle"/>
    <w:next w:val="Normalaftertitle"/>
    <w:qFormat/>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90639D"/>
    <w:pPr>
      <w:framePr w:hSpace="181" w:wrap="around" w:vAnchor="page" w:hAnchor="page" w:x="1589" w:y="2314"/>
      <w:spacing w:before="840"/>
    </w:pPr>
    <w:rPr>
      <w:rFonts w:cstheme="minorHAnsi"/>
      <w:b/>
      <w:sz w:val="32"/>
      <w:szCs w:val="32"/>
      <w:lang w:val="es-ES"/>
    </w:rPr>
  </w:style>
  <w:style w:type="paragraph" w:customStyle="1" w:styleId="Data">
    <w:name w:val="Data"/>
    <w:basedOn w:val="Subject"/>
    <w:next w:val="Subject"/>
    <w:rsid w:val="000F5A95"/>
  </w:style>
  <w:style w:type="character" w:styleId="Hyperlink">
    <w:name w:val="Hyperlink"/>
    <w:basedOn w:val="DefaultParagraphFont"/>
    <w:uiPriority w:val="99"/>
    <w:qForma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qFormat/>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 w:type="character" w:customStyle="1" w:styleId="Heading1Char">
    <w:name w:val="Heading 1 Char"/>
    <w:basedOn w:val="DefaultParagraphFont"/>
    <w:link w:val="Heading1"/>
    <w:uiPriority w:val="9"/>
    <w:rsid w:val="00B14F4A"/>
    <w:rPr>
      <w:rFonts w:ascii="Calibri" w:hAnsi="Calibri"/>
      <w:b/>
      <w:sz w:val="28"/>
      <w:lang w:val="fr-FR" w:eastAsia="en-US"/>
    </w:rPr>
  </w:style>
  <w:style w:type="character" w:customStyle="1" w:styleId="Heading2Char">
    <w:name w:val="Heading 2 Char"/>
    <w:basedOn w:val="DefaultParagraphFont"/>
    <w:link w:val="Heading2"/>
    <w:rsid w:val="00B14F4A"/>
    <w:rPr>
      <w:rFonts w:ascii="Calibri" w:hAnsi="Calibri"/>
      <w:b/>
      <w:sz w:val="24"/>
      <w:lang w:val="fr-FR" w:eastAsia="en-US"/>
    </w:r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Recommendation,O5"/>
    <w:basedOn w:val="Normal"/>
    <w:link w:val="ListParagraphChar"/>
    <w:uiPriority w:val="34"/>
    <w:qFormat/>
    <w:rsid w:val="00B14F4A"/>
    <w:pPr>
      <w:tabs>
        <w:tab w:val="clear" w:pos="567"/>
        <w:tab w:val="clear" w:pos="1134"/>
        <w:tab w:val="clear" w:pos="1701"/>
        <w:tab w:val="clear" w:pos="2268"/>
        <w:tab w:val="clear" w:pos="2835"/>
      </w:tabs>
      <w:overflowPunct/>
      <w:autoSpaceDE/>
      <w:autoSpaceDN/>
      <w:adjustRightInd/>
      <w:ind w:left="510"/>
      <w:textAlignment w:val="auto"/>
    </w:pPr>
    <w:rPr>
      <w:rFonts w:eastAsia="PMingLiU"/>
      <w:sz w:val="22"/>
      <w:szCs w:val="22"/>
      <w:lang w:val="en-US" w:eastAsia="zh-TW"/>
    </w:r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O5 Char"/>
    <w:basedOn w:val="DefaultParagraphFont"/>
    <w:link w:val="ListParagraph"/>
    <w:uiPriority w:val="34"/>
    <w:qFormat/>
    <w:locked/>
    <w:rsid w:val="00B14F4A"/>
    <w:rPr>
      <w:rFonts w:ascii="Calibri" w:eastAsia="PMingLiU" w:hAnsi="Calibri"/>
      <w:sz w:val="22"/>
      <w:szCs w:val="22"/>
      <w:lang w:eastAsia="zh-TW"/>
    </w:rPr>
  </w:style>
  <w:style w:type="character" w:customStyle="1" w:styleId="enumlev1Char">
    <w:name w:val="enumlev1 Char"/>
    <w:basedOn w:val="DefaultParagraphFont"/>
    <w:link w:val="enumlev1"/>
    <w:uiPriority w:val="99"/>
    <w:rsid w:val="00B14F4A"/>
    <w:rPr>
      <w:rFonts w:ascii="Calibri" w:hAnsi="Calibri"/>
      <w:sz w:val="24"/>
      <w:lang w:val="fr-FR" w:eastAsia="en-US"/>
    </w:rPr>
  </w:style>
  <w:style w:type="character" w:customStyle="1" w:styleId="FootnoteTextChar">
    <w:name w:val="Footnote Text Char"/>
    <w:aliases w:val="ALTS FOOTNOTE Char,Schriftart: 9 pt Char,Schriftart: 10 pt Char,Schriftart: 8 pt Char,WB-Fuكnotentext Char,Footnote text Char,Footnote Text Char Char Char Char Char1,Footnote Text Char Char Char,WB-Fußnotentext Char,MTFootnote Char"/>
    <w:basedOn w:val="DefaultParagraphFont"/>
    <w:link w:val="FootnoteText"/>
    <w:qFormat/>
    <w:rsid w:val="00B14F4A"/>
    <w:rPr>
      <w:rFonts w:ascii="Calibri" w:hAnsi="Calibri"/>
      <w:sz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RES-048-E.pdf"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itu.int/en/council/Documents/basic-texts-2023/RES-071-E.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eda\AppData\Roaming\Microsoft\Templates\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PS_Council26.dotx</Template>
  <TotalTime>6</TotalTime>
  <Pages>16</Pages>
  <Words>18810</Words>
  <Characters>21632</Characters>
  <Application>Microsoft Office Word</Application>
  <DocSecurity>0</DocSecurity>
  <Lines>901</Lines>
  <Paragraphs>685</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39757</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Estratégico de Recursos Humanos de la UIT para 2026-2027</dc:title>
  <dc:subject>Consejo 2026 de la UIT</dc:subject>
  <cp:keywords>C26; C2026; Council 2026; PP26</cp:keywords>
  <dc:description/>
  <cp:lastPrinted>2006-03-24T09:51:00Z</cp:lastPrinted>
  <dcterms:created xsi:type="dcterms:W3CDTF">2026-04-08T15:51:00Z</dcterms:created>
  <dcterms:modified xsi:type="dcterms:W3CDTF">2026-04-08T15:57:00Z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