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6646F" w14:paraId="7BE1A57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E85B29B" w14:textId="244BC5FC" w:rsidR="00796BD3" w:rsidRPr="00D6646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6646F">
              <w:rPr>
                <w:b/>
                <w:lang w:val="ru-RU"/>
              </w:rPr>
              <w:t>Пункт повестки дня:</w:t>
            </w:r>
            <w:r w:rsidR="002F3D47" w:rsidRPr="00D6646F">
              <w:rPr>
                <w:b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7A21C078" w14:textId="698F9651" w:rsidR="00796BD3" w:rsidRPr="00D6646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6646F">
              <w:rPr>
                <w:b/>
                <w:lang w:val="ru-RU"/>
              </w:rPr>
              <w:t xml:space="preserve">Документ </w:t>
            </w:r>
            <w:r w:rsidR="00796BD3" w:rsidRPr="00D6646F">
              <w:rPr>
                <w:b/>
                <w:lang w:val="ru-RU"/>
              </w:rPr>
              <w:t>C2</w:t>
            </w:r>
            <w:r w:rsidR="00BE00DD" w:rsidRPr="00D6646F">
              <w:rPr>
                <w:b/>
                <w:lang w:val="ru-RU"/>
              </w:rPr>
              <w:t>6</w:t>
            </w:r>
            <w:r w:rsidR="00796BD3" w:rsidRPr="00D6646F">
              <w:rPr>
                <w:b/>
                <w:lang w:val="ru-RU"/>
              </w:rPr>
              <w:t>/</w:t>
            </w:r>
            <w:r w:rsidR="002F3D47" w:rsidRPr="00D6646F">
              <w:rPr>
                <w:b/>
                <w:lang w:val="ru-RU"/>
              </w:rPr>
              <w:t>67</w:t>
            </w:r>
            <w:r w:rsidR="00796BD3" w:rsidRPr="00D6646F">
              <w:rPr>
                <w:b/>
                <w:lang w:val="ru-RU"/>
              </w:rPr>
              <w:t>-R</w:t>
            </w:r>
          </w:p>
        </w:tc>
      </w:tr>
      <w:tr w:rsidR="00796BD3" w:rsidRPr="00D6646F" w14:paraId="0CE533ED" w14:textId="77777777" w:rsidTr="00D17718">
        <w:trPr>
          <w:cantSplit/>
        </w:trPr>
        <w:tc>
          <w:tcPr>
            <w:tcW w:w="3969" w:type="dxa"/>
            <w:vMerge/>
          </w:tcPr>
          <w:p w14:paraId="1A95B966" w14:textId="77777777" w:rsidR="00796BD3" w:rsidRPr="00D6646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CF63892" w14:textId="0E7B7CE7" w:rsidR="00796BD3" w:rsidRPr="00D6646F" w:rsidRDefault="002F3D47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6646F">
              <w:rPr>
                <w:b/>
                <w:lang w:val="ru-RU"/>
              </w:rPr>
              <w:t>30 марта 2026 года</w:t>
            </w:r>
          </w:p>
        </w:tc>
      </w:tr>
      <w:tr w:rsidR="00796BD3" w:rsidRPr="00D6646F" w14:paraId="574F8B6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005BA60" w14:textId="77777777" w:rsidR="00796BD3" w:rsidRPr="00D6646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6CBE652" w14:textId="77777777" w:rsidR="00796BD3" w:rsidRPr="00D6646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6646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6646F" w14:paraId="2F2CB456" w14:textId="77777777" w:rsidTr="00D17718">
        <w:trPr>
          <w:cantSplit/>
          <w:trHeight w:val="23"/>
        </w:trPr>
        <w:tc>
          <w:tcPr>
            <w:tcW w:w="3969" w:type="dxa"/>
          </w:tcPr>
          <w:p w14:paraId="21A4411E" w14:textId="77777777" w:rsidR="00796BD3" w:rsidRPr="00D6646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562ED0C" w14:textId="77777777" w:rsidR="00796BD3" w:rsidRPr="00D6646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6646F" w14:paraId="194A58C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10F0BF3" w14:textId="77777777" w:rsidR="00796BD3" w:rsidRPr="00D6646F" w:rsidRDefault="0033025A" w:rsidP="00E41EB1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D6646F">
              <w:t>Отчет Генерального секретаря</w:t>
            </w:r>
          </w:p>
        </w:tc>
      </w:tr>
      <w:tr w:rsidR="00796BD3" w:rsidRPr="00B871EE" w14:paraId="2B8FEFD5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3C6232" w14:textId="4ADEA41C" w:rsidR="00796BD3" w:rsidRPr="00D6646F" w:rsidRDefault="002F3D47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6646F">
              <w:t>СТРАТЕГИЧЕСКИЙ ПЛАН МСЭ В ОБЛАСТИ ЛЮДСКИХ РЕСУРСОВ НА 2026</w:t>
            </w:r>
            <w:r w:rsidR="00266A81" w:rsidRPr="00D6646F">
              <w:t>­</w:t>
            </w:r>
            <w:r w:rsidRPr="00D6646F">
              <w:t>2027 ГОДЫ</w:t>
            </w:r>
          </w:p>
        </w:tc>
      </w:tr>
      <w:tr w:rsidR="00796BD3" w:rsidRPr="00D6646F" w14:paraId="23CBB7C8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BF085C9" w14:textId="77777777" w:rsidR="00796BD3" w:rsidRPr="00D6646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646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65494DD4" w14:textId="50BC8559" w:rsidR="00796BD3" w:rsidRPr="00D6646F" w:rsidRDefault="002F3D47" w:rsidP="00D17718">
            <w:pPr>
              <w:rPr>
                <w:lang w:val="ru-RU"/>
              </w:rPr>
            </w:pPr>
            <w:r w:rsidRPr="00D6646F">
              <w:rPr>
                <w:lang w:val="ru-RU"/>
              </w:rPr>
              <w:t>Представить Стратегический план МСЭ в области людских ресурсов (СП ЛР) на 2026</w:t>
            </w:r>
            <w:r w:rsidR="00266A81" w:rsidRPr="00D6646F">
              <w:rPr>
                <w:lang w:val="ru-RU"/>
              </w:rPr>
              <w:t>­</w:t>
            </w:r>
            <w:r w:rsidRPr="00D6646F">
              <w:rPr>
                <w:lang w:val="ru-RU"/>
              </w:rPr>
              <w:t>2027</w:t>
            </w:r>
            <w:r w:rsidR="00266A81" w:rsidRPr="00D6646F">
              <w:rPr>
                <w:lang w:val="ru-RU"/>
              </w:rPr>
              <w:t>­</w:t>
            </w:r>
            <w:r w:rsidRPr="00D6646F">
              <w:rPr>
                <w:lang w:val="ru-RU"/>
              </w:rPr>
              <w:t>годы, согласованный со Стратегическим планом МСЭ на 2024–2027 годы и Резолюцией 48 (Пересм. Бухарест, 2022</w:t>
            </w:r>
            <w:r w:rsidR="00266A81" w:rsidRPr="00D6646F">
              <w:rPr>
                <w:lang w:val="ru-RU"/>
              </w:rPr>
              <w:t> </w:t>
            </w:r>
            <w:r w:rsidRPr="00D6646F">
              <w:rPr>
                <w:lang w:val="ru-RU"/>
              </w:rPr>
              <w:t>г.) и предназначенный для удовлетворения потребностей Союза, его членов и его персонала.</w:t>
            </w:r>
          </w:p>
          <w:p w14:paraId="483BA7BD" w14:textId="77777777" w:rsidR="00796BD3" w:rsidRPr="00D6646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646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9EE2D0" w14:textId="23009143" w:rsidR="00796BD3" w:rsidRPr="00D6646F" w:rsidRDefault="002F3D47" w:rsidP="00D17718">
            <w:pPr>
              <w:rPr>
                <w:lang w:val="ru-RU"/>
              </w:rPr>
            </w:pPr>
            <w:r w:rsidRPr="00D6646F">
              <w:rPr>
                <w:lang w:val="ru-RU"/>
              </w:rPr>
              <w:t>Совету предлагается изучить и утвердить Стратегический план МСЭ в области людских ресурсов на 2026</w:t>
            </w:r>
            <w:r w:rsidR="00266A81" w:rsidRPr="00D6646F">
              <w:rPr>
                <w:lang w:val="ru-RU"/>
              </w:rPr>
              <w:t>­</w:t>
            </w:r>
            <w:r w:rsidRPr="00D6646F">
              <w:rPr>
                <w:lang w:val="ru-RU"/>
              </w:rPr>
              <w:t>2027 годы.</w:t>
            </w:r>
          </w:p>
          <w:p w14:paraId="717027A4" w14:textId="77777777" w:rsidR="00796BD3" w:rsidRPr="00D6646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646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9017228" w14:textId="77777777" w:rsidR="002F3D47" w:rsidRPr="00D6646F" w:rsidRDefault="002F3D47" w:rsidP="002F3D47">
            <w:pPr>
              <w:jc w:val="both"/>
              <w:rPr>
                <w:lang w:val="ru-RU" w:eastAsia="zh-CN"/>
              </w:rPr>
            </w:pPr>
            <w:r w:rsidRPr="00D6646F">
              <w:rPr>
                <w:lang w:val="ru-RU"/>
              </w:rPr>
              <w:t>Развитие людских ресурсов и организационные инновации.</w:t>
            </w:r>
          </w:p>
          <w:p w14:paraId="0126BFB9" w14:textId="77777777" w:rsidR="00796BD3" w:rsidRPr="00D6646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646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4695C6FE" w14:textId="6C9070D5" w:rsidR="00345D2A" w:rsidRPr="00D6646F" w:rsidRDefault="002F3D47" w:rsidP="00D17718">
            <w:pPr>
              <w:spacing w:before="160"/>
              <w:rPr>
                <w:szCs w:val="22"/>
                <w:lang w:val="ru-RU"/>
              </w:rPr>
            </w:pPr>
            <w:r w:rsidRPr="00D6646F">
              <w:rPr>
                <w:szCs w:val="24"/>
                <w:lang w:val="ru-RU"/>
              </w:rPr>
              <w:t>В рамках выделенного бюджета на 2026</w:t>
            </w:r>
            <w:r w:rsidR="00266A81" w:rsidRPr="00D6646F">
              <w:rPr>
                <w:szCs w:val="24"/>
                <w:lang w:val="ru-RU"/>
              </w:rPr>
              <w:t>­</w:t>
            </w:r>
            <w:r w:rsidRPr="00D6646F">
              <w:rPr>
                <w:szCs w:val="24"/>
                <w:lang w:val="ru-RU"/>
              </w:rPr>
              <w:t>2027 годы.</w:t>
            </w:r>
          </w:p>
          <w:p w14:paraId="7AFFCD3F" w14:textId="77777777" w:rsidR="00796BD3" w:rsidRPr="00D6646F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D6646F">
              <w:rPr>
                <w:sz w:val="20"/>
                <w:szCs w:val="18"/>
                <w:lang w:val="ru-RU"/>
              </w:rPr>
              <w:t>__________________</w:t>
            </w:r>
          </w:p>
          <w:p w14:paraId="4271E06C" w14:textId="77777777" w:rsidR="00796BD3" w:rsidRPr="00D6646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D6646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5BB76DD" w14:textId="109A6C7D" w:rsidR="00796BD3" w:rsidRPr="00E41EB1" w:rsidRDefault="002F3D47" w:rsidP="00D17718">
            <w:pPr>
              <w:spacing w:after="160"/>
              <w:rPr>
                <w:i/>
                <w:iCs/>
                <w:lang w:val="ru-RU"/>
              </w:rPr>
            </w:pPr>
            <w:r w:rsidRPr="00E41EB1">
              <w:rPr>
                <w:i/>
                <w:iCs/>
                <w:szCs w:val="22"/>
                <w:lang w:val="ru-RU"/>
              </w:rPr>
              <w:t xml:space="preserve">Резолюции </w:t>
            </w:r>
            <w:r w:rsidRPr="00E41EB1">
              <w:rPr>
                <w:i/>
                <w:iCs/>
              </w:rPr>
              <w:fldChar w:fldCharType="begin"/>
            </w:r>
            <w:r w:rsidRPr="00E41EB1">
              <w:rPr>
                <w:i/>
                <w:iCs/>
              </w:rPr>
              <w:instrText>HYPERLINK</w:instrText>
            </w:r>
            <w:r w:rsidRPr="00E41EB1">
              <w:rPr>
                <w:i/>
                <w:iCs/>
                <w:lang w:val="ru-RU"/>
              </w:rPr>
              <w:instrText xml:space="preserve"> "</w:instrText>
            </w:r>
            <w:r w:rsidRPr="00E41EB1">
              <w:rPr>
                <w:i/>
                <w:iCs/>
              </w:rPr>
              <w:instrText>https</w:instrText>
            </w:r>
            <w:r w:rsidRPr="00E41EB1">
              <w:rPr>
                <w:i/>
                <w:iCs/>
                <w:lang w:val="ru-RU"/>
              </w:rPr>
              <w:instrText>://</w:instrText>
            </w:r>
            <w:r w:rsidRPr="00E41EB1">
              <w:rPr>
                <w:i/>
                <w:iCs/>
              </w:rPr>
              <w:instrText>www</w:instrText>
            </w:r>
            <w:r w:rsidRPr="00E41EB1">
              <w:rPr>
                <w:i/>
                <w:iCs/>
                <w:lang w:val="ru-RU"/>
              </w:rPr>
              <w:instrText>.</w:instrText>
            </w:r>
            <w:r w:rsidRPr="00E41EB1">
              <w:rPr>
                <w:i/>
                <w:iCs/>
              </w:rPr>
              <w:instrText>itu</w:instrText>
            </w:r>
            <w:r w:rsidRPr="00E41EB1">
              <w:rPr>
                <w:i/>
                <w:iCs/>
                <w:lang w:val="ru-RU"/>
              </w:rPr>
              <w:instrText>.</w:instrText>
            </w:r>
            <w:r w:rsidRPr="00E41EB1">
              <w:rPr>
                <w:i/>
                <w:iCs/>
              </w:rPr>
              <w:instrText>int</w:instrText>
            </w:r>
            <w:r w:rsidRPr="00E41EB1">
              <w:rPr>
                <w:i/>
                <w:iCs/>
                <w:lang w:val="ru-RU"/>
              </w:rPr>
              <w:instrText>/</w:instrText>
            </w:r>
            <w:r w:rsidRPr="00E41EB1">
              <w:rPr>
                <w:i/>
                <w:iCs/>
              </w:rPr>
              <w:instrText>en</w:instrText>
            </w:r>
            <w:r w:rsidRPr="00E41EB1">
              <w:rPr>
                <w:i/>
                <w:iCs/>
                <w:lang w:val="ru-RU"/>
              </w:rPr>
              <w:instrText>/</w:instrText>
            </w:r>
            <w:r w:rsidRPr="00E41EB1">
              <w:rPr>
                <w:i/>
                <w:iCs/>
              </w:rPr>
              <w:instrText>council</w:instrText>
            </w:r>
            <w:r w:rsidRPr="00E41EB1">
              <w:rPr>
                <w:i/>
                <w:iCs/>
                <w:lang w:val="ru-RU"/>
              </w:rPr>
              <w:instrText>/</w:instrText>
            </w:r>
            <w:r w:rsidRPr="00E41EB1">
              <w:rPr>
                <w:i/>
                <w:iCs/>
              </w:rPr>
              <w:instrText>Documents</w:instrText>
            </w:r>
            <w:r w:rsidRPr="00E41EB1">
              <w:rPr>
                <w:i/>
                <w:iCs/>
                <w:lang w:val="ru-RU"/>
              </w:rPr>
              <w:instrText>/</w:instrText>
            </w:r>
            <w:r w:rsidRPr="00E41EB1">
              <w:rPr>
                <w:i/>
                <w:iCs/>
              </w:rPr>
              <w:instrText>basic</w:instrText>
            </w:r>
            <w:r w:rsidRPr="00E41EB1">
              <w:rPr>
                <w:i/>
                <w:iCs/>
                <w:lang w:val="ru-RU"/>
              </w:rPr>
              <w:instrText>-</w:instrText>
            </w:r>
            <w:r w:rsidRPr="00E41EB1">
              <w:rPr>
                <w:i/>
                <w:iCs/>
              </w:rPr>
              <w:instrText>texts</w:instrText>
            </w:r>
            <w:r w:rsidRPr="00E41EB1">
              <w:rPr>
                <w:i/>
                <w:iCs/>
                <w:lang w:val="ru-RU"/>
              </w:rPr>
              <w:instrText>-2023/</w:instrText>
            </w:r>
            <w:r w:rsidRPr="00E41EB1">
              <w:rPr>
                <w:i/>
                <w:iCs/>
              </w:rPr>
              <w:instrText>RES</w:instrText>
            </w:r>
            <w:r w:rsidRPr="00E41EB1">
              <w:rPr>
                <w:i/>
                <w:iCs/>
                <w:lang w:val="ru-RU"/>
              </w:rPr>
              <w:instrText>-071-</w:instrText>
            </w:r>
            <w:r w:rsidRPr="00E41EB1">
              <w:rPr>
                <w:i/>
                <w:iCs/>
              </w:rPr>
              <w:instrText>R</w:instrText>
            </w:r>
            <w:r w:rsidRPr="00E41EB1">
              <w:rPr>
                <w:i/>
                <w:iCs/>
                <w:lang w:val="ru-RU"/>
              </w:rPr>
              <w:instrText>.</w:instrText>
            </w:r>
            <w:r w:rsidRPr="00E41EB1">
              <w:rPr>
                <w:i/>
                <w:iCs/>
              </w:rPr>
              <w:instrText>pdf</w:instrText>
            </w:r>
            <w:r w:rsidRPr="00E41EB1">
              <w:rPr>
                <w:i/>
                <w:iCs/>
                <w:lang w:val="ru-RU"/>
              </w:rPr>
              <w:instrText>"</w:instrText>
            </w:r>
            <w:r w:rsidRPr="00E41EB1">
              <w:rPr>
                <w:i/>
                <w:iCs/>
              </w:rPr>
            </w:r>
            <w:r w:rsidRPr="00E41EB1">
              <w:rPr>
                <w:i/>
                <w:iCs/>
              </w:rPr>
              <w:fldChar w:fldCharType="separate"/>
            </w:r>
            <w:r w:rsidRPr="00E41EB1">
              <w:rPr>
                <w:rStyle w:val="Hyperlink"/>
                <w:i/>
                <w:iCs/>
              </w:rPr>
              <w:t>71 (</w:t>
            </w:r>
            <w:proofErr w:type="spellStart"/>
            <w:r w:rsidRPr="00E41EB1">
              <w:rPr>
                <w:rStyle w:val="Hyperlink"/>
                <w:i/>
                <w:iCs/>
              </w:rPr>
              <w:t>Пересм</w:t>
            </w:r>
            <w:proofErr w:type="spellEnd"/>
            <w:r w:rsidRPr="00E41EB1">
              <w:rPr>
                <w:rStyle w:val="Hyperlink"/>
                <w:i/>
                <w:iCs/>
              </w:rPr>
              <w:t xml:space="preserve">. </w:t>
            </w:r>
            <w:proofErr w:type="spellStart"/>
            <w:r w:rsidRPr="00E41EB1">
              <w:rPr>
                <w:rStyle w:val="Hyperlink"/>
                <w:i/>
                <w:iCs/>
              </w:rPr>
              <w:t>Бухарест</w:t>
            </w:r>
            <w:proofErr w:type="spellEnd"/>
            <w:r w:rsidRPr="00E41EB1">
              <w:rPr>
                <w:rStyle w:val="Hyperlink"/>
                <w:i/>
                <w:iCs/>
              </w:rPr>
              <w:t>, 2022 г.)</w:t>
            </w:r>
            <w:r w:rsidRPr="00E41EB1">
              <w:rPr>
                <w:i/>
                <w:iCs/>
              </w:rPr>
              <w:fldChar w:fldCharType="end"/>
            </w:r>
            <w:r w:rsidRPr="00E41EB1">
              <w:rPr>
                <w:i/>
                <w:iCs/>
                <w:szCs w:val="22"/>
                <w:lang w:val="ru-RU" w:eastAsia="zh-CN"/>
              </w:rPr>
              <w:t xml:space="preserve"> и </w:t>
            </w:r>
            <w:r w:rsidRPr="00E41EB1">
              <w:rPr>
                <w:i/>
                <w:iCs/>
              </w:rPr>
              <w:fldChar w:fldCharType="begin"/>
            </w:r>
            <w:r w:rsidRPr="00E41EB1">
              <w:rPr>
                <w:i/>
                <w:iCs/>
              </w:rPr>
              <w:instrText>HYPERLINK "https://www.itu.int/en/council/Documents/basic-texts-2023/RES-048-r.pdf" \h</w:instrText>
            </w:r>
            <w:r w:rsidRPr="00E41EB1">
              <w:rPr>
                <w:i/>
                <w:iCs/>
              </w:rPr>
            </w:r>
            <w:r w:rsidRPr="00E41EB1">
              <w:rPr>
                <w:i/>
                <w:iCs/>
              </w:rPr>
              <w:fldChar w:fldCharType="separate"/>
            </w:r>
            <w:r w:rsidRPr="00E41EB1">
              <w:rPr>
                <w:rStyle w:val="Hyperlink"/>
                <w:i/>
                <w:iCs/>
              </w:rPr>
              <w:t>48 (</w:t>
            </w:r>
            <w:proofErr w:type="spellStart"/>
            <w:r w:rsidRPr="00E41EB1">
              <w:rPr>
                <w:rStyle w:val="Hyperlink"/>
                <w:i/>
                <w:iCs/>
              </w:rPr>
              <w:t>Пересм</w:t>
            </w:r>
            <w:proofErr w:type="spellEnd"/>
            <w:r w:rsidRPr="00E41EB1">
              <w:rPr>
                <w:rStyle w:val="Hyperlink"/>
                <w:i/>
                <w:iCs/>
              </w:rPr>
              <w:t xml:space="preserve">. </w:t>
            </w:r>
            <w:proofErr w:type="spellStart"/>
            <w:r w:rsidRPr="00E41EB1">
              <w:rPr>
                <w:rStyle w:val="Hyperlink"/>
                <w:i/>
                <w:iCs/>
              </w:rPr>
              <w:t>Бухарест</w:t>
            </w:r>
            <w:proofErr w:type="spellEnd"/>
            <w:r w:rsidRPr="00E41EB1">
              <w:rPr>
                <w:rStyle w:val="Hyperlink"/>
                <w:i/>
                <w:iCs/>
              </w:rPr>
              <w:t>, 2022 г.)</w:t>
            </w:r>
            <w:r w:rsidRPr="00E41EB1">
              <w:rPr>
                <w:i/>
                <w:iCs/>
              </w:rPr>
              <w:fldChar w:fldCharType="end"/>
            </w:r>
            <w:r w:rsidRPr="00E41EB1">
              <w:rPr>
                <w:i/>
                <w:iCs/>
                <w:szCs w:val="22"/>
                <w:lang w:val="ru-RU" w:eastAsia="zh-CN"/>
              </w:rPr>
              <w:t xml:space="preserve"> </w:t>
            </w:r>
            <w:r w:rsidRPr="00E41EB1">
              <w:rPr>
                <w:i/>
                <w:iCs/>
                <w:szCs w:val="22"/>
                <w:lang w:val="ru-RU"/>
              </w:rPr>
              <w:t>Полномочной</w:t>
            </w:r>
            <w:r w:rsidR="00266A81" w:rsidRPr="00E41EB1">
              <w:rPr>
                <w:i/>
                <w:iCs/>
                <w:szCs w:val="22"/>
                <w:lang w:val="ru-RU"/>
              </w:rPr>
              <w:t> </w:t>
            </w:r>
            <w:r w:rsidRPr="00E41EB1">
              <w:rPr>
                <w:i/>
                <w:iCs/>
                <w:szCs w:val="22"/>
                <w:lang w:val="ru-RU"/>
              </w:rPr>
              <w:t>конференции</w:t>
            </w:r>
          </w:p>
        </w:tc>
      </w:tr>
      <w:bookmarkEnd w:id="2"/>
      <w:bookmarkEnd w:id="6"/>
    </w:tbl>
    <w:p w14:paraId="0D16881C" w14:textId="730077F8" w:rsidR="00165D06" w:rsidRPr="00D6646F" w:rsidRDefault="00165D06" w:rsidP="0015349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right"/>
        <w:textAlignment w:val="auto"/>
        <w:rPr>
          <w:lang w:val="ru-RU"/>
        </w:rPr>
      </w:pPr>
    </w:p>
    <w:p w14:paraId="75DFE236" w14:textId="28F623E2" w:rsidR="00153498" w:rsidRDefault="0015349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6"/>
          <w:lang w:eastAsia="zh-CN"/>
        </w:rPr>
      </w:pPr>
      <w:r>
        <w:rPr>
          <w:lang w:eastAsia="zh-CN"/>
        </w:rPr>
        <w:br w:type="page"/>
      </w:r>
    </w:p>
    <w:p w14:paraId="4BB2662E" w14:textId="715F7386" w:rsidR="002F3D47" w:rsidRPr="00D6646F" w:rsidRDefault="002F3D47" w:rsidP="00E41EB1">
      <w:pPr>
        <w:pStyle w:val="Heading1"/>
        <w:rPr>
          <w:lang w:eastAsia="zh-CN"/>
        </w:rPr>
      </w:pPr>
      <w:r w:rsidRPr="00D6646F">
        <w:rPr>
          <w:lang w:eastAsia="zh-CN"/>
        </w:rPr>
        <w:lastRenderedPageBreak/>
        <w:t>1</w:t>
      </w:r>
      <w:r w:rsidRPr="00D6646F">
        <w:rPr>
          <w:lang w:eastAsia="zh-CN"/>
        </w:rPr>
        <w:tab/>
      </w:r>
      <w:r w:rsidRPr="00D6646F">
        <w:t>Стратегический контекст</w:t>
      </w:r>
    </w:p>
    <w:p w14:paraId="1606D279" w14:textId="6D9D1BF3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/>
        </w:rPr>
        <w:t>Стратегический план в области людских ресурсов (СП ЛР) на 2026</w:t>
      </w:r>
      <w:r w:rsidR="007532A5" w:rsidRPr="00D6646F">
        <w:rPr>
          <w:lang w:val="ru-RU"/>
        </w:rPr>
        <w:t>­</w:t>
      </w:r>
      <w:r w:rsidRPr="00D6646F">
        <w:rPr>
          <w:lang w:val="ru-RU"/>
        </w:rPr>
        <w:t>2027 годы основан на Стратегическом плане МСЭ на 2024–2027 годы и Резолюции 48 (Пересм. Бухарест, 2022 г.). В</w:t>
      </w:r>
      <w:r w:rsidR="007532A5" w:rsidRPr="00D6646F">
        <w:rPr>
          <w:lang w:val="ru-RU"/>
        </w:rPr>
        <w:t> </w:t>
      </w:r>
      <w:r w:rsidRPr="00D6646F">
        <w:rPr>
          <w:lang w:val="ru-RU"/>
        </w:rPr>
        <w:t>нем устанавливается стратегическое направление на последние два года четырехгодичного стратегического цикла МСЭ, а в его основе лежит Дорожная карта трансформации МСЭ и План трансформации людских ресурсов с учетом соответствующих инициатив системы Организации Объединенных Наций (ООН), включая инициативу "ООН 2.0". Для согласования со Стратегическим планом МСЭ на 2028–2031 годы будет разработан новый четырехгодичный Стратегический план в области людских ресурсов, который будет представлен на рассмотрение и утверждение Совету 2027</w:t>
      </w:r>
      <w:r w:rsidR="007532A5" w:rsidRPr="00D6646F">
        <w:rPr>
          <w:lang w:val="ru-RU"/>
        </w:rPr>
        <w:t> </w:t>
      </w:r>
      <w:r w:rsidRPr="00D6646F">
        <w:rPr>
          <w:lang w:val="ru-RU"/>
        </w:rPr>
        <w:t>года.</w:t>
      </w:r>
    </w:p>
    <w:p w14:paraId="1EC524AE" w14:textId="0838EF50" w:rsidR="002F3D47" w:rsidRPr="00D6646F" w:rsidRDefault="002F3D47" w:rsidP="00E41EB1">
      <w:pPr>
        <w:jc w:val="both"/>
        <w:rPr>
          <w:spacing w:val="-2"/>
          <w:lang w:val="ru-RU" w:eastAsia="zh-CN"/>
        </w:rPr>
      </w:pPr>
      <w:r w:rsidRPr="00D6646F">
        <w:rPr>
          <w:spacing w:val="-2"/>
          <w:lang w:val="ru-RU" w:eastAsia="zh-CN"/>
        </w:rPr>
        <w:t>Для достижения этих целей требуется гибкий, квалифицированный и заинтересованный персонал, который поддерживается культурой, ориентированной на нужды людей, а также современной политикой, услугами и системами в области ЛР. В соответствии с Резолюцией 48 (Пересм. Бухарест, 2022</w:t>
      </w:r>
      <w:r w:rsidR="007532A5" w:rsidRPr="00D6646F">
        <w:rPr>
          <w:spacing w:val="-2"/>
          <w:lang w:val="ru-RU" w:eastAsia="zh-CN"/>
        </w:rPr>
        <w:t> </w:t>
      </w:r>
      <w:r w:rsidRPr="00D6646F">
        <w:rPr>
          <w:spacing w:val="-2"/>
          <w:lang w:val="ru-RU" w:eastAsia="zh-CN"/>
        </w:rPr>
        <w:t>г.) и принципами общей системы ООН МСЭ по-прежнему привержен обеспечению того, чтобы методы набора персонала и управления кадрами обеспечивали высочайшие стандарты эффективности, компетентности и добросовестности; при этом должное внимание следует уделять важности набора персонала на основе максимально широкого географического представительства, а также поддержке обеспечения гендерного паритета и более широкого разнообразия на рабочих местах. Таким образом, СП ЛР на 2026</w:t>
      </w:r>
      <w:r w:rsidR="007532A5" w:rsidRPr="00D6646F">
        <w:rPr>
          <w:spacing w:val="-2"/>
          <w:lang w:val="ru-RU" w:eastAsia="zh-CN"/>
        </w:rPr>
        <w:t>­</w:t>
      </w:r>
      <w:r w:rsidRPr="00D6646F">
        <w:rPr>
          <w:spacing w:val="-2"/>
          <w:lang w:val="ru-RU" w:eastAsia="zh-CN"/>
        </w:rPr>
        <w:t>2027</w:t>
      </w:r>
      <w:r w:rsidR="007532A5" w:rsidRPr="00D6646F">
        <w:rPr>
          <w:spacing w:val="-2"/>
          <w:lang w:val="ru-RU" w:eastAsia="zh-CN"/>
        </w:rPr>
        <w:t> </w:t>
      </w:r>
      <w:r w:rsidRPr="00D6646F">
        <w:rPr>
          <w:spacing w:val="-2"/>
          <w:lang w:val="ru-RU" w:eastAsia="zh-CN"/>
        </w:rPr>
        <w:t>годы укрепляет потенциал МСЭ в плане привлечения, развития и удержания перспективных кадров, способных добиваться результатов в стремительно меняющейся цифровой среде.</w:t>
      </w:r>
    </w:p>
    <w:p w14:paraId="0C1CEDF2" w14:textId="77777777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/>
        </w:rPr>
        <w:t>В то же самое время МСЭ работает на рынке труда с высокой конкуренцией, в условиях финансовых ограничений и на фоне стремительных технологических изменений, эволюции политики и реформ общей системы ООН, а также растущих ожиданий в отношении благополучия, инклюзивности и гендерного равенства. Эта динамика требует постоянной модернизации процессов и инструментов ЛР, совершенствования кадрового планирования и формирования культуры, поддерживающей результативность, повышение квалификации и сотрудничество в рамках Союза, при одновременном повышении эффективности и качества обслуживания в рамках имеющихся ресурсов.</w:t>
      </w:r>
    </w:p>
    <w:p w14:paraId="4CE1225F" w14:textId="6950F253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/>
        </w:rPr>
        <w:t>Таким образом, СП ЛР на 2026</w:t>
      </w:r>
      <w:r w:rsidR="007532A5" w:rsidRPr="00D6646F">
        <w:rPr>
          <w:lang w:val="ru-RU"/>
        </w:rPr>
        <w:t>­</w:t>
      </w:r>
      <w:r w:rsidRPr="00D6646F">
        <w:rPr>
          <w:lang w:val="ru-RU"/>
        </w:rPr>
        <w:t>2027</w:t>
      </w:r>
      <w:r w:rsidR="007532A5" w:rsidRPr="00D6646F">
        <w:rPr>
          <w:lang w:val="ru-RU"/>
        </w:rPr>
        <w:t> </w:t>
      </w:r>
      <w:r w:rsidRPr="00D6646F">
        <w:rPr>
          <w:lang w:val="ru-RU"/>
        </w:rPr>
        <w:t>годы закладывает четкую основу для управления кадрами на следующий двухгодичный период и ставит своей целью позиционирование МСЭ как предпочтительного работодателя в системе ООН и отрасли в целом. Он преобразует стратегическое намерение в целенаправленный комплекс приоритетов и инициатив в области людских ресурсов, которые позволяют МСЭ: i) предвидеть и удовлетворять меняющиеся потребности в кадровых ресурсах; и ii) совершенствовать методы руководства и управления людьми; iii) содействовать созданию здоровых, безопасных и основанных на ценностях условий на рабочих местах; и iv) укреплять управление, прозрачность и соответствие требованиям в области ЛР путем совершенствования данных и цифровых решений. Он также служит промежуточным двухгодичным планом для включения конечных результатов трансформации ЛР – от разработки и развертывания к устойчивому внедрению и измеримому воздействию – при подготовке к плавному согласованию со следующим циклом стратегического планирования МСЭ. Тем самым обеспечивается непрерывность, ясность и подотчетность для выполнения в 2026–2027 годах и повышается уровень готовности будущих кадров МСЭ.</w:t>
      </w:r>
    </w:p>
    <w:p w14:paraId="73F07EF5" w14:textId="77777777" w:rsidR="002F3D47" w:rsidRPr="00D6646F" w:rsidRDefault="002F3D47" w:rsidP="00E41EB1">
      <w:pPr>
        <w:pStyle w:val="Heading1"/>
      </w:pPr>
      <w:r w:rsidRPr="00D6646F">
        <w:t>2</w:t>
      </w:r>
      <w:r w:rsidRPr="00D6646F">
        <w:tab/>
        <w:t>Концепция</w:t>
      </w:r>
    </w:p>
    <w:p w14:paraId="6C438525" w14:textId="1754F51A" w:rsidR="002F3D47" w:rsidRPr="00D6646F" w:rsidRDefault="002F3D47" w:rsidP="00E41EB1">
      <w:pPr>
        <w:jc w:val="both"/>
        <w:rPr>
          <w:lang w:val="ru-RU"/>
        </w:rPr>
      </w:pPr>
      <w:r w:rsidRPr="00D6646F">
        <w:rPr>
          <w:lang w:val="ru-RU"/>
        </w:rPr>
        <w:t>Концепция СП ЛР на 2026</w:t>
      </w:r>
      <w:r w:rsidR="007532A5" w:rsidRPr="00D6646F">
        <w:rPr>
          <w:lang w:val="ru-RU"/>
        </w:rPr>
        <w:t>­</w:t>
      </w:r>
      <w:r w:rsidRPr="00D6646F">
        <w:rPr>
          <w:lang w:val="ru-RU"/>
        </w:rPr>
        <w:t>2027</w:t>
      </w:r>
      <w:r w:rsidR="007532A5" w:rsidRPr="00D6646F">
        <w:rPr>
          <w:lang w:val="ru-RU"/>
        </w:rPr>
        <w:t> </w:t>
      </w:r>
      <w:r w:rsidRPr="00D6646F">
        <w:rPr>
          <w:lang w:val="ru-RU"/>
        </w:rPr>
        <w:t>годы заключается в том, чтобы предоставить МСЭ возможность выполнять свой мандат с помощью гибких, готовых к будущему, высокоэффективных и инклюзивных кадровых ресурсов, поддерживаемых здоровыми, безопасными и основанными на ценностях условиями на рабочих местах, где все сотрудники могут процветать, учиться</w:t>
      </w:r>
      <w:r w:rsidR="007532A5" w:rsidRPr="00D6646F">
        <w:rPr>
          <w:lang w:val="ru-RU"/>
        </w:rPr>
        <w:t> </w:t>
      </w:r>
      <w:r w:rsidRPr="00D6646F">
        <w:rPr>
          <w:lang w:val="ru-RU"/>
        </w:rPr>
        <w:t>и</w:t>
      </w:r>
      <w:r w:rsidR="007532A5" w:rsidRPr="00D6646F">
        <w:rPr>
          <w:lang w:val="ru-RU"/>
        </w:rPr>
        <w:t> </w:t>
      </w:r>
      <w:r w:rsidRPr="00D6646F">
        <w:rPr>
          <w:lang w:val="ru-RU"/>
        </w:rPr>
        <w:t>расти.</w:t>
      </w:r>
    </w:p>
    <w:p w14:paraId="7557DE4A" w14:textId="3EC6C89A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/>
        </w:rPr>
        <w:lastRenderedPageBreak/>
        <w:t>В 2026</w:t>
      </w:r>
      <w:r w:rsidR="007532A5" w:rsidRPr="00D6646F">
        <w:rPr>
          <w:lang w:val="ru-RU"/>
        </w:rPr>
        <w:t>­</w:t>
      </w:r>
      <w:r w:rsidRPr="00D6646F">
        <w:rPr>
          <w:lang w:val="ru-RU"/>
        </w:rPr>
        <w:t>2027 годах МСЭ будет укреплять культуру доверия, подотчетности и совместного руководства, в которой руководители подготовлены к эффективному управлению людьми, а персонал – к участию и инновациям. Отдел кадров будет предоставлять последовательные, прозрачные и ориентированные на пользователя услуги на протяжении всего жизненного цикла сотрудника с использованием специализированных цифровых инструментов и надежных данных о кадровых ресурсах. МСЭ также продемонстрирует ощутимый прогресс в создании разнообразных команд и обеспечении равных возможностей, сохраняя при этом уважительную атмосферу на рабочих местах, где будет поддерживаться благополучие, а проблемы будут решаться оперативно и беспристрастно.</w:t>
      </w:r>
    </w:p>
    <w:p w14:paraId="46F7B4D8" w14:textId="6B0A91A9" w:rsidR="002F3D47" w:rsidRPr="00D6646F" w:rsidRDefault="002F3D47" w:rsidP="00E41EB1">
      <w:pPr>
        <w:pStyle w:val="Heading1"/>
        <w:rPr>
          <w:lang w:eastAsia="zh-CN"/>
        </w:rPr>
      </w:pPr>
      <w:r w:rsidRPr="00D6646F">
        <w:rPr>
          <w:lang w:eastAsia="zh-CN"/>
        </w:rPr>
        <w:t>3</w:t>
      </w:r>
      <w:r w:rsidRPr="00D6646F">
        <w:rPr>
          <w:lang w:eastAsia="zh-CN"/>
        </w:rPr>
        <w:tab/>
      </w:r>
      <w:r w:rsidRPr="00D6646F">
        <w:t xml:space="preserve">Основные стратегические </w:t>
      </w:r>
      <w:r w:rsidRPr="00E41EB1">
        <w:t>направления</w:t>
      </w:r>
    </w:p>
    <w:p w14:paraId="27E194F7" w14:textId="2E8FCCC8" w:rsidR="002F3D47" w:rsidRPr="00D6646F" w:rsidRDefault="002F3D47" w:rsidP="00E41EB1">
      <w:pPr>
        <w:jc w:val="both"/>
        <w:rPr>
          <w:lang w:val="ru-RU"/>
        </w:rPr>
      </w:pPr>
      <w:r w:rsidRPr="00D6646F">
        <w:rPr>
          <w:lang w:val="ru-RU"/>
        </w:rPr>
        <w:t>Для реализации концепции СП ЛР на 2026</w:t>
      </w:r>
      <w:r w:rsidR="007532A5" w:rsidRPr="00D6646F">
        <w:rPr>
          <w:lang w:val="ru-RU"/>
        </w:rPr>
        <w:t>­</w:t>
      </w:r>
      <w:r w:rsidRPr="00D6646F">
        <w:rPr>
          <w:lang w:val="ru-RU"/>
        </w:rPr>
        <w:t>2027 годы МСЭ сосредоточится на пяти взаимоусиливающих стратегических направлениях, которые переводят повестку дня в области людских ресурсов в плоскость приоритетных действий на двухгодичный период.</w:t>
      </w:r>
    </w:p>
    <w:p w14:paraId="141CA10C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a)</w:t>
      </w:r>
      <w:r w:rsidRPr="00D6646F">
        <w:rPr>
          <w:lang w:val="ru-RU"/>
        </w:rPr>
        <w:tab/>
      </w:r>
      <w:r w:rsidRPr="00D6646F">
        <w:rPr>
          <w:lang w:val="ru-RU" w:eastAsia="zh-CN"/>
        </w:rPr>
        <w:t>Кадровый потенциал и планирование людских ресурсов – обеспечение надлежащего уровня и квалификации кадровых ресурсов МСЭ путем привлечения и удержания наиболее подходящих кандидатов, работающих там, где они более всего необходимы.</w:t>
      </w:r>
    </w:p>
    <w:p w14:paraId="295B109E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b)</w:t>
      </w:r>
      <w:r w:rsidRPr="00D6646F">
        <w:rPr>
          <w:lang w:val="ru-RU" w:eastAsia="zh-CN"/>
        </w:rPr>
        <w:tab/>
        <w:t>Лидерство, управление показателями деятельности, награды и признание – укрепление лидерства среди людей, а также единообразной культуры высокой производительности.</w:t>
      </w:r>
    </w:p>
    <w:p w14:paraId="25994D46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c)</w:t>
      </w:r>
      <w:r w:rsidRPr="00D6646F">
        <w:rPr>
          <w:lang w:val="ru-RU" w:eastAsia="zh-CN"/>
        </w:rPr>
        <w:tab/>
        <w:t>Обучение и карьерный рост – формирование перспективных навыков и четко очерченных путей развития благодаря непрерывному обучению.</w:t>
      </w:r>
    </w:p>
    <w:p w14:paraId="05364209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d)</w:t>
      </w:r>
      <w:r w:rsidRPr="00D6646F">
        <w:rPr>
          <w:lang w:val="ru-RU" w:eastAsia="zh-CN"/>
        </w:rPr>
        <w:tab/>
        <w:t>Вовлеченность, инклюзивность и благополучие персонала – создание на рабочих местах уважительной обстановки, которая укрепляет вовлеченность, инклюзивность и благополучие персонала.</w:t>
      </w:r>
    </w:p>
    <w:p w14:paraId="0D901150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e)</w:t>
      </w:r>
      <w:r w:rsidRPr="00D6646F">
        <w:rPr>
          <w:lang w:val="ru-RU" w:eastAsia="zh-CN"/>
        </w:rPr>
        <w:tab/>
        <w:t>Управление ЛР, данные и цифровая трансформация – укрепление управления ЛР и предоставление современных, основанных на данных и поддерживаемых цифровыми технологиями услуг ЛР.</w:t>
      </w:r>
    </w:p>
    <w:p w14:paraId="6AF4ECD2" w14:textId="77777777" w:rsidR="002F3D47" w:rsidRPr="00D6646F" w:rsidRDefault="002F3D47" w:rsidP="002F3D47">
      <w:pPr>
        <w:pStyle w:val="FigureNo"/>
        <w:rPr>
          <w:lang w:val="ru-RU"/>
        </w:rPr>
      </w:pPr>
      <w:r w:rsidRPr="00D6646F">
        <w:rPr>
          <w:lang w:val="ru-RU"/>
        </w:rPr>
        <w:lastRenderedPageBreak/>
        <w:t>РИСУНОК 1</w:t>
      </w:r>
    </w:p>
    <w:p w14:paraId="512E2E6C" w14:textId="63C3CDC2" w:rsidR="002F3D47" w:rsidRPr="00D6646F" w:rsidRDefault="002F3D47" w:rsidP="002F3D47">
      <w:pPr>
        <w:pStyle w:val="Figuretitle"/>
        <w:rPr>
          <w:lang w:val="ru-RU" w:eastAsia="zh-CN"/>
        </w:rPr>
      </w:pPr>
      <w:r w:rsidRPr="00D6646F">
        <w:rPr>
          <w:lang w:val="ru-RU" w:eastAsia="zh-CN"/>
        </w:rPr>
        <w:t>Основные стратегические направления СП ЛР на 2026</w:t>
      </w:r>
      <w:r w:rsidR="007532A5" w:rsidRPr="00D6646F">
        <w:rPr>
          <w:lang w:val="ru-RU" w:eastAsia="zh-CN"/>
        </w:rPr>
        <w:t>­</w:t>
      </w:r>
      <w:r w:rsidRPr="00D6646F">
        <w:rPr>
          <w:lang w:val="ru-RU" w:eastAsia="zh-CN"/>
        </w:rPr>
        <w:t>2027</w:t>
      </w:r>
      <w:r w:rsidR="00765204" w:rsidRPr="00D6646F">
        <w:rPr>
          <w:lang w:val="ru-RU" w:eastAsia="zh-CN"/>
        </w:rPr>
        <w:t> </w:t>
      </w:r>
      <w:r w:rsidRPr="00D6646F">
        <w:rPr>
          <w:lang w:val="ru-RU" w:eastAsia="zh-CN"/>
        </w:rPr>
        <w:t>годы</w:t>
      </w:r>
    </w:p>
    <w:p w14:paraId="1D7221DE" w14:textId="063EDD2C" w:rsidR="007532A5" w:rsidRPr="00D6646F" w:rsidRDefault="007532A5" w:rsidP="007532A5">
      <w:pPr>
        <w:pStyle w:val="Figure"/>
        <w:rPr>
          <w:lang w:val="ru-RU" w:eastAsia="en-GB"/>
        </w:rPr>
      </w:pPr>
      <w:r w:rsidRPr="00D6646F">
        <w:rPr>
          <w:noProof/>
          <w:lang w:val="ru-RU" w:eastAsia="en-GB"/>
        </w:rPr>
        <w:drawing>
          <wp:inline distT="0" distB="0" distL="0" distR="0" wp14:anchorId="5D1583E7" wp14:editId="644D1BAE">
            <wp:extent cx="3796169" cy="3641725"/>
            <wp:effectExtent l="0" t="0" r="0" b="0"/>
            <wp:docPr id="1020332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9" t="8988" r="22006" b="4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60" cy="364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2A437" w14:textId="77777777" w:rsidR="002F3D47" w:rsidRPr="00D6646F" w:rsidRDefault="002F3D47" w:rsidP="00E41EB1">
      <w:pPr>
        <w:pStyle w:val="Heading2"/>
        <w:rPr>
          <w:lang w:eastAsia="zh-CN"/>
        </w:rPr>
      </w:pPr>
      <w:r w:rsidRPr="00D6646F">
        <w:rPr>
          <w:lang w:eastAsia="zh-CN"/>
        </w:rPr>
        <w:t>3.1</w:t>
      </w:r>
      <w:r w:rsidRPr="00D6646F">
        <w:rPr>
          <w:lang w:eastAsia="zh-CN"/>
        </w:rPr>
        <w:tab/>
        <w:t>Кадровый потенциал и планирование людских ресурсов</w:t>
      </w:r>
    </w:p>
    <w:p w14:paraId="3762A407" w14:textId="2B0FF779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t>Почему это имеет значение</w:t>
      </w:r>
    </w:p>
    <w:p w14:paraId="5E3B7669" w14:textId="77777777" w:rsidR="002F3D47" w:rsidRPr="00D6646F" w:rsidRDefault="002F3D47" w:rsidP="00E41EB1">
      <w:pPr>
        <w:spacing w:line="259" w:lineRule="auto"/>
        <w:jc w:val="both"/>
        <w:rPr>
          <w:lang w:val="ru-RU" w:eastAsia="zh-CN"/>
        </w:rPr>
      </w:pPr>
      <w:r w:rsidRPr="00D6646F">
        <w:rPr>
          <w:lang w:val="ru-RU" w:eastAsia="zh-CN"/>
        </w:rPr>
        <w:t>Поскольку мандат и стратегические приоритеты МСЭ эволюционируют, а потребность в навыках быстро меняется, кадровые решения должны быть перспективными, основанными на фактах и устойчивыми в пределах утвержденных ресурсов. Это требует более тщательного кадрового планирования и оптимизированных процессов управления кадровым резервом для эффективного набора, адаптации и задействования сотрудников, включая критически важные возможности в таких областях, как искусственный интеллект и аналитика данных: нужные люди в нужном месте в нужное время.</w:t>
      </w:r>
    </w:p>
    <w:p w14:paraId="2A3A7A21" w14:textId="77777777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t>Основные инициативы</w:t>
      </w:r>
    </w:p>
    <w:p w14:paraId="206C119E" w14:textId="68B5EFF1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Внедрить обновленную систему компетенций</w:t>
      </w:r>
      <w:r w:rsidRPr="00D6646F">
        <w:rPr>
          <w:lang w:val="ru-RU" w:eastAsia="zh-CN"/>
        </w:rPr>
        <w:t>, соответствующую общим ценностям, для уточнения ожиданий от роли и поддержки единообразных подходов к отбору, показателям деятельности и развитию.</w:t>
      </w:r>
    </w:p>
    <w:p w14:paraId="6CEC94C4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/>
        </w:rPr>
        <w:tab/>
      </w:r>
      <w:r w:rsidRPr="00D6646F">
        <w:rPr>
          <w:b/>
          <w:bCs/>
          <w:lang w:val="ru-RU" w:eastAsia="zh-CN"/>
        </w:rPr>
        <w:t xml:space="preserve">Модернизировать процесс привлечения перспективных кадров </w:t>
      </w:r>
      <w:r w:rsidRPr="00D6646F">
        <w:rPr>
          <w:lang w:val="ru-RU" w:eastAsia="zh-CN"/>
        </w:rPr>
        <w:t>путем оптимизации сквозных процессов, укрепления методов оценки и поддержки справедливого и прозрачного набора персонала на основе заслуг, обеспечивая целевой охват и надежный кадровый резерв в приоритетных и новых областях навыков, повышая при этом удобство процесса набора для кандидатов и усиливая привлекательность МСЭ для квалифицированных кандидатов</w:t>
      </w:r>
      <w:r w:rsidRPr="00D6646F">
        <w:rPr>
          <w:b/>
          <w:bCs/>
          <w:lang w:val="ru-RU" w:eastAsia="zh-CN"/>
        </w:rPr>
        <w:t>.</w:t>
      </w:r>
    </w:p>
    <w:p w14:paraId="4B141026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Улучшить вводный инструктаж и адаптацию</w:t>
      </w:r>
      <w:r w:rsidRPr="00D6646F">
        <w:rPr>
          <w:lang w:val="ru-RU" w:eastAsia="zh-CN"/>
        </w:rPr>
        <w:t xml:space="preserve"> с помощью более комплексного и последовательного процесса адаптации и практичных наборов инструментов для руководителей, поддерживая более быструю интеграцию и время достижения продуктивности в командах и методах работы.</w:t>
      </w:r>
    </w:p>
    <w:p w14:paraId="5BBC5FD7" w14:textId="1E6A3B7F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/>
        </w:rPr>
        <w:tab/>
      </w:r>
      <w:r w:rsidRPr="00D6646F">
        <w:rPr>
          <w:b/>
          <w:bCs/>
          <w:lang w:val="ru-RU" w:eastAsia="zh-CN"/>
        </w:rPr>
        <w:t>Расширять возможности развития и мобильности</w:t>
      </w:r>
      <w:r w:rsidRPr="00D6646F">
        <w:rPr>
          <w:lang w:val="ru-RU" w:eastAsia="zh-CN"/>
        </w:rPr>
        <w:t xml:space="preserve"> для направления специалистов туда, где они наиболее необходимы, поддерживать карьерный рост и укреплять передачу </w:t>
      </w:r>
      <w:r w:rsidRPr="00D6646F">
        <w:rPr>
          <w:lang w:val="ru-RU" w:eastAsia="zh-CN"/>
        </w:rPr>
        <w:lastRenderedPageBreak/>
        <w:t xml:space="preserve">знаний, используя внутреннюю мобильность там, где это возможно; и </w:t>
      </w:r>
      <w:r w:rsidRPr="00D6646F">
        <w:rPr>
          <w:b/>
          <w:bCs/>
          <w:lang w:val="ru-RU" w:eastAsia="zh-CN"/>
        </w:rPr>
        <w:t>укреплять целевые партнерства</w:t>
      </w:r>
      <w:r w:rsidRPr="00D6646F">
        <w:rPr>
          <w:lang w:val="ru-RU" w:eastAsia="zh-CN"/>
        </w:rPr>
        <w:t xml:space="preserve"> с Государствами-Членами, организациями и академическими учреждениями для расширения возможностей первичного приема на работу, особенно для молодых специалистов и кандидатов из недостаточно представленных Государств-Членов, при одновременном обеспечении прозрачного управления и взаимной</w:t>
      </w:r>
      <w:r w:rsidR="00DE5447" w:rsidRPr="00D6646F">
        <w:rPr>
          <w:lang w:val="ru-RU" w:eastAsia="zh-CN"/>
        </w:rPr>
        <w:t> </w:t>
      </w:r>
      <w:r w:rsidRPr="00D6646F">
        <w:rPr>
          <w:lang w:val="ru-RU" w:eastAsia="zh-CN"/>
        </w:rPr>
        <w:t>выгоды.</w:t>
      </w:r>
    </w:p>
    <w:p w14:paraId="64B5935E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/>
        </w:rPr>
        <w:tab/>
      </w:r>
      <w:r w:rsidRPr="00D6646F">
        <w:rPr>
          <w:lang w:val="ru-RU" w:eastAsia="zh-CN"/>
        </w:rPr>
        <w:t>Создать четкую контрактную базу</w:t>
      </w:r>
      <w:r w:rsidRPr="00D6646F">
        <w:rPr>
          <w:b/>
          <w:bCs/>
          <w:lang w:val="ru-RU" w:eastAsia="zh-CN"/>
        </w:rPr>
        <w:t xml:space="preserve"> с более гибкими условиями контрактов </w:t>
      </w:r>
      <w:r w:rsidRPr="00D6646F">
        <w:rPr>
          <w:lang w:val="ru-RU" w:eastAsia="zh-CN"/>
        </w:rPr>
        <w:t>и</w:t>
      </w:r>
      <w:r w:rsidRPr="00D6646F">
        <w:rPr>
          <w:b/>
          <w:bCs/>
          <w:lang w:val="ru-RU" w:eastAsia="zh-CN"/>
        </w:rPr>
        <w:t xml:space="preserve"> усовершенствовать соответствующие контрактные и ресурсные инструменты</w:t>
      </w:r>
      <w:r w:rsidRPr="00D6646F">
        <w:rPr>
          <w:lang w:val="ru-RU" w:eastAsia="zh-CN"/>
        </w:rPr>
        <w:t xml:space="preserve"> для реагирования на краткосрочные пики рабочих нагрузок, потребности в специализированных знаниях и ограниченные по времени инициативы.</w:t>
      </w:r>
    </w:p>
    <w:p w14:paraId="24E37C4E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Укреплять кадровое планирование и преемственность</w:t>
      </w:r>
      <w:r w:rsidRPr="00D6646F">
        <w:rPr>
          <w:lang w:val="ru-RU" w:eastAsia="zh-CN"/>
        </w:rPr>
        <w:t xml:space="preserve"> для прогнозирования критически важных потребностей, управления рисками, связанными с текущим кадровым резервом и выходом на пенсию, и поддержки своевременных кадровых решений в соответствии с организационными приоритетами.</w:t>
      </w:r>
    </w:p>
    <w:p w14:paraId="4624792D" w14:textId="77777777" w:rsidR="002F3D47" w:rsidRPr="00D6646F" w:rsidRDefault="002F3D47" w:rsidP="00E41EB1">
      <w:pPr>
        <w:pStyle w:val="Heading2"/>
        <w:rPr>
          <w:lang w:eastAsia="zh-CN"/>
        </w:rPr>
      </w:pPr>
      <w:r w:rsidRPr="00D6646F">
        <w:rPr>
          <w:lang w:eastAsia="zh-CN"/>
        </w:rPr>
        <w:t>3.2</w:t>
      </w:r>
      <w:r w:rsidRPr="00D6646F">
        <w:rPr>
          <w:lang w:eastAsia="zh-CN"/>
        </w:rPr>
        <w:tab/>
        <w:t>Лидерство, управление показателями деятельности, награды и признание</w:t>
      </w:r>
    </w:p>
    <w:p w14:paraId="0049A013" w14:textId="77777777" w:rsidR="002F3D47" w:rsidRPr="00D6646F" w:rsidRDefault="002F3D47" w:rsidP="00E41EB1">
      <w:pPr>
        <w:pStyle w:val="Headingb"/>
      </w:pPr>
      <w:r w:rsidRPr="00D6646F">
        <w:t>Почему это имеет значение</w:t>
      </w:r>
    </w:p>
    <w:p w14:paraId="238E9B85" w14:textId="77777777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Эффективное руководство и управление людьми имеют решающее значение для предоставления услуг, культуры и доверия персонала. Единообразный подход к управлению показателями деятельности и справедливому признанию укрепляет подотчетность и вовлеченность, а своевременное решение проблем на рабочем месте поддерживает уважительную атмосферу. Развитие навыков лидерства на всех уровнях в соответствии с Концептуальной основой руководства в системе ООН и на основе общих ценностей и четкой подотчетности дает руководителям возможность управлять на всех уровнях, развивать кадровый потенциал, а также своевременно и справедливо решать проблемы, связанные с неудовлетворительными результатами работы.</w:t>
      </w:r>
    </w:p>
    <w:p w14:paraId="30F11403" w14:textId="77777777" w:rsidR="002F3D47" w:rsidRPr="00D6646F" w:rsidRDefault="002F3D47" w:rsidP="00E41EB1">
      <w:pPr>
        <w:pStyle w:val="Headingb"/>
      </w:pPr>
      <w:r w:rsidRPr="00D6646F">
        <w:t>Основные инициативы</w:t>
      </w:r>
    </w:p>
    <w:p w14:paraId="2B997F06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Укреплять конвейер лидерских качеств и упреждающее выявление</w:t>
      </w:r>
      <w:r w:rsidRPr="00D6646F">
        <w:rPr>
          <w:lang w:val="ru-RU" w:eastAsia="zh-CN"/>
        </w:rPr>
        <w:t xml:space="preserve"> путем уточнения ожиданий от лидеров, определения потенциала на ранних этапах и создания возможностей целевого развития.</w:t>
      </w:r>
    </w:p>
    <w:p w14:paraId="3AAACB0B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Ввести обязательную подготовку руководителей</w:t>
      </w:r>
      <w:r w:rsidRPr="00D6646F">
        <w:rPr>
          <w:lang w:val="ru-RU" w:eastAsia="zh-CN"/>
        </w:rPr>
        <w:t xml:space="preserve"> в целях создания и укрепления основных навыков по управлению людскими ресурсами, поддерживаемую практическими инструментами и руководящими указаниями в отношении последовательного применения политики и процедур.</w:t>
      </w:r>
    </w:p>
    <w:p w14:paraId="453C31DF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Развивать инклюзивное и адаптивное лидерство</w:t>
      </w:r>
      <w:r w:rsidRPr="00D6646F">
        <w:rPr>
          <w:lang w:val="ru-RU" w:eastAsia="zh-CN"/>
        </w:rPr>
        <w:t xml:space="preserve"> с целью стимулирования инноваций и организационной устойчивости при поддержке целевых программ обучения, в которых принципы подотчетности и справедливости учитываются в повседневных решениях людей.</w:t>
      </w:r>
    </w:p>
    <w:p w14:paraId="31521FCA" w14:textId="73D7DC2E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/>
        </w:rPr>
        <w:tab/>
      </w:r>
      <w:r w:rsidRPr="00D6646F">
        <w:rPr>
          <w:b/>
          <w:bCs/>
          <w:lang w:val="ru-RU" w:eastAsia="zh-CN"/>
        </w:rPr>
        <w:t>Укреплять потенциал в области урегулирования конфликтов и трудовых отношений</w:t>
      </w:r>
      <w:r w:rsidRPr="00D6646F">
        <w:rPr>
          <w:lang w:val="ru-RU" w:eastAsia="zh-CN"/>
        </w:rPr>
        <w:t xml:space="preserve"> путем расширения диапазона методов профилактики и урегулирования, включая своевременный доступ к независимым консультациям и поддержку руководителей и сотрудников через Омбудсмена и другие соответствующие механизмы.</w:t>
      </w:r>
    </w:p>
    <w:p w14:paraId="369A51D0" w14:textId="70B2205B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Запустить эксперимент с обратной связью для директоров и руководителей</w:t>
      </w:r>
      <w:r w:rsidRPr="00D6646F">
        <w:rPr>
          <w:lang w:val="ru-RU" w:eastAsia="zh-CN"/>
        </w:rPr>
        <w:t xml:space="preserve"> (например, обратная связь по методу 360</w:t>
      </w:r>
      <w:r w:rsidR="0071109B" w:rsidRPr="00D6646F">
        <w:rPr>
          <w:lang w:val="ru-RU" w:eastAsia="zh-CN"/>
        </w:rPr>
        <w:t> </w:t>
      </w:r>
      <w:r w:rsidRPr="00D6646F">
        <w:rPr>
          <w:lang w:val="ru-RU" w:eastAsia="zh-CN"/>
        </w:rPr>
        <w:t>градусов) для укрепления самосознания, лидерского поведения и постоянного совершенствования.</w:t>
      </w:r>
    </w:p>
    <w:p w14:paraId="594172B3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Расширить коучинг для руководителей</w:t>
      </w:r>
      <w:r w:rsidRPr="00D6646F">
        <w:rPr>
          <w:lang w:val="ru-RU" w:eastAsia="zh-CN"/>
        </w:rPr>
        <w:t>, с тем чтобы помочь руководителям высшего звена и приоритетным группам руководить изменениями и ориентироваться в сложных ситуациях, связанных с управлением людскими ресурсами.</w:t>
      </w:r>
    </w:p>
    <w:p w14:paraId="3EDA2A93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lastRenderedPageBreak/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Укрепить управление показателями деятельности</w:t>
      </w:r>
      <w:r w:rsidRPr="00D6646F">
        <w:rPr>
          <w:lang w:val="ru-RU" w:eastAsia="zh-CN"/>
        </w:rPr>
        <w:t>, в том числе бороться с неудовлетворительным выполнением служебных обязанностей с помощью более четких стандартов, более строгой практики документирования и целенаправленного наращивания потенциала руководителей.</w:t>
      </w:r>
    </w:p>
    <w:p w14:paraId="52A0124F" w14:textId="77777777" w:rsidR="002F3D47" w:rsidRPr="00D6646F" w:rsidRDefault="002F3D47" w:rsidP="00E41EB1">
      <w:pPr>
        <w:pStyle w:val="enumlev1"/>
        <w:jc w:val="both"/>
        <w:rPr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lang w:val="ru-RU" w:eastAsia="zh-CN"/>
        </w:rPr>
        <w:t>Внедрить систему наград и признания заслуг</w:t>
      </w:r>
      <w:r w:rsidRPr="00D6646F">
        <w:rPr>
          <w:lang w:val="ru-RU" w:eastAsia="zh-CN"/>
        </w:rPr>
        <w:t xml:space="preserve"> для развития культуры своевременного, прозрачного и инклюзивного признания в соответствии с показателями деятельности и общими ценностями.</w:t>
      </w:r>
    </w:p>
    <w:p w14:paraId="61EB306C" w14:textId="77777777" w:rsidR="002F3D47" w:rsidRPr="00D6646F" w:rsidRDefault="002F3D47" w:rsidP="00E41EB1">
      <w:pPr>
        <w:pStyle w:val="Heading2"/>
        <w:rPr>
          <w:lang w:eastAsia="zh-CN"/>
        </w:rPr>
      </w:pPr>
      <w:r w:rsidRPr="00D6646F">
        <w:rPr>
          <w:lang w:eastAsia="zh-CN"/>
        </w:rPr>
        <w:t>3.3</w:t>
      </w:r>
      <w:r w:rsidRPr="00D6646F">
        <w:rPr>
          <w:lang w:eastAsia="zh-CN"/>
        </w:rPr>
        <w:tab/>
        <w:t>Обучение и карьерный рост</w:t>
      </w:r>
    </w:p>
    <w:p w14:paraId="16AD8344" w14:textId="77777777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t>Почему это имеет значение</w:t>
      </w:r>
    </w:p>
    <w:p w14:paraId="19918DFD" w14:textId="77777777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Требования к навыкам быстро меняются, и поэтому МСЭ считает своей задачей содействовать развитию культуры непрерывного обучения для повышения производительности и обеспечения готовности к будущему. Четкие и прозрачные пути продвижения по службе и целенаправленные возможности развития будут способствовать вовлеченности и удержанию сотрудников, укрепляя при этом потенциал организации. Анализ результатов обучения поможет гарантировать то, что инвестиции основаны на фактических данных и соответствуют стратегическим приоритетам МСЭ.</w:t>
      </w:r>
    </w:p>
    <w:p w14:paraId="0000E4ED" w14:textId="77777777" w:rsidR="002F3D47" w:rsidRPr="00D6646F" w:rsidRDefault="002F3D47" w:rsidP="00E41EB1">
      <w:pPr>
        <w:pStyle w:val="Headingb"/>
        <w:jc w:val="both"/>
        <w:rPr>
          <w:lang w:eastAsia="zh-CN"/>
        </w:rPr>
      </w:pPr>
      <w:r w:rsidRPr="00D6646F">
        <w:rPr>
          <w:lang w:eastAsia="zh-CN"/>
        </w:rPr>
        <w:t>Основные инициативы</w:t>
      </w:r>
    </w:p>
    <w:p w14:paraId="3D5B0C8C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Укреплять системы профессионального роста</w:t>
      </w:r>
      <w:r w:rsidRPr="00D6646F">
        <w:rPr>
          <w:szCs w:val="24"/>
          <w:lang w:val="ru-RU" w:eastAsia="zh-CN"/>
        </w:rPr>
        <w:t xml:space="preserve"> для формулирования четко определенных ожиданий и вариантов развития по разным функциональным областям и классам.</w:t>
      </w:r>
    </w:p>
    <w:p w14:paraId="68FD3664" w14:textId="31DD2EBA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Содействовать формированию культуры непрерывного обучения</w:t>
      </w:r>
      <w:r w:rsidRPr="00D6646F">
        <w:rPr>
          <w:szCs w:val="24"/>
          <w:lang w:val="ru-RU" w:eastAsia="zh-CN"/>
        </w:rPr>
        <w:t xml:space="preserve"> путем усиления общей ответственности за обучение между сотрудниками, руководителями и организацией и путем содействия созданию возможностей для получения доступного</w:t>
      </w:r>
      <w:r w:rsidR="00765204" w:rsidRPr="00D6646F">
        <w:rPr>
          <w:szCs w:val="24"/>
          <w:lang w:val="ru-RU" w:eastAsia="zh-CN"/>
        </w:rPr>
        <w:t> </w:t>
      </w:r>
      <w:r w:rsidRPr="00D6646F">
        <w:rPr>
          <w:szCs w:val="24"/>
          <w:lang w:val="ru-RU" w:eastAsia="zh-CN"/>
        </w:rPr>
        <w:t>обучения.</w:t>
      </w:r>
    </w:p>
    <w:p w14:paraId="551C98A8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Осуществлять годовой план учебных мероприятий, согласованный со Стратегическим планом МСЭ</w:t>
      </w:r>
      <w:r w:rsidRPr="00D6646F">
        <w:rPr>
          <w:szCs w:val="24"/>
          <w:lang w:val="ru-RU" w:eastAsia="zh-CN"/>
        </w:rPr>
        <w:t>, для определения приоритетов инвестиций в обучение и обеспечения соответствия стратегическим приоритетам.</w:t>
      </w:r>
    </w:p>
    <w:p w14:paraId="45194850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Укреплять развитие перспективных навыков</w:t>
      </w:r>
      <w:r w:rsidRPr="00D6646F">
        <w:rPr>
          <w:szCs w:val="24"/>
          <w:lang w:val="ru-RU" w:eastAsia="zh-CN"/>
        </w:rPr>
        <w:t>, увязывая обучение с появляющимися технологиями, приоритетными потребностями в потенциале и критическими функциями при поддержке целевых программ и обучения по месту работы.</w:t>
      </w:r>
    </w:p>
    <w:p w14:paraId="75F7F263" w14:textId="4743BFB5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Развивать анализ результатов обучения и оценку навыков</w:t>
      </w:r>
      <w:r w:rsidRPr="00D6646F">
        <w:rPr>
          <w:szCs w:val="24"/>
          <w:lang w:val="ru-RU" w:eastAsia="zh-CN"/>
        </w:rPr>
        <w:t>, с тем чтобы лучше понимать пробелы в возможностях, адаптировать предложения в области обучения и отслеживать освоение и эффективность учебных мероприятий</w:t>
      </w:r>
      <w:r w:rsidR="0071109B" w:rsidRPr="00D6646F">
        <w:rPr>
          <w:szCs w:val="24"/>
          <w:lang w:val="ru-RU" w:eastAsia="zh-CN"/>
        </w:rPr>
        <w:t>.</w:t>
      </w:r>
    </w:p>
    <w:p w14:paraId="441AAB30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Содействовать обмену знаниями и взаимному обучению</w:t>
      </w:r>
      <w:r w:rsidRPr="00D6646F">
        <w:rPr>
          <w:szCs w:val="24"/>
          <w:lang w:val="ru-RU" w:eastAsia="zh-CN"/>
        </w:rPr>
        <w:t xml:space="preserve"> через сообщества специалистов-практиков, наставничество и структурированные возможности для обмена опытом между группами и отделами.</w:t>
      </w:r>
    </w:p>
    <w:p w14:paraId="4E262794" w14:textId="77777777" w:rsidR="002F3D47" w:rsidRPr="00D6646F" w:rsidRDefault="002F3D47" w:rsidP="00E41EB1">
      <w:pPr>
        <w:pStyle w:val="Heading2"/>
        <w:rPr>
          <w:lang w:eastAsia="zh-CN"/>
        </w:rPr>
      </w:pPr>
      <w:r w:rsidRPr="00D6646F">
        <w:rPr>
          <w:lang w:eastAsia="zh-CN"/>
        </w:rPr>
        <w:t>3.4</w:t>
      </w:r>
      <w:r w:rsidRPr="00D6646F">
        <w:tab/>
      </w:r>
      <w:r w:rsidRPr="00D6646F">
        <w:rPr>
          <w:lang w:eastAsia="zh-CN"/>
        </w:rPr>
        <w:t>Вовлеченность, инклюзивность и благополучие персонала</w:t>
      </w:r>
    </w:p>
    <w:p w14:paraId="28C93C1F" w14:textId="77777777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t>Почему это имеет значение</w:t>
      </w:r>
    </w:p>
    <w:p w14:paraId="4B14458E" w14:textId="45AF9B54" w:rsidR="002F3D47" w:rsidRPr="00D6646F" w:rsidRDefault="002F3D47" w:rsidP="00E41EB1">
      <w:pPr>
        <w:jc w:val="both"/>
        <w:rPr>
          <w:szCs w:val="24"/>
          <w:lang w:val="ru-RU" w:eastAsia="zh-CN"/>
        </w:rPr>
      </w:pPr>
      <w:r w:rsidRPr="00D6646F">
        <w:rPr>
          <w:szCs w:val="24"/>
          <w:lang w:val="ru-RU" w:eastAsia="zh-CN"/>
        </w:rPr>
        <w:t>Вовлеченность, инклюзивность и благополучие персонала являются основой устойчивой деятельности и здоровой организационной культуры. Уделяя первоочередное внимание своей обязанности проявлять заботу и содействуя поддерживающим практикам, МСЭ дает сотрудникам возможность преуспевать, смягчая при этом институциональные риски. Упреждающий учет мнений персонала и замыкание цикла обратной связи будут повышать уровень доверия, тем самым укрепляя взаимное уважительное отношение сотрудников Союза</w:t>
      </w:r>
      <w:r w:rsidR="00765204" w:rsidRPr="00D6646F">
        <w:rPr>
          <w:szCs w:val="24"/>
          <w:lang w:val="ru-RU" w:eastAsia="zh-CN"/>
        </w:rPr>
        <w:t> </w:t>
      </w:r>
      <w:r w:rsidRPr="00D6646F">
        <w:rPr>
          <w:szCs w:val="24"/>
          <w:lang w:val="ru-RU" w:eastAsia="zh-CN"/>
        </w:rPr>
        <w:t>друг к другу.</w:t>
      </w:r>
    </w:p>
    <w:p w14:paraId="63BD3FAF" w14:textId="77777777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lastRenderedPageBreak/>
        <w:t>Основные инициативы</w:t>
      </w:r>
    </w:p>
    <w:p w14:paraId="6E411A60" w14:textId="77777777" w:rsidR="002F3D47" w:rsidRPr="00D6646F" w:rsidRDefault="002F3D47" w:rsidP="00E41EB1">
      <w:pPr>
        <w:pStyle w:val="enumlev1"/>
        <w:jc w:val="both"/>
        <w:rPr>
          <w:b/>
          <w:bCs/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Поддерживать переход к более комплексному подходу к вопросам охраны труда и техники безопасности (OHS)</w:t>
      </w:r>
      <w:r w:rsidRPr="00D6646F">
        <w:rPr>
          <w:szCs w:val="24"/>
          <w:lang w:val="ru-RU" w:eastAsia="zh-CN"/>
        </w:rPr>
        <w:t>, основанному на существующих медицинских услугах, межведомственных связях и укреплении профилактики, управления рисками и осведомленности.</w:t>
      </w:r>
    </w:p>
    <w:p w14:paraId="529DD41A" w14:textId="77777777" w:rsidR="002F3D47" w:rsidRPr="00D6646F" w:rsidRDefault="002F3D47" w:rsidP="00E41EB1">
      <w:pPr>
        <w:pStyle w:val="enumlev1"/>
        <w:jc w:val="both"/>
        <w:rPr>
          <w:b/>
          <w:bCs/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Укреплять программы возвращения на работу</w:t>
      </w:r>
      <w:r w:rsidRPr="00D6646F">
        <w:rPr>
          <w:szCs w:val="24"/>
          <w:lang w:val="ru-RU" w:eastAsia="zh-CN"/>
        </w:rPr>
        <w:t xml:space="preserve"> для поддержки реинтеграции персонала после болезни или отпуска с помощью четких процедур, своевременной координации и соответствующих корректировок условий труда, когда это необходимо.</w:t>
      </w:r>
    </w:p>
    <w:p w14:paraId="0BDED3C6" w14:textId="77777777" w:rsidR="002F3D47" w:rsidRPr="00D6646F" w:rsidRDefault="002F3D47" w:rsidP="00E41EB1">
      <w:pPr>
        <w:pStyle w:val="enumlev1"/>
        <w:jc w:val="both"/>
        <w:rPr>
          <w:b/>
          <w:bCs/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Осуществлять План действий в области психического здоровья и благополучия</w:t>
      </w:r>
      <w:r w:rsidRPr="00D6646F">
        <w:rPr>
          <w:szCs w:val="24"/>
          <w:lang w:val="ru-RU" w:eastAsia="zh-CN"/>
        </w:rPr>
        <w:t xml:space="preserve"> с целью укрепления профилактики, доступа к поддержке и повышения осведомленности, а также с целью содействия созданию благоприятной среды для психического благополучия.</w:t>
      </w:r>
    </w:p>
    <w:p w14:paraId="7E6EFCBC" w14:textId="77777777" w:rsidR="002F3D47" w:rsidRPr="00D6646F" w:rsidRDefault="002F3D47" w:rsidP="00E41EB1">
      <w:pPr>
        <w:pStyle w:val="enumlev1"/>
        <w:jc w:val="both"/>
        <w:rPr>
          <w:b/>
          <w:bCs/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Смягчать стрессовые факторы на рабочем месте и повышать устойчивость</w:t>
      </w:r>
      <w:r w:rsidRPr="00D6646F">
        <w:rPr>
          <w:szCs w:val="24"/>
          <w:lang w:val="ru-RU" w:eastAsia="zh-CN"/>
        </w:rPr>
        <w:t xml:space="preserve"> с помощью целевых мер, практических ресурсов для персонала и руководителей, а также инициатив, способствующих здоровому образу труда.</w:t>
      </w:r>
    </w:p>
    <w:p w14:paraId="02E2C624" w14:textId="56E6EB25" w:rsidR="002F3D47" w:rsidRPr="00D6646F" w:rsidRDefault="002F3D47" w:rsidP="00E41EB1">
      <w:pPr>
        <w:pStyle w:val="enumlev1"/>
        <w:jc w:val="both"/>
        <w:rPr>
          <w:b/>
          <w:bCs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/>
        </w:rPr>
        <w:tab/>
      </w:r>
      <w:r w:rsidRPr="00D6646F">
        <w:rPr>
          <w:b/>
          <w:bCs/>
          <w:lang w:val="ru-RU" w:eastAsia="zh-CN"/>
        </w:rPr>
        <w:t>Внедрять гибкие механизмы работы</w:t>
      </w:r>
      <w:r w:rsidRPr="00D6646F">
        <w:rPr>
          <w:lang w:val="ru-RU" w:eastAsia="zh-CN"/>
        </w:rPr>
        <w:t>, соответствующие оперативным потребностям, для поддержания баланса между работой и личной жизнью посредством четкой политики и руководящих указаний, а также последовательного применения их всеми</w:t>
      </w:r>
      <w:r w:rsidR="003277B0" w:rsidRPr="00D6646F">
        <w:rPr>
          <w:lang w:val="ru-RU" w:eastAsia="zh-CN"/>
        </w:rPr>
        <w:t> </w:t>
      </w:r>
      <w:r w:rsidRPr="00D6646F">
        <w:rPr>
          <w:lang w:val="ru-RU" w:eastAsia="zh-CN"/>
        </w:rPr>
        <w:t>коллективами.</w:t>
      </w:r>
    </w:p>
    <w:p w14:paraId="50D800B5" w14:textId="77777777" w:rsidR="002F3D47" w:rsidRPr="00D6646F" w:rsidRDefault="002F3D47" w:rsidP="00E41EB1">
      <w:pPr>
        <w:pStyle w:val="enumlev1"/>
        <w:jc w:val="both"/>
        <w:rPr>
          <w:b/>
          <w:bCs/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Внедрять принцип инклюзивности на рабочих местах</w:t>
      </w:r>
      <w:r w:rsidRPr="00D6646F">
        <w:rPr>
          <w:szCs w:val="24"/>
          <w:lang w:val="ru-RU" w:eastAsia="zh-CN"/>
        </w:rPr>
        <w:t>, развивая культуру уважения и поддержки, используя разнообразие, предотвращая неприемлемое поведение и способствуя интеграции людей с ограниченными возможностями за счет разумного приспособления, а также равных возможностей для всех.</w:t>
      </w:r>
    </w:p>
    <w:p w14:paraId="09A0115A" w14:textId="77777777" w:rsidR="002F3D47" w:rsidRPr="00D6646F" w:rsidRDefault="002F3D47" w:rsidP="00E41EB1">
      <w:pPr>
        <w:pStyle w:val="enumlev1"/>
        <w:jc w:val="both"/>
        <w:rPr>
          <w:b/>
          <w:bCs/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Использовать механизмы обследования вовлеченности сотрудников (EES) и планы действий</w:t>
      </w:r>
      <w:r w:rsidRPr="00D6646F">
        <w:rPr>
          <w:szCs w:val="24"/>
          <w:lang w:val="ru-RU" w:eastAsia="zh-CN"/>
        </w:rPr>
        <w:t xml:space="preserve"> для институционализации механизмов обратной связи с персоналом, уделяя первоочередное внимание мерам, основанным на фактических данных, и отслеживая прогресс посредством прозрачной коммуникации и взаимной подотчетности.</w:t>
      </w:r>
    </w:p>
    <w:p w14:paraId="5CC65BE5" w14:textId="77777777" w:rsidR="002F3D47" w:rsidRPr="00D6646F" w:rsidRDefault="002F3D47" w:rsidP="00E41EB1">
      <w:pPr>
        <w:pStyle w:val="Heading2"/>
        <w:rPr>
          <w:lang w:eastAsia="zh-CN"/>
        </w:rPr>
      </w:pPr>
      <w:r w:rsidRPr="00D6646F">
        <w:rPr>
          <w:lang w:eastAsia="zh-CN"/>
        </w:rPr>
        <w:t>3.5</w:t>
      </w:r>
      <w:r w:rsidRPr="00D6646F">
        <w:rPr>
          <w:lang w:eastAsia="zh-CN"/>
        </w:rPr>
        <w:tab/>
        <w:t>Управление ЛР, данные и цифровая трансформация</w:t>
      </w:r>
    </w:p>
    <w:p w14:paraId="40C054DB" w14:textId="77777777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t>Почему это имеет значение</w:t>
      </w:r>
    </w:p>
    <w:p w14:paraId="2D842848" w14:textId="3E7117A3" w:rsidR="002F3D47" w:rsidRPr="00D6646F" w:rsidRDefault="002F3D47" w:rsidP="00E41EB1">
      <w:pPr>
        <w:jc w:val="both"/>
        <w:rPr>
          <w:szCs w:val="24"/>
          <w:lang w:val="ru-RU" w:eastAsia="zh-CN"/>
        </w:rPr>
      </w:pPr>
      <w:r w:rsidRPr="00D6646F">
        <w:rPr>
          <w:szCs w:val="24"/>
          <w:lang w:val="ru-RU" w:eastAsia="zh-CN"/>
        </w:rPr>
        <w:t>Хорошо организованное управление ЛР и современные вспомогательные системы лежат в основе последовательного, соответствующего требованиям и эффективного управления людьми. Целевые инвестиции в технологии и усовершенствованную функцию анализа данных будут способствовать развитию культуры обслуживания клиентов, стимулировать принятие решений на основе фактических данных и снижать административную нагрузку за счет автоматизации и оптимизации.</w:t>
      </w:r>
    </w:p>
    <w:p w14:paraId="420A1A03" w14:textId="77777777" w:rsidR="002F3D47" w:rsidRPr="00D6646F" w:rsidRDefault="002F3D47" w:rsidP="00E41EB1">
      <w:pPr>
        <w:pStyle w:val="Headingb"/>
        <w:rPr>
          <w:lang w:eastAsia="zh-CN"/>
        </w:rPr>
      </w:pPr>
      <w:r w:rsidRPr="00D6646F">
        <w:rPr>
          <w:lang w:eastAsia="zh-CN"/>
        </w:rPr>
        <w:t>Основные инициативы</w:t>
      </w:r>
    </w:p>
    <w:p w14:paraId="1894C659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Укреплять нормативно-правовую базу в области ЛР</w:t>
      </w:r>
      <w:r w:rsidRPr="00D6646F">
        <w:rPr>
          <w:szCs w:val="24"/>
          <w:lang w:val="ru-RU" w:eastAsia="zh-CN"/>
        </w:rPr>
        <w:t xml:space="preserve"> путем пересмотра и обновления политики, правил и руководящих указаний для устранения пробелов, повышения согласованности и поддержки последовательного применения.</w:t>
      </w:r>
    </w:p>
    <w:p w14:paraId="1E8A1555" w14:textId="4EEC1789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Разработать и вести штатное расписание</w:t>
      </w:r>
      <w:r w:rsidRPr="00D6646F">
        <w:rPr>
          <w:szCs w:val="24"/>
          <w:lang w:val="ru-RU" w:eastAsia="zh-CN"/>
        </w:rPr>
        <w:t xml:space="preserve"> для создания четкого представления о кадровой ситуации и стимулирования стратегического кадрового планирования, оптимизации ресурсов и организационной реструктуризации при обеспечении транспарентности кадровых тенденций в режиме реального времени.</w:t>
      </w:r>
    </w:p>
    <w:p w14:paraId="32611EEB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 xml:space="preserve">Создать надежную систему контрактов </w:t>
      </w:r>
      <w:r w:rsidRPr="00D6646F">
        <w:rPr>
          <w:szCs w:val="24"/>
          <w:lang w:val="ru-RU" w:eastAsia="zh-CN"/>
        </w:rPr>
        <w:t>для уточнения положений контрактов и соответствующего руководства, что создаст благоприятные условия для придания системе контрактов последовательного, соответствующего требованиям и эффективного характера.</w:t>
      </w:r>
    </w:p>
    <w:p w14:paraId="52EBEA52" w14:textId="39E547BE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lastRenderedPageBreak/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Разработать систему делегирования полномочий (DoA)</w:t>
      </w:r>
      <w:r w:rsidRPr="00D6646F">
        <w:rPr>
          <w:szCs w:val="24"/>
          <w:lang w:val="ru-RU" w:eastAsia="zh-CN"/>
        </w:rPr>
        <w:t xml:space="preserve"> для повышения оперативной гибкости, укрепления подотчетности и рационализации принятия решений в рамках</w:t>
      </w:r>
      <w:r w:rsidR="003277B0" w:rsidRPr="00D6646F">
        <w:rPr>
          <w:szCs w:val="24"/>
          <w:lang w:val="ru-RU" w:eastAsia="zh-CN"/>
        </w:rPr>
        <w:t> </w:t>
      </w:r>
      <w:r w:rsidRPr="00D6646F">
        <w:rPr>
          <w:szCs w:val="24"/>
          <w:lang w:val="ru-RU" w:eastAsia="zh-CN"/>
        </w:rPr>
        <w:t>Союза.</w:t>
      </w:r>
    </w:p>
    <w:p w14:paraId="3F893A89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Рационализировать, упростить и автоматизировать процессы в области ЛР</w:t>
      </w:r>
      <w:r w:rsidRPr="00D6646F">
        <w:rPr>
          <w:szCs w:val="24"/>
          <w:lang w:val="ru-RU" w:eastAsia="zh-CN"/>
        </w:rPr>
        <w:t xml:space="preserve"> с помощью стандартных операционных процедур (СОП) для ключевых процессов, усовершенствований системы SAP-HR и целевых инвестиций в технологии ЛР для повышения эффективности и улучшения предоставления услуг.</w:t>
      </w:r>
    </w:p>
    <w:p w14:paraId="0E975F15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Укреплять функцию по поддержанию отношений с персоналом</w:t>
      </w:r>
      <w:r w:rsidRPr="00D6646F">
        <w:rPr>
          <w:szCs w:val="24"/>
          <w:lang w:val="ru-RU" w:eastAsia="zh-CN"/>
        </w:rPr>
        <w:t xml:space="preserve"> путем продолжения регулярного взаимодействия с Советом персонала и усиления координации с региональными отделениями, повышения справедливости процедур и снижения рисков, связанных с персоналом, в рамках всего Союза.</w:t>
      </w:r>
    </w:p>
    <w:p w14:paraId="60275CC7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Предоставлять услуги медицинского страхования и пенсионного обеспечения, а также соответствующие административные услуги</w:t>
      </w:r>
      <w:r w:rsidRPr="00D6646F">
        <w:rPr>
          <w:szCs w:val="24"/>
          <w:lang w:val="ru-RU" w:eastAsia="zh-CN"/>
        </w:rPr>
        <w:t xml:space="preserve"> в масштабах всей организации, включая региональные отделения, в соответствии с согласованными правилами, процессами и стандартами обслуживания. Кроме того, предоставлять специализированную поддержку региональным отделениям посредством мероприятий, связанных с неотложной медицинской помощью, и предлагать практические рекомендации по процедурам и каналам поддержки.</w:t>
      </w:r>
    </w:p>
    <w:p w14:paraId="611F2851" w14:textId="77777777" w:rsidR="002F3D47" w:rsidRPr="00D6646F" w:rsidRDefault="002F3D47" w:rsidP="00E41EB1">
      <w:pPr>
        <w:pStyle w:val="enumlev1"/>
        <w:jc w:val="both"/>
        <w:rPr>
          <w:szCs w:val="24"/>
          <w:lang w:val="ru-RU" w:eastAsia="zh-CN"/>
        </w:rPr>
      </w:pPr>
      <w:r w:rsidRPr="00D6646F">
        <w:rPr>
          <w:lang w:val="ru-RU" w:eastAsia="zh-CN"/>
        </w:rPr>
        <w:t>–</w:t>
      </w:r>
      <w:r w:rsidRPr="00D6646F">
        <w:rPr>
          <w:lang w:val="ru-RU" w:eastAsia="zh-CN"/>
        </w:rPr>
        <w:tab/>
      </w:r>
      <w:r w:rsidRPr="00D6646F">
        <w:rPr>
          <w:b/>
          <w:bCs/>
          <w:szCs w:val="24"/>
          <w:lang w:val="ru-RU" w:eastAsia="zh-CN"/>
        </w:rPr>
        <w:t>Укреплять потенциал в области данных и аналитики по ЛР</w:t>
      </w:r>
      <w:r w:rsidRPr="00D6646F">
        <w:rPr>
          <w:szCs w:val="24"/>
          <w:lang w:val="ru-RU" w:eastAsia="zh-CN"/>
        </w:rPr>
        <w:t xml:space="preserve"> путем создания надежных и консолидированных источников данных в области ЛР, расширения объема организационной аналитики и перехода к прогнозной аналитике для поддержки планирования, отчетности и принятия решений. </w:t>
      </w:r>
      <w:r w:rsidRPr="00D6646F">
        <w:rPr>
          <w:b/>
          <w:bCs/>
          <w:szCs w:val="24"/>
          <w:lang w:val="ru-RU" w:eastAsia="zh-CN"/>
        </w:rPr>
        <w:t>Оценивать и апробировать решения в области ЛР</w:t>
      </w:r>
      <w:r w:rsidRPr="00D6646F">
        <w:rPr>
          <w:szCs w:val="24"/>
          <w:lang w:val="ru-RU" w:eastAsia="zh-CN"/>
        </w:rPr>
        <w:t xml:space="preserve"> с использованием ИИ, налаживая взаимодействие внутри и между организациями для проверки эффективности, обмена передовым опытом и устранения потенциальных рисков.</w:t>
      </w:r>
    </w:p>
    <w:p w14:paraId="035A8618" w14:textId="77777777" w:rsidR="002F3D47" w:rsidRPr="00D6646F" w:rsidRDefault="002F3D47" w:rsidP="00E41EB1">
      <w:pPr>
        <w:pStyle w:val="Heading1"/>
        <w:rPr>
          <w:lang w:eastAsia="zh-CN"/>
        </w:rPr>
      </w:pPr>
      <w:r w:rsidRPr="00D6646F">
        <w:rPr>
          <w:lang w:eastAsia="zh-CN"/>
        </w:rPr>
        <w:t>4</w:t>
      </w:r>
      <w:r w:rsidRPr="00D6646F">
        <w:rPr>
          <w:lang w:eastAsia="zh-CN"/>
        </w:rPr>
        <w:tab/>
      </w:r>
      <w:r w:rsidRPr="00D6646F">
        <w:t>Реализация и управление</w:t>
      </w:r>
    </w:p>
    <w:p w14:paraId="42D6F1F4" w14:textId="3B563716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СП ЛР на 2026–2027</w:t>
      </w:r>
      <w:r w:rsidR="00765204" w:rsidRPr="00D6646F">
        <w:rPr>
          <w:lang w:val="ru-RU" w:eastAsia="zh-CN"/>
        </w:rPr>
        <w:t> </w:t>
      </w:r>
      <w:r w:rsidRPr="00D6646F">
        <w:rPr>
          <w:lang w:val="ru-RU" w:eastAsia="zh-CN"/>
        </w:rPr>
        <w:t>годы будет введен в действие на основе ежегодного плана работы HRMD, в котором будут определены конечные результаты, ответственные группы и сроки, и реализовываться на основе тесного сотрудничества и постоянного диалога с руководством, менеджерами и персоналом Союза. Укрепленная система подотчетности позволит уточнить роли, обязанности и решения, обеспечивая последовательное выполнение и своевременное принятие решений. Предоставление услуг укрепит культуру обслуживания клиентов с четкими стандартами обслуживания, практическими указаниями для менеджеров и постоянной обратной связью для улучшения опыта пользователей.</w:t>
      </w:r>
    </w:p>
    <w:p w14:paraId="4B0CF010" w14:textId="77777777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Дорожная карта реализации (см.</w:t>
      </w:r>
      <w:r w:rsidRPr="00D6646F">
        <w:rPr>
          <w:color w:val="0000FF"/>
          <w:lang w:val="ru-RU" w:eastAsia="zh-CN"/>
        </w:rPr>
        <w:t xml:space="preserve"> </w:t>
      </w:r>
      <w:hyperlink w:anchor="Annex1" w:history="1">
        <w:proofErr w:type="spellStart"/>
        <w:r w:rsidRPr="00E41EB1">
          <w:rPr>
            <w:rStyle w:val="Hyperlink"/>
          </w:rPr>
          <w:t>Приложение</w:t>
        </w:r>
        <w:proofErr w:type="spellEnd"/>
      </w:hyperlink>
      <w:r w:rsidRPr="00D6646F">
        <w:rPr>
          <w:lang w:val="ru-RU" w:eastAsia="zh-CN"/>
        </w:rPr>
        <w:t>) будет содержать более подробные сведения, включая основные этапы, показатели и ориентировочный график, и будет использоваться для управления последовательностью, взаимозависимостями и ключевыми рисками в рамках различных инициатив. Собранные результаты и данные послужат отправной точкой для подготовки следующего цикла стратегического планирования и позволят разработать обновленные показатели деятельности и целевые показатели.</w:t>
      </w:r>
    </w:p>
    <w:p w14:paraId="4A626829" w14:textId="77777777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Информация о ходе работы и ключевых вопросах будет сообщаться через существующие управленческие каналы, в том числе через регулярные отчеты Совету и IMAC, а также посредством общих собраний с участием всех сотрудников. При необходимости приоритеты реализации будут корректироваться с учетом хода выполнения поставленных задач, возникающих рисков и обратной связи с руководителями и персоналом.</w:t>
      </w:r>
    </w:p>
    <w:p w14:paraId="3C42B846" w14:textId="77777777" w:rsidR="002F3D47" w:rsidRPr="00D6646F" w:rsidRDefault="002F3D47" w:rsidP="00E41EB1">
      <w:pPr>
        <w:pStyle w:val="Heading1"/>
        <w:rPr>
          <w:lang w:eastAsia="zh-CN"/>
        </w:rPr>
      </w:pPr>
      <w:r w:rsidRPr="00D6646F">
        <w:rPr>
          <w:lang w:eastAsia="zh-CN"/>
        </w:rPr>
        <w:t>5</w:t>
      </w:r>
      <w:r w:rsidRPr="00D6646F">
        <w:rPr>
          <w:lang w:eastAsia="zh-CN"/>
        </w:rPr>
        <w:tab/>
      </w:r>
      <w:r w:rsidRPr="00D6646F">
        <w:t>Мониторинг и показатели</w:t>
      </w:r>
    </w:p>
    <w:p w14:paraId="66A424ED" w14:textId="5E9F9E3D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Мониторинг хода осуществления СП ЛР на 2026</w:t>
      </w:r>
      <w:r w:rsidR="0071109B" w:rsidRPr="00D6646F">
        <w:rPr>
          <w:lang w:val="ru-RU" w:eastAsia="zh-CN"/>
        </w:rPr>
        <w:t>­</w:t>
      </w:r>
      <w:r w:rsidRPr="00D6646F">
        <w:rPr>
          <w:lang w:val="ru-RU" w:eastAsia="zh-CN"/>
        </w:rPr>
        <w:t>2027</w:t>
      </w:r>
      <w:r w:rsidR="00765204" w:rsidRPr="00D6646F">
        <w:rPr>
          <w:lang w:val="ru-RU" w:eastAsia="zh-CN"/>
        </w:rPr>
        <w:t> </w:t>
      </w:r>
      <w:r w:rsidRPr="00D6646F">
        <w:rPr>
          <w:lang w:val="ru-RU" w:eastAsia="zh-CN"/>
        </w:rPr>
        <w:t xml:space="preserve">годы будет осуществляться с помощью ежегодных таблиц плана работы HRMD, в которых будут отслеживаться основные виды </w:t>
      </w:r>
      <w:r w:rsidRPr="00D6646F">
        <w:rPr>
          <w:lang w:val="ru-RU" w:eastAsia="zh-CN"/>
        </w:rPr>
        <w:lastRenderedPageBreak/>
        <w:t>деятельности, ответственные группы и предельные сроки. Будет регулярно проводиться обзор хода реализации, с тем чтобы обеспечить своевременное осуществление, учесть возможную эскалацию рисков и при необходимости принять корректирующие меры.</w:t>
      </w:r>
    </w:p>
    <w:p w14:paraId="42298D96" w14:textId="6D8390DD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Мониторинг также будет включать целевые проверки соответствия, охватывающие процессы управления показателями деятельности и соблюдение норм, связанных с обязательным обучением. В надлежащих случаях мониторинг реализации будет дополняться расширенным использованием информационных панелей для получения в режиме реального времени сведений о тенденциях, касающихся кадровых ресурсов (включая, например, гендерный паритет и географическое распределение). Результаты мониторинга будут использоваться для подготовки к следующему циклу планирования, обеспечивая постоянное совершенствование.</w:t>
      </w:r>
    </w:p>
    <w:p w14:paraId="4F298623" w14:textId="77777777" w:rsidR="002F3D47" w:rsidRPr="00D6646F" w:rsidRDefault="002F3D47" w:rsidP="00E41EB1">
      <w:pPr>
        <w:jc w:val="both"/>
        <w:rPr>
          <w:lang w:val="ru-RU" w:eastAsia="zh-CN"/>
        </w:rPr>
      </w:pPr>
      <w:r w:rsidRPr="00D6646F">
        <w:rPr>
          <w:lang w:val="ru-RU" w:eastAsia="zh-CN"/>
        </w:rPr>
        <w:t>Опыт и благополучие персонала будут контролироваться с помощью опросов о вовлеченности сотрудников и планов последующих действий, дополненных статистикой медицинских услуг и отпусков, а также другими имеющимися данными для выявления тенденций.</w:t>
      </w:r>
    </w:p>
    <w:p w14:paraId="2D8AE907" w14:textId="447F44B5" w:rsidR="00DE5447" w:rsidRPr="00D6646F" w:rsidRDefault="002F3D47" w:rsidP="00765204">
      <w:pPr>
        <w:pStyle w:val="Normalaftertitle"/>
        <w:spacing w:before="1440"/>
        <w:rPr>
          <w:lang w:val="ru-RU" w:eastAsia="zh-CN"/>
        </w:rPr>
      </w:pPr>
      <w:r w:rsidRPr="00D6646F">
        <w:rPr>
          <w:b/>
          <w:bCs/>
          <w:lang w:val="ru-RU" w:eastAsia="zh-CN"/>
        </w:rPr>
        <w:t>Приложение</w:t>
      </w:r>
      <w:r w:rsidRPr="00D6646F">
        <w:rPr>
          <w:lang w:val="ru-RU" w:eastAsia="zh-CN"/>
        </w:rPr>
        <w:t>:</w:t>
      </w:r>
      <w:r w:rsidRPr="00D6646F">
        <w:rPr>
          <w:i/>
          <w:iCs/>
          <w:lang w:val="ru-RU" w:eastAsia="zh-CN"/>
        </w:rPr>
        <w:t xml:space="preserve"> </w:t>
      </w:r>
      <w:r w:rsidR="00644DBC" w:rsidRPr="00D6646F">
        <w:rPr>
          <w:lang w:val="ru-RU" w:eastAsia="zh-CN"/>
        </w:rPr>
        <w:t>1</w:t>
      </w:r>
    </w:p>
    <w:p w14:paraId="654B9BA9" w14:textId="77777777" w:rsidR="00DE5447" w:rsidRPr="00D6646F" w:rsidRDefault="00DE5447" w:rsidP="002F3D47">
      <w:pPr>
        <w:pStyle w:val="Normalaftertitle"/>
        <w:spacing w:before="840"/>
        <w:rPr>
          <w:lang w:val="ru-RU" w:eastAsia="zh-CN"/>
        </w:rPr>
      </w:pPr>
    </w:p>
    <w:p w14:paraId="070BD3F8" w14:textId="7DC26E12" w:rsidR="002F3D47" w:rsidRPr="00D6646F" w:rsidRDefault="002F3D47" w:rsidP="002F3D47">
      <w:pPr>
        <w:pStyle w:val="Normalaftertitle"/>
        <w:spacing w:before="840"/>
        <w:rPr>
          <w:i/>
          <w:iCs/>
          <w:lang w:val="ru-RU" w:eastAsia="zh-CN"/>
        </w:rPr>
        <w:sectPr w:rsidR="002F3D47" w:rsidRPr="00D6646F" w:rsidSect="002F3D47">
          <w:footerReference w:type="default" r:id="rId8"/>
          <w:headerReference w:type="first" r:id="rId9"/>
          <w:footerReference w:type="first" r:id="rId10"/>
          <w:pgSz w:w="11907" w:h="16834"/>
          <w:pgMar w:top="1134" w:right="1418" w:bottom="1134" w:left="1418" w:header="720" w:footer="720" w:gutter="0"/>
          <w:paperSrc w:first="286" w:other="286"/>
          <w:cols w:space="720"/>
          <w:titlePg/>
        </w:sectPr>
      </w:pPr>
    </w:p>
    <w:p w14:paraId="6BCF901B" w14:textId="77777777" w:rsidR="002F3D47" w:rsidRPr="00D6646F" w:rsidRDefault="002F3D47" w:rsidP="002F3D47">
      <w:pPr>
        <w:pStyle w:val="AnnexNo"/>
        <w:spacing w:before="0"/>
        <w:rPr>
          <w:lang w:val="ru-RU"/>
        </w:rPr>
      </w:pPr>
      <w:bookmarkStart w:id="7" w:name="Annex1"/>
      <w:bookmarkEnd w:id="7"/>
      <w:r w:rsidRPr="00D6646F">
        <w:rPr>
          <w:lang w:val="ru-RU"/>
        </w:rPr>
        <w:lastRenderedPageBreak/>
        <w:t>ПРИЛОЖЕНИЕ</w:t>
      </w:r>
    </w:p>
    <w:p w14:paraId="14D852CC" w14:textId="471BC995" w:rsidR="002F3D47" w:rsidRPr="00D6646F" w:rsidRDefault="002F3D47" w:rsidP="002F3D47">
      <w:pPr>
        <w:pStyle w:val="Annextitle"/>
        <w:spacing w:after="120"/>
        <w:rPr>
          <w:lang w:val="ru-RU" w:eastAsia="zh-CN"/>
        </w:rPr>
      </w:pPr>
      <w:r w:rsidRPr="00D6646F">
        <w:rPr>
          <w:bCs/>
          <w:lang w:val="ru-RU"/>
        </w:rPr>
        <w:t>Дорожная карта реализации СП ЛР МСЭ на 2026</w:t>
      </w:r>
      <w:r w:rsidR="00042660" w:rsidRPr="00D6646F">
        <w:rPr>
          <w:bCs/>
          <w:lang w:val="ru-RU"/>
        </w:rPr>
        <w:t>­</w:t>
      </w:r>
      <w:r w:rsidRPr="00D6646F">
        <w:rPr>
          <w:bCs/>
          <w:lang w:val="ru-RU"/>
        </w:rPr>
        <w:t>2027</w:t>
      </w:r>
      <w:r w:rsidR="00765204" w:rsidRPr="00D6646F">
        <w:rPr>
          <w:bCs/>
          <w:lang w:val="ru-RU"/>
        </w:rPr>
        <w:t> </w:t>
      </w:r>
      <w:r w:rsidRPr="00D6646F">
        <w:rPr>
          <w:bCs/>
          <w:lang w:val="ru-RU"/>
        </w:rPr>
        <w:t>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29"/>
        <w:gridCol w:w="4132"/>
        <w:gridCol w:w="4339"/>
        <w:gridCol w:w="2605"/>
        <w:gridCol w:w="669"/>
      </w:tblGrid>
      <w:tr w:rsidR="00042660" w:rsidRPr="00D6646F" w14:paraId="0E4D218B" w14:textId="77777777" w:rsidTr="006C34F8">
        <w:trPr>
          <w:cantSplit/>
          <w:tblHeader/>
          <w:jc w:val="center"/>
        </w:trPr>
        <w:tc>
          <w:tcPr>
            <w:tcW w:w="8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D20AB" w14:textId="77777777" w:rsidR="002F3D47" w:rsidRPr="00D6646F" w:rsidRDefault="002F3D47" w:rsidP="008576B1">
            <w:pPr>
              <w:pStyle w:val="Tablehead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A.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</w:r>
            <w:r w:rsidRPr="00D6646F">
              <w:rPr>
                <w:sz w:val="16"/>
                <w:szCs w:val="16"/>
                <w:lang w:val="ru-RU" w:eastAsia="zh-CN"/>
              </w:rPr>
              <w:t>Порядковый номер и название направления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B21AE" w14:textId="77777777" w:rsidR="002F3D47" w:rsidRPr="00D6646F" w:rsidRDefault="002F3D47" w:rsidP="008576B1">
            <w:pPr>
              <w:pStyle w:val="Tablehead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B.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  <w:t>Основные инициативы</w:t>
            </w:r>
          </w:p>
        </w:tc>
        <w:tc>
          <w:tcPr>
            <w:tcW w:w="15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7D6B8" w14:textId="77777777" w:rsidR="002F3D47" w:rsidRPr="00D6646F" w:rsidRDefault="002F3D47" w:rsidP="008576B1">
            <w:pPr>
              <w:pStyle w:val="Tablehead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C.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</w:r>
            <w:r w:rsidRPr="00D6646F">
              <w:rPr>
                <w:sz w:val="16"/>
                <w:szCs w:val="16"/>
                <w:lang w:val="ru-RU"/>
              </w:rPr>
              <w:t>Ключевые показатели эффективности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527C3" w14:textId="77777777" w:rsidR="002F3D47" w:rsidRPr="00D6646F" w:rsidRDefault="002F3D47" w:rsidP="008576B1">
            <w:pPr>
              <w:pStyle w:val="Tablehead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E.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  <w:t>Графики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3324B" w14:textId="77777777" w:rsidR="002F3D47" w:rsidRPr="00D6646F" w:rsidRDefault="002F3D47" w:rsidP="008576B1">
            <w:pPr>
              <w:pStyle w:val="Tablehead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F.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  <w:t>Статус</w:t>
            </w:r>
          </w:p>
        </w:tc>
      </w:tr>
      <w:tr w:rsidR="00881F75" w:rsidRPr="00B871EE" w14:paraId="21585540" w14:textId="77777777" w:rsidTr="003E75B1">
        <w:trPr>
          <w:cantSplit/>
          <w:trHeight w:val="807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00C911C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1.1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3D27C12E" w14:textId="77777777" w:rsidR="00881F75" w:rsidRPr="00D6646F" w:rsidRDefault="00881F75" w:rsidP="00881F75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Система компетенций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392ACBAA" w14:textId="51D7E86F" w:rsidR="00881F75" w:rsidRPr="00D6646F" w:rsidRDefault="00881F75" w:rsidP="00881F75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Внедрить обновленную систему компетенций, соответствующую общим ценностям, для уточнения ожиданий от роли и поддержки единообразных подходов к отбору, показателям деятельности и развитию.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76BF3F03" w14:textId="3AF662D4" w:rsidR="00881F75" w:rsidRPr="00D6646F" w:rsidRDefault="00881F75" w:rsidP="00881F75">
            <w:pPr>
              <w:pStyle w:val="Tabletext"/>
              <w:spacing w:before="0" w:after="0"/>
              <w:ind w:left="225" w:hanging="225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•</w:t>
            </w:r>
            <w:r w:rsidRPr="00D6646F">
              <w:rPr>
                <w:sz w:val="16"/>
                <w:szCs w:val="16"/>
                <w:lang w:val="ru-RU"/>
              </w:rPr>
              <w:tab/>
              <w:t xml:space="preserve">Утверждение и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внедрение</w:t>
            </w:r>
            <w:r w:rsidRPr="00D6646F">
              <w:rPr>
                <w:sz w:val="16"/>
                <w:szCs w:val="16"/>
                <w:lang w:val="ru-RU"/>
              </w:rPr>
              <w:t xml:space="preserve"> системы (качественный</w:t>
            </w:r>
            <w:r w:rsidR="0071109B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показатель)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30DFCE2C" w14:textId="2228124A" w:rsidR="00881F75" w:rsidRPr="00D6646F" w:rsidRDefault="00881F75" w:rsidP="00881F75">
            <w:pPr>
              <w:pStyle w:val="Tabletext"/>
              <w:spacing w:before="0" w:after="0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3-й квартал 2026 года (утверждение); внедрение начиная с 1­го квартала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14F54B59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4958CB33" w14:textId="77777777" w:rsidTr="003E75B1">
        <w:trPr>
          <w:cantSplit/>
          <w:trHeight w:val="39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ABC32FD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FCC2BE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3BC7BAA8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78508B61" w14:textId="0C8868D5" w:rsidR="00881F75" w:rsidRPr="00D6646F" w:rsidRDefault="00881F75" w:rsidP="00881F75">
            <w:pPr>
              <w:pStyle w:val="Tabletext"/>
              <w:spacing w:before="0" w:after="0"/>
              <w:ind w:left="225" w:hanging="225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•</w:t>
            </w:r>
            <w:r w:rsidRPr="00D6646F">
              <w:rPr>
                <w:sz w:val="16"/>
                <w:szCs w:val="16"/>
                <w:lang w:val="ru-RU"/>
              </w:rPr>
              <w:tab/>
              <w:t xml:space="preserve">Процент должностных описаний/функций, увязанных с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компетенциями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45000BF6" w14:textId="2903DF68" w:rsidR="00881F75" w:rsidRPr="00D6646F" w:rsidRDefault="00881F75" w:rsidP="00881F75">
            <w:pPr>
              <w:pStyle w:val="Tabletext"/>
              <w:spacing w:before="0" w:after="0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2DD7C2CC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6AF42B3D" w14:textId="77777777" w:rsidTr="003E75B1">
        <w:trPr>
          <w:cantSplit/>
          <w:trHeight w:val="343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48DBE77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D0BC69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4ED8F889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74C38B4A" w14:textId="77777777" w:rsidR="00881F75" w:rsidRPr="00D6646F" w:rsidRDefault="00881F75" w:rsidP="00881F75">
            <w:pPr>
              <w:pStyle w:val="Tabletext"/>
              <w:spacing w:before="0" w:after="0"/>
              <w:ind w:left="225" w:hanging="225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•</w:t>
            </w:r>
            <w:r w:rsidRPr="00D6646F">
              <w:rPr>
                <w:sz w:val="16"/>
                <w:szCs w:val="16"/>
                <w:lang w:val="ru-RU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</w:t>
            </w:r>
            <w:r w:rsidRPr="00D6646F">
              <w:rPr>
                <w:sz w:val="16"/>
                <w:szCs w:val="16"/>
                <w:lang w:val="ru-RU"/>
              </w:rPr>
              <w:t xml:space="preserve"> шаблонов отбора, обновленных с учетом компетенций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0CC388D4" w14:textId="6D10651C" w:rsidR="00881F75" w:rsidRPr="00D6646F" w:rsidRDefault="00881F75" w:rsidP="00881F75">
            <w:pPr>
              <w:pStyle w:val="Tabletext"/>
              <w:spacing w:before="0" w:after="0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4464D2B4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16C5BFD4" w14:textId="77777777" w:rsidTr="003E75B1">
        <w:trPr>
          <w:cantSplit/>
          <w:trHeight w:val="357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342741B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6D0FF2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4E096C1D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5A856D06" w14:textId="77777777" w:rsidR="00881F75" w:rsidRPr="00D6646F" w:rsidRDefault="00881F75" w:rsidP="00881F75">
            <w:pPr>
              <w:pStyle w:val="Tabletext"/>
              <w:spacing w:before="0" w:after="0"/>
              <w:ind w:left="225" w:hanging="225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•</w:t>
            </w:r>
            <w:r w:rsidRPr="00D6646F">
              <w:rPr>
                <w:sz w:val="16"/>
                <w:szCs w:val="16"/>
                <w:lang w:val="ru-RU"/>
              </w:rPr>
              <w:tab/>
              <w:t xml:space="preserve">Процент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шаблонов</w:t>
            </w:r>
            <w:r w:rsidRPr="00D6646F">
              <w:rPr>
                <w:sz w:val="16"/>
                <w:szCs w:val="16"/>
                <w:lang w:val="ru-RU"/>
              </w:rPr>
              <w:t xml:space="preserve"> показателей деятельности, обновленных с учетом компетенций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4BB46CE0" w14:textId="2A036119" w:rsidR="00881F75" w:rsidRPr="00D6646F" w:rsidRDefault="00881F75" w:rsidP="00881F75">
            <w:pPr>
              <w:pStyle w:val="Tabletext"/>
              <w:spacing w:before="0" w:after="0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63C1A437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B871EE" w14:paraId="1542854D" w14:textId="77777777" w:rsidTr="003E75B1">
        <w:trPr>
          <w:cantSplit/>
          <w:trHeight w:val="130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4CB2967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1.2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003441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Модернизация процесса привлечения перспективных кадров и набора персонала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4FE1614D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Модернизировать процесс привлечения перспективных кадров путем оптимизации сквозных процессов, укрепления методов оценки и поддержки справедливого и прозрачного набора персонала на основе заслуг, обеспечивая целевой охват и надежный кадровый резерв в приоритетных и новых областях навыков, повышая при этом удобство процесса набора для кандидатов и усиливая привлекательность МСЭ для квалифицированных кандидатов.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145EAFF3" w14:textId="330609C6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Среднее количество отвечающих требованиям заявок в расчете на одну вакансию</w:t>
            </w:r>
          </w:p>
          <w:p w14:paraId="0F90C31D" w14:textId="70EE5E3F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Продолжительность цикла набора персонала (время набора персонала)</w:t>
            </w:r>
          </w:p>
          <w:p w14:paraId="2BB20103" w14:textId="1066DD28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Обратная связь от кандидатов на предмет удобства процедур набора персонала (качественный/количественный показатель)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49D8CFBD" w14:textId="77777777" w:rsidR="00881F75" w:rsidRPr="00D6646F" w:rsidRDefault="00881F75" w:rsidP="00881F75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1DA670CF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1D2E1608" w14:textId="77777777" w:rsidTr="003E75B1">
        <w:trPr>
          <w:cantSplit/>
          <w:trHeight w:val="1152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86E7620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0B67A1A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7376EE11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001F5D4B" w14:textId="77777777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набранных сотрудников с использованием модернизированных инструментов оценки</w:t>
            </w:r>
          </w:p>
          <w:p w14:paraId="3497EBFA" w14:textId="26CE8817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Утверждение и внедрение стратегии информационно-пропагандистской деятельности </w:t>
            </w:r>
            <w:r w:rsidRPr="00D6646F">
              <w:rPr>
                <w:sz w:val="16"/>
                <w:szCs w:val="16"/>
                <w:lang w:val="ru-RU"/>
              </w:rPr>
              <w:t>(качественный показатель)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4344A71E" w14:textId="193A2A79" w:rsidR="00881F75" w:rsidRPr="00D6646F" w:rsidRDefault="00881F75" w:rsidP="0071109B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2-й квартал</w:t>
            </w:r>
            <w:r w:rsidRPr="00D6646F">
              <w:rPr>
                <w:sz w:val="16"/>
                <w:szCs w:val="16"/>
                <w:lang w:val="ru-RU" w:eastAsia="zh-CN"/>
              </w:rPr>
              <w:t xml:space="preserve"> </w:t>
            </w:r>
            <w:r w:rsidRPr="00D6646F">
              <w:rPr>
                <w:sz w:val="16"/>
                <w:szCs w:val="16"/>
                <w:lang w:val="ru-RU"/>
              </w:rPr>
              <w:t>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3BCC06CF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B871EE" w14:paraId="71F3A9DA" w14:textId="77777777" w:rsidTr="003E75B1">
        <w:trPr>
          <w:cantSplit/>
          <w:trHeight w:val="834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B17AC03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2ECEEC" w14:textId="77777777" w:rsidR="00881F75" w:rsidRPr="00D6646F" w:rsidRDefault="00881F75" w:rsidP="008576B1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2CC519CA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6D870990" w14:textId="79372936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вакансий, объявленных для внутренних и внешних кандидатов (в год)</w:t>
            </w:r>
          </w:p>
          <w:p w14:paraId="207B1CFF" w14:textId="7EA774BE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вакансий, замещенных внутренними и внешними кандидатами (в год)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2E142879" w14:textId="5C479F4A" w:rsidR="00881F75" w:rsidRPr="00D6646F" w:rsidRDefault="00881F75" w:rsidP="00881F75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года/</w:t>
            </w:r>
            <w:r w:rsidRPr="00D6646F">
              <w:rPr>
                <w:sz w:val="16"/>
                <w:szCs w:val="16"/>
                <w:lang w:val="ru-RU"/>
              </w:rPr>
              <w:br/>
              <w:t>4­й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6616885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1D4B92B5" w14:textId="77777777" w:rsidTr="003E75B1">
        <w:trPr>
          <w:cantSplit/>
          <w:trHeight w:val="427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400951E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1.3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56577F1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Вводный инструктаж и адаптация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70B71C6F" w14:textId="46D0275F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Обеспечить более комплексный и последовательный процесс адаптации и наличие практичных наборов инструментов для руководителей, поддерживая более быструю интеграцию и время достижения продуктивности в командах и методах работы.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1B366C04" w14:textId="531D1D60" w:rsidR="00881F75" w:rsidRPr="00D6646F" w:rsidRDefault="00881F75" w:rsidP="003E75B1">
            <w:pPr>
              <w:pStyle w:val="Tabletext"/>
              <w:keepNext/>
              <w:keepLines/>
              <w:pageBreakBefore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Количество проведенных мероприятий по вводному инструктажу; процент вновь набранных сотрудников, принявших в них участие 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0C7D1E21" w14:textId="1CFCD29C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На круглогодичной/</w:t>
            </w:r>
            <w:r w:rsidRPr="00D6646F">
              <w:rPr>
                <w:sz w:val="16"/>
                <w:szCs w:val="16"/>
                <w:lang w:val="ru-RU"/>
              </w:rPr>
              <w:br/>
              <w:t>текущей основе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36F9840C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398B4AC5" w14:textId="77777777" w:rsidTr="003E75B1">
        <w:trPr>
          <w:cantSplit/>
          <w:trHeight w:val="380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B9A4C16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5965B95D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2E8508AA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40AA4078" w14:textId="700D1563" w:rsidR="00881F75" w:rsidRPr="00D6646F" w:rsidRDefault="00881F75" w:rsidP="003E75B1">
            <w:pPr>
              <w:pStyle w:val="Tabletext"/>
              <w:keepNext/>
              <w:keepLines/>
              <w:pageBreakBefore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сотрудников, успешно прошедших процесс адаптации (например, по истечении 30/60/90 дней)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5E7805D9" w14:textId="20250226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1-й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3D852FE5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0622C718" w14:textId="77777777" w:rsidTr="003E75B1">
        <w:trPr>
          <w:cantSplit/>
          <w:trHeight w:val="645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49632FA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2E763E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6E7ADEB2" w14:textId="77777777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7ABE3904" w14:textId="1E1A74D1" w:rsidR="00881F75" w:rsidRPr="00D6646F" w:rsidRDefault="00881F75" w:rsidP="003E75B1">
            <w:pPr>
              <w:pStyle w:val="Tabletext"/>
              <w:keepNext/>
              <w:keepLines/>
              <w:pageBreakBefore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Использование набора инструментов для руководителей (да/нет) и обратная связь от</w:t>
            </w:r>
            <w:r w:rsidR="0071109B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пользователей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6E9E3879" w14:textId="79B1415A" w:rsidR="00881F75" w:rsidRPr="00D6646F" w:rsidRDefault="00881F75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1-й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46E97B0F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7A40C830" w14:textId="77777777" w:rsidTr="003E75B1">
        <w:trPr>
          <w:cantSplit/>
          <w:trHeight w:val="364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747F521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1.4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93E8DA" w14:textId="630C7938" w:rsidR="00881F75" w:rsidRPr="00D6646F" w:rsidRDefault="00881F75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Мобильность и</w:t>
            </w:r>
            <w:r w:rsidR="006C34F8" w:rsidRPr="00D6646F">
              <w:rPr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sz w:val="16"/>
                <w:szCs w:val="16"/>
                <w:lang w:val="ru-RU" w:eastAsia="zh-CN"/>
              </w:rPr>
              <w:t>ротация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2B58C265" w14:textId="77777777" w:rsidR="00881F75" w:rsidRPr="00D6646F" w:rsidRDefault="00881F75" w:rsidP="00881F75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Расширять возможности развития и мобильности для направления специалистов туда, где они наиболее необходимы, поддерживать карьерный рост и укреплять передачу знаний, используя внутреннюю мобильность там, где это возможно.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69957177" w14:textId="5EC844D2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созданных возможностей внутренней мобильности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0EBADBA7" w14:textId="13A19B9E" w:rsidR="00881F75" w:rsidRPr="00D6646F" w:rsidRDefault="00881F75" w:rsidP="00881F75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1-й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318945A0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881F75" w:rsidRPr="00D6646F" w14:paraId="6B206A60" w14:textId="77777777" w:rsidTr="003E75B1">
        <w:trPr>
          <w:cantSplit/>
          <w:trHeight w:val="772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7BADCAB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B068A8" w14:textId="77777777" w:rsidR="00881F75" w:rsidRPr="00D6646F" w:rsidRDefault="00881F75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8ABDB63" w14:textId="77777777" w:rsidR="00881F75" w:rsidRPr="00D6646F" w:rsidRDefault="00881F75" w:rsidP="00881F75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</w:tcBorders>
            <w:shd w:val="clear" w:color="auto" w:fill="DEEAF6"/>
          </w:tcPr>
          <w:p w14:paraId="140C1D17" w14:textId="39E920F9" w:rsidR="00881F75" w:rsidRPr="00D6646F" w:rsidRDefault="00881F75" w:rsidP="00881F75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Годовые тенденции в области мобильности в разбивке по классам/функциональным областям/департаментам (информационная панель)</w:t>
            </w:r>
          </w:p>
        </w:tc>
        <w:tc>
          <w:tcPr>
            <w:tcW w:w="931" w:type="pct"/>
            <w:tcBorders>
              <w:top w:val="nil"/>
            </w:tcBorders>
            <w:shd w:val="clear" w:color="auto" w:fill="DEEAF6"/>
          </w:tcPr>
          <w:p w14:paraId="2FC4B0B5" w14:textId="0C577EA1" w:rsidR="00881F75" w:rsidRPr="00D6646F" w:rsidRDefault="00881F75" w:rsidP="00881F75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27BBCFD2" w14:textId="77777777" w:rsidR="00881F75" w:rsidRPr="00D6646F" w:rsidRDefault="00881F75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421D5C46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24CDB11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7CD7F0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Целевые партнерства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45751E4E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Укреплять целевые партнерства с Государствами-Членами, организациями и академическими учреждениями для расширения возможностей первичного приема на работу, особенно для молодых специалистов и кандидатов из недостаточно представленных Государств-Членов, при одновременном обеспечении прозрачного управления и взаимной выгоды.</w:t>
            </w:r>
          </w:p>
        </w:tc>
        <w:tc>
          <w:tcPr>
            <w:tcW w:w="1551" w:type="pct"/>
            <w:shd w:val="clear" w:color="auto" w:fill="DEEAF6"/>
          </w:tcPr>
          <w:p w14:paraId="39186396" w14:textId="27B27547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созданных партнерств (FIT, МСС, партнеры по откомандированию/прикомандированию)</w:t>
            </w:r>
          </w:p>
          <w:p w14:paraId="77B155BE" w14:textId="70614E9A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Число стажеров/начинающих специалистов</w:t>
            </w:r>
          </w:p>
          <w:p w14:paraId="69335B93" w14:textId="344ADDD1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кандидатов из НРС, ЛЛДС и СИДС</w:t>
            </w:r>
            <w:r w:rsidRPr="00D6646F">
              <w:rPr>
                <w:rFonts w:eastAsia="DengXian"/>
                <w:position w:val="6"/>
                <w:sz w:val="14"/>
                <w:szCs w:val="14"/>
                <w:lang w:val="ru-RU" w:eastAsia="zh-CN"/>
              </w:rPr>
              <w:footnoteReference w:id="1"/>
            </w:r>
          </w:p>
        </w:tc>
        <w:tc>
          <w:tcPr>
            <w:tcW w:w="931" w:type="pct"/>
            <w:shd w:val="clear" w:color="auto" w:fill="DEEAF6"/>
          </w:tcPr>
          <w:p w14:paraId="724CF27D" w14:textId="0101A51A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На текущей основе в</w:t>
            </w:r>
            <w:r w:rsidRPr="00D6646F">
              <w:rPr>
                <w:sz w:val="16"/>
                <w:szCs w:val="16"/>
                <w:lang w:val="ru-RU" w:eastAsia="zh-CN"/>
              </w:rPr>
              <w:t xml:space="preserve"> 2026</w:t>
            </w:r>
            <w:r w:rsidR="006C34F8" w:rsidRPr="00D6646F">
              <w:rPr>
                <w:sz w:val="16"/>
                <w:szCs w:val="16"/>
                <w:lang w:val="ru-RU" w:eastAsia="zh-CN"/>
              </w:rPr>
              <w:t>­</w:t>
            </w:r>
            <w:r w:rsidRPr="00D6646F">
              <w:rPr>
                <w:sz w:val="16"/>
                <w:szCs w:val="16"/>
                <w:lang w:val="ru-RU" w:eastAsia="zh-CN"/>
              </w:rPr>
              <w:t>2027</w:t>
            </w:r>
            <w:r w:rsidR="006C34F8" w:rsidRPr="00D6646F">
              <w:rPr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sz w:val="16"/>
                <w:szCs w:val="16"/>
                <w:lang w:val="ru-RU" w:eastAsia="zh-CN"/>
              </w:rPr>
              <w:t>годах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0CFF8852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0ADE5E31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B69C2E4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66A063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Контрактные механизмы и ресурсные инструменты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3323BDAC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Создать четкую контрактную базу с более гибкими условиями контрактов и усовершенствовать соответствующие контрактные и ресурсные инструменты для реагирования на краткосрочные пики рабочих нагрузок, потребности в специализированных знаниях и ограниченные по времени инициативы.</w:t>
            </w:r>
          </w:p>
        </w:tc>
        <w:tc>
          <w:tcPr>
            <w:tcW w:w="1551" w:type="pct"/>
            <w:shd w:val="clear" w:color="auto" w:fill="DEEAF6"/>
          </w:tcPr>
          <w:p w14:paraId="7D3042CD" w14:textId="37277B03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созданных новых контрактных механизмов</w:t>
            </w:r>
          </w:p>
          <w:p w14:paraId="3F7FB213" w14:textId="3DFB4FA5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Разработка и внедрение набора инструментов для</w:t>
            </w:r>
            <w:r w:rsidR="0071109B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руководителей</w:t>
            </w:r>
          </w:p>
          <w:p w14:paraId="20DF69A2" w14:textId="1F0ACE65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Среднее время заполнения должностей аффилированных лиц (на проектной основе)</w:t>
            </w:r>
          </w:p>
        </w:tc>
        <w:tc>
          <w:tcPr>
            <w:tcW w:w="931" w:type="pct"/>
            <w:shd w:val="clear" w:color="auto" w:fill="DEEAF6"/>
          </w:tcPr>
          <w:p w14:paraId="35E42074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0BBDC940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2734DA41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FD02B49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1.7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194CD0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Кадровое планирование и преемственность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5A4915E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Укреплять кадровое планирование и преемственность для прогнозирования критически важных потребностей, управления рисками, связанными с текущим кадровым резервом и выходом на пенсию, и поддержки своевременных кадровых решений в соответствии с организационными приоритетами.</w:t>
            </w:r>
          </w:p>
        </w:tc>
        <w:tc>
          <w:tcPr>
            <w:tcW w:w="1551" w:type="pct"/>
            <w:shd w:val="clear" w:color="auto" w:fill="DEEAF6"/>
          </w:tcPr>
          <w:p w14:paraId="356999C4" w14:textId="24A7C6B7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sz w:val="16"/>
                <w:szCs w:val="16"/>
                <w:lang w:val="ru-RU"/>
              </w:rPr>
              <w:t>Утверждена и введена в действие система планирования людских ресурсов (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качественный</w:t>
            </w:r>
            <w:r w:rsidR="006C34F8" w:rsidRPr="00D6646F">
              <w:rPr>
                <w:rFonts w:eastAsia="DengXian"/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показатель)</w:t>
            </w:r>
          </w:p>
          <w:p w14:paraId="2F3CCD25" w14:textId="537F1D64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Планирование преемственности для сопоставления важнейших ролей (качественный/</w:t>
            </w:r>
            <w:r w:rsidR="006C34F8"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количественный показатель)</w:t>
            </w:r>
          </w:p>
          <w:p w14:paraId="4A96CF38" w14:textId="3950850C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Тенденции в области вакансий и четкое представление о состоянии процессов, связанных с набором персонала (информационная панель)</w:t>
            </w:r>
          </w:p>
        </w:tc>
        <w:tc>
          <w:tcPr>
            <w:tcW w:w="931" w:type="pct"/>
            <w:shd w:val="clear" w:color="auto" w:fill="DEEAF6"/>
          </w:tcPr>
          <w:p w14:paraId="16987BD3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72D31761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2B0C5FE9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1A5A663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ECF556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Конвейер лидерских качеств и упреждающее выявление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F8CC81F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Укреплять конвейер лидерских качеств и упреждающее выявление путем уточнения ожиданий от лидеров, определения потенциала на ранних этапах и создания возможностей целевого развития.</w:t>
            </w:r>
          </w:p>
        </w:tc>
        <w:tc>
          <w:tcPr>
            <w:tcW w:w="1551" w:type="pct"/>
            <w:shd w:val="clear" w:color="auto" w:fill="DEEAF6"/>
          </w:tcPr>
          <w:p w14:paraId="46E62BF9" w14:textId="79C98D6B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предлагаемых программ развития лидерских качеств</w:t>
            </w:r>
          </w:p>
          <w:p w14:paraId="0731B9B7" w14:textId="637EF6E9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Участие в программах обучения лидерским качествам и количество прошедших их сотрудников</w:t>
            </w:r>
          </w:p>
        </w:tc>
        <w:tc>
          <w:tcPr>
            <w:tcW w:w="931" w:type="pct"/>
            <w:shd w:val="clear" w:color="auto" w:fill="DEEAF6"/>
          </w:tcPr>
          <w:p w14:paraId="19AE552F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Программы предлагаются в 2026 и 2027 годах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5006AC4A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69DABD57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4C83CFF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0D8C3D3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Обязательная подготовка руководителей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76DD508A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Ввести обязательную подготовку руководителей в целях создания и укрепления основных навыков по управлению людскими ресурсами, поддерживаемую практическими инструментами и руководящими указаниями в отношении последовательного применения политики и процедур.</w:t>
            </w:r>
          </w:p>
        </w:tc>
        <w:tc>
          <w:tcPr>
            <w:tcW w:w="1551" w:type="pct"/>
            <w:shd w:val="clear" w:color="auto" w:fill="DEEAF6"/>
          </w:tcPr>
          <w:p w14:paraId="2367A4A3" w14:textId="64479944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сотрудников, прошедших программы обязательного обучения (категория руководителей)</w:t>
            </w:r>
          </w:p>
          <w:p w14:paraId="5A23C746" w14:textId="214759B5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Процент руководителей, прошедших программы обязательного обучения в установленные сроки </w:t>
            </w:r>
          </w:p>
        </w:tc>
        <w:tc>
          <w:tcPr>
            <w:tcW w:w="931" w:type="pct"/>
            <w:shd w:val="clear" w:color="auto" w:fill="DEEAF6"/>
          </w:tcPr>
          <w:p w14:paraId="29A09BE7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1189ADBC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1819A1FD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79EADB7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7B09AA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Инклюзивное и адаптивное лидерство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42EA3D7" w14:textId="215898B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Развивать инклюзивное и адаптивное лидерство с целью стимулирования инноваций и организационной устойчивости при поддержке целевых программ обучения, в которых принципы подотчетности и справедливости учитываются в повседневных решениях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людей.</w:t>
            </w:r>
          </w:p>
        </w:tc>
        <w:tc>
          <w:tcPr>
            <w:tcW w:w="1551" w:type="pct"/>
            <w:shd w:val="clear" w:color="auto" w:fill="DEEAF6"/>
          </w:tcPr>
          <w:p w14:paraId="2C5023EE" w14:textId="19D7EBBC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Участие в программах обучения лидерским качествам и их прохождение (включая адаптивное лидерство, лидерство с учетом гендерных факторов и т. д.)</w:t>
            </w:r>
          </w:p>
          <w:p w14:paraId="197F3D7A" w14:textId="11D0A75B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Балл, связанный с инклюзивностью, в опросе о вовлеченности сотрудников (EES) (тенденция)</w:t>
            </w:r>
          </w:p>
        </w:tc>
        <w:tc>
          <w:tcPr>
            <w:tcW w:w="931" w:type="pct"/>
            <w:shd w:val="clear" w:color="auto" w:fill="DEEAF6"/>
          </w:tcPr>
          <w:p w14:paraId="416626E5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3-й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06EEF42A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2875716C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A681943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9DFB93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Урегулирование конфликтов и возможности в области трудовых отношений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5C9273F" w14:textId="79F2686E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Укреплять потенциал в области урегулирования конфликтов и трудовых отношений путем расширения диапазона методов профилактики и урегулирования, включая своевременный доступ к независимым консультациям и поддержку руководителей и сотрудников через Омбудсмена и другие соответствующие</w:t>
            </w:r>
            <w:r w:rsidR="00765204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механизмы.</w:t>
            </w:r>
          </w:p>
        </w:tc>
        <w:tc>
          <w:tcPr>
            <w:tcW w:w="1551" w:type="pct"/>
            <w:shd w:val="clear" w:color="auto" w:fill="DEEAF6"/>
          </w:tcPr>
          <w:p w14:paraId="30F364A5" w14:textId="7E2D0F95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Число руководителей и сотрудников, прошедших подготовку по вопросам предотвращения конфликтов и неформального урегулирования</w:t>
            </w:r>
          </w:p>
          <w:p w14:paraId="0468CFBB" w14:textId="3D8CE62C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Тенденция в использовании неформальных способов урегулирования споров (например, Омбудсмен и посредничество)</w:t>
            </w:r>
          </w:p>
        </w:tc>
        <w:tc>
          <w:tcPr>
            <w:tcW w:w="931" w:type="pct"/>
            <w:shd w:val="clear" w:color="auto" w:fill="DEEAF6"/>
          </w:tcPr>
          <w:p w14:paraId="43F5FED7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3-й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4F3E6A00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449B545C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C8CF388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678432" w14:textId="77777777" w:rsidR="002F3D47" w:rsidRPr="00D6646F" w:rsidRDefault="002F3D47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Эксперимент с обратной связью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4C473932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Запустить эксперимент с обратной связью для директоров и руководителей (например, обратная связь по методу 360 градусов) для укрепления самосознания, лидерского поведения и постоянного совершенствования.</w:t>
            </w:r>
          </w:p>
        </w:tc>
        <w:tc>
          <w:tcPr>
            <w:tcW w:w="1551" w:type="pct"/>
            <w:shd w:val="clear" w:color="auto" w:fill="DEEAF6"/>
          </w:tcPr>
          <w:p w14:paraId="636A147E" w14:textId="5EE77327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Экспериментальный проект реализован (да/нет)</w:t>
            </w:r>
          </w:p>
          <w:p w14:paraId="77A12419" w14:textId="50EF104E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Коэффициент участия</w:t>
            </w:r>
          </w:p>
        </w:tc>
        <w:tc>
          <w:tcPr>
            <w:tcW w:w="931" w:type="pct"/>
            <w:shd w:val="clear" w:color="auto" w:fill="DEEAF6"/>
          </w:tcPr>
          <w:p w14:paraId="7BF2DCB9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2F0A98F9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36A10E05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6002757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2.6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F1E6E2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Коучинг для руководителей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4133415F" w14:textId="6C0BA38C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Расширить коучинг для руководителей, с тем чтобы помочь руководителям высшего звена и приоритетным группам руководить изменениями и ориентироваться в сложных ситуациях, связанных с управлением людскими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ресурсами.</w:t>
            </w:r>
          </w:p>
        </w:tc>
        <w:tc>
          <w:tcPr>
            <w:tcW w:w="1551" w:type="pct"/>
            <w:shd w:val="clear" w:color="auto" w:fill="DEEAF6"/>
          </w:tcPr>
          <w:p w14:paraId="665FA81C" w14:textId="14C34214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руководителей высшего звена, принявших участие в программах коучинга</w:t>
            </w:r>
          </w:p>
        </w:tc>
        <w:tc>
          <w:tcPr>
            <w:tcW w:w="931" w:type="pct"/>
            <w:shd w:val="clear" w:color="auto" w:fill="DEEAF6"/>
          </w:tcPr>
          <w:p w14:paraId="7EC128C3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5345C4F0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29878D91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BA39FB2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324D40" w14:textId="73A26050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Управление показателями деятельности и обсуждение трудных</w:t>
            </w:r>
            <w:r w:rsidR="00765204" w:rsidRPr="00D6646F">
              <w:rPr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sz w:val="16"/>
                <w:szCs w:val="16"/>
                <w:lang w:val="ru-RU" w:eastAsia="zh-CN"/>
              </w:rPr>
              <w:t>тем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37CA6512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Укрепить управление показателями деятельности, в том числе бороться с неудовлетворительным выполнением служебных обязанностей с помощью более четких стандартов, более строгой практики документирования и целенаправленного наращивания потенциала руководителей.</w:t>
            </w:r>
          </w:p>
        </w:tc>
        <w:tc>
          <w:tcPr>
            <w:tcW w:w="1551" w:type="pct"/>
            <w:shd w:val="clear" w:color="auto" w:fill="DEEAF6"/>
          </w:tcPr>
          <w:p w14:paraId="6A942EB1" w14:textId="22725AD6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Коэффициенты соответствия (управление показателями деятельности)</w:t>
            </w:r>
          </w:p>
          <w:p w14:paraId="51D01D42" w14:textId="3FBCFAE7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руководителей, прошедших обучение по темам "Управление показателями деятельности", "Меры в связи с неудовлетворительным выполнением служебных обязанностей" и "Обсуждение трудных тем"</w:t>
            </w:r>
          </w:p>
        </w:tc>
        <w:tc>
          <w:tcPr>
            <w:tcW w:w="931" w:type="pct"/>
            <w:shd w:val="clear" w:color="auto" w:fill="DEEAF6"/>
          </w:tcPr>
          <w:p w14:paraId="37FF4877" w14:textId="4ADD9121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 и 4</w:t>
            </w:r>
            <w:r w:rsidR="006C34F8" w:rsidRPr="00D6646F">
              <w:rPr>
                <w:sz w:val="16"/>
                <w:szCs w:val="16"/>
                <w:lang w:val="ru-RU"/>
              </w:rPr>
              <w:t>­</w:t>
            </w:r>
            <w:r w:rsidRPr="00D6646F">
              <w:rPr>
                <w:sz w:val="16"/>
                <w:szCs w:val="16"/>
                <w:lang w:val="ru-RU"/>
              </w:rPr>
              <w:t>й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квартал 2027 года (на</w:t>
            </w:r>
            <w:r w:rsidR="00765204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ежегодной основе)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578BCEC0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1A299FF2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04ECA24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2.8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ADB871" w14:textId="77777777" w:rsidR="002F3D47" w:rsidRPr="00D6646F" w:rsidRDefault="002F3D47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Система наград и признания заслуг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1889C070" w14:textId="77777777" w:rsidR="002F3D47" w:rsidRPr="00D6646F" w:rsidRDefault="002F3D47" w:rsidP="008576B1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Внедрить систему наград и признания заслуг для развития культуры своевременного, прозрачного и инклюзивного признания в соответствии с показателями деятельности и общими ценностями.</w:t>
            </w:r>
          </w:p>
        </w:tc>
        <w:tc>
          <w:tcPr>
            <w:tcW w:w="1551" w:type="pct"/>
            <w:shd w:val="clear" w:color="auto" w:fill="DEEAF6"/>
            <w:vAlign w:val="center"/>
          </w:tcPr>
          <w:p w14:paraId="77A8460D" w14:textId="43F45783" w:rsidR="002F3D47" w:rsidRPr="00D6646F" w:rsidRDefault="002F3D47" w:rsidP="00644DBC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Утверждение и внедрение системы (качественный</w:t>
            </w:r>
            <w:r w:rsidR="00D6646F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показатель)</w:t>
            </w:r>
          </w:p>
          <w:p w14:paraId="0D9457DD" w14:textId="21477D7D" w:rsidR="002F3D47" w:rsidRPr="00D6646F" w:rsidRDefault="002F3D47" w:rsidP="00644DBC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Уровень внедрения механизмов признания заслуг (количество/в процентах)</w:t>
            </w:r>
          </w:p>
          <w:p w14:paraId="0EFB6592" w14:textId="0CCBBEDB" w:rsidR="002F3D47" w:rsidRPr="00D6646F" w:rsidRDefault="002F3D47" w:rsidP="00644DBC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Восприятие признания/справедливости (элементы EES/качественный показатель)</w:t>
            </w:r>
          </w:p>
        </w:tc>
        <w:tc>
          <w:tcPr>
            <w:tcW w:w="931" w:type="pct"/>
            <w:shd w:val="clear" w:color="auto" w:fill="DEEAF6"/>
          </w:tcPr>
          <w:p w14:paraId="5D7452ED" w14:textId="0EBA14B2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 (впоследствии – на</w:t>
            </w:r>
            <w:r w:rsidR="00765204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ежегодной основе)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529E337A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1A975627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9E9CB79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3.1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2FC284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Профессиональный рост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8460876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Укреплять системы профессионального роста для формулирования четко определенных ожиданий и вариантов развития по разным функциональным областям и классам.</w:t>
            </w:r>
          </w:p>
        </w:tc>
        <w:tc>
          <w:tcPr>
            <w:tcW w:w="1551" w:type="pct"/>
            <w:shd w:val="clear" w:color="auto" w:fill="DEEAF6"/>
          </w:tcPr>
          <w:p w14:paraId="21BF6DC9" w14:textId="71A3A7A4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сотрудников, прошедших целевые программы профессионального роста/повышения квалификации</w:t>
            </w:r>
          </w:p>
          <w:p w14:paraId="47E38678" w14:textId="2E0DCB9E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Организация адресных программ профессионального роста, включая написание резюме, обучение навыкам прохождения собеседования на основе компетенций (CBI) (элементы EES/качественный показатель)</w:t>
            </w:r>
          </w:p>
        </w:tc>
        <w:tc>
          <w:tcPr>
            <w:tcW w:w="931" w:type="pct"/>
            <w:shd w:val="clear" w:color="auto" w:fill="DEEAF6"/>
          </w:tcPr>
          <w:p w14:paraId="7EAA8A3F" w14:textId="2C8923DB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3-й квартал 2026 года/</w:t>
            </w:r>
            <w:r w:rsidR="006C34F8" w:rsidRPr="00D6646F">
              <w:rPr>
                <w:sz w:val="16"/>
                <w:szCs w:val="16"/>
                <w:lang w:val="ru-RU"/>
              </w:rPr>
              <w:br/>
            </w:r>
            <w:r w:rsidRPr="00D6646F">
              <w:rPr>
                <w:sz w:val="16"/>
                <w:szCs w:val="16"/>
                <w:lang w:val="ru-RU"/>
              </w:rPr>
              <w:t>3-й квартал 2027 года (предлагается ежегодно)</w:t>
            </w:r>
          </w:p>
        </w:tc>
        <w:tc>
          <w:tcPr>
            <w:tcW w:w="239" w:type="pct"/>
            <w:shd w:val="clear" w:color="auto" w:fill="DEEAF6"/>
          </w:tcPr>
          <w:p w14:paraId="6F869F3A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3E01D66B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AD0E72B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411DA8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Непрерывное обучение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0C1BA959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Содействовать формированию культуры непрерывного обучения путем усиления общей ответственности за обучение между сотрудниками, руководителями и организацией и путем содействия созданию возможностей для получения доступного обучения.</w:t>
            </w:r>
          </w:p>
        </w:tc>
        <w:tc>
          <w:tcPr>
            <w:tcW w:w="1551" w:type="pct"/>
            <w:shd w:val="clear" w:color="auto" w:fill="DEEAF6"/>
          </w:tcPr>
          <w:p w14:paraId="1C3C83CA" w14:textId="2E1B9AB9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сотрудников, прошедших не менее одного профильного курса обучения по месту работы</w:t>
            </w:r>
          </w:p>
        </w:tc>
        <w:tc>
          <w:tcPr>
            <w:tcW w:w="931" w:type="pct"/>
            <w:shd w:val="clear" w:color="auto" w:fill="DEEAF6"/>
          </w:tcPr>
          <w:p w14:paraId="5898A8A9" w14:textId="0FCE1EAD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Ежегодно (к 4-му кварталу 2026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года/</w:t>
            </w:r>
            <w:r w:rsidR="00D6646F" w:rsidRPr="00D6646F">
              <w:rPr>
                <w:sz w:val="16"/>
                <w:szCs w:val="16"/>
                <w:lang w:val="ru-RU"/>
              </w:rPr>
              <w:br/>
            </w:r>
            <w:r w:rsidRPr="00D6646F">
              <w:rPr>
                <w:sz w:val="16"/>
                <w:szCs w:val="16"/>
                <w:lang w:val="ru-RU"/>
              </w:rPr>
              <w:t>4</w:t>
            </w:r>
            <w:r w:rsidR="00765204" w:rsidRPr="00D6646F">
              <w:rPr>
                <w:sz w:val="16"/>
                <w:szCs w:val="16"/>
                <w:lang w:val="ru-RU"/>
              </w:rPr>
              <w:t>­</w:t>
            </w:r>
            <w:r w:rsidRPr="00D6646F">
              <w:rPr>
                <w:sz w:val="16"/>
                <w:szCs w:val="16"/>
                <w:lang w:val="ru-RU"/>
              </w:rPr>
              <w:t>му кварталу 2027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года)</w:t>
            </w:r>
          </w:p>
        </w:tc>
        <w:tc>
          <w:tcPr>
            <w:tcW w:w="239" w:type="pct"/>
            <w:shd w:val="clear" w:color="auto" w:fill="DEEAF6"/>
          </w:tcPr>
          <w:p w14:paraId="738B31C9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68690C9F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78B9E03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39BC71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Годовой план учебных мероприятий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BFF35B6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Осуществлять годовой план учебных мероприятий, согласованный со Стратегическим планом МСЭ, для определения приоритетов инвестиций в обучение и обеспечения соответствия стратегическим приоритетам.</w:t>
            </w:r>
          </w:p>
        </w:tc>
        <w:tc>
          <w:tcPr>
            <w:tcW w:w="1551" w:type="pct"/>
            <w:shd w:val="clear" w:color="auto" w:fill="DEEAF6"/>
          </w:tcPr>
          <w:p w14:paraId="78BC47ED" w14:textId="72087E09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Публикация и реализация плана (</w:t>
            </w:r>
            <w:r w:rsidRPr="00D6646F">
              <w:rPr>
                <w:sz w:val="16"/>
                <w:szCs w:val="16"/>
                <w:lang w:val="ru-RU"/>
              </w:rPr>
              <w:t>качественный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показатель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)</w:t>
            </w:r>
          </w:p>
          <w:p w14:paraId="6A2053DE" w14:textId="17877910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Инвестиции в профессиональную подготовку в процентах от затрат по персоналу (целевой показатель</w:t>
            </w:r>
            <w:r w:rsidR="006C34F8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–</w:t>
            </w:r>
            <w:r w:rsidR="006C34F8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3%)</w:t>
            </w:r>
          </w:p>
        </w:tc>
        <w:tc>
          <w:tcPr>
            <w:tcW w:w="931" w:type="pct"/>
            <w:shd w:val="clear" w:color="auto" w:fill="DEEAF6"/>
          </w:tcPr>
          <w:p w14:paraId="753E66C1" w14:textId="26E1FC76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1-й квартал 2026 года/</w:t>
            </w:r>
            <w:r w:rsidR="006C34F8" w:rsidRPr="00D6646F">
              <w:rPr>
                <w:sz w:val="16"/>
                <w:szCs w:val="16"/>
                <w:lang w:val="ru-RU"/>
              </w:rPr>
              <w:br/>
            </w:r>
            <w:r w:rsidRPr="00D6646F">
              <w:rPr>
                <w:sz w:val="16"/>
                <w:szCs w:val="16"/>
                <w:lang w:val="ru-RU"/>
              </w:rPr>
              <w:t>1-й квартал 2027 года (ежегодно)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75F8E4A9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1379B365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11618E3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C5903C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Развитие перспективных навыков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13B2A7C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Укреплять развитие перспективных навыков, увязывая обучение с появляющимися технологиями, приоритетными потребностями в потенциале и критическими функциями при поддержке целевых программ и обучения по месту работы.</w:t>
            </w:r>
          </w:p>
        </w:tc>
        <w:tc>
          <w:tcPr>
            <w:tcW w:w="1551" w:type="pct"/>
            <w:shd w:val="clear" w:color="auto" w:fill="DEEAF6"/>
          </w:tcPr>
          <w:p w14:paraId="75D9A4F8" w14:textId="75DBEE1C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реализованных программ</w:t>
            </w:r>
          </w:p>
          <w:p w14:paraId="399ABAB3" w14:textId="395ECD0B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Участие в программах развития навыков (количество участников/в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процентах)</w:t>
            </w:r>
          </w:p>
        </w:tc>
        <w:tc>
          <w:tcPr>
            <w:tcW w:w="931" w:type="pct"/>
            <w:shd w:val="clear" w:color="auto" w:fill="DEEAF6"/>
          </w:tcPr>
          <w:p w14:paraId="7FF9418F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185517AB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6B798BCF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EE3ECFA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3.5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071101" w14:textId="5C5DDE4B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Анализ результатов обучения и оценка</w:t>
            </w:r>
            <w:r w:rsidR="006C34F8" w:rsidRPr="00D6646F">
              <w:rPr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sz w:val="16"/>
                <w:szCs w:val="16"/>
                <w:lang w:val="ru-RU" w:eastAsia="zh-CN"/>
              </w:rPr>
              <w:t>навыков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2F243991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/>
              </w:rPr>
              <w:t>Развивать анализ результатов обучения и оценку навыков, с тем чтобы лучше понимать пробелы в возможностях, адаптировать предложения в области обучения и отслеживать освоение и эффективность учебных мероприятий</w:t>
            </w:r>
          </w:p>
        </w:tc>
        <w:tc>
          <w:tcPr>
            <w:tcW w:w="1551" w:type="pct"/>
            <w:shd w:val="clear" w:color="auto" w:fill="DEEAF6"/>
          </w:tcPr>
          <w:p w14:paraId="1BC1403A" w14:textId="7A720B0F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Активное использование информационной панели</w:t>
            </w:r>
            <w:r w:rsidR="006C34F8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обучения</w:t>
            </w:r>
          </w:p>
          <w:p w14:paraId="5FC9AEA9" w14:textId="3BA27636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предложений по профессиональной подготовке, увязанных с выявленными пробелами в</w:t>
            </w:r>
            <w:r w:rsidR="006C34F8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навыках</w:t>
            </w:r>
          </w:p>
          <w:p w14:paraId="573E6F12" w14:textId="4EB6F917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Средний балл эффективности обучения (оценка после завершения обучения)</w:t>
            </w:r>
          </w:p>
        </w:tc>
        <w:tc>
          <w:tcPr>
            <w:tcW w:w="931" w:type="pct"/>
            <w:shd w:val="clear" w:color="auto" w:fill="DEEAF6"/>
          </w:tcPr>
          <w:p w14:paraId="1137F20A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3-й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2A4D1DB6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27232453" w14:textId="77777777" w:rsidTr="00492E3A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0F562FC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E32ED8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Обмен знаниями и взаимное обучение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3688F161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Содействовать обмену знаниями и взаимному обучению через сообщества специалистов-практиков, наставничество и структурированные возможности для обмена опытом между группами и отделами.</w:t>
            </w:r>
          </w:p>
        </w:tc>
        <w:tc>
          <w:tcPr>
            <w:tcW w:w="1551" w:type="pct"/>
            <w:tcBorders>
              <w:bottom w:val="single" w:sz="4" w:space="0" w:color="auto"/>
            </w:tcBorders>
            <w:shd w:val="clear" w:color="auto" w:fill="DEEAF6"/>
          </w:tcPr>
          <w:p w14:paraId="3EA0F912" w14:textId="05E6226C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Число сотрудников, охваченных наставничеством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DEEAF6"/>
          </w:tcPr>
          <w:p w14:paraId="407FF16B" w14:textId="0E76DF95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 xml:space="preserve">4-й квартал 2026 года (впоследствии – </w:t>
            </w:r>
            <w:r w:rsidR="003E75B1" w:rsidRPr="00B871EE">
              <w:rPr>
                <w:sz w:val="16"/>
                <w:szCs w:val="16"/>
                <w:lang w:val="ru-RU"/>
              </w:rPr>
              <w:br/>
            </w:r>
            <w:r w:rsidRPr="00D6646F">
              <w:rPr>
                <w:sz w:val="16"/>
                <w:szCs w:val="16"/>
                <w:lang w:val="ru-RU"/>
              </w:rPr>
              <w:t>на регулярной</w:t>
            </w:r>
            <w:r w:rsidR="006C34F8" w:rsidRPr="00D6646F">
              <w:rPr>
                <w:sz w:val="16"/>
                <w:szCs w:val="16"/>
                <w:lang w:val="ru-RU"/>
              </w:rPr>
              <w:t> </w:t>
            </w:r>
            <w:r w:rsidRPr="00D6646F">
              <w:rPr>
                <w:sz w:val="16"/>
                <w:szCs w:val="16"/>
                <w:lang w:val="ru-RU"/>
              </w:rPr>
              <w:t>основе)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075D7376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6C34F8" w:rsidRPr="00D6646F" w14:paraId="158B1D05" w14:textId="77777777" w:rsidTr="00492E3A">
        <w:trPr>
          <w:cantSplit/>
          <w:trHeight w:val="484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A354F4F" w14:textId="77777777" w:rsidR="006C34F8" w:rsidRPr="00D6646F" w:rsidRDefault="006C34F8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4.1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30444B" w14:textId="19EE5A32" w:rsidR="006C34F8" w:rsidRPr="00D6646F" w:rsidRDefault="006C34F8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Охрана труда и техника безопасности (OHS)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68B8CCBB" w14:textId="77777777" w:rsidR="006C34F8" w:rsidRPr="00D6646F" w:rsidRDefault="006C34F8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Поддерживать переход к более комплексному подходу к вопросам охраны труда и техники безопасности (OHS), основанному на существующих медицинских услугах, межведомственных связях и укреплении профилактики, управления рисками и осведомленности.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7423477D" w14:textId="39D67A51" w:rsidR="006C34F8" w:rsidRPr="00D6646F" w:rsidRDefault="006C34F8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Проведение общеорганизационного обследования состояния здоровья сотрудников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291A20AA" w14:textId="741F36FC" w:rsidR="006C34F8" w:rsidRPr="00D6646F" w:rsidRDefault="006C34F8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</w:t>
            </w:r>
            <w:r w:rsidRPr="00D6646F">
              <w:rPr>
                <w:sz w:val="16"/>
                <w:szCs w:val="16"/>
                <w:lang w:val="ru-RU" w:eastAsia="zh-CN"/>
              </w:rPr>
              <w:t>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6A63E668" w14:textId="77777777" w:rsidR="006C34F8" w:rsidRPr="00D6646F" w:rsidRDefault="006C34F8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6C34F8" w:rsidRPr="00D6646F" w14:paraId="796B2DB5" w14:textId="77777777" w:rsidTr="00492E3A">
        <w:trPr>
          <w:cantSplit/>
          <w:trHeight w:val="446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D5BDA62" w14:textId="77777777" w:rsidR="006C34F8" w:rsidRPr="00D6646F" w:rsidRDefault="006C34F8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D5A902" w14:textId="77777777" w:rsidR="006C34F8" w:rsidRPr="00D6646F" w:rsidRDefault="006C34F8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0AC18F8A" w14:textId="77777777" w:rsidR="006C34F8" w:rsidRPr="00D6646F" w:rsidRDefault="006C34F8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3EAC647E" w14:textId="690A9D24" w:rsidR="006C34F8" w:rsidRPr="00D6646F" w:rsidRDefault="006C34F8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Риски для здоровья и риски, связанные с охраной труда, включенные в реестр рисков МСЭ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76981AEC" w14:textId="74569D1E" w:rsidR="006C34F8" w:rsidRPr="00D6646F" w:rsidRDefault="006C34F8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</w:t>
            </w:r>
            <w:r w:rsidRPr="00D6646F">
              <w:rPr>
                <w:sz w:val="16"/>
                <w:szCs w:val="16"/>
                <w:lang w:val="ru-RU" w:eastAsia="zh-CN"/>
              </w:rPr>
              <w:t>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444DD82E" w14:textId="77777777" w:rsidR="006C34F8" w:rsidRPr="00D6646F" w:rsidRDefault="006C34F8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6C34F8" w:rsidRPr="00B871EE" w14:paraId="38FB5328" w14:textId="77777777" w:rsidTr="003E75B1">
        <w:trPr>
          <w:cantSplit/>
          <w:trHeight w:val="726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5E7F868" w14:textId="77777777" w:rsidR="006C34F8" w:rsidRPr="00D6646F" w:rsidRDefault="006C34F8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319F99" w14:textId="77777777" w:rsidR="006C34F8" w:rsidRPr="00D6646F" w:rsidRDefault="006C34F8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6DC4870C" w14:textId="77777777" w:rsidR="006C34F8" w:rsidRPr="00D6646F" w:rsidRDefault="006C34F8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277DC8BA" w14:textId="7FE0AAEF" w:rsidR="006C34F8" w:rsidRPr="00D6646F" w:rsidRDefault="006C34F8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сотрудников, прошедших обучение по вопросам осведомленности и профилактики в сфере OHS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1F8A5AAB" w14:textId="418B0D86" w:rsidR="006C34F8" w:rsidRPr="00D6646F" w:rsidRDefault="006C34F8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  <w:r w:rsidRPr="00D6646F">
              <w:rPr>
                <w:sz w:val="16"/>
                <w:szCs w:val="16"/>
                <w:lang w:val="ru-RU" w:eastAsia="zh-CN"/>
              </w:rPr>
              <w:t>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19C51675" w14:textId="77777777" w:rsidR="006C34F8" w:rsidRPr="00D6646F" w:rsidRDefault="006C34F8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CE4FFD" w:rsidRPr="00D6646F" w14:paraId="6E673E82" w14:textId="77777777" w:rsidTr="003E75B1">
        <w:trPr>
          <w:cantSplit/>
          <w:trHeight w:val="47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4E4F840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4.2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1461E7" w14:textId="6C8D5F46" w:rsidR="00CE4FFD" w:rsidRPr="00D6646F" w:rsidRDefault="00CE4FF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Программы возвращения на работу (RTW)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3BFCACAA" w14:textId="77777777" w:rsidR="00CE4FFD" w:rsidRPr="00D6646F" w:rsidRDefault="00CE4FF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Укреплять программы RTW для поддержки реинтеграции персонала после болезни или отпуска с помощью четких процедур, своевременной координации и соответствующих корректировок условий труда, когда это необходимо.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21BB0701" w14:textId="414BB1B6" w:rsidR="00CE4FFD" w:rsidRPr="00D6646F" w:rsidRDefault="00CE4FFD" w:rsidP="00CE4FF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Внедрение стандартных операционных процедур (СОП) для программ RTW (качественный показатель)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23C3133B" w14:textId="5FB1C126" w:rsidR="00CE4FFD" w:rsidRPr="00D6646F" w:rsidRDefault="00CE4FFD" w:rsidP="00CE4FFD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0DC58AB7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CE4FFD" w:rsidRPr="00B871EE" w14:paraId="574774AB" w14:textId="77777777" w:rsidTr="003E75B1">
        <w:trPr>
          <w:cantSplit/>
          <w:trHeight w:val="576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C7A4348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73ECE8" w14:textId="77777777" w:rsidR="00CE4FFD" w:rsidRPr="00D6646F" w:rsidRDefault="00CE4FFD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F5472A0" w14:textId="77777777" w:rsidR="00CE4FFD" w:rsidRPr="00D6646F" w:rsidRDefault="00CE4FF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05BE1EA6" w14:textId="2CCC155A" w:rsidR="00CE4FFD" w:rsidRPr="00D6646F" w:rsidRDefault="00CE4FFD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Процент возвращающихся на работу сотрудников, получивших поддержку 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69AA7475" w14:textId="0FED63F8" w:rsidR="00CE4FFD" w:rsidRPr="00D6646F" w:rsidRDefault="00CE4FFD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  <w:r w:rsidRPr="00D6646F">
              <w:rPr>
                <w:sz w:val="16"/>
                <w:szCs w:val="16"/>
                <w:lang w:val="ru-RU" w:eastAsia="zh-CN"/>
              </w:rPr>
              <w:t>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4B42A883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CE4FFD" w:rsidRPr="00B871EE" w14:paraId="4275748D" w14:textId="77777777" w:rsidTr="003E75B1">
        <w:trPr>
          <w:cantSplit/>
          <w:trHeight w:val="47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9D5EBA1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4.3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BD3044" w14:textId="77777777" w:rsidR="00CE4FFD" w:rsidRPr="00D6646F" w:rsidRDefault="00CE4FF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План действий в области психического здоровья и благополучия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6AF1840E" w14:textId="4CD41E14" w:rsidR="00CE4FFD" w:rsidRPr="00D6646F" w:rsidRDefault="00CE4FF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Осуществлять План действий в области психического здоровья и благополучия с целью укрепления профилактики, доступа к поддержке и повышения осведомленности, а также с целью содействия созданию благоприятной среды для психического благополучия.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6E8FAAF0" w14:textId="77506328" w:rsidR="00CE4FFD" w:rsidRPr="00D6646F" w:rsidRDefault="00CE4FFD" w:rsidP="00CE4FF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достижения основных целей Плана действий в области психического здоровья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7551297C" w14:textId="0E9A10C7" w:rsidR="00CE4FFD" w:rsidRPr="00D6646F" w:rsidRDefault="00CE4FFD" w:rsidP="00CE4FFD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  <w:r w:rsidRPr="00D6646F">
              <w:rPr>
                <w:sz w:val="16"/>
                <w:szCs w:val="16"/>
                <w:lang w:val="ru-RU" w:eastAsia="zh-CN"/>
              </w:rPr>
              <w:t>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45B16B7D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CE4FFD" w:rsidRPr="00D6646F" w14:paraId="7AEF5DE9" w14:textId="77777777" w:rsidTr="003E75B1">
        <w:trPr>
          <w:cantSplit/>
          <w:trHeight w:val="588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A1FFF55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9327CF" w14:textId="77777777" w:rsidR="00CE4FFD" w:rsidRPr="00D6646F" w:rsidRDefault="00CE4FF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406B186D" w14:textId="77777777" w:rsidR="00CE4FFD" w:rsidRPr="00D6646F" w:rsidRDefault="00CE4FF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6794DA8C" w14:textId="09D624DA" w:rsidR="00CE4FFD" w:rsidRPr="00D6646F" w:rsidRDefault="00CE4FFD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Баллы EES в категории "Сочетание работы и жизни и наша культура" (тенденция)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54911B9A" w14:textId="7E90A86B" w:rsidR="00CE4FFD" w:rsidRPr="00D6646F" w:rsidRDefault="00CE4FFD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</w:t>
            </w:r>
            <w:r w:rsidRPr="00D6646F">
              <w:rPr>
                <w:sz w:val="16"/>
                <w:szCs w:val="16"/>
                <w:lang w:val="ru-RU" w:eastAsia="zh-CN"/>
              </w:rPr>
              <w:t>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DDCCE9E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CE4FFD" w:rsidRPr="00B871EE" w14:paraId="5CAD49D3" w14:textId="77777777" w:rsidTr="003E75B1">
        <w:trPr>
          <w:cantSplit/>
          <w:trHeight w:val="679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F050C68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4.4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B9BAAF" w14:textId="77777777" w:rsidR="00CE4FFD" w:rsidRPr="00D6646F" w:rsidRDefault="00CE4FF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Стрессовые факторы и устойчивость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433BC1A9" w14:textId="13F6CF49" w:rsidR="00CE4FFD" w:rsidRPr="00D6646F" w:rsidRDefault="00CE4FF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Смягчать стрессовые факторы на рабочем месте и повышать устойчивость с помощью целевых мер, практических ресурсов для персонала и руководителей, а также инициатив, способствующих здоровому образу труда.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0A909FE2" w14:textId="3EC0103B" w:rsidR="00CE4FFD" w:rsidRPr="00D6646F" w:rsidRDefault="00CE4FFD" w:rsidP="00CE4FF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участия персонала в занятиях по повышению осведомленности о психическом здоровье или устойчивости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18B12A5A" w14:textId="464CF9F4" w:rsidR="00CE4FFD" w:rsidRPr="00D6646F" w:rsidRDefault="00CE4FFD" w:rsidP="00CE4FFD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  <w:r w:rsidRPr="00D6646F">
              <w:rPr>
                <w:sz w:val="16"/>
                <w:szCs w:val="16"/>
                <w:lang w:val="ru-RU" w:eastAsia="zh-CN"/>
              </w:rPr>
              <w:t>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5FB277DD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CE4FFD" w:rsidRPr="00D6646F" w14:paraId="60E0505C" w14:textId="77777777" w:rsidTr="003E75B1">
        <w:trPr>
          <w:cantSplit/>
          <w:trHeight w:val="415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C6DFD0B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916697" w14:textId="77777777" w:rsidR="00CE4FFD" w:rsidRPr="00D6646F" w:rsidRDefault="00CE4FF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F196F4C" w14:textId="77777777" w:rsidR="00CE4FFD" w:rsidRPr="00D6646F" w:rsidRDefault="00CE4FF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</w:tcBorders>
            <w:shd w:val="clear" w:color="auto" w:fill="DEEAF6"/>
          </w:tcPr>
          <w:p w14:paraId="2DCF722E" w14:textId="717B7D67" w:rsidR="00CE4FFD" w:rsidRPr="00D6646F" w:rsidRDefault="00CE4FFD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Статистика отсутствия на работе по болезни/</w:t>
            </w:r>
            <w:r w:rsidR="00D6646F"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отпусков (тенденция)</w:t>
            </w:r>
          </w:p>
        </w:tc>
        <w:tc>
          <w:tcPr>
            <w:tcW w:w="931" w:type="pct"/>
            <w:tcBorders>
              <w:top w:val="nil"/>
            </w:tcBorders>
            <w:shd w:val="clear" w:color="auto" w:fill="DEEAF6"/>
          </w:tcPr>
          <w:p w14:paraId="0A5C28B4" w14:textId="423A8A91" w:rsidR="00CE4FFD" w:rsidRPr="00D6646F" w:rsidRDefault="00CE4FFD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</w:t>
            </w:r>
            <w:r w:rsidRPr="00D6646F">
              <w:rPr>
                <w:sz w:val="16"/>
                <w:szCs w:val="16"/>
                <w:lang w:val="ru-RU" w:eastAsia="zh-CN"/>
              </w:rPr>
              <w:t>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0C923AA4" w14:textId="77777777" w:rsidR="00CE4FFD" w:rsidRPr="00D6646F" w:rsidRDefault="00CE4FF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0AFE534D" w14:textId="77777777" w:rsidTr="003E75B1">
        <w:trPr>
          <w:cantSplit/>
          <w:trHeight w:val="1214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EF61D1C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4.5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C7A5DF" w14:textId="77777777" w:rsidR="002F3D47" w:rsidRPr="00D6646F" w:rsidRDefault="002F3D47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Гибкие механизмы работы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(FWA)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003328AB" w14:textId="49376016" w:rsidR="002F3D47" w:rsidRPr="00D6646F" w:rsidRDefault="002F3D47" w:rsidP="006C34F8">
            <w:pPr>
              <w:pStyle w:val="Tabletext"/>
              <w:spacing w:line="259" w:lineRule="auto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Внедрять гибкие механизмы работы, соответствующие оперативным потребностям, для поддержания баланса между работой и личной жизнью посредством четкой политики и руководящих указаний, а также последовательного применения их всеми</w:t>
            </w:r>
            <w:r w:rsidR="00FD32AD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коллективами.</w:t>
            </w:r>
          </w:p>
        </w:tc>
        <w:tc>
          <w:tcPr>
            <w:tcW w:w="1551" w:type="pct"/>
            <w:tcBorders>
              <w:bottom w:val="single" w:sz="4" w:space="0" w:color="auto"/>
            </w:tcBorders>
            <w:shd w:val="clear" w:color="auto" w:fill="DEEAF6"/>
          </w:tcPr>
          <w:p w14:paraId="45ABD4A1" w14:textId="1894E22A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Публикация и ввод в действие обновленной политики (качественный показатель)</w:t>
            </w:r>
          </w:p>
          <w:p w14:paraId="6C08FA48" w14:textId="1AB907FF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765204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Использование информационной панели для отслеживания и мониторинга FWA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DEEAF6"/>
          </w:tcPr>
          <w:p w14:paraId="2F76838F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70A1D1E6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B871EE" w14:paraId="385B68AF" w14:textId="77777777" w:rsidTr="003E75B1">
        <w:trPr>
          <w:cantSplit/>
          <w:trHeight w:val="62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9CE766E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4.6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0A24269" w14:textId="77777777" w:rsidR="00FD32AD" w:rsidRPr="00D6646F" w:rsidRDefault="00FD32A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Инклюзивность и взаимное уважение на рабочих местах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4BDA97ED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Внедрять принцип инклюзивности на рабочих местах, развивая культуру уважения и поддержки, используя разнообразие, предотвращая неприемлемое поведение и способствуя интеграции людей с ограниченными возможностями за счет разумного приспособления, а также равных возможностей для всех.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42E87E25" w14:textId="4EE50180" w:rsidR="00FD32AD" w:rsidRPr="00D6646F" w:rsidRDefault="00FD32AD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сотрудников, прошедших обучение по вопросам предупреждения домогательств и неправомерного поведения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3DAE4819" w14:textId="7A8CAC03" w:rsidR="00FD32AD" w:rsidRPr="00D6646F" w:rsidRDefault="00FD32AD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  <w:r w:rsidRPr="00D6646F">
              <w:rPr>
                <w:sz w:val="16"/>
                <w:szCs w:val="16"/>
                <w:lang w:val="ru-RU" w:eastAsia="zh-CN"/>
              </w:rPr>
              <w:t>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6210C4D1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B871EE" w14:paraId="29318C18" w14:textId="77777777" w:rsidTr="003E75B1">
        <w:trPr>
          <w:cantSplit/>
          <w:trHeight w:val="46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4BC18BF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0E4D65" w14:textId="77777777" w:rsidR="00FD32AD" w:rsidRPr="00D6646F" w:rsidRDefault="00FD32A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2BC1F32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</w:tcBorders>
            <w:shd w:val="clear" w:color="auto" w:fill="DEEAF6"/>
          </w:tcPr>
          <w:p w14:paraId="56056C3F" w14:textId="77777777" w:rsidR="00FD32AD" w:rsidRPr="00D6646F" w:rsidRDefault="00FD32AD" w:rsidP="00FD32A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Процент удовлетворенных запросов, касающихся разумного приспособления</w:t>
            </w:r>
          </w:p>
        </w:tc>
        <w:tc>
          <w:tcPr>
            <w:tcW w:w="931" w:type="pct"/>
            <w:tcBorders>
              <w:top w:val="nil"/>
            </w:tcBorders>
            <w:shd w:val="clear" w:color="auto" w:fill="DEEAF6"/>
          </w:tcPr>
          <w:p w14:paraId="291697BC" w14:textId="7B22A4EB" w:rsidR="00FD32AD" w:rsidRPr="00D6646F" w:rsidRDefault="00FD32AD" w:rsidP="00FD32AD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 2026 года</w:t>
            </w:r>
            <w:r w:rsidRPr="00D6646F">
              <w:rPr>
                <w:sz w:val="16"/>
                <w:szCs w:val="16"/>
                <w:lang w:val="ru-RU" w:eastAsia="zh-CN"/>
              </w:rPr>
              <w:t>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62C7E1E2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407232B1" w14:textId="77777777" w:rsidTr="003E75B1">
        <w:trPr>
          <w:cantSplit/>
          <w:trHeight w:val="1293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5CBC47D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4.7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3DAAC2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EES </w:t>
            </w:r>
            <w:r w:rsidRPr="00D6646F">
              <w:rPr>
                <w:sz w:val="16"/>
                <w:szCs w:val="16"/>
                <w:lang w:val="ru-RU" w:eastAsia="zh-CN"/>
              </w:rPr>
              <w:t>и планы действий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79CC828E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Использовать механизмы обследования вовлеченности сотрудников (EES) и планы действий для институционализации механизмов обратной связи с персоналом, уделяя первоочередное внимание мерам, основанным на фактических данных, и отслеживая прогресс посредством прозрачной коммуникации и взаимной подотчетности.</w:t>
            </w:r>
          </w:p>
        </w:tc>
        <w:tc>
          <w:tcPr>
            <w:tcW w:w="1551" w:type="pct"/>
            <w:shd w:val="clear" w:color="auto" w:fill="DEEAF6"/>
          </w:tcPr>
          <w:p w14:paraId="35B976A0" w14:textId="4C850EC6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участия в EES</w:t>
            </w:r>
          </w:p>
          <w:p w14:paraId="2708A77A" w14:textId="0BCDCD10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 департаментов, у которых есть актуальный План действий по вопросам EES</w:t>
            </w:r>
          </w:p>
          <w:p w14:paraId="120DB483" w14:textId="0FE29A31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Тенденция в оценках по основным параметрам обследования с течением времени</w:t>
            </w:r>
          </w:p>
        </w:tc>
        <w:tc>
          <w:tcPr>
            <w:tcW w:w="931" w:type="pct"/>
            <w:shd w:val="clear" w:color="auto" w:fill="DEEAF6"/>
          </w:tcPr>
          <w:p w14:paraId="32D2BA1E" w14:textId="07982099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 xml:space="preserve">4-й квартал 2026 года </w:t>
            </w:r>
            <w:r w:rsidR="00FD32AD" w:rsidRPr="00D6646F">
              <w:rPr>
                <w:sz w:val="16"/>
                <w:szCs w:val="16"/>
                <w:lang w:val="ru-RU"/>
              </w:rPr>
              <w:br/>
            </w:r>
            <w:r w:rsidRPr="00D6646F">
              <w:rPr>
                <w:sz w:val="16"/>
                <w:szCs w:val="16"/>
                <w:lang w:val="ru-RU"/>
              </w:rPr>
              <w:t>(публикация нового вопросника</w:t>
            </w:r>
            <w:r w:rsidR="00D6646F" w:rsidRPr="00B871EE">
              <w:rPr>
                <w:sz w:val="16"/>
                <w:szCs w:val="16"/>
                <w:lang w:val="ru-RU"/>
              </w:rPr>
              <w:t xml:space="preserve"> </w:t>
            </w:r>
            <w:r w:rsidR="00D6646F">
              <w:rPr>
                <w:sz w:val="16"/>
                <w:szCs w:val="16"/>
              </w:rPr>
              <w:sym w:font="Symbol" w:char="F02D"/>
            </w:r>
            <w:r w:rsidRPr="00D6646F">
              <w:rPr>
                <w:sz w:val="16"/>
                <w:szCs w:val="16"/>
                <w:lang w:val="ru-RU"/>
              </w:rPr>
              <w:t xml:space="preserve"> 1-й квартал 2027 года)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593AD109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B871EE" w14:paraId="53225846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80F83C5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3F03BF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Нормативно-правовая база в области ЛР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3A7F6E82" w14:textId="77777777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Укреплять нормативно-правовую базу в области ЛР путем пересмотра и обновления политики, правил и руководящих указаний для устранения пробелов, повышения согласованности и поддержки последовательного применения.</w:t>
            </w:r>
          </w:p>
        </w:tc>
        <w:tc>
          <w:tcPr>
            <w:tcW w:w="1551" w:type="pct"/>
            <w:tcBorders>
              <w:bottom w:val="single" w:sz="4" w:space="0" w:color="auto"/>
            </w:tcBorders>
            <w:shd w:val="clear" w:color="auto" w:fill="DEEAF6"/>
          </w:tcPr>
          <w:p w14:paraId="45BF4CF0" w14:textId="095E4790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Количество пересмотренных и обновленных приоритетных кадровых программ/</w:t>
            </w:r>
            <w:r w:rsidR="00FD32AD" w:rsidRPr="00D6646F">
              <w:rPr>
                <w:rFonts w:eastAsia="DengXian"/>
                <w:sz w:val="16"/>
                <w:szCs w:val="16"/>
                <w:lang w:val="ru-RU" w:eastAsia="zh-CN"/>
              </w:rPr>
              <w:br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служебных распоряжений</w:t>
            </w:r>
          </w:p>
          <w:p w14:paraId="56F7799D" w14:textId="3C69A72F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Обновление и утверждение Правил/положений о персонале (</w:t>
            </w:r>
            <w:r w:rsidRPr="00D6646F">
              <w:rPr>
                <w:sz w:val="16"/>
                <w:szCs w:val="16"/>
                <w:lang w:val="ru-RU"/>
              </w:rPr>
              <w:t>качественный показатель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)</w:t>
            </w:r>
          </w:p>
          <w:p w14:paraId="6F01617C" w14:textId="6DCB9251" w:rsidR="002F3D47" w:rsidRPr="00D6646F" w:rsidRDefault="002F3D47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Процентная доля новой/пересмотренной политики в области ЛР, с которой могут ознакомиться все сотрудники на единой доступной платформе, и количество проведенных учебных занятий/инициатив в области коммуникации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DEEAF6"/>
          </w:tcPr>
          <w:p w14:paraId="2305D001" w14:textId="5C05ADFD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sz w:val="16"/>
                <w:szCs w:val="16"/>
                <w:lang w:val="ru-RU"/>
              </w:rPr>
              <w:t>На текущей основе в 2026</w:t>
            </w:r>
            <w:r w:rsidR="00FD32AD" w:rsidRPr="00D6646F">
              <w:rPr>
                <w:sz w:val="16"/>
                <w:szCs w:val="16"/>
                <w:lang w:val="ru-RU"/>
              </w:rPr>
              <w:t>­</w:t>
            </w:r>
            <w:r w:rsidRPr="00D6646F">
              <w:rPr>
                <w:sz w:val="16"/>
                <w:szCs w:val="16"/>
                <w:lang w:val="ru-RU" w:eastAsia="zh-CN"/>
              </w:rPr>
              <w:t>2027</w:t>
            </w:r>
            <w:r w:rsidR="00FD32AD" w:rsidRPr="00D6646F">
              <w:rPr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sz w:val="16"/>
                <w:szCs w:val="16"/>
                <w:lang w:val="ru-RU" w:eastAsia="zh-CN"/>
              </w:rPr>
              <w:t>годах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310976E1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D6646F" w14:paraId="26802613" w14:textId="77777777" w:rsidTr="003E75B1">
        <w:trPr>
          <w:cantSplit/>
          <w:trHeight w:val="403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7A15AA8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5.2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1FC815" w14:textId="77777777" w:rsidR="00FD32AD" w:rsidRPr="00D6646F" w:rsidRDefault="00FD32A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Штатное расписание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424B9A6E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Разработать и вести штатное расписание для создания четкого представления о кадровой ситуации и стимулирования стратегического кадрового планирования, оптимизации ресурсов и организационной реструктуризации при обеспечении транспарентности кадровых тенденций в режиме реального времени.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2686BDAA" w14:textId="55DBFEF0" w:rsidR="00FD32AD" w:rsidRPr="00D6646F" w:rsidRDefault="00FD32AD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Разработка и обновление штатного расписания (качественный показатель)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16854817" w14:textId="4F3F72A0" w:rsidR="00FD32AD" w:rsidRPr="00D6646F" w:rsidRDefault="00FD32AD" w:rsidP="00FD32AD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3-й квартал 2026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122B69A2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D6646F" w14:paraId="775E5B3C" w14:textId="77777777" w:rsidTr="003E75B1">
        <w:trPr>
          <w:cantSplit/>
          <w:trHeight w:val="552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1BDBEC1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4BE4D3" w14:textId="77777777" w:rsidR="00FD32AD" w:rsidRPr="00D6646F" w:rsidRDefault="00FD32AD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35967661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6848274D" w14:textId="79EDC19C" w:rsidR="00FD32AD" w:rsidRPr="00D6646F" w:rsidRDefault="00FD32AD" w:rsidP="00FD32A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Отслеживаемость тенденций, касающихся штатного расписания, в режиме реального времени (информационная панель)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33189A6D" w14:textId="4442BC52" w:rsidR="00FD32AD" w:rsidRPr="00D6646F" w:rsidRDefault="00FD32AD" w:rsidP="00FD32AD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3-й квартал 2026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1E91F30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D6646F" w14:paraId="39798912" w14:textId="77777777" w:rsidTr="003E75B1">
        <w:trPr>
          <w:cantSplit/>
          <w:trHeight w:val="484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442452E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64DD0A" w14:textId="77777777" w:rsidR="00FD32AD" w:rsidRPr="00D6646F" w:rsidRDefault="00FD32AD" w:rsidP="00AB65A3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1808EB2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</w:tcBorders>
            <w:shd w:val="clear" w:color="auto" w:fill="DEEAF6"/>
          </w:tcPr>
          <w:p w14:paraId="0BEEEFC6" w14:textId="77777777" w:rsidR="00FD32AD" w:rsidRPr="00D6646F" w:rsidRDefault="00FD32AD" w:rsidP="00FD32A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Процент ошибок – менее одного процента </w:t>
            </w:r>
          </w:p>
        </w:tc>
        <w:tc>
          <w:tcPr>
            <w:tcW w:w="931" w:type="pct"/>
            <w:tcBorders>
              <w:top w:val="nil"/>
            </w:tcBorders>
            <w:shd w:val="clear" w:color="auto" w:fill="DEEAF6"/>
          </w:tcPr>
          <w:p w14:paraId="68713FBE" w14:textId="61706593" w:rsidR="00FD32AD" w:rsidRPr="00D6646F" w:rsidRDefault="00FD32AD" w:rsidP="00FD32AD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1-й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BA73A6F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1B37A6" w:rsidRPr="00D6646F" w14:paraId="143916C9" w14:textId="77777777" w:rsidTr="003E75B1">
        <w:trPr>
          <w:cantSplit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D415F8D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5.3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FB63FC" w14:textId="77777777" w:rsidR="002F3D47" w:rsidRPr="00D6646F" w:rsidRDefault="002F3D47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Система контрактов</w:t>
            </w: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DEEAF6"/>
          </w:tcPr>
          <w:p w14:paraId="1A37AA7E" w14:textId="0D2C9AEA" w:rsidR="002F3D47" w:rsidRPr="00D6646F" w:rsidRDefault="002F3D47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Создать надежную систему контрактов</w:t>
            </w:r>
            <w:r w:rsidRPr="00D6646F">
              <w:rPr>
                <w:rFonts w:eastAsia="DengXian"/>
                <w:b/>
                <w:bCs/>
                <w:sz w:val="16"/>
                <w:szCs w:val="16"/>
                <w:lang w:val="ru-RU" w:eastAsia="zh-CN"/>
              </w:rPr>
              <w:t xml:space="preserve"> 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для уточнения положений контрактов и соответствующего руководства, что создаст благоприятные условия для придания системе контрактов последовательного, соответствующего требованиям и эффективного</w:t>
            </w:r>
            <w:r w:rsidR="00FD32AD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характера.</w:t>
            </w:r>
          </w:p>
        </w:tc>
        <w:tc>
          <w:tcPr>
            <w:tcW w:w="1551" w:type="pct"/>
            <w:tcBorders>
              <w:bottom w:val="single" w:sz="4" w:space="0" w:color="auto"/>
            </w:tcBorders>
            <w:shd w:val="clear" w:color="auto" w:fill="DEEAF6"/>
          </w:tcPr>
          <w:p w14:paraId="649465A2" w14:textId="31DC5EBA" w:rsidR="002F3D47" w:rsidRPr="00D6646F" w:rsidRDefault="002F3D47" w:rsidP="006C34F8">
            <w:pPr>
              <w:pStyle w:val="Tabletext"/>
              <w:ind w:left="225" w:hanging="225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="001B37A6"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Внедрение всеобъемлющей системы контрактов (да/нет)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DEEAF6"/>
          </w:tcPr>
          <w:p w14:paraId="2C0BEB18" w14:textId="77777777" w:rsidR="002F3D47" w:rsidRPr="00D6646F" w:rsidRDefault="002F3D47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</w:t>
            </w:r>
          </w:p>
        </w:tc>
        <w:tc>
          <w:tcPr>
            <w:tcW w:w="239" w:type="pct"/>
            <w:shd w:val="clear" w:color="auto" w:fill="DEEAF6"/>
            <w:vAlign w:val="center"/>
          </w:tcPr>
          <w:p w14:paraId="6046B921" w14:textId="77777777" w:rsidR="002F3D47" w:rsidRPr="00D6646F" w:rsidRDefault="002F3D47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D6646F" w14:paraId="434823F2" w14:textId="77777777" w:rsidTr="003E75B1">
        <w:trPr>
          <w:cantSplit/>
          <w:trHeight w:val="496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D2BD0CB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5.4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F5E94B" w14:textId="77777777" w:rsidR="00FD32AD" w:rsidRPr="00D6646F" w:rsidRDefault="00FD32A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Делегирование полномочий (DoA)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2903AB4E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Обновить систему делегирования полномочий (DoA) для повышения оперативной гибкости, укрепления подотчетности и рационализации принятия решений в рамках Союза.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106CD0A4" w14:textId="24C00A1C" w:rsidR="00FD32AD" w:rsidRPr="00D6646F" w:rsidRDefault="00FD32AD" w:rsidP="00FD32AD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Публикация информации о DoA (качественный показатель)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6E114400" w14:textId="76508ED6" w:rsidR="00FD32AD" w:rsidRPr="00D6646F" w:rsidRDefault="00FD32AD" w:rsidP="00FD32AD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276AB255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FD32AD" w:rsidRPr="00D6646F" w14:paraId="47759FBF" w14:textId="77777777" w:rsidTr="003E75B1">
        <w:trPr>
          <w:cantSplit/>
          <w:trHeight w:val="40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25B46C6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B6F03F" w14:textId="77777777" w:rsidR="00FD32AD" w:rsidRPr="00D6646F" w:rsidRDefault="00FD32AD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6F2B8450" w14:textId="77777777" w:rsidR="00FD32AD" w:rsidRPr="00D6646F" w:rsidRDefault="00FD32AD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737FF2C3" w14:textId="18DB2025" w:rsidR="00FD32AD" w:rsidRPr="00D6646F" w:rsidRDefault="00FD32AD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Согласование рабочих процессов утверждения в системе ERP (да/нет)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0E910CDE" w14:textId="1981D473" w:rsidR="00FD32AD" w:rsidRPr="00D6646F" w:rsidRDefault="00FD32AD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6DA75505" w14:textId="77777777" w:rsidR="00FD32AD" w:rsidRPr="00D6646F" w:rsidRDefault="00FD32AD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154A1BEF" w14:textId="77777777" w:rsidTr="003E75B1">
        <w:trPr>
          <w:cantSplit/>
          <w:trHeight w:val="472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197D62D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5.5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005F53" w14:textId="3826C1B8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Процессы в области ЛР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1E55F155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Рационализировать, упростить и автоматизировать процессы в области ЛР с помощью стандартных операционных процедур (СОП) для ключевых процессов, усовершенствований системы SAP-HR и целевых инвестиций в технологии ЛР для повышения эффективности и улучшения предоставления услуг.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12EE9EE8" w14:textId="70D4A9D9" w:rsidR="007032AB" w:rsidRPr="00D6646F" w:rsidRDefault="007032AB" w:rsidP="00AD321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СОП, утвержденных руководителем и архивированных в централизованном порядке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6F0877F6" w14:textId="312B9A8C" w:rsidR="007032AB" w:rsidRPr="00D6646F" w:rsidRDefault="007032AB" w:rsidP="00AD321B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32EEFC19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79203C1F" w14:textId="77777777" w:rsidTr="003E75B1">
        <w:trPr>
          <w:cantSplit/>
          <w:trHeight w:val="449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A7C9ED3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E6048E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84997C0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5A4F6442" w14:textId="57717376" w:rsidR="007032AB" w:rsidRPr="00D6646F" w:rsidRDefault="007032AB" w:rsidP="00AD321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предложенных усовершенствований SAP</w:t>
            </w:r>
            <w:r w:rsidR="00AB65A3" w:rsidRPr="00D6646F">
              <w:rPr>
                <w:rFonts w:eastAsia="DengXian"/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HR/SAS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32C62B11" w14:textId="5954DF50" w:rsidR="007032AB" w:rsidRPr="00D6646F" w:rsidRDefault="007032AB" w:rsidP="00AD321B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776F0503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D6646F" w14:paraId="3FE35EF7" w14:textId="77777777" w:rsidTr="003E75B1">
        <w:trPr>
          <w:cantSplit/>
          <w:trHeight w:val="245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BAC6D51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EA98AA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12EF7C3D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087DF8C5" w14:textId="77777777" w:rsidR="007032AB" w:rsidRPr="00D6646F" w:rsidRDefault="007032AB" w:rsidP="00AD321B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Сокращение числа запросов, связанных с процессами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63BD516A" w14:textId="77777777" w:rsidR="007032AB" w:rsidRPr="00D6646F" w:rsidRDefault="007032AB" w:rsidP="00AD321B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70E94405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23F34345" w14:textId="77777777" w:rsidTr="003E75B1">
        <w:trPr>
          <w:cantSplit/>
          <w:trHeight w:val="461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52ED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234B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</w:tcPr>
          <w:p w14:paraId="2036BBE1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0AF250E9" w14:textId="061975CA" w:rsidR="007032AB" w:rsidRPr="00D6646F" w:rsidRDefault="007032AB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Своевременное препровождение данных о месячном цикле расчета заработной платы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0D16B9BD" w14:textId="3C9AF8BC" w:rsidR="007032AB" w:rsidRPr="00D6646F" w:rsidRDefault="007032AB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На ежемесячной основе в 2026 году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3BE038E3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1E704C6F" w14:textId="77777777" w:rsidTr="003E75B1">
        <w:trPr>
          <w:cantSplit/>
          <w:trHeight w:val="405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3132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06E1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</w:tcPr>
          <w:p w14:paraId="759ADD05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511E0F9D" w14:textId="7AB85D7A" w:rsidR="007032AB" w:rsidRPr="00D6646F" w:rsidRDefault="007032AB" w:rsidP="00AD321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предлагаемых усовершенствований системы SAP HR/Payroll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0949CB30" w14:textId="760802DF" w:rsidR="007032AB" w:rsidRPr="00D6646F" w:rsidRDefault="007032AB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6F04990C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0AB15C8C" w14:textId="77777777" w:rsidTr="003E75B1">
        <w:trPr>
          <w:cantSplit/>
          <w:trHeight w:val="484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DC1D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2AD1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</w:tcPr>
          <w:p w14:paraId="452050B1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03C47C0F" w14:textId="77777777" w:rsidR="007032AB" w:rsidRPr="00D6646F" w:rsidRDefault="007032AB" w:rsidP="00AD321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СОП, утвержденных руководителем и архивированных в централизованном порядке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23D7F230" w14:textId="6F41C736" w:rsidR="007032AB" w:rsidRPr="00D6646F" w:rsidRDefault="007032AB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2E72F1C2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AD321B" w:rsidRPr="00B871EE" w14:paraId="75F3C0E3" w14:textId="77777777" w:rsidTr="003E75B1">
        <w:trPr>
          <w:cantSplit/>
          <w:trHeight w:val="311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66869A2" w14:textId="77777777" w:rsidR="00AD321B" w:rsidRPr="00D6646F" w:rsidRDefault="00AD321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5.6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A95534" w14:textId="77777777" w:rsidR="00AD321B" w:rsidRPr="00D6646F" w:rsidRDefault="00AD321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Функция по поддержанию отношений с персоналом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31366E34" w14:textId="77777777" w:rsidR="00AD321B" w:rsidRPr="00D6646F" w:rsidRDefault="00AD321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Укреплять функцию по поддержанию отношений с персоналом путем продолжения регулярного взаимодействия с Советом персонала и усиления координации с региональными отделениями, повышения справедливости процедур и снижения рисков, связанных с персоналом, в рамках всего Союза.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6585BA07" w14:textId="7A5720F4" w:rsidR="00AD321B" w:rsidRPr="00D6646F" w:rsidRDefault="00AD321B" w:rsidP="00AD321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Регулярное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взаимодействие с Советом персонала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09B70682" w14:textId="7197A98C" w:rsidR="00AD321B" w:rsidRPr="00D6646F" w:rsidRDefault="00AD321B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4D815702" w14:textId="77777777" w:rsidR="00AD321B" w:rsidRPr="00D6646F" w:rsidRDefault="00AD321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AD321B" w:rsidRPr="00B871EE" w14:paraId="0E5371F2" w14:textId="77777777" w:rsidTr="003E75B1">
        <w:trPr>
          <w:cantSplit/>
          <w:trHeight w:val="933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0F7F920" w14:textId="77777777" w:rsidR="00AD321B" w:rsidRPr="00D6646F" w:rsidRDefault="00AD321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1CF035" w14:textId="77777777" w:rsidR="00AD321B" w:rsidRPr="00D6646F" w:rsidRDefault="00AD321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3537E1D8" w14:textId="77777777" w:rsidR="00AD321B" w:rsidRPr="00D6646F" w:rsidRDefault="00AD321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3BDFE4F9" w14:textId="02CFD626" w:rsidR="00AD321B" w:rsidRPr="00D6646F" w:rsidRDefault="00AD321B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Усиление </w:t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взаимодействия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с региональными отделениями 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17600591" w14:textId="3CE48280" w:rsidR="00AD321B" w:rsidRPr="00D6646F" w:rsidRDefault="00AD321B" w:rsidP="007032AB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2026 года/</w:t>
            </w:r>
            <w:r w:rsidRPr="00D6646F">
              <w:rPr>
                <w:sz w:val="16"/>
                <w:szCs w:val="16"/>
                <w:lang w:val="ru-RU" w:eastAsia="zh-CN"/>
              </w:rPr>
              <w:br/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9C24EBC" w14:textId="77777777" w:rsidR="00AD321B" w:rsidRPr="00D6646F" w:rsidRDefault="00AD321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6E4D6741" w14:textId="77777777" w:rsidTr="003E75B1">
        <w:trPr>
          <w:cantSplit/>
          <w:trHeight w:val="679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33BCA83" w14:textId="77777777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lastRenderedPageBreak/>
              <w:t>5.7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7D4DBC8" w14:textId="34888F73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Медицинское страхование, пенсионное обеспечение и смежные административные услуги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4C00597A" w14:textId="77777777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Предоставлять услуги медицинского страхования и пенсионного обеспечения, а также соответствующие административные услуги в масштабах всей организации, включая региональные отделения, в соответствии с согласованными правилами, процессами и стандартами обслуживания. Кроме того, предоставлять специализированную поддержку региональным отделениям посредством мероприятий, связанных с неотложной медицинской помощью, и предлагать практические рекомендации по процедурам и каналам поддержки.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6B6E9A49" w14:textId="4756F166" w:rsidR="007032AB" w:rsidRPr="00D6646F" w:rsidDel="00037073" w:rsidRDefault="007032AB" w:rsidP="003E75B1">
            <w:pPr>
              <w:pStyle w:val="Tabletext"/>
              <w:keepNext/>
              <w:keepLines/>
              <w:pageBreakBefore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Процент </w:t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отчетов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 xml:space="preserve"> о страховых взносах/пенсиях, своевременно и без ошибок переданных в ЮНСМИС/ОПФП ООН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41E66476" w14:textId="5B6185CD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На ежемесячной основе в 2026 году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3EA8D703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B871EE" w14:paraId="328A578C" w14:textId="77777777" w:rsidTr="003E75B1">
        <w:trPr>
          <w:cantSplit/>
          <w:trHeight w:val="1544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9964FAA" w14:textId="77777777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7B1B80" w14:textId="77777777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7BDAE92B" w14:textId="77777777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18301780" w14:textId="2344DA22" w:rsidR="007032AB" w:rsidRPr="00D6646F" w:rsidRDefault="007032AB" w:rsidP="003E75B1">
            <w:pPr>
              <w:pStyle w:val="Tabletext"/>
              <w:keepNext/>
              <w:keepLines/>
              <w:pageBreakBefore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 xml:space="preserve">Количество занятий по вопросам неотложной медицинской помощи, проведенных для региональных отделений, и процент участия в них в расчете на </w:t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одно 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занятие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08024D2A" w14:textId="2735C20A" w:rsidR="007032AB" w:rsidRPr="00D6646F" w:rsidRDefault="007032AB" w:rsidP="003E75B1">
            <w:pPr>
              <w:pStyle w:val="Tabletext"/>
              <w:keepNext/>
              <w:keepLines/>
              <w:pageBreakBefore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2-й и 3-й кварталы 2026 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B56F88E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D6646F" w14:paraId="3C27E53F" w14:textId="77777777" w:rsidTr="003E75B1">
        <w:trPr>
          <w:cantSplit/>
          <w:trHeight w:val="450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A7F084C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5.8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6E23CC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Данные и аналитика по ЛР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2A60414C" w14:textId="2371125C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Укреплять потенциал в области данных и аналитики по ЛР путем создания надежных и консолидированных источников данных в области ЛР, расширения объема организационной аналитики и перехода к прогнозной аналитике для поддержки планирования, отчетности и принятия решений.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2F5FA478" w14:textId="73735724" w:rsidR="007032AB" w:rsidRPr="00D6646F" w:rsidDel="00037073" w:rsidRDefault="007032AB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Наличие системы мониторинга качества данных (например, информационной панели) (да/нет)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3EAC264E" w14:textId="4F85BEB5" w:rsidR="007032AB" w:rsidRPr="00D6646F" w:rsidRDefault="00D6646F" w:rsidP="006C34F8">
            <w:pPr>
              <w:pStyle w:val="Tabletext"/>
              <w:rPr>
                <w:rFonts w:eastAsia="Malgun Gothic"/>
                <w:sz w:val="16"/>
                <w:szCs w:val="16"/>
                <w:lang w:val="ru-RU" w:eastAsia="ko-KR"/>
              </w:rPr>
            </w:pPr>
            <w:r w:rsidRPr="00D6646F">
              <w:rPr>
                <w:sz w:val="16"/>
                <w:szCs w:val="16"/>
                <w:lang w:val="ru-RU"/>
              </w:rPr>
              <w:t>4-й квартал</w:t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 xml:space="preserve"> 2026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6D46473D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D6646F" w14:paraId="2052A9DD" w14:textId="77777777" w:rsidTr="003E75B1">
        <w:trPr>
          <w:cantSplit/>
          <w:trHeight w:val="668"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6E0AB62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1B92C9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60DB0E19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nil"/>
            </w:tcBorders>
            <w:shd w:val="clear" w:color="auto" w:fill="DEEAF6"/>
          </w:tcPr>
          <w:p w14:paraId="4EB8B045" w14:textId="20D70A06" w:rsidR="007032AB" w:rsidRPr="00D6646F" w:rsidRDefault="007032AB" w:rsidP="007032A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Количество аналитических инструментов, используемых для организационной аналитики и консолидации данных по ЛР</w:t>
            </w:r>
          </w:p>
        </w:tc>
        <w:tc>
          <w:tcPr>
            <w:tcW w:w="931" w:type="pct"/>
            <w:tcBorders>
              <w:top w:val="nil"/>
              <w:bottom w:val="nil"/>
            </w:tcBorders>
            <w:shd w:val="clear" w:color="auto" w:fill="DEEAF6"/>
          </w:tcPr>
          <w:p w14:paraId="1E4F2315" w14:textId="74A853B4" w:rsidR="007032AB" w:rsidRPr="00D6646F" w:rsidRDefault="007032AB" w:rsidP="007032AB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4-й квартал 2026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5D019234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D6646F" w14:paraId="430AFAE8" w14:textId="77777777" w:rsidTr="003E75B1">
        <w:trPr>
          <w:cantSplit/>
          <w:trHeight w:val="417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692893B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A78FD3" w14:textId="77777777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0D456101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39A7248D" w14:textId="78A02430" w:rsidR="007032AB" w:rsidRPr="00D6646F" w:rsidRDefault="007032AB" w:rsidP="007032A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</w: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Количество внедренных инструментов с использованием ИИ</w:t>
            </w: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shd w:val="clear" w:color="auto" w:fill="DEEAF6"/>
          </w:tcPr>
          <w:p w14:paraId="5C32101C" w14:textId="77777777" w:rsidR="007032AB" w:rsidRPr="00D6646F" w:rsidRDefault="007032AB" w:rsidP="007032AB">
            <w:pPr>
              <w:pStyle w:val="Tabletext"/>
              <w:rPr>
                <w:sz w:val="16"/>
                <w:szCs w:val="16"/>
                <w:lang w:val="ru-RU"/>
              </w:rPr>
            </w:pPr>
            <w:r w:rsidRPr="00D6646F">
              <w:rPr>
                <w:rFonts w:eastAsia="Malgun Gothic"/>
                <w:sz w:val="16"/>
                <w:szCs w:val="16"/>
                <w:lang w:val="ru-RU" w:eastAsia="ko-KR"/>
              </w:rPr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07A0E8AD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D6646F" w14:paraId="62061133" w14:textId="77777777" w:rsidTr="003E75B1">
        <w:trPr>
          <w:cantSplit/>
          <w:trHeight w:val="426"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19285EA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5.9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284EA7" w14:textId="0CE87F58" w:rsidR="007032AB" w:rsidRPr="00D6646F" w:rsidRDefault="007032AB" w:rsidP="00AB65A3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Решения в области</w:t>
            </w:r>
            <w:r w:rsidR="00AB65A3" w:rsidRPr="00D6646F">
              <w:rPr>
                <w:sz w:val="16"/>
                <w:szCs w:val="16"/>
                <w:lang w:val="ru-RU" w:eastAsia="zh-CN"/>
              </w:rPr>
              <w:t> </w:t>
            </w:r>
            <w:r w:rsidRPr="00D6646F">
              <w:rPr>
                <w:sz w:val="16"/>
                <w:szCs w:val="16"/>
                <w:lang w:val="ru-RU" w:eastAsia="zh-CN"/>
              </w:rPr>
              <w:t>ЛР с использованием ИИ</w:t>
            </w:r>
          </w:p>
        </w:tc>
        <w:tc>
          <w:tcPr>
            <w:tcW w:w="1477" w:type="pct"/>
            <w:vMerge w:val="restart"/>
            <w:tcBorders>
              <w:left w:val="single" w:sz="4" w:space="0" w:color="auto"/>
            </w:tcBorders>
            <w:shd w:val="clear" w:color="auto" w:fill="DEEAF6"/>
          </w:tcPr>
          <w:p w14:paraId="1E5E450C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Оценивать и апробировать решения в области ЛР с использованием ИИ, налаживая взаимодействие внутри и между организациями для проверки эффективности, обмена передовым опытом и устранения потенциальных рисков.</w:t>
            </w:r>
          </w:p>
        </w:tc>
        <w:tc>
          <w:tcPr>
            <w:tcW w:w="1551" w:type="pct"/>
            <w:tcBorders>
              <w:bottom w:val="nil"/>
            </w:tcBorders>
            <w:shd w:val="clear" w:color="auto" w:fill="DEEAF6"/>
          </w:tcPr>
          <w:p w14:paraId="026591BD" w14:textId="22C375B3" w:rsidR="007032AB" w:rsidRPr="00D6646F" w:rsidDel="00037073" w:rsidRDefault="007032AB" w:rsidP="006C34F8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Количество применяемых решений с использованием ИИ</w:t>
            </w:r>
          </w:p>
        </w:tc>
        <w:tc>
          <w:tcPr>
            <w:tcW w:w="931" w:type="pct"/>
            <w:tcBorders>
              <w:bottom w:val="nil"/>
            </w:tcBorders>
            <w:shd w:val="clear" w:color="auto" w:fill="DEEAF6"/>
          </w:tcPr>
          <w:p w14:paraId="1A50526C" w14:textId="14B64CEA" w:rsidR="007032AB" w:rsidRPr="00D6646F" w:rsidRDefault="007032AB" w:rsidP="007032AB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2027 года</w:t>
            </w:r>
          </w:p>
        </w:tc>
        <w:tc>
          <w:tcPr>
            <w:tcW w:w="239" w:type="pct"/>
            <w:vMerge w:val="restart"/>
            <w:shd w:val="clear" w:color="auto" w:fill="DEEAF6"/>
            <w:vAlign w:val="center"/>
          </w:tcPr>
          <w:p w14:paraId="1676AE36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  <w:tr w:rsidR="007032AB" w:rsidRPr="00D6646F" w14:paraId="7BA7A086" w14:textId="77777777" w:rsidTr="003E75B1">
        <w:trPr>
          <w:cantSplit/>
          <w:trHeight w:val="668"/>
          <w:jc w:val="center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9B9D60E" w14:textId="77777777" w:rsidR="007032AB" w:rsidRPr="00D6646F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55B80B" w14:textId="77777777" w:rsidR="007032AB" w:rsidRPr="00D6646F" w:rsidRDefault="007032AB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</w:tcBorders>
            <w:shd w:val="clear" w:color="auto" w:fill="DEEAF6"/>
          </w:tcPr>
          <w:p w14:paraId="7882597B" w14:textId="77777777" w:rsidR="007032AB" w:rsidRPr="00D6646F" w:rsidRDefault="007032AB" w:rsidP="006C34F8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  <w:tc>
          <w:tcPr>
            <w:tcW w:w="1551" w:type="pct"/>
            <w:tcBorders>
              <w:top w:val="nil"/>
            </w:tcBorders>
            <w:shd w:val="clear" w:color="auto" w:fill="DEEAF6"/>
          </w:tcPr>
          <w:p w14:paraId="3BAFBB92" w14:textId="77777777" w:rsidR="007032AB" w:rsidRPr="00D6646F" w:rsidRDefault="007032AB" w:rsidP="007032AB">
            <w:pPr>
              <w:pStyle w:val="Tabletext"/>
              <w:ind w:left="225" w:hanging="225"/>
              <w:rPr>
                <w:rFonts w:eastAsia="DengXian"/>
                <w:sz w:val="16"/>
                <w:szCs w:val="16"/>
                <w:lang w:val="ru-RU" w:eastAsia="zh-CN"/>
              </w:rPr>
            </w:pP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>•</w:t>
            </w:r>
            <w:r w:rsidRPr="00D6646F">
              <w:rPr>
                <w:rFonts w:eastAsia="DengXian"/>
                <w:sz w:val="16"/>
                <w:szCs w:val="16"/>
                <w:lang w:val="ru-RU" w:eastAsia="zh-CN"/>
              </w:rPr>
              <w:tab/>
              <w:t>Извлеченные уроки и обмен передовым опытом на внутриорганизационном и межорганизационном уровнях (качественный показатель)</w:t>
            </w:r>
          </w:p>
        </w:tc>
        <w:tc>
          <w:tcPr>
            <w:tcW w:w="931" w:type="pct"/>
            <w:tcBorders>
              <w:top w:val="nil"/>
            </w:tcBorders>
            <w:shd w:val="clear" w:color="auto" w:fill="DEEAF6"/>
          </w:tcPr>
          <w:p w14:paraId="5FBB9B7E" w14:textId="73656A92" w:rsidR="007032AB" w:rsidRPr="00D6646F" w:rsidRDefault="007032AB" w:rsidP="006C34F8">
            <w:pPr>
              <w:pStyle w:val="Tabletext"/>
              <w:rPr>
                <w:sz w:val="16"/>
                <w:szCs w:val="16"/>
                <w:lang w:val="ru-RU" w:eastAsia="zh-CN"/>
              </w:rPr>
            </w:pPr>
            <w:r w:rsidRPr="00D6646F">
              <w:rPr>
                <w:sz w:val="16"/>
                <w:szCs w:val="16"/>
                <w:lang w:val="ru-RU" w:eastAsia="zh-CN"/>
              </w:rPr>
              <w:t>4-й квартал 2027 года</w:t>
            </w:r>
          </w:p>
        </w:tc>
        <w:tc>
          <w:tcPr>
            <w:tcW w:w="239" w:type="pct"/>
            <w:vMerge/>
            <w:shd w:val="clear" w:color="auto" w:fill="DEEAF6"/>
            <w:vAlign w:val="center"/>
          </w:tcPr>
          <w:p w14:paraId="3B49073E" w14:textId="77777777" w:rsidR="007032AB" w:rsidRPr="00D6646F" w:rsidDel="004B5D0E" w:rsidRDefault="007032AB" w:rsidP="008576B1">
            <w:pPr>
              <w:pStyle w:val="Tabletext"/>
              <w:rPr>
                <w:rFonts w:eastAsia="DengXian"/>
                <w:sz w:val="16"/>
                <w:szCs w:val="16"/>
                <w:lang w:val="ru-RU" w:eastAsia="zh-CN"/>
              </w:rPr>
            </w:pPr>
          </w:p>
        </w:tc>
      </w:tr>
    </w:tbl>
    <w:p w14:paraId="4F80F2D1" w14:textId="77777777" w:rsidR="00796BD3" w:rsidRPr="00D6646F" w:rsidRDefault="00C462C5" w:rsidP="00DE5447">
      <w:pPr>
        <w:spacing w:before="600" w:after="120"/>
        <w:jc w:val="center"/>
        <w:rPr>
          <w:lang w:val="ru-RU"/>
        </w:rPr>
      </w:pPr>
      <w:r w:rsidRPr="00D6646F">
        <w:rPr>
          <w:lang w:val="ru-RU"/>
        </w:rPr>
        <w:t>______________</w:t>
      </w:r>
    </w:p>
    <w:sectPr w:rsidR="00796BD3" w:rsidRPr="00D6646F" w:rsidSect="00DE5447">
      <w:footerReference w:type="default" r:id="rId11"/>
      <w:headerReference w:type="first" r:id="rId12"/>
      <w:footerReference w:type="first" r:id="rId13"/>
      <w:pgSz w:w="16834" w:h="11907" w:orient="landscape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9770" w14:textId="77777777" w:rsidR="002F3D47" w:rsidRDefault="002F3D47">
      <w:r>
        <w:separator/>
      </w:r>
    </w:p>
  </w:endnote>
  <w:endnote w:type="continuationSeparator" w:id="0">
    <w:p w14:paraId="6282FC53" w14:textId="77777777" w:rsidR="002F3D47" w:rsidRDefault="002F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2F3D47" w:rsidRPr="00784011" w14:paraId="2F3204CD" w14:textId="77777777">
      <w:trPr>
        <w:jc w:val="center"/>
      </w:trPr>
      <w:tc>
        <w:tcPr>
          <w:tcW w:w="1803" w:type="dxa"/>
          <w:vAlign w:val="center"/>
        </w:tcPr>
        <w:p w14:paraId="11C0BBA1" w14:textId="6AFED394" w:rsidR="002F3D47" w:rsidRDefault="002F3D47" w:rsidP="003C0F36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9EAC91C" w14:textId="77777777" w:rsidR="002F3D47" w:rsidRPr="00E06FD5" w:rsidRDefault="002F3D47" w:rsidP="003C0F36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67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10</w:t>
          </w:r>
          <w:r>
            <w:rPr>
              <w:noProof/>
            </w:rPr>
            <w:fldChar w:fldCharType="end"/>
          </w:r>
        </w:p>
      </w:tc>
    </w:tr>
  </w:tbl>
  <w:p w14:paraId="2CEEE6D8" w14:textId="77777777" w:rsidR="002F3D47" w:rsidRPr="00DB1936" w:rsidRDefault="002F3D47" w:rsidP="003C0F36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2F3D47" w:rsidRPr="00784011" w14:paraId="4A6489DA" w14:textId="77777777">
      <w:trPr>
        <w:jc w:val="center"/>
      </w:trPr>
      <w:tc>
        <w:tcPr>
          <w:tcW w:w="1803" w:type="dxa"/>
          <w:vAlign w:val="center"/>
        </w:tcPr>
        <w:p w14:paraId="5DD3450E" w14:textId="77777777" w:rsidR="002F3D47" w:rsidRPr="006B77F1" w:rsidRDefault="002F3D47" w:rsidP="003C0F36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0D0D1829" w14:textId="77777777" w:rsidR="002F3D47" w:rsidRPr="00E06FD5" w:rsidRDefault="002F3D47" w:rsidP="003C0F36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67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9</w:t>
          </w:r>
          <w:r>
            <w:rPr>
              <w:noProof/>
            </w:rPr>
            <w:fldChar w:fldCharType="end"/>
          </w:r>
        </w:p>
      </w:tc>
    </w:tr>
  </w:tbl>
  <w:p w14:paraId="0E094970" w14:textId="77777777" w:rsidR="002F3D47" w:rsidRPr="003C0F36" w:rsidRDefault="002F3D47" w:rsidP="003C0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65B9DA2" w14:textId="77777777" w:rsidTr="00E31DCE">
      <w:trPr>
        <w:jc w:val="center"/>
      </w:trPr>
      <w:tc>
        <w:tcPr>
          <w:tcW w:w="1803" w:type="dxa"/>
          <w:vAlign w:val="center"/>
        </w:tcPr>
        <w:p w14:paraId="4EEEAC05" w14:textId="4ADD16D3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4A16DB" w14:textId="3C77615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F3D47">
            <w:rPr>
              <w:bCs/>
            </w:rPr>
            <w:t>67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BB3408" w14:textId="77777777" w:rsidR="000E568E" w:rsidRPr="00672F8A" w:rsidRDefault="000E568E" w:rsidP="00672F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18A827F" w14:textId="77777777" w:rsidTr="00E31DCE">
      <w:trPr>
        <w:jc w:val="center"/>
      </w:trPr>
      <w:tc>
        <w:tcPr>
          <w:tcW w:w="1803" w:type="dxa"/>
          <w:vAlign w:val="center"/>
        </w:tcPr>
        <w:p w14:paraId="6687F853" w14:textId="67349504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94E727B" w14:textId="22D5989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F3D47">
            <w:rPr>
              <w:bCs/>
            </w:rPr>
            <w:t>67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9BD0340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E26E" w14:textId="77777777" w:rsidR="002F3D47" w:rsidRDefault="002F3D47">
      <w:r>
        <w:t>____________________</w:t>
      </w:r>
    </w:p>
  </w:footnote>
  <w:footnote w:type="continuationSeparator" w:id="0">
    <w:p w14:paraId="0642AE7A" w14:textId="77777777" w:rsidR="002F3D47" w:rsidRDefault="002F3D47">
      <w:r>
        <w:continuationSeparator/>
      </w:r>
    </w:p>
  </w:footnote>
  <w:footnote w:id="1">
    <w:p w14:paraId="3D055CAA" w14:textId="77777777" w:rsidR="002F3D47" w:rsidRPr="00C616B7" w:rsidRDefault="002F3D47" w:rsidP="002F3D47">
      <w:pPr>
        <w:pStyle w:val="FootnoteText"/>
        <w:rPr>
          <w:rFonts w:eastAsia="DengXian"/>
          <w:lang w:val="ru-RU"/>
        </w:rPr>
      </w:pPr>
      <w:r w:rsidRPr="00FF6536">
        <w:rPr>
          <w:rStyle w:val="FootnoteReference"/>
          <w:szCs w:val="16"/>
        </w:rPr>
        <w:footnoteRef/>
      </w:r>
      <w:r w:rsidRPr="00C616B7">
        <w:rPr>
          <w:lang w:val="ru-RU"/>
        </w:rPr>
        <w:tab/>
      </w:r>
      <w:r>
        <w:rPr>
          <w:lang w:val="ru-RU"/>
        </w:rPr>
        <w:t>Наименее</w:t>
      </w:r>
      <w:r w:rsidRPr="00C616B7">
        <w:rPr>
          <w:lang w:val="ru-RU"/>
        </w:rPr>
        <w:t xml:space="preserve"> </w:t>
      </w:r>
      <w:r>
        <w:rPr>
          <w:lang w:val="ru-RU"/>
        </w:rPr>
        <w:t>развитые страны</w:t>
      </w:r>
      <w:r w:rsidRPr="00C616B7">
        <w:rPr>
          <w:lang w:val="ru-RU"/>
        </w:rPr>
        <w:t>/</w:t>
      </w:r>
      <w:r>
        <w:rPr>
          <w:lang w:val="ru-RU"/>
        </w:rPr>
        <w:t>развивающиеся страны, не имеющие выхода к морю</w:t>
      </w:r>
      <w:r w:rsidRPr="00C616B7">
        <w:rPr>
          <w:lang w:val="ru-RU"/>
        </w:rPr>
        <w:t>/</w:t>
      </w:r>
      <w:r>
        <w:rPr>
          <w:lang w:val="ru-RU"/>
        </w:rPr>
        <w:t>малые островные развивающиеся государства</w:t>
      </w:r>
      <w:r w:rsidRPr="00C616B7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D79B" w14:textId="40245DAB" w:rsidR="002F3D47" w:rsidRDefault="00AB65A3" w:rsidP="00AB65A3">
    <w:pPr>
      <w:pStyle w:val="Header"/>
      <w:jc w:val="left"/>
    </w:pPr>
    <w:r>
      <w:rPr>
        <w:noProof/>
      </w:rPr>
      <w:drawing>
        <wp:inline distT="0" distB="0" distL="0" distR="0" wp14:anchorId="4E2A51DF" wp14:editId="4893AF4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AA1" w14:textId="33E805D5" w:rsidR="0014229E" w:rsidRPr="007E5FC4" w:rsidRDefault="0014229E" w:rsidP="00A74304">
    <w:pPr>
      <w:pStyle w:val="Header"/>
      <w:spacing w:before="60"/>
      <w:ind w:left="11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4113B6"/>
    <w:multiLevelType w:val="hybridMultilevel"/>
    <w:tmpl w:val="9CBECCDC"/>
    <w:lvl w:ilvl="0" w:tplc="55CAA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0C29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AE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A5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CF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EA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4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F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42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25932"/>
    <w:multiLevelType w:val="multilevel"/>
    <w:tmpl w:val="4336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25571"/>
    <w:multiLevelType w:val="multilevel"/>
    <w:tmpl w:val="E6725D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0E3561"/>
    <w:multiLevelType w:val="hybridMultilevel"/>
    <w:tmpl w:val="C8142D46"/>
    <w:lvl w:ilvl="0" w:tplc="4F1EA24A">
      <w:start w:val="1"/>
      <w:numFmt w:val="decimal"/>
      <w:lvlText w:val="%1."/>
      <w:lvlJc w:val="left"/>
      <w:pPr>
        <w:ind w:left="3195" w:hanging="360"/>
      </w:pPr>
      <w:rPr>
        <w:b w:val="0"/>
        <w:b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566" w:hanging="360"/>
      </w:pPr>
    </w:lvl>
    <w:lvl w:ilvl="2" w:tplc="0409001B">
      <w:start w:val="1"/>
      <w:numFmt w:val="lowerRoman"/>
      <w:lvlText w:val="%3."/>
      <w:lvlJc w:val="right"/>
      <w:pPr>
        <w:ind w:left="4286" w:hanging="180"/>
      </w:pPr>
    </w:lvl>
    <w:lvl w:ilvl="3" w:tplc="0409000F">
      <w:start w:val="1"/>
      <w:numFmt w:val="decimal"/>
      <w:lvlText w:val="%4."/>
      <w:lvlJc w:val="left"/>
      <w:pPr>
        <w:ind w:left="5006" w:hanging="360"/>
      </w:pPr>
    </w:lvl>
    <w:lvl w:ilvl="4" w:tplc="04090019">
      <w:start w:val="1"/>
      <w:numFmt w:val="lowerLetter"/>
      <w:lvlText w:val="%5."/>
      <w:lvlJc w:val="left"/>
      <w:pPr>
        <w:ind w:left="5726" w:hanging="360"/>
      </w:pPr>
    </w:lvl>
    <w:lvl w:ilvl="5" w:tplc="0409001B">
      <w:start w:val="1"/>
      <w:numFmt w:val="lowerRoman"/>
      <w:lvlText w:val="%6."/>
      <w:lvlJc w:val="right"/>
      <w:pPr>
        <w:ind w:left="6446" w:hanging="180"/>
      </w:pPr>
    </w:lvl>
    <w:lvl w:ilvl="6" w:tplc="0409000F">
      <w:start w:val="1"/>
      <w:numFmt w:val="decimal"/>
      <w:lvlText w:val="%7."/>
      <w:lvlJc w:val="left"/>
      <w:pPr>
        <w:ind w:left="7166" w:hanging="360"/>
      </w:pPr>
    </w:lvl>
    <w:lvl w:ilvl="7" w:tplc="04090019">
      <w:start w:val="1"/>
      <w:numFmt w:val="lowerLetter"/>
      <w:lvlText w:val="%8."/>
      <w:lvlJc w:val="left"/>
      <w:pPr>
        <w:ind w:left="7886" w:hanging="360"/>
      </w:pPr>
    </w:lvl>
    <w:lvl w:ilvl="8" w:tplc="0409001B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420B57E7"/>
    <w:multiLevelType w:val="multilevel"/>
    <w:tmpl w:val="19E4B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A555B1F"/>
    <w:multiLevelType w:val="multilevel"/>
    <w:tmpl w:val="17D6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693786">
    <w:abstractNumId w:val="0"/>
  </w:num>
  <w:num w:numId="2" w16cid:durableId="1390573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687172">
    <w:abstractNumId w:val="1"/>
  </w:num>
  <w:num w:numId="4" w16cid:durableId="1568563840">
    <w:abstractNumId w:val="5"/>
  </w:num>
  <w:num w:numId="5" w16cid:durableId="804812651">
    <w:abstractNumId w:val="3"/>
  </w:num>
  <w:num w:numId="6" w16cid:durableId="1097941546">
    <w:abstractNumId w:val="6"/>
  </w:num>
  <w:num w:numId="7" w16cid:durableId="213228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47"/>
    <w:rsid w:val="00005BE0"/>
    <w:rsid w:val="0002183E"/>
    <w:rsid w:val="00042660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3498"/>
    <w:rsid w:val="00156890"/>
    <w:rsid w:val="0015710D"/>
    <w:rsid w:val="00163A32"/>
    <w:rsid w:val="00165D06"/>
    <w:rsid w:val="00183797"/>
    <w:rsid w:val="00192B41"/>
    <w:rsid w:val="00194C4E"/>
    <w:rsid w:val="001B37A6"/>
    <w:rsid w:val="001B7B09"/>
    <w:rsid w:val="001E6719"/>
    <w:rsid w:val="001E7F50"/>
    <w:rsid w:val="00225368"/>
    <w:rsid w:val="00227FF0"/>
    <w:rsid w:val="00244C39"/>
    <w:rsid w:val="00266A81"/>
    <w:rsid w:val="00276F05"/>
    <w:rsid w:val="00277DEA"/>
    <w:rsid w:val="00291EB6"/>
    <w:rsid w:val="002C3F32"/>
    <w:rsid w:val="002D2F57"/>
    <w:rsid w:val="002D48C5"/>
    <w:rsid w:val="002F3D47"/>
    <w:rsid w:val="003277B0"/>
    <w:rsid w:val="0033025A"/>
    <w:rsid w:val="00345D2A"/>
    <w:rsid w:val="00381936"/>
    <w:rsid w:val="003935CB"/>
    <w:rsid w:val="003E75B1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2E3A"/>
    <w:rsid w:val="00497703"/>
    <w:rsid w:val="004A0374"/>
    <w:rsid w:val="004A45B5"/>
    <w:rsid w:val="004D0129"/>
    <w:rsid w:val="00515795"/>
    <w:rsid w:val="005A64D5"/>
    <w:rsid w:val="005B3DEC"/>
    <w:rsid w:val="00601994"/>
    <w:rsid w:val="00644DBC"/>
    <w:rsid w:val="00660449"/>
    <w:rsid w:val="00672F8A"/>
    <w:rsid w:val="006C34F8"/>
    <w:rsid w:val="006E2D42"/>
    <w:rsid w:val="007032AB"/>
    <w:rsid w:val="00703676"/>
    <w:rsid w:val="00707304"/>
    <w:rsid w:val="0071109B"/>
    <w:rsid w:val="00732269"/>
    <w:rsid w:val="007532A5"/>
    <w:rsid w:val="00762555"/>
    <w:rsid w:val="00765204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81F75"/>
    <w:rsid w:val="0088267B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21791"/>
    <w:rsid w:val="00A3481C"/>
    <w:rsid w:val="00A405F9"/>
    <w:rsid w:val="00A71773"/>
    <w:rsid w:val="00A74304"/>
    <w:rsid w:val="00AB65A3"/>
    <w:rsid w:val="00AD321B"/>
    <w:rsid w:val="00AE2C85"/>
    <w:rsid w:val="00B0107F"/>
    <w:rsid w:val="00B12A37"/>
    <w:rsid w:val="00B41837"/>
    <w:rsid w:val="00B63EF2"/>
    <w:rsid w:val="00B871EE"/>
    <w:rsid w:val="00BA7D89"/>
    <w:rsid w:val="00BC0D39"/>
    <w:rsid w:val="00BC7BC0"/>
    <w:rsid w:val="00BD57B7"/>
    <w:rsid w:val="00BE00DD"/>
    <w:rsid w:val="00BE63E2"/>
    <w:rsid w:val="00C462C5"/>
    <w:rsid w:val="00C80298"/>
    <w:rsid w:val="00CD2009"/>
    <w:rsid w:val="00CE4FFD"/>
    <w:rsid w:val="00CF629C"/>
    <w:rsid w:val="00D17718"/>
    <w:rsid w:val="00D631AA"/>
    <w:rsid w:val="00D6646F"/>
    <w:rsid w:val="00D92EEA"/>
    <w:rsid w:val="00DA5D4E"/>
    <w:rsid w:val="00DA770A"/>
    <w:rsid w:val="00DE5447"/>
    <w:rsid w:val="00E05752"/>
    <w:rsid w:val="00E176BA"/>
    <w:rsid w:val="00E41EB1"/>
    <w:rsid w:val="00E423EC"/>
    <w:rsid w:val="00E55121"/>
    <w:rsid w:val="00E9332E"/>
    <w:rsid w:val="00EB4FCB"/>
    <w:rsid w:val="00EC6BC5"/>
    <w:rsid w:val="00F348D0"/>
    <w:rsid w:val="00F35898"/>
    <w:rsid w:val="00F5225B"/>
    <w:rsid w:val="00FD32A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41C08"/>
  <w15:docId w15:val="{7C3946F7-8302-4D56-9741-D9C50A4F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4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EB1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link w:val="Heading2Char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uiPriority w:val="39"/>
    <w:rsid w:val="00A405F9"/>
  </w:style>
  <w:style w:type="paragraph" w:styleId="TOC4">
    <w:name w:val="toc 4"/>
    <w:basedOn w:val="TOC1"/>
    <w:next w:val="Normal"/>
    <w:uiPriority w:val="39"/>
    <w:rsid w:val="00A405F9"/>
  </w:style>
  <w:style w:type="paragraph" w:styleId="TOC3">
    <w:name w:val="toc 3"/>
    <w:basedOn w:val="TOC1"/>
    <w:next w:val="Normal"/>
    <w:uiPriority w:val="39"/>
    <w:rsid w:val="00A405F9"/>
  </w:style>
  <w:style w:type="paragraph" w:styleId="TOC2">
    <w:name w:val="toc 2"/>
    <w:basedOn w:val="TOC1"/>
    <w:next w:val="Normal"/>
    <w:uiPriority w:val="39"/>
    <w:rsid w:val="00A405F9"/>
    <w:pPr>
      <w:spacing w:before="160"/>
    </w:pPr>
  </w:style>
  <w:style w:type="paragraph" w:styleId="TOC1">
    <w:name w:val="toc 1"/>
    <w:basedOn w:val="Normal"/>
    <w:uiPriority w:val="39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uiPriority w:val="39"/>
    <w:rsid w:val="00A405F9"/>
  </w:style>
  <w:style w:type="paragraph" w:styleId="TOC6">
    <w:name w:val="toc 6"/>
    <w:basedOn w:val="TOC5"/>
    <w:next w:val="Normal"/>
    <w:uiPriority w:val="39"/>
    <w:rsid w:val="00A405F9"/>
  </w:style>
  <w:style w:type="paragraph" w:styleId="TOC5">
    <w:name w:val="toc 5"/>
    <w:basedOn w:val="TOC4"/>
    <w:next w:val="Normal"/>
    <w:uiPriority w:val="39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27FF0"/>
    <w:rPr>
      <w:position w:val="6"/>
      <w:sz w:val="16"/>
    </w:rPr>
  </w:style>
  <w:style w:type="paragraph" w:styleId="FootnoteText">
    <w:name w:val="footnote text"/>
    <w:aliases w:val="ALTS FOOTNOTE,Schriftart: 9 pt,Schriftart: 10 pt,Schriftart: 8 pt,WB-Fuكnotentext,Footnote text,Footnote Text Char Char Char Char,Footnote Text Char Char,Footnote Text Char Char Char Char Char,WB-Fußnotentext,MTFootnote,fn,Fußn"/>
    <w:basedOn w:val="Normal"/>
    <w:link w:val="FootnoteTextChar"/>
    <w:qFormat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uiPriority w:val="99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uiPriority w:val="39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uiPriority w:val="99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uiPriority w:val="99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1EB1"/>
    <w:rPr>
      <w:rFonts w:ascii="Calibri" w:hAnsi="Calibr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2F3D47"/>
    <w:rPr>
      <w:rFonts w:ascii="Calibri" w:hAnsi="Calibri"/>
      <w:b/>
      <w:sz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D4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3D47"/>
    <w:rPr>
      <w:rFonts w:ascii="Calibri" w:hAnsi="Calibri"/>
      <w:caps/>
      <w:noProof/>
      <w:sz w:val="16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47"/>
    <w:rPr>
      <w:rFonts w:ascii="Segoe UI" w:eastAsiaTheme="minorHAnsi" w:hAnsi="Segoe UI" w:cs="Segoe UI"/>
      <w:sz w:val="18"/>
      <w:szCs w:val="18"/>
      <w:lang w:val="en-GB" w:eastAsia="en-US"/>
    </w:rPr>
  </w:style>
  <w:style w:type="character" w:styleId="CommentReference">
    <w:name w:val="annotation reference"/>
    <w:uiPriority w:val="99"/>
    <w:rsid w:val="002F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 w:val="20"/>
      <w:szCs w:val="22"/>
      <w:lang w:val="en-US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D47"/>
    <w:rPr>
      <w:rFonts w:ascii="Calibri" w:eastAsiaTheme="minorEastAsia" w:hAnsi="Calibri"/>
      <w:szCs w:val="22"/>
      <w:lang w:eastAsia="fr-FR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Recommendation,O5"/>
    <w:basedOn w:val="Normal"/>
    <w:link w:val="ListParagraphChar"/>
    <w:uiPriority w:val="34"/>
    <w:qFormat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510"/>
      <w:textAlignment w:val="auto"/>
    </w:pPr>
    <w:rPr>
      <w:rFonts w:eastAsia="PMingLiU"/>
      <w:szCs w:val="22"/>
      <w:lang w:val="en-US" w:eastAsia="zh-TW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,O5 Char"/>
    <w:basedOn w:val="DefaultParagraphFont"/>
    <w:link w:val="ListParagraph"/>
    <w:uiPriority w:val="34"/>
    <w:qFormat/>
    <w:locked/>
    <w:rsid w:val="002F3D47"/>
    <w:rPr>
      <w:rFonts w:ascii="Calibri" w:eastAsia="PMingLiU" w:hAnsi="Calibri"/>
      <w:sz w:val="22"/>
      <w:szCs w:val="22"/>
      <w:lang w:eastAsia="zh-TW"/>
    </w:rPr>
  </w:style>
  <w:style w:type="table" w:styleId="ListTable3-Accent1">
    <w:name w:val="List Table 3 Accent 1"/>
    <w:basedOn w:val="TableNormal"/>
    <w:uiPriority w:val="48"/>
    <w:rsid w:val="002F3D47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link w:val="NormalWebChar"/>
    <w:uiPriority w:val="99"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1"/>
      <w:szCs w:val="24"/>
      <w:lang w:val="en-US" w:eastAsia="zh-CN"/>
    </w:rPr>
  </w:style>
  <w:style w:type="character" w:customStyle="1" w:styleId="NormalWebChar">
    <w:name w:val="Normal (Web) Char"/>
    <w:link w:val="NormalWeb"/>
    <w:uiPriority w:val="99"/>
    <w:locked/>
    <w:rsid w:val="002F3D47"/>
    <w:rPr>
      <w:rFonts w:ascii="Calibri" w:eastAsia="SimSun" w:hAnsi="Calibri"/>
      <w:sz w:val="21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 w:cs="Courier New"/>
      <w:sz w:val="20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F3D47"/>
    <w:rPr>
      <w:rFonts w:ascii="Courier New" w:eastAsia="SimSun" w:hAnsi="Courier New" w:cs="Courier New"/>
      <w:szCs w:val="22"/>
    </w:rPr>
  </w:style>
  <w:style w:type="character" w:styleId="Emphasis">
    <w:name w:val="Emphasis"/>
    <w:basedOn w:val="DefaultParagraphFont"/>
    <w:uiPriority w:val="20"/>
    <w:qFormat/>
    <w:rsid w:val="002F3D47"/>
    <w:rPr>
      <w:i/>
      <w:iCs/>
    </w:rPr>
  </w:style>
  <w:style w:type="character" w:customStyle="1" w:styleId="FootnoteTextChar">
    <w:name w:val="Footnote Text Char"/>
    <w:aliases w:val="ALTS FOOTNOTE Char,Schriftart: 9 pt Char,Schriftart: 10 pt Char,Schriftart: 8 pt Char,WB-Fuكnotentext Char,Footnote text Char,Footnote Text Char Char Char Char Char1,Footnote Text Char Char Char,WB-Fußnotentext Char,MTFootnote Char"/>
    <w:basedOn w:val="DefaultParagraphFont"/>
    <w:link w:val="FootnoteText"/>
    <w:qFormat/>
    <w:rsid w:val="002F3D47"/>
    <w:rPr>
      <w:rFonts w:ascii="Calibri" w:hAnsi="Calibri"/>
      <w:lang w:val="en-GB" w:eastAsia="en-US"/>
    </w:rPr>
  </w:style>
  <w:style w:type="paragraph" w:styleId="Revision">
    <w:name w:val="Revision"/>
    <w:hidden/>
    <w:uiPriority w:val="99"/>
    <w:semiHidden/>
    <w:rsid w:val="002F3D4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D47"/>
    <w:pPr>
      <w:spacing w:before="0"/>
    </w:pPr>
    <w:rPr>
      <w:rFonts w:asciiTheme="minorHAnsi" w:eastAsiaTheme="minorHAnsi" w:hAnsiTheme="minorHAnsi" w:cstheme="minorBidi"/>
      <w:b/>
      <w:bCs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D47"/>
    <w:rPr>
      <w:rFonts w:asciiTheme="minorHAnsi" w:eastAsiaTheme="minorHAnsi" w:hAnsiTheme="minorHAnsi" w:cstheme="minorBidi"/>
      <w:b/>
      <w:bCs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3D47"/>
    <w:rPr>
      <w:rFonts w:asciiTheme="minorHAnsi" w:hAnsiTheme="minorHAnsi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F3D47"/>
    <w:rPr>
      <w:rFonts w:asciiTheme="minorHAnsi" w:hAnsiTheme="minorHAnsi"/>
      <w:b/>
      <w:sz w:val="2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567" w:hanging="567"/>
      <w:textAlignment w:val="auto"/>
      <w:outlineLvl w:val="9"/>
    </w:pPr>
    <w:rPr>
      <w:rFonts w:eastAsiaTheme="majorEastAsia" w:cs="Calibri"/>
      <w:b w:val="0"/>
      <w:color w:val="365F91" w:themeColor="accent1" w:themeShade="BF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2F3D4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F3D47"/>
    <w:rPr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F3D47"/>
    <w:rPr>
      <w:rFonts w:asciiTheme="minorHAnsi" w:hAnsiTheme="minorHAnsi"/>
      <w:sz w:val="22"/>
      <w:lang w:val="en-GB" w:eastAsia="en-US"/>
    </w:rPr>
  </w:style>
  <w:style w:type="table" w:styleId="ListTable4-Accent1">
    <w:name w:val="List Table 4 Accent 1"/>
    <w:basedOn w:val="TableNormal"/>
    <w:uiPriority w:val="49"/>
    <w:rsid w:val="002F3D47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F3D47"/>
    <w:rPr>
      <w:rFonts w:asciiTheme="minorHAnsi" w:hAnsiTheme="minorHAnsi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D4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D47"/>
    <w:rPr>
      <w:rFonts w:asciiTheme="minorHAnsi" w:eastAsiaTheme="minorHAnsi" w:hAnsiTheme="minorHAnsi" w:cstheme="minorBidi"/>
      <w:lang w:val="en-GB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2F3D47"/>
    <w:rPr>
      <w:rFonts w:ascii="Calibri" w:hAnsi="Calibri"/>
      <w:sz w:val="22"/>
      <w:lang w:val="en-GB" w:eastAsia="en-US"/>
    </w:rPr>
  </w:style>
  <w:style w:type="paragraph" w:styleId="NoSpacing">
    <w:name w:val="No Spacing"/>
    <w:uiPriority w:val="1"/>
    <w:qFormat/>
    <w:rsid w:val="002F3D47"/>
    <w:rPr>
      <w:rFonts w:asciiTheme="minorHAnsi" w:eastAsiaTheme="minorEastAsia" w:hAnsiTheme="minorHAnsi" w:cstheme="minorBidi"/>
      <w:kern w:val="2"/>
      <w:sz w:val="22"/>
      <w:szCs w:val="22"/>
      <w:lang w:val="en-GB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2F3D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3</TotalTime>
  <Pages>17</Pages>
  <Words>5101</Words>
  <Characters>38000</Characters>
  <Application>Microsoft Office Word</Application>
  <DocSecurity>0</DocSecurity>
  <Lines>1461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Human Resources Strategic Plan 2026-2027</vt:lpstr>
    </vt:vector>
  </TitlesOfParts>
  <Manager>General Secretariat - Pool</Manager>
  <Company>International Telecommunication Union (ITU)</Company>
  <LinksUpToDate>false</LinksUpToDate>
  <CharactersWithSpaces>42256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Human Resources Strategic Plan 2026-2027</dc:title>
  <dc:subject>ITU Council 2026</dc:subject>
  <cp:keywords>C26; C2026; Council 2026; PP26</cp:keywords>
  <dc:description/>
  <cp:lastPrinted>2006-03-28T16:12:00Z</cp:lastPrinted>
  <dcterms:created xsi:type="dcterms:W3CDTF">2026-04-22T16:35:00Z</dcterms:created>
  <dcterms:modified xsi:type="dcterms:W3CDTF">2026-04-22T16:38:00Z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