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EB623E" w14:paraId="631E5E80" w14:textId="77777777" w:rsidTr="59A1C50B">
        <w:trPr>
          <w:cantSplit/>
          <w:trHeight w:val="23"/>
        </w:trPr>
        <w:tc>
          <w:tcPr>
            <w:tcW w:w="3969" w:type="dxa"/>
            <w:vMerge w:val="restart"/>
            <w:tcMar>
              <w:left w:w="0" w:type="dxa"/>
            </w:tcMar>
          </w:tcPr>
          <w:p w14:paraId="16373646" w14:textId="5A425224" w:rsidR="00AD3606" w:rsidRPr="00EB623E"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EB623E">
              <w:rPr>
                <w:b/>
              </w:rPr>
              <w:t xml:space="preserve">Agenda item: </w:t>
            </w:r>
            <w:r w:rsidR="00281248" w:rsidRPr="00EB623E">
              <w:rPr>
                <w:b/>
              </w:rPr>
              <w:t>ADM 3</w:t>
            </w:r>
          </w:p>
        </w:tc>
        <w:tc>
          <w:tcPr>
            <w:tcW w:w="5245" w:type="dxa"/>
          </w:tcPr>
          <w:p w14:paraId="5F29D6B2" w14:textId="33BDB519" w:rsidR="00AD3606" w:rsidRPr="00EB623E" w:rsidRDefault="00AD3606" w:rsidP="00954C49">
            <w:pPr>
              <w:tabs>
                <w:tab w:val="left" w:pos="851"/>
              </w:tabs>
              <w:spacing w:before="0" w:line="240" w:lineRule="atLeast"/>
              <w:jc w:val="right"/>
              <w:rPr>
                <w:b/>
              </w:rPr>
            </w:pPr>
            <w:r w:rsidRPr="00EB623E">
              <w:rPr>
                <w:b/>
              </w:rPr>
              <w:t>Document C2</w:t>
            </w:r>
            <w:r w:rsidR="00DE532B" w:rsidRPr="00EB623E">
              <w:rPr>
                <w:b/>
              </w:rPr>
              <w:t>6</w:t>
            </w:r>
            <w:r w:rsidRPr="00EB623E">
              <w:rPr>
                <w:b/>
              </w:rPr>
              <w:t>/</w:t>
            </w:r>
            <w:r w:rsidR="00281248" w:rsidRPr="00EB623E">
              <w:rPr>
                <w:b/>
              </w:rPr>
              <w:t>67</w:t>
            </w:r>
            <w:r w:rsidRPr="00EB623E">
              <w:rPr>
                <w:b/>
              </w:rPr>
              <w:t>-E</w:t>
            </w:r>
          </w:p>
        </w:tc>
      </w:tr>
      <w:tr w:rsidR="00AD3606" w:rsidRPr="00EB623E" w14:paraId="660D107A" w14:textId="77777777" w:rsidTr="59A1C50B">
        <w:trPr>
          <w:cantSplit/>
        </w:trPr>
        <w:tc>
          <w:tcPr>
            <w:tcW w:w="3969" w:type="dxa"/>
            <w:vMerge/>
          </w:tcPr>
          <w:p w14:paraId="1F1C4DA9" w14:textId="77777777" w:rsidR="00AD3606" w:rsidRPr="00EB623E" w:rsidRDefault="00AD3606" w:rsidP="00954C49">
            <w:pPr>
              <w:tabs>
                <w:tab w:val="left" w:pos="851"/>
              </w:tabs>
              <w:spacing w:line="240" w:lineRule="atLeast"/>
              <w:rPr>
                <w:b/>
              </w:rPr>
            </w:pPr>
            <w:bookmarkStart w:id="6" w:name="ddate" w:colFirst="1" w:colLast="1"/>
            <w:bookmarkEnd w:id="0"/>
            <w:bookmarkEnd w:id="1"/>
          </w:p>
        </w:tc>
        <w:tc>
          <w:tcPr>
            <w:tcW w:w="5245" w:type="dxa"/>
          </w:tcPr>
          <w:p w14:paraId="1BDC1B39" w14:textId="06A4BEA1" w:rsidR="00AD3606" w:rsidRPr="00EB623E" w:rsidRDefault="00E43561" w:rsidP="00954C49">
            <w:pPr>
              <w:tabs>
                <w:tab w:val="left" w:pos="851"/>
              </w:tabs>
              <w:spacing w:before="0"/>
              <w:jc w:val="right"/>
              <w:rPr>
                <w:b/>
              </w:rPr>
            </w:pPr>
            <w:r>
              <w:rPr>
                <w:b/>
              </w:rPr>
              <w:t>30</w:t>
            </w:r>
            <w:r w:rsidR="00281248" w:rsidRPr="00EB623E">
              <w:rPr>
                <w:b/>
              </w:rPr>
              <w:t xml:space="preserve"> March 2026</w:t>
            </w:r>
          </w:p>
        </w:tc>
      </w:tr>
      <w:tr w:rsidR="00AD3606" w:rsidRPr="00EB623E" w14:paraId="2995FE71" w14:textId="77777777" w:rsidTr="59A1C50B">
        <w:trPr>
          <w:cantSplit/>
          <w:trHeight w:val="23"/>
        </w:trPr>
        <w:tc>
          <w:tcPr>
            <w:tcW w:w="3969" w:type="dxa"/>
            <w:vMerge/>
          </w:tcPr>
          <w:p w14:paraId="1E3E100F" w14:textId="77777777" w:rsidR="00AD3606" w:rsidRPr="00EB623E" w:rsidRDefault="00AD3606" w:rsidP="00954C49">
            <w:pPr>
              <w:tabs>
                <w:tab w:val="left" w:pos="851"/>
              </w:tabs>
              <w:spacing w:line="240" w:lineRule="atLeast"/>
              <w:rPr>
                <w:b/>
              </w:rPr>
            </w:pPr>
            <w:bookmarkStart w:id="7" w:name="dorlang" w:colFirst="1" w:colLast="1"/>
            <w:bookmarkEnd w:id="6"/>
          </w:p>
        </w:tc>
        <w:tc>
          <w:tcPr>
            <w:tcW w:w="5245" w:type="dxa"/>
          </w:tcPr>
          <w:p w14:paraId="4DFACCF7" w14:textId="77777777" w:rsidR="00AD3606" w:rsidRPr="00EB623E" w:rsidRDefault="00AD3606" w:rsidP="00954C49">
            <w:pPr>
              <w:tabs>
                <w:tab w:val="left" w:pos="851"/>
              </w:tabs>
              <w:spacing w:before="0" w:line="240" w:lineRule="atLeast"/>
              <w:jc w:val="right"/>
              <w:rPr>
                <w:b/>
              </w:rPr>
            </w:pPr>
            <w:r w:rsidRPr="00EB623E">
              <w:rPr>
                <w:b/>
              </w:rPr>
              <w:t>Original: English</w:t>
            </w:r>
          </w:p>
        </w:tc>
      </w:tr>
      <w:tr w:rsidR="00472BAD" w:rsidRPr="00EB623E" w14:paraId="32CB88C8" w14:textId="77777777" w:rsidTr="59A1C50B">
        <w:trPr>
          <w:cantSplit/>
          <w:trHeight w:val="23"/>
        </w:trPr>
        <w:tc>
          <w:tcPr>
            <w:tcW w:w="3969" w:type="dxa"/>
          </w:tcPr>
          <w:p w14:paraId="7A4EFF4D" w14:textId="77777777" w:rsidR="00472BAD" w:rsidRPr="00EB623E" w:rsidRDefault="00472BAD" w:rsidP="00954C49">
            <w:pPr>
              <w:tabs>
                <w:tab w:val="left" w:pos="851"/>
              </w:tabs>
              <w:spacing w:line="240" w:lineRule="atLeast"/>
              <w:rPr>
                <w:b/>
              </w:rPr>
            </w:pPr>
          </w:p>
        </w:tc>
        <w:tc>
          <w:tcPr>
            <w:tcW w:w="5245" w:type="dxa"/>
          </w:tcPr>
          <w:p w14:paraId="43A52D66" w14:textId="77777777" w:rsidR="00472BAD" w:rsidRPr="00EB623E" w:rsidRDefault="00472BAD" w:rsidP="00954C49">
            <w:pPr>
              <w:tabs>
                <w:tab w:val="left" w:pos="851"/>
              </w:tabs>
              <w:spacing w:before="0" w:line="240" w:lineRule="atLeast"/>
              <w:jc w:val="right"/>
              <w:rPr>
                <w:b/>
              </w:rPr>
            </w:pPr>
          </w:p>
        </w:tc>
      </w:tr>
      <w:tr w:rsidR="00AD3606" w:rsidRPr="00EB623E" w14:paraId="723B09DE" w14:textId="77777777" w:rsidTr="59A1C50B">
        <w:trPr>
          <w:cantSplit/>
        </w:trPr>
        <w:tc>
          <w:tcPr>
            <w:tcW w:w="9214" w:type="dxa"/>
            <w:gridSpan w:val="2"/>
            <w:tcMar>
              <w:left w:w="0" w:type="dxa"/>
            </w:tcMar>
          </w:tcPr>
          <w:p w14:paraId="454B3B9F" w14:textId="77777777" w:rsidR="00AD3606" w:rsidRPr="00EB623E" w:rsidRDefault="00AD3606" w:rsidP="00954C49">
            <w:pPr>
              <w:pStyle w:val="Source"/>
              <w:framePr w:hSpace="0" w:wrap="auto" w:vAnchor="margin" w:hAnchor="text" w:yAlign="inline"/>
            </w:pPr>
            <w:bookmarkStart w:id="8" w:name="dsource" w:colFirst="0" w:colLast="0"/>
            <w:bookmarkEnd w:id="7"/>
            <w:r w:rsidRPr="00EB623E">
              <w:t>Report by the Secretary-General</w:t>
            </w:r>
          </w:p>
        </w:tc>
      </w:tr>
      <w:tr w:rsidR="00AD3606" w:rsidRPr="00EB623E" w14:paraId="527E4B1F" w14:textId="77777777" w:rsidTr="59A1C50B">
        <w:trPr>
          <w:cantSplit/>
        </w:trPr>
        <w:tc>
          <w:tcPr>
            <w:tcW w:w="9214" w:type="dxa"/>
            <w:gridSpan w:val="2"/>
            <w:tcMar>
              <w:left w:w="0" w:type="dxa"/>
            </w:tcMar>
          </w:tcPr>
          <w:p w14:paraId="5DF671F2" w14:textId="631A4D90" w:rsidR="00AD3606" w:rsidRPr="00EB623E" w:rsidRDefault="00281248" w:rsidP="00954C49">
            <w:pPr>
              <w:pStyle w:val="Subtitle"/>
              <w:framePr w:hSpace="0" w:wrap="auto" w:hAnchor="text" w:xAlign="left" w:yAlign="inline"/>
            </w:pPr>
            <w:bookmarkStart w:id="9" w:name="dtitle1" w:colFirst="0" w:colLast="0"/>
            <w:bookmarkEnd w:id="8"/>
            <w:r w:rsidRPr="00EB623E">
              <w:t>ITU HUMAN RESOURCES STRATEGIC PLAN</w:t>
            </w:r>
            <w:r w:rsidRPr="00EB623E">
              <w:rPr>
                <w:lang w:eastAsia="zh-CN"/>
              </w:rPr>
              <w:t xml:space="preserve"> </w:t>
            </w:r>
            <w:r w:rsidRPr="00EB623E">
              <w:t>2026-2027</w:t>
            </w:r>
          </w:p>
        </w:tc>
      </w:tr>
      <w:tr w:rsidR="00AD3606" w:rsidRPr="00EB623E" w14:paraId="34972E6F" w14:textId="77777777" w:rsidTr="59A1C50B">
        <w:trPr>
          <w:cantSplit/>
        </w:trPr>
        <w:tc>
          <w:tcPr>
            <w:tcW w:w="9214" w:type="dxa"/>
            <w:gridSpan w:val="2"/>
            <w:tcBorders>
              <w:top w:val="single" w:sz="4" w:space="0" w:color="auto"/>
              <w:bottom w:val="single" w:sz="4" w:space="0" w:color="auto"/>
            </w:tcBorders>
            <w:tcMar>
              <w:left w:w="0" w:type="dxa"/>
            </w:tcMar>
          </w:tcPr>
          <w:p w14:paraId="5214C7EA" w14:textId="77777777" w:rsidR="00AD3606" w:rsidRPr="00EB623E" w:rsidRDefault="00F16BAB" w:rsidP="00954C49">
            <w:pPr>
              <w:spacing w:before="160"/>
              <w:rPr>
                <w:b/>
                <w:bCs/>
                <w:sz w:val="26"/>
                <w:szCs w:val="26"/>
              </w:rPr>
            </w:pPr>
            <w:r w:rsidRPr="00EB623E">
              <w:rPr>
                <w:b/>
                <w:bCs/>
                <w:sz w:val="26"/>
                <w:szCs w:val="26"/>
              </w:rPr>
              <w:t>Purpose</w:t>
            </w:r>
          </w:p>
          <w:p w14:paraId="7BFF5DA5" w14:textId="5BD9940A" w:rsidR="00281248" w:rsidRPr="00EB623E" w:rsidRDefault="00281248" w:rsidP="00281248">
            <w:pPr>
              <w:jc w:val="both"/>
            </w:pPr>
            <w:r w:rsidRPr="00EB623E">
              <w:t xml:space="preserve">To present the ITU Human Resources Strategic Plan (HRSP) 2026-2027, aligned with the ITU Strategic Plan </w:t>
            </w:r>
            <w:r w:rsidRPr="00EB623E">
              <w:rPr>
                <w:lang w:eastAsia="zh-CN"/>
              </w:rPr>
              <w:t xml:space="preserve">2024-2027 and </w:t>
            </w:r>
            <w:r w:rsidRPr="00EB623E">
              <w:rPr>
                <w:rFonts w:cs="Calibri"/>
                <w:color w:val="000000"/>
              </w:rPr>
              <w:t>Resolution 48 (Rev. Bucharest, 2022)</w:t>
            </w:r>
            <w:r w:rsidRPr="00EB623E">
              <w:t>, and designed to respond to the needs of the Union, its membership and its staff.</w:t>
            </w:r>
          </w:p>
          <w:p w14:paraId="5DE530F7" w14:textId="77777777" w:rsidR="00AD3606" w:rsidRPr="00EB623E" w:rsidRDefault="00AD3606" w:rsidP="00954C49">
            <w:pPr>
              <w:spacing w:before="160"/>
              <w:rPr>
                <w:b/>
                <w:bCs/>
                <w:sz w:val="26"/>
                <w:szCs w:val="26"/>
              </w:rPr>
            </w:pPr>
            <w:r w:rsidRPr="00EB623E">
              <w:rPr>
                <w:b/>
                <w:bCs/>
                <w:sz w:val="26"/>
                <w:szCs w:val="26"/>
              </w:rPr>
              <w:t>Action required</w:t>
            </w:r>
            <w:r w:rsidR="00F16BAB" w:rsidRPr="00EB623E">
              <w:rPr>
                <w:b/>
                <w:bCs/>
                <w:sz w:val="26"/>
                <w:szCs w:val="26"/>
              </w:rPr>
              <w:t xml:space="preserve"> by the Council</w:t>
            </w:r>
          </w:p>
          <w:p w14:paraId="55F3C68D" w14:textId="6EEF50B7" w:rsidR="00281248" w:rsidRPr="00EB623E" w:rsidRDefault="412742FF" w:rsidP="00281248">
            <w:pPr>
              <w:jc w:val="both"/>
            </w:pPr>
            <w:r w:rsidRPr="00E43561">
              <w:rPr>
                <w:spacing w:val="4"/>
              </w:rPr>
              <w:t xml:space="preserve">The </w:t>
            </w:r>
            <w:r w:rsidR="42812624" w:rsidRPr="00E43561">
              <w:rPr>
                <w:spacing w:val="4"/>
              </w:rPr>
              <w:t>Council is invited</w:t>
            </w:r>
            <w:r w:rsidR="6C86AC9A" w:rsidRPr="00E43561">
              <w:rPr>
                <w:spacing w:val="4"/>
              </w:rPr>
              <w:t xml:space="preserve"> to </w:t>
            </w:r>
            <w:r w:rsidR="6C86AC9A" w:rsidRPr="00E43561">
              <w:rPr>
                <w:b/>
                <w:bCs/>
                <w:spacing w:val="4"/>
              </w:rPr>
              <w:t>examine</w:t>
            </w:r>
            <w:r w:rsidR="6C86AC9A" w:rsidRPr="00E43561">
              <w:rPr>
                <w:spacing w:val="4"/>
              </w:rPr>
              <w:t xml:space="preserve"> and </w:t>
            </w:r>
            <w:r w:rsidR="42812624" w:rsidRPr="00E43561">
              <w:rPr>
                <w:b/>
                <w:bCs/>
                <w:spacing w:val="4"/>
              </w:rPr>
              <w:t>approve</w:t>
            </w:r>
            <w:r w:rsidR="42812624" w:rsidRPr="00E43561">
              <w:rPr>
                <w:spacing w:val="4"/>
              </w:rPr>
              <w:t xml:space="preserve"> the</w:t>
            </w:r>
            <w:r w:rsidR="42812624" w:rsidRPr="00E43561">
              <w:rPr>
                <w:spacing w:val="4"/>
                <w:lang w:eastAsia="zh-CN"/>
              </w:rPr>
              <w:t xml:space="preserve"> </w:t>
            </w:r>
            <w:r w:rsidR="42812624" w:rsidRPr="00E43561">
              <w:rPr>
                <w:spacing w:val="4"/>
              </w:rPr>
              <w:t>ITU Human Resources Strategic Plan</w:t>
            </w:r>
            <w:r w:rsidR="42812624" w:rsidRPr="59A1C50B">
              <w:rPr>
                <w:lang w:eastAsia="zh-CN"/>
              </w:rPr>
              <w:t xml:space="preserve"> </w:t>
            </w:r>
            <w:r w:rsidR="42812624">
              <w:t>2026-2027.</w:t>
            </w:r>
          </w:p>
          <w:p w14:paraId="204E4445" w14:textId="77777777" w:rsidR="00722551" w:rsidRPr="00EB623E" w:rsidRDefault="00722551" w:rsidP="00954C49">
            <w:pPr>
              <w:spacing w:before="160"/>
              <w:rPr>
                <w:b/>
                <w:bCs/>
                <w:sz w:val="26"/>
                <w:szCs w:val="26"/>
              </w:rPr>
            </w:pPr>
            <w:r w:rsidRPr="00EB623E">
              <w:rPr>
                <w:b/>
                <w:bCs/>
                <w:sz w:val="26"/>
                <w:szCs w:val="26"/>
              </w:rPr>
              <w:t>Relevant link</w:t>
            </w:r>
            <w:r w:rsidR="00176F47" w:rsidRPr="00EB623E">
              <w:rPr>
                <w:b/>
                <w:bCs/>
                <w:sz w:val="26"/>
                <w:szCs w:val="26"/>
              </w:rPr>
              <w:t>(s)</w:t>
            </w:r>
            <w:r w:rsidRPr="00EB623E">
              <w:rPr>
                <w:b/>
                <w:bCs/>
                <w:sz w:val="26"/>
                <w:szCs w:val="26"/>
              </w:rPr>
              <w:t xml:space="preserve"> with the Strategic Plan</w:t>
            </w:r>
          </w:p>
          <w:p w14:paraId="33ADA06C" w14:textId="77777777" w:rsidR="00281248" w:rsidRPr="00EB623E" w:rsidRDefault="00281248" w:rsidP="00281248">
            <w:pPr>
              <w:jc w:val="both"/>
              <w:rPr>
                <w:lang w:eastAsia="zh-CN"/>
              </w:rPr>
            </w:pPr>
            <w:r w:rsidRPr="00EB623E">
              <w:t>Excellence in human resources and organizational innovation</w:t>
            </w:r>
            <w:r w:rsidRPr="00EB623E">
              <w:rPr>
                <w:rFonts w:asciiTheme="minorEastAsia" w:hAnsiTheme="minorEastAsia"/>
                <w:lang w:eastAsia="zh-CN"/>
              </w:rPr>
              <w:t>.</w:t>
            </w:r>
          </w:p>
          <w:p w14:paraId="3FE00974" w14:textId="77777777" w:rsidR="00722551" w:rsidRPr="00EB623E" w:rsidRDefault="00722551" w:rsidP="00954C49">
            <w:pPr>
              <w:spacing w:before="160"/>
              <w:rPr>
                <w:b/>
                <w:bCs/>
                <w:sz w:val="26"/>
                <w:szCs w:val="26"/>
              </w:rPr>
            </w:pPr>
            <w:r w:rsidRPr="00EB623E">
              <w:rPr>
                <w:b/>
                <w:bCs/>
                <w:sz w:val="26"/>
                <w:szCs w:val="26"/>
              </w:rPr>
              <w:t>Financial implications</w:t>
            </w:r>
          </w:p>
          <w:p w14:paraId="4C316214" w14:textId="72033D10" w:rsidR="00F3041E" w:rsidRDefault="782729F7" w:rsidP="4E917823">
            <w:pPr>
              <w:spacing w:before="160"/>
              <w:rPr>
                <w:szCs w:val="24"/>
              </w:rPr>
            </w:pPr>
            <w:r w:rsidRPr="00F3041E">
              <w:rPr>
                <w:szCs w:val="24"/>
              </w:rPr>
              <w:t>Within the allocated budget</w:t>
            </w:r>
            <w:r w:rsidR="00F3041E" w:rsidRPr="00E43561">
              <w:rPr>
                <w:szCs w:val="24"/>
              </w:rPr>
              <w:t xml:space="preserve"> 2026-2027</w:t>
            </w:r>
            <w:r w:rsidRPr="00F3041E">
              <w:rPr>
                <w:szCs w:val="24"/>
              </w:rPr>
              <w:t>.</w:t>
            </w:r>
          </w:p>
          <w:p w14:paraId="34F50072" w14:textId="77777777" w:rsidR="00C0458D" w:rsidRPr="00EB623E" w:rsidRDefault="00C0458D" w:rsidP="00954C49">
            <w:r w:rsidRPr="00EB623E">
              <w:t>_______________</w:t>
            </w:r>
          </w:p>
          <w:p w14:paraId="361EDFD2" w14:textId="77777777" w:rsidR="00AD3606" w:rsidRPr="00E43561" w:rsidRDefault="00AD3606" w:rsidP="4E917823">
            <w:pPr>
              <w:spacing w:before="160"/>
              <w:rPr>
                <w:b/>
                <w:bCs/>
                <w:sz w:val="26"/>
                <w:szCs w:val="26"/>
                <w:highlight w:val="yellow"/>
              </w:rPr>
            </w:pPr>
            <w:r w:rsidRPr="4E917823">
              <w:rPr>
                <w:b/>
                <w:bCs/>
                <w:sz w:val="26"/>
                <w:szCs w:val="26"/>
              </w:rPr>
              <w:t>References</w:t>
            </w:r>
          </w:p>
          <w:p w14:paraId="597D3CED" w14:textId="724DBC46" w:rsidR="00AD3606" w:rsidRPr="00EB623E" w:rsidRDefault="00281248" w:rsidP="00954C49">
            <w:pPr>
              <w:spacing w:after="160"/>
              <w:rPr>
                <w:i/>
                <w:iCs/>
                <w:sz w:val="22"/>
                <w:szCs w:val="22"/>
              </w:rPr>
            </w:pPr>
            <w:r w:rsidRPr="00EB623E">
              <w:rPr>
                <w:i/>
                <w:iCs/>
                <w:sz w:val="22"/>
                <w:szCs w:val="22"/>
              </w:rPr>
              <w:t xml:space="preserve">Resolutions </w:t>
            </w:r>
            <w:hyperlink r:id="rId11" w:history="1">
              <w:r w:rsidRPr="00EB623E">
                <w:rPr>
                  <w:rStyle w:val="Hyperlink"/>
                  <w:i/>
                  <w:iCs/>
                  <w:sz w:val="22"/>
                  <w:szCs w:val="22"/>
                </w:rPr>
                <w:t>71 (Rev. Bucharest,</w:t>
              </w:r>
              <w:r w:rsidRPr="00EB623E">
                <w:rPr>
                  <w:rStyle w:val="Hyperlink"/>
                  <w:i/>
                  <w:iCs/>
                  <w:sz w:val="22"/>
                  <w:szCs w:val="22"/>
                  <w:lang w:eastAsia="zh-CN"/>
                </w:rPr>
                <w:t xml:space="preserve"> </w:t>
              </w:r>
              <w:r w:rsidRPr="00EB623E">
                <w:rPr>
                  <w:rStyle w:val="Hyperlink"/>
                  <w:i/>
                  <w:iCs/>
                  <w:sz w:val="22"/>
                  <w:szCs w:val="22"/>
                </w:rPr>
                <w:t>2022)</w:t>
              </w:r>
            </w:hyperlink>
            <w:r w:rsidRPr="00EB623E">
              <w:rPr>
                <w:i/>
                <w:iCs/>
                <w:sz w:val="22"/>
                <w:szCs w:val="22"/>
                <w:lang w:eastAsia="zh-CN"/>
              </w:rPr>
              <w:t xml:space="preserve"> and </w:t>
            </w:r>
            <w:hyperlink r:id="rId12">
              <w:r w:rsidRPr="00EB623E">
                <w:rPr>
                  <w:rStyle w:val="Hyperlink"/>
                  <w:i/>
                  <w:iCs/>
                  <w:sz w:val="22"/>
                  <w:szCs w:val="22"/>
                </w:rPr>
                <w:t>48 (Rev. Bucharest,</w:t>
              </w:r>
              <w:r w:rsidRPr="00EB623E">
                <w:rPr>
                  <w:rStyle w:val="Hyperlink"/>
                  <w:i/>
                  <w:iCs/>
                  <w:sz w:val="22"/>
                  <w:szCs w:val="22"/>
                  <w:lang w:eastAsia="zh-CN"/>
                </w:rPr>
                <w:t xml:space="preserve"> </w:t>
              </w:r>
              <w:r w:rsidRPr="00EB623E">
                <w:rPr>
                  <w:rStyle w:val="Hyperlink"/>
                  <w:i/>
                  <w:iCs/>
                  <w:sz w:val="22"/>
                  <w:szCs w:val="22"/>
                </w:rPr>
                <w:t>2022)</w:t>
              </w:r>
            </w:hyperlink>
            <w:r w:rsidRPr="00EB623E">
              <w:rPr>
                <w:i/>
                <w:iCs/>
                <w:sz w:val="22"/>
                <w:szCs w:val="22"/>
                <w:lang w:eastAsia="zh-CN"/>
              </w:rPr>
              <w:t xml:space="preserve"> </w:t>
            </w:r>
            <w:r w:rsidRPr="00EB623E">
              <w:rPr>
                <w:i/>
                <w:iCs/>
                <w:sz w:val="22"/>
                <w:szCs w:val="22"/>
              </w:rPr>
              <w:t>of the Plenipotentiary Conference</w:t>
            </w:r>
          </w:p>
        </w:tc>
      </w:tr>
    </w:tbl>
    <w:p w14:paraId="26DD261A" w14:textId="77777777" w:rsidR="00E227F3" w:rsidRPr="00EB623E"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D0B7BC1" w14:textId="77777777" w:rsidR="0090147A" w:rsidRPr="00EB623E"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EB623E">
        <w:br w:type="page"/>
      </w:r>
    </w:p>
    <w:bookmarkEnd w:id="5"/>
    <w:bookmarkEnd w:id="10"/>
    <w:p w14:paraId="14AEF61F" w14:textId="717F9ED0" w:rsidR="003C0F36" w:rsidRPr="00EB623E" w:rsidRDefault="00281248" w:rsidP="00281248">
      <w:pPr>
        <w:pStyle w:val="Heading1"/>
        <w:rPr>
          <w:lang w:eastAsia="zh-CN"/>
        </w:rPr>
      </w:pPr>
      <w:r w:rsidRPr="00EB623E">
        <w:rPr>
          <w:lang w:eastAsia="zh-CN"/>
        </w:rPr>
        <w:lastRenderedPageBreak/>
        <w:t>1</w:t>
      </w:r>
      <w:r w:rsidRPr="00EB623E">
        <w:rPr>
          <w:lang w:eastAsia="zh-CN"/>
        </w:rPr>
        <w:tab/>
      </w:r>
      <w:r w:rsidR="003C0F36" w:rsidRPr="00EB623E">
        <w:t>Strategic Context</w:t>
      </w:r>
    </w:p>
    <w:p w14:paraId="1724B10C" w14:textId="4E7514CD" w:rsidR="003C0F36" w:rsidRPr="00EB623E" w:rsidRDefault="003C0F36" w:rsidP="00281248">
      <w:pPr>
        <w:jc w:val="both"/>
        <w:rPr>
          <w:lang w:eastAsia="zh-CN"/>
        </w:rPr>
      </w:pPr>
      <w:r w:rsidRPr="00EB623E">
        <w:t>The Human Resources Strategic Plan (HRSP) 2026</w:t>
      </w:r>
      <w:r w:rsidR="00EB623E" w:rsidRPr="00EB623E">
        <w:t>-</w:t>
      </w:r>
      <w:r w:rsidRPr="00EB623E">
        <w:t>2027 is based on the ITU Strategic Plan 2024–2027 and Resolution 48 (Rev. Bucharest, 2022). It sets out the strategic direction for the final two years of ITU’s four-year strategic cycle and builds on the ITU Transformation Roadmap and Human Resources Transformation Plan</w:t>
      </w:r>
      <w:r w:rsidRPr="00EB623E">
        <w:rPr>
          <w:lang w:eastAsia="zh-CN"/>
        </w:rPr>
        <w:t xml:space="preserve">, while </w:t>
      </w:r>
      <w:proofErr w:type="gramStart"/>
      <w:r w:rsidRPr="00EB623E">
        <w:rPr>
          <w:lang w:eastAsia="zh-CN"/>
        </w:rPr>
        <w:t>taking into account</w:t>
      </w:r>
      <w:proofErr w:type="gramEnd"/>
      <w:r w:rsidRPr="00EB623E">
        <w:rPr>
          <w:lang w:eastAsia="zh-CN"/>
        </w:rPr>
        <w:t xml:space="preserve"> relevant United Nations (UN) system initiatives, including UN 2.0</w:t>
      </w:r>
      <w:r w:rsidRPr="00EB623E">
        <w:t xml:space="preserve">. A new four-year Human Resources Strategic Plan will be developed to align with the ITU Strategic Plan 2028-2031 and presented for consideration and approval by Council 2027. </w:t>
      </w:r>
    </w:p>
    <w:p w14:paraId="75A8CC28" w14:textId="1BE0C97D" w:rsidR="003C0F36" w:rsidRPr="00F80EE9" w:rsidRDefault="003C0F36" w:rsidP="00281248">
      <w:pPr>
        <w:jc w:val="both"/>
        <w:rPr>
          <w:spacing w:val="-2"/>
          <w:lang w:eastAsia="zh-CN"/>
        </w:rPr>
      </w:pPr>
      <w:r w:rsidRPr="00F80EE9">
        <w:rPr>
          <w:spacing w:val="-2"/>
        </w:rPr>
        <w:t>Delivering on these objectives requires an agile, skilled and engaged workforce, supported by a people-centred culture and modern HR policies, services and systems.</w:t>
      </w:r>
      <w:r w:rsidRPr="00F80EE9">
        <w:rPr>
          <w:spacing w:val="-2"/>
          <w:lang w:eastAsia="zh-CN"/>
        </w:rPr>
        <w:t xml:space="preserve"> In line with Resolution</w:t>
      </w:r>
      <w:r w:rsidR="00F80EE9" w:rsidRPr="00F80EE9">
        <w:rPr>
          <w:spacing w:val="-2"/>
          <w:lang w:eastAsia="zh-CN"/>
        </w:rPr>
        <w:t> </w:t>
      </w:r>
      <w:r w:rsidRPr="00F80EE9">
        <w:rPr>
          <w:spacing w:val="-2"/>
          <w:lang w:eastAsia="zh-CN"/>
        </w:rPr>
        <w:t xml:space="preserve">48 </w:t>
      </w:r>
      <w:r w:rsidRPr="00F80EE9">
        <w:rPr>
          <w:spacing w:val="-2"/>
        </w:rPr>
        <w:t>(Rev. Bucharest, 2022)</w:t>
      </w:r>
      <w:r w:rsidRPr="00F80EE9">
        <w:rPr>
          <w:spacing w:val="-2"/>
          <w:lang w:eastAsia="zh-CN"/>
        </w:rPr>
        <w:t xml:space="preserve"> and the principles of the UN common system, ITU remains committed to ensuring that recruitment and people management practices secure the highest standards of efficiency, competence and integrity, while giving due regard to the importance of recruiting staff on as wide a geographical basis as possible and advancing gender parity and broader workplace diversity. The HRSP </w:t>
      </w:r>
      <w:r w:rsidRPr="00F80EE9">
        <w:rPr>
          <w:spacing w:val="-2"/>
        </w:rPr>
        <w:t>2026</w:t>
      </w:r>
      <w:r w:rsidR="00F80EE9" w:rsidRPr="00F80EE9">
        <w:rPr>
          <w:spacing w:val="-2"/>
        </w:rPr>
        <w:t>-</w:t>
      </w:r>
      <w:r w:rsidRPr="00F80EE9">
        <w:rPr>
          <w:spacing w:val="-2"/>
        </w:rPr>
        <w:t>2027</w:t>
      </w:r>
      <w:r w:rsidRPr="00F80EE9">
        <w:rPr>
          <w:spacing w:val="-2"/>
          <w:lang w:eastAsia="zh-CN"/>
        </w:rPr>
        <w:t xml:space="preserve"> therefore strengthens ITU’s capacity to attract, develop and retain talent that can deliver results in a fast-changing digital environment.</w:t>
      </w:r>
    </w:p>
    <w:p w14:paraId="67AD2093" w14:textId="77777777" w:rsidR="003C0F36" w:rsidRPr="00EB623E" w:rsidRDefault="003C0F36" w:rsidP="00281248">
      <w:pPr>
        <w:jc w:val="both"/>
        <w:rPr>
          <w:lang w:eastAsia="zh-CN"/>
        </w:rPr>
      </w:pPr>
      <w:r w:rsidRPr="00EB623E">
        <w:t xml:space="preserve">At the same time, ITU operates in a highly competitive labour market, under financial constraints and in a context of rapid technological change, evolving UN Common System policies and reforms, and rising expectations around well-being, inclusion and gender </w:t>
      </w:r>
      <w:r w:rsidRPr="00EB623E">
        <w:rPr>
          <w:lang w:eastAsia="zh-CN"/>
        </w:rPr>
        <w:t>equity</w:t>
      </w:r>
      <w:r w:rsidRPr="00EB623E">
        <w:t>.</w:t>
      </w:r>
      <w:r w:rsidRPr="00EB623E">
        <w:rPr>
          <w:lang w:eastAsia="zh-CN"/>
        </w:rPr>
        <w:t xml:space="preserve"> These dynamics call for continued modernization of HR processes and tools, stronger workforce planning, and a culture that supports performance, learning and collaboration across the Union, while improving efficiency and service quality within existing resources.</w:t>
      </w:r>
      <w:r w:rsidRPr="00EB623E">
        <w:t xml:space="preserve"> </w:t>
      </w:r>
    </w:p>
    <w:p w14:paraId="77C7A5F4" w14:textId="399204AC" w:rsidR="003C0F36" w:rsidRPr="00EB623E" w:rsidRDefault="003C0F36" w:rsidP="00281248">
      <w:pPr>
        <w:jc w:val="both"/>
        <w:rPr>
          <w:lang w:eastAsia="zh-CN"/>
        </w:rPr>
      </w:pPr>
      <w:r w:rsidRPr="00EB623E">
        <w:t>The HRSP 2026</w:t>
      </w:r>
      <w:r w:rsidR="00EB623E" w:rsidRPr="00EB623E">
        <w:t>-</w:t>
      </w:r>
      <w:r w:rsidRPr="00EB623E">
        <w:t>2027</w:t>
      </w:r>
      <w:r w:rsidRPr="00EB623E">
        <w:rPr>
          <w:lang w:eastAsia="zh-CN"/>
        </w:rPr>
        <w:t xml:space="preserve"> </w:t>
      </w:r>
      <w:r w:rsidRPr="00EB623E">
        <w:t>therefore sets out a clear framework for people management over the next biennium and aims to position ITU as an employer of choice within the UN system and the wider industry.</w:t>
      </w:r>
      <w:r w:rsidRPr="00EB623E">
        <w:rPr>
          <w:lang w:eastAsia="zh-CN"/>
        </w:rPr>
        <w:t xml:space="preserve"> It translates strategic intent into a focused set of people priorities and initiatives that enable ITU </w:t>
      </w:r>
      <w:proofErr w:type="gramStart"/>
      <w:r w:rsidRPr="00EB623E">
        <w:rPr>
          <w:lang w:eastAsia="zh-CN"/>
        </w:rPr>
        <w:t>to:</w:t>
      </w:r>
      <w:proofErr w:type="gramEnd"/>
      <w:r w:rsidRPr="00EB623E">
        <w:rPr>
          <w:lang w:eastAsia="zh-CN"/>
        </w:rPr>
        <w:t xml:space="preserve"> i) anticipate and meet evolving capability needs; ii) strengthen leadership and people management practices; iii) foster a healthy, safe and values-driven workplace; and iv) reinforce HR governance, transparency and compliance through improved data and digital solutions. </w:t>
      </w:r>
      <w:r w:rsidRPr="00EB623E">
        <w:t>It also serves as a bridging biennial</w:t>
      </w:r>
      <w:r w:rsidRPr="00EB623E">
        <w:rPr>
          <w:lang w:eastAsia="zh-CN"/>
        </w:rPr>
        <w:t xml:space="preserve"> </w:t>
      </w:r>
      <w:r w:rsidRPr="00EB623E">
        <w:t>plan to embed HR transformation outcomes</w:t>
      </w:r>
      <w:r w:rsidR="00F80EE9">
        <w:t xml:space="preserve"> </w:t>
      </w:r>
      <w:r w:rsidRPr="00EB623E">
        <w:t>—moving from design and rollout to sustained adoption and measurable impact—</w:t>
      </w:r>
      <w:r w:rsidR="00F80EE9">
        <w:t xml:space="preserve"> </w:t>
      </w:r>
      <w:r w:rsidRPr="00EB623E">
        <w:t>while preparing for seamless alignment with the next ITU strategic planning cycle. In doing so, it provides continuity, clarity and accountability for implementation in 2026</w:t>
      </w:r>
      <w:r w:rsidR="00EB623E">
        <w:t>-</w:t>
      </w:r>
      <w:r w:rsidRPr="00EB623E">
        <w:t>2027</w:t>
      </w:r>
      <w:r w:rsidRPr="00EB623E">
        <w:rPr>
          <w:lang w:eastAsia="zh-CN"/>
        </w:rPr>
        <w:t xml:space="preserve"> </w:t>
      </w:r>
      <w:r w:rsidRPr="00EB623E">
        <w:t>and strengthens ITU’s future workforce readiness.</w:t>
      </w:r>
    </w:p>
    <w:p w14:paraId="413679D3" w14:textId="49BE8E4A" w:rsidR="003C0F36" w:rsidRPr="00EB623E" w:rsidRDefault="00281248" w:rsidP="00281248">
      <w:pPr>
        <w:pStyle w:val="Heading1"/>
      </w:pPr>
      <w:r w:rsidRPr="00EB623E">
        <w:t>2</w:t>
      </w:r>
      <w:r w:rsidRPr="00EB623E">
        <w:tab/>
      </w:r>
      <w:r w:rsidR="003C0F36" w:rsidRPr="00EB623E">
        <w:t>Vision</w:t>
      </w:r>
    </w:p>
    <w:p w14:paraId="61EC7AFA" w14:textId="080257FA" w:rsidR="003C0F36" w:rsidRPr="00EB623E" w:rsidRDefault="003C0F36">
      <w:pPr>
        <w:jc w:val="both"/>
      </w:pPr>
      <w:r w:rsidRPr="00EB623E">
        <w:t>The vision of the HRSP 2026</w:t>
      </w:r>
      <w:r w:rsidR="00EB623E">
        <w:t>-</w:t>
      </w:r>
      <w:r w:rsidRPr="00EB623E">
        <w:t>2027</w:t>
      </w:r>
      <w:r w:rsidRPr="00EB623E">
        <w:rPr>
          <w:lang w:eastAsia="zh-CN"/>
        </w:rPr>
        <w:t xml:space="preserve"> </w:t>
      </w:r>
      <w:r w:rsidRPr="00EB623E">
        <w:t>is to enable ITU to deliver on its mandate through an agile, future-ready, high-performing and inclusive workforce, supported by a healthy, safe and values-driven workplace where all staff can thrive, learn and grow.</w:t>
      </w:r>
    </w:p>
    <w:p w14:paraId="4836B52B" w14:textId="1E676C35" w:rsidR="003C0F36" w:rsidRPr="00EB623E" w:rsidRDefault="003C0F36">
      <w:pPr>
        <w:jc w:val="both"/>
        <w:rPr>
          <w:lang w:eastAsia="zh-CN"/>
        </w:rPr>
      </w:pPr>
      <w:r w:rsidRPr="00EB623E">
        <w:t>During 2026</w:t>
      </w:r>
      <w:r w:rsidR="00EB623E">
        <w:t>-</w:t>
      </w:r>
      <w:r w:rsidRPr="00EB623E">
        <w:t xml:space="preserve">2027, ITU will strengthen a culture of trust, accountability and shared leadership, where managers are equipped to lead people effectively and staff are empowered to contribute and innovate. HR will provide consistent, transparent and user-focused services across the employee life cycle, </w:t>
      </w:r>
      <w:r w:rsidRPr="00EB623E">
        <w:rPr>
          <w:lang w:eastAsia="zh-CN"/>
        </w:rPr>
        <w:t>enabled</w:t>
      </w:r>
      <w:r w:rsidRPr="00EB623E">
        <w:t xml:space="preserve"> by fit-for-purpose digital tools and reliable workforce data. ITU will also demonstrate tangible progress in building diverse teams and ensuring equitable opportunities, while safeguarding a respectful workplace in which wellbeing is</w:t>
      </w:r>
      <w:r w:rsidRPr="00EB623E">
        <w:rPr>
          <w:lang w:eastAsia="zh-CN"/>
        </w:rPr>
        <w:t xml:space="preserve"> supported</w:t>
      </w:r>
      <w:r w:rsidRPr="00EB623E">
        <w:t xml:space="preserve"> and concerns are addressed promptly and impartially.</w:t>
      </w:r>
    </w:p>
    <w:p w14:paraId="75D0FF1F" w14:textId="77C9B1FE" w:rsidR="003C0F36" w:rsidRPr="00EB623E" w:rsidRDefault="00281248" w:rsidP="00EB623E">
      <w:pPr>
        <w:pStyle w:val="Heading1"/>
        <w:rPr>
          <w:lang w:eastAsia="zh-CN"/>
        </w:rPr>
      </w:pPr>
      <w:r w:rsidRPr="00EB623E">
        <w:rPr>
          <w:lang w:eastAsia="zh-CN"/>
        </w:rPr>
        <w:lastRenderedPageBreak/>
        <w:t>3</w:t>
      </w:r>
      <w:r w:rsidRPr="00EB623E">
        <w:rPr>
          <w:lang w:eastAsia="zh-CN"/>
        </w:rPr>
        <w:tab/>
      </w:r>
      <w:r w:rsidR="003C0F36" w:rsidRPr="00EB623E">
        <w:t xml:space="preserve">Strategic </w:t>
      </w:r>
      <w:r w:rsidR="00387244" w:rsidRPr="00EB623E">
        <w:t>pillars</w:t>
      </w:r>
    </w:p>
    <w:p w14:paraId="6DD8338E" w14:textId="42D4ED45" w:rsidR="003C0F36" w:rsidRPr="00EB623E" w:rsidRDefault="003C0F36" w:rsidP="00EB623E">
      <w:pPr>
        <w:jc w:val="both"/>
      </w:pPr>
      <w:r w:rsidRPr="00EB623E">
        <w:t>To deliver the Vision of the HRSP 2026</w:t>
      </w:r>
      <w:r w:rsidR="00387244">
        <w:t>-</w:t>
      </w:r>
      <w:r w:rsidRPr="00EB623E">
        <w:t xml:space="preserve">2027, ITU will focus on five mutually reinforcing Strategic Pillars that translate the people </w:t>
      </w:r>
      <w:r w:rsidRPr="00EB623E">
        <w:rPr>
          <w:lang w:eastAsia="zh-CN"/>
        </w:rPr>
        <w:t>agenda</w:t>
      </w:r>
      <w:r w:rsidRPr="00EB623E">
        <w:t xml:space="preserve"> into prioritized actions for the biennium.</w:t>
      </w:r>
    </w:p>
    <w:p w14:paraId="1A3ED2FD" w14:textId="443F7446" w:rsidR="003C0F36" w:rsidRPr="00EB623E" w:rsidRDefault="00281248" w:rsidP="5CD9E9E0">
      <w:pPr>
        <w:pStyle w:val="enumlev1"/>
        <w:jc w:val="both"/>
        <w:rPr>
          <w:lang w:eastAsia="zh-CN"/>
        </w:rPr>
      </w:pPr>
      <w:r w:rsidRPr="5CD9E9E0">
        <w:rPr>
          <w:lang w:eastAsia="zh-CN"/>
        </w:rPr>
        <w:t>a)</w:t>
      </w:r>
      <w:r>
        <w:tab/>
      </w:r>
      <w:r w:rsidR="003C0F36" w:rsidRPr="5CD9E9E0">
        <w:rPr>
          <w:lang w:eastAsia="zh-CN"/>
        </w:rPr>
        <w:t xml:space="preserve">Talent </w:t>
      </w:r>
      <w:r w:rsidR="00387244" w:rsidRPr="5CD9E9E0">
        <w:rPr>
          <w:lang w:eastAsia="zh-CN"/>
        </w:rPr>
        <w:t>and</w:t>
      </w:r>
      <w:r w:rsidR="003C0F36" w:rsidRPr="5CD9E9E0">
        <w:rPr>
          <w:lang w:eastAsia="zh-CN"/>
        </w:rPr>
        <w:t xml:space="preserve"> </w:t>
      </w:r>
      <w:r w:rsidR="00387244" w:rsidRPr="5CD9E9E0">
        <w:rPr>
          <w:lang w:eastAsia="zh-CN"/>
        </w:rPr>
        <w:t xml:space="preserve">workforce planning </w:t>
      </w:r>
      <w:r w:rsidR="003C0F36" w:rsidRPr="5CD9E9E0">
        <w:rPr>
          <w:lang w:eastAsia="zh-CN"/>
        </w:rPr>
        <w:t xml:space="preserve">– </w:t>
      </w:r>
      <w:r w:rsidR="00F80EE9" w:rsidRPr="5CD9E9E0">
        <w:rPr>
          <w:lang w:eastAsia="zh-CN"/>
        </w:rPr>
        <w:t xml:space="preserve">Ensuring </w:t>
      </w:r>
      <w:r w:rsidR="003C0F36" w:rsidRPr="5CD9E9E0">
        <w:rPr>
          <w:lang w:eastAsia="zh-CN"/>
        </w:rPr>
        <w:t>ITU has the right workforce capacity and capabilities</w:t>
      </w:r>
      <w:r w:rsidR="00B5417F">
        <w:rPr>
          <w:rFonts w:hint="eastAsia"/>
          <w:lang w:eastAsia="zh-CN"/>
        </w:rPr>
        <w:t xml:space="preserve"> by a</w:t>
      </w:r>
      <w:r w:rsidR="00A1269B">
        <w:rPr>
          <w:rFonts w:hint="eastAsia"/>
          <w:lang w:eastAsia="zh-CN"/>
        </w:rPr>
        <w:t>ttracting and retaining</w:t>
      </w:r>
      <w:r w:rsidR="00953749" w:rsidRPr="00953749">
        <w:rPr>
          <w:lang w:eastAsia="zh-CN"/>
        </w:rPr>
        <w:t xml:space="preserve"> the most qualified candidates</w:t>
      </w:r>
      <w:r w:rsidR="008B5F76">
        <w:rPr>
          <w:rFonts w:hint="eastAsia"/>
          <w:lang w:eastAsia="zh-CN"/>
        </w:rPr>
        <w:t>,</w:t>
      </w:r>
      <w:r w:rsidR="00953749">
        <w:rPr>
          <w:rFonts w:hint="eastAsia"/>
          <w:lang w:eastAsia="zh-CN"/>
        </w:rPr>
        <w:t xml:space="preserve"> </w:t>
      </w:r>
      <w:r w:rsidR="003C0F36" w:rsidRPr="5CD9E9E0">
        <w:rPr>
          <w:lang w:eastAsia="zh-CN"/>
        </w:rPr>
        <w:t>deployed where they are most needed.</w:t>
      </w:r>
    </w:p>
    <w:p w14:paraId="7730E5E2" w14:textId="35BAA766" w:rsidR="003C0F36" w:rsidRPr="00EB623E" w:rsidRDefault="00281248" w:rsidP="00EB623E">
      <w:pPr>
        <w:pStyle w:val="enumlev1"/>
        <w:jc w:val="both"/>
        <w:rPr>
          <w:lang w:eastAsia="zh-CN"/>
        </w:rPr>
      </w:pPr>
      <w:r w:rsidRPr="00EB623E">
        <w:rPr>
          <w:lang w:eastAsia="zh-CN"/>
        </w:rPr>
        <w:t>b)</w:t>
      </w:r>
      <w:r w:rsidRPr="00EB623E">
        <w:rPr>
          <w:lang w:eastAsia="zh-CN"/>
        </w:rPr>
        <w:tab/>
      </w:r>
      <w:r w:rsidR="003C0F36" w:rsidRPr="00EB623E">
        <w:rPr>
          <w:lang w:eastAsia="zh-CN"/>
        </w:rPr>
        <w:t xml:space="preserve">Leadership, </w:t>
      </w:r>
      <w:r w:rsidR="00387244" w:rsidRPr="00EB623E">
        <w:rPr>
          <w:lang w:eastAsia="zh-CN"/>
        </w:rPr>
        <w:t xml:space="preserve">performance management, reward </w:t>
      </w:r>
      <w:r w:rsidR="00387244">
        <w:rPr>
          <w:lang w:eastAsia="zh-CN"/>
        </w:rPr>
        <w:t>and</w:t>
      </w:r>
      <w:r w:rsidR="00387244" w:rsidRPr="00EB623E">
        <w:rPr>
          <w:lang w:eastAsia="zh-CN"/>
        </w:rPr>
        <w:t xml:space="preserve"> recognition </w:t>
      </w:r>
      <w:r w:rsidR="003C0F36" w:rsidRPr="00EB623E">
        <w:rPr>
          <w:lang w:eastAsia="zh-CN"/>
        </w:rPr>
        <w:t xml:space="preserve">– </w:t>
      </w:r>
      <w:r w:rsidR="00F80EE9" w:rsidRPr="00EB623E">
        <w:rPr>
          <w:lang w:eastAsia="zh-CN"/>
        </w:rPr>
        <w:t xml:space="preserve">Strengthening </w:t>
      </w:r>
      <w:r w:rsidR="003C0F36" w:rsidRPr="00EB623E">
        <w:rPr>
          <w:lang w:eastAsia="zh-CN"/>
        </w:rPr>
        <w:t>people leadership and a consistent, high-performance culture.</w:t>
      </w:r>
    </w:p>
    <w:p w14:paraId="29F0153A" w14:textId="342F5FB0" w:rsidR="003C0F36" w:rsidRPr="00EB623E" w:rsidRDefault="00281248" w:rsidP="00EB623E">
      <w:pPr>
        <w:pStyle w:val="enumlev1"/>
        <w:jc w:val="both"/>
        <w:rPr>
          <w:lang w:eastAsia="zh-CN"/>
        </w:rPr>
      </w:pPr>
      <w:r w:rsidRPr="00EB623E">
        <w:rPr>
          <w:lang w:eastAsia="zh-CN"/>
        </w:rPr>
        <w:t>c)</w:t>
      </w:r>
      <w:r w:rsidRPr="00EB623E">
        <w:rPr>
          <w:lang w:eastAsia="zh-CN"/>
        </w:rPr>
        <w:tab/>
      </w:r>
      <w:r w:rsidR="003C0F36" w:rsidRPr="00EB623E">
        <w:rPr>
          <w:lang w:eastAsia="zh-CN"/>
        </w:rPr>
        <w:t xml:space="preserve">Learning </w:t>
      </w:r>
      <w:r w:rsidR="00387244">
        <w:rPr>
          <w:lang w:eastAsia="zh-CN"/>
        </w:rPr>
        <w:t>and</w:t>
      </w:r>
      <w:r w:rsidR="003C0F36" w:rsidRPr="00EB623E">
        <w:rPr>
          <w:lang w:eastAsia="zh-CN"/>
        </w:rPr>
        <w:t xml:space="preserve"> </w:t>
      </w:r>
      <w:r w:rsidR="00387244" w:rsidRPr="00EB623E">
        <w:rPr>
          <w:lang w:eastAsia="zh-CN"/>
        </w:rPr>
        <w:t xml:space="preserve">career development </w:t>
      </w:r>
      <w:r w:rsidR="003C0F36" w:rsidRPr="00EB623E">
        <w:rPr>
          <w:lang w:eastAsia="zh-CN"/>
        </w:rPr>
        <w:t xml:space="preserve">– </w:t>
      </w:r>
      <w:r w:rsidR="00F80EE9" w:rsidRPr="00EB623E">
        <w:rPr>
          <w:lang w:eastAsia="zh-CN"/>
        </w:rPr>
        <w:t xml:space="preserve">Building </w:t>
      </w:r>
      <w:r w:rsidR="003C0F36" w:rsidRPr="00EB623E">
        <w:rPr>
          <w:lang w:eastAsia="zh-CN"/>
        </w:rPr>
        <w:t>future-ready skills and clear development pathways through continuous learning.</w:t>
      </w:r>
    </w:p>
    <w:p w14:paraId="7A6B0AF0" w14:textId="1CBC60E9" w:rsidR="003C0F36" w:rsidRPr="00EB623E" w:rsidRDefault="00281248" w:rsidP="00EB623E">
      <w:pPr>
        <w:pStyle w:val="enumlev1"/>
        <w:jc w:val="both"/>
        <w:rPr>
          <w:lang w:eastAsia="zh-CN"/>
        </w:rPr>
      </w:pPr>
      <w:r w:rsidRPr="00EB623E">
        <w:rPr>
          <w:lang w:eastAsia="zh-CN"/>
        </w:rPr>
        <w:t>d)</w:t>
      </w:r>
      <w:r w:rsidRPr="00EB623E">
        <w:rPr>
          <w:lang w:eastAsia="zh-CN"/>
        </w:rPr>
        <w:tab/>
      </w:r>
      <w:r w:rsidR="003C0F36" w:rsidRPr="00EB623E">
        <w:rPr>
          <w:lang w:eastAsia="zh-CN"/>
        </w:rPr>
        <w:t xml:space="preserve">Staff </w:t>
      </w:r>
      <w:r w:rsidR="00387244" w:rsidRPr="00EB623E">
        <w:rPr>
          <w:lang w:eastAsia="zh-CN"/>
        </w:rPr>
        <w:t xml:space="preserve">engagement, inclusion </w:t>
      </w:r>
      <w:r w:rsidR="00387244">
        <w:rPr>
          <w:lang w:eastAsia="zh-CN"/>
        </w:rPr>
        <w:t>and</w:t>
      </w:r>
      <w:r w:rsidR="00387244" w:rsidRPr="00EB623E">
        <w:rPr>
          <w:lang w:eastAsia="zh-CN"/>
        </w:rPr>
        <w:t xml:space="preserve"> wellbeing </w:t>
      </w:r>
      <w:r w:rsidR="003C0F36" w:rsidRPr="00EB623E">
        <w:rPr>
          <w:lang w:eastAsia="zh-CN"/>
        </w:rPr>
        <w:t xml:space="preserve">– </w:t>
      </w:r>
      <w:r w:rsidR="00F80EE9" w:rsidRPr="00EB623E">
        <w:rPr>
          <w:lang w:eastAsia="zh-CN"/>
        </w:rPr>
        <w:t xml:space="preserve">Fostering </w:t>
      </w:r>
      <w:r w:rsidR="003C0F36" w:rsidRPr="00EB623E">
        <w:rPr>
          <w:lang w:eastAsia="zh-CN"/>
        </w:rPr>
        <w:t>a respectful workplace that strengthens engagement, inclusion and staff wellbeing.</w:t>
      </w:r>
    </w:p>
    <w:p w14:paraId="778F9437" w14:textId="4FF258EC" w:rsidR="003C0F36" w:rsidRPr="00EB623E" w:rsidRDefault="00281248" w:rsidP="00EB623E">
      <w:pPr>
        <w:pStyle w:val="enumlev1"/>
        <w:jc w:val="both"/>
        <w:rPr>
          <w:lang w:eastAsia="zh-CN"/>
        </w:rPr>
      </w:pPr>
      <w:r w:rsidRPr="00EB623E">
        <w:rPr>
          <w:lang w:eastAsia="zh-CN"/>
        </w:rPr>
        <w:t>e)</w:t>
      </w:r>
      <w:r w:rsidRPr="00EB623E">
        <w:rPr>
          <w:lang w:eastAsia="zh-CN"/>
        </w:rPr>
        <w:tab/>
      </w:r>
      <w:r w:rsidR="003C0F36" w:rsidRPr="00EB623E">
        <w:rPr>
          <w:lang w:eastAsia="zh-CN"/>
        </w:rPr>
        <w:t xml:space="preserve">HR </w:t>
      </w:r>
      <w:r w:rsidR="00387244" w:rsidRPr="00EB623E">
        <w:rPr>
          <w:lang w:eastAsia="zh-CN"/>
        </w:rPr>
        <w:t xml:space="preserve">governance, data </w:t>
      </w:r>
      <w:r w:rsidR="00387244">
        <w:rPr>
          <w:lang w:eastAsia="zh-CN"/>
        </w:rPr>
        <w:t>and</w:t>
      </w:r>
      <w:r w:rsidR="00387244" w:rsidRPr="00EB623E">
        <w:rPr>
          <w:lang w:eastAsia="zh-CN"/>
        </w:rPr>
        <w:t xml:space="preserve"> digital transformation </w:t>
      </w:r>
      <w:r w:rsidR="003C0F36" w:rsidRPr="00EB623E">
        <w:rPr>
          <w:lang w:eastAsia="zh-CN"/>
        </w:rPr>
        <w:t xml:space="preserve">– </w:t>
      </w:r>
      <w:r w:rsidR="00F80EE9" w:rsidRPr="00EB623E">
        <w:rPr>
          <w:lang w:eastAsia="zh-CN"/>
        </w:rPr>
        <w:t xml:space="preserve">Strengthening </w:t>
      </w:r>
      <w:r w:rsidR="003C0F36" w:rsidRPr="00EB623E">
        <w:rPr>
          <w:lang w:eastAsia="zh-CN"/>
        </w:rPr>
        <w:t>HR governance and enabling modern, data-informed and digitally supported HR services.</w:t>
      </w:r>
    </w:p>
    <w:p w14:paraId="0D9DA7E8" w14:textId="12995C78" w:rsidR="00EB623E" w:rsidRDefault="00EB623E" w:rsidP="00EB623E">
      <w:pPr>
        <w:pStyle w:val="FigureNo"/>
      </w:pPr>
      <w:r>
        <w:t xml:space="preserve">Figure </w:t>
      </w:r>
      <w:r w:rsidR="003C0F36" w:rsidRPr="00EB623E">
        <w:t>1</w:t>
      </w:r>
    </w:p>
    <w:p w14:paraId="5A360C12" w14:textId="08EC1DF9" w:rsidR="003C0F36" w:rsidRPr="00EB623E" w:rsidRDefault="003C0F36" w:rsidP="00EB623E">
      <w:pPr>
        <w:pStyle w:val="Figuretitle"/>
        <w:rPr>
          <w:lang w:eastAsia="zh-CN"/>
        </w:rPr>
      </w:pPr>
      <w:r w:rsidRPr="00EB623E">
        <w:t xml:space="preserve">Strategic </w:t>
      </w:r>
      <w:r w:rsidR="00EB623E" w:rsidRPr="00EB623E">
        <w:t>pillars</w:t>
      </w:r>
      <w:r w:rsidR="00EB623E" w:rsidRPr="00EB623E">
        <w:rPr>
          <w:lang w:eastAsia="zh-CN"/>
        </w:rPr>
        <w:t xml:space="preserve"> </w:t>
      </w:r>
      <w:r w:rsidRPr="00EB623E">
        <w:rPr>
          <w:lang w:eastAsia="zh-CN"/>
        </w:rPr>
        <w:t>of the HRSP 2026</w:t>
      </w:r>
      <w:r w:rsidR="00EB623E">
        <w:rPr>
          <w:lang w:eastAsia="zh-CN"/>
        </w:rPr>
        <w:t>-</w:t>
      </w:r>
      <w:r w:rsidRPr="00EB623E">
        <w:rPr>
          <w:lang w:eastAsia="zh-CN"/>
        </w:rPr>
        <w:t>2027</w:t>
      </w:r>
    </w:p>
    <w:p w14:paraId="667A05BF" w14:textId="77777777" w:rsidR="003C0F36" w:rsidRPr="00EB623E" w:rsidRDefault="003C0F36" w:rsidP="00387244">
      <w:pPr>
        <w:pStyle w:val="Figure"/>
      </w:pPr>
      <w:r w:rsidRPr="00EB623E">
        <w:rPr>
          <w:noProof/>
        </w:rPr>
        <w:drawing>
          <wp:inline distT="0" distB="0" distL="0" distR="0" wp14:anchorId="74DA2DEE" wp14:editId="712102B0">
            <wp:extent cx="4143375" cy="3299261"/>
            <wp:effectExtent l="0" t="0" r="0" b="0"/>
            <wp:docPr id="1289445801" name="Picture 1" descr="A circular puzz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5801" name="Picture 1" descr="A circular puzzle with text&#10;&#10;AI-generated content may be incorrect."/>
                    <pic:cNvPicPr/>
                  </pic:nvPicPr>
                  <pic:blipFill>
                    <a:blip r:embed="rId13"/>
                    <a:stretch>
                      <a:fillRect/>
                    </a:stretch>
                  </pic:blipFill>
                  <pic:spPr>
                    <a:xfrm>
                      <a:off x="0" y="0"/>
                      <a:ext cx="4173361" cy="3323138"/>
                    </a:xfrm>
                    <a:prstGeom prst="rect">
                      <a:avLst/>
                    </a:prstGeom>
                    <a:ln>
                      <a:noFill/>
                    </a:ln>
                    <a:effectLst>
                      <a:softEdge rad="112500"/>
                    </a:effectLst>
                  </pic:spPr>
                </pic:pic>
              </a:graphicData>
            </a:graphic>
          </wp:inline>
        </w:drawing>
      </w:r>
    </w:p>
    <w:p w14:paraId="723B7036" w14:textId="46BDCDBD" w:rsidR="003C0F36" w:rsidRPr="00EB623E" w:rsidRDefault="00281248" w:rsidP="00387244">
      <w:pPr>
        <w:pStyle w:val="Heading2"/>
        <w:rPr>
          <w:lang w:eastAsia="zh-CN"/>
        </w:rPr>
      </w:pPr>
      <w:r w:rsidRPr="00EB623E">
        <w:rPr>
          <w:lang w:eastAsia="zh-CN"/>
        </w:rPr>
        <w:t>3.1</w:t>
      </w:r>
      <w:r w:rsidRPr="00EB623E">
        <w:rPr>
          <w:lang w:eastAsia="zh-CN"/>
        </w:rPr>
        <w:tab/>
      </w:r>
      <w:r w:rsidR="003C0F36" w:rsidRPr="00EB623E">
        <w:rPr>
          <w:lang w:eastAsia="zh-CN"/>
        </w:rPr>
        <w:t xml:space="preserve">Talent </w:t>
      </w:r>
      <w:r w:rsidR="00387244">
        <w:rPr>
          <w:lang w:eastAsia="zh-CN"/>
        </w:rPr>
        <w:t>and</w:t>
      </w:r>
      <w:r w:rsidR="00387244" w:rsidRPr="00EB623E">
        <w:rPr>
          <w:lang w:eastAsia="zh-CN"/>
        </w:rPr>
        <w:t xml:space="preserve"> workforce planning</w:t>
      </w:r>
    </w:p>
    <w:p w14:paraId="6D4CC32C" w14:textId="7FD74C1B" w:rsidR="003C0F36" w:rsidRPr="00EB623E" w:rsidRDefault="003C0F36" w:rsidP="00387244">
      <w:pPr>
        <w:pStyle w:val="Headingb"/>
        <w:rPr>
          <w:lang w:eastAsia="zh-CN"/>
        </w:rPr>
      </w:pPr>
      <w:r w:rsidRPr="00EB623E">
        <w:rPr>
          <w:lang w:eastAsia="zh-CN"/>
        </w:rPr>
        <w:t xml:space="preserve">Why </w:t>
      </w:r>
      <w:proofErr w:type="gramStart"/>
      <w:r w:rsidRPr="00EB623E">
        <w:rPr>
          <w:lang w:eastAsia="zh-CN"/>
        </w:rPr>
        <w:t>this matters</w:t>
      </w:r>
      <w:proofErr w:type="gramEnd"/>
    </w:p>
    <w:p w14:paraId="34E85D0E" w14:textId="7931E3C7" w:rsidR="003C0F36" w:rsidRPr="00EB623E" w:rsidRDefault="4149C314" w:rsidP="00E43561">
      <w:pPr>
        <w:spacing w:line="259" w:lineRule="auto"/>
        <w:jc w:val="both"/>
        <w:rPr>
          <w:lang w:eastAsia="zh-CN"/>
        </w:rPr>
      </w:pPr>
      <w:r w:rsidRPr="32981DAB">
        <w:rPr>
          <w:lang w:eastAsia="zh-CN"/>
        </w:rPr>
        <w:t xml:space="preserve">As ITU’s mandate and strategic priorities evolve and skills needs change rapidly, workforce decisions must be forward-looking, evidence-informed and sustainable within approved resources. This requires stronger workforce planning and </w:t>
      </w:r>
      <w:proofErr w:type="gramStart"/>
      <w:r w:rsidRPr="32981DAB">
        <w:rPr>
          <w:lang w:eastAsia="zh-CN"/>
        </w:rPr>
        <w:t>streamlined</w:t>
      </w:r>
      <w:proofErr w:type="gramEnd"/>
      <w:r w:rsidRPr="32981DAB">
        <w:rPr>
          <w:lang w:eastAsia="zh-CN"/>
        </w:rPr>
        <w:t xml:space="preserve"> talent processes to recruit, onboard and </w:t>
      </w:r>
      <w:r w:rsidR="503A99E2" w:rsidRPr="32981DAB">
        <w:rPr>
          <w:lang w:eastAsia="zh-CN"/>
        </w:rPr>
        <w:t>deploy talent</w:t>
      </w:r>
      <w:r w:rsidRPr="32981DAB">
        <w:rPr>
          <w:lang w:eastAsia="zh-CN"/>
        </w:rPr>
        <w:t xml:space="preserve"> effectively</w:t>
      </w:r>
      <w:r w:rsidR="0873EFB8" w:rsidRPr="32981DAB">
        <w:rPr>
          <w:lang w:eastAsia="zh-CN"/>
        </w:rPr>
        <w:t xml:space="preserve">, </w:t>
      </w:r>
      <w:r w:rsidR="6A89BA75" w:rsidRPr="32981DAB">
        <w:rPr>
          <w:lang w:eastAsia="zh-CN"/>
        </w:rPr>
        <w:t xml:space="preserve">including critical capabilities </w:t>
      </w:r>
      <w:r w:rsidR="65E6790E" w:rsidRPr="32981DAB">
        <w:rPr>
          <w:lang w:eastAsia="zh-CN"/>
        </w:rPr>
        <w:t xml:space="preserve">in areas </w:t>
      </w:r>
      <w:r w:rsidR="6A89BA75" w:rsidRPr="32981DAB">
        <w:rPr>
          <w:lang w:eastAsia="zh-CN"/>
        </w:rPr>
        <w:t>such as AI and data analytics</w:t>
      </w:r>
      <w:r w:rsidR="4DC01E67" w:rsidRPr="32981DAB">
        <w:rPr>
          <w:lang w:eastAsia="zh-CN"/>
        </w:rPr>
        <w:t xml:space="preserve"> </w:t>
      </w:r>
      <w:r w:rsidRPr="32981DAB">
        <w:rPr>
          <w:lang w:eastAsia="zh-CN"/>
        </w:rPr>
        <w:t>—</w:t>
      </w:r>
      <w:r w:rsidR="6A89BA75" w:rsidRPr="32981DAB">
        <w:rPr>
          <w:lang w:eastAsia="zh-CN"/>
        </w:rPr>
        <w:t xml:space="preserve"> </w:t>
      </w:r>
      <w:r w:rsidRPr="32981DAB">
        <w:rPr>
          <w:lang w:eastAsia="zh-CN"/>
        </w:rPr>
        <w:t>the right people in the right place at the right time.</w:t>
      </w:r>
    </w:p>
    <w:p w14:paraId="5146B57B" w14:textId="018F986E" w:rsidR="003C0F36" w:rsidRPr="00EB623E" w:rsidRDefault="003C0F36" w:rsidP="00387244">
      <w:pPr>
        <w:pStyle w:val="Headingb"/>
        <w:rPr>
          <w:lang w:eastAsia="zh-CN"/>
        </w:rPr>
      </w:pPr>
      <w:r w:rsidRPr="00EB623E">
        <w:rPr>
          <w:lang w:eastAsia="zh-CN"/>
        </w:rPr>
        <w:lastRenderedPageBreak/>
        <w:t>Key initiatives</w:t>
      </w:r>
    </w:p>
    <w:p w14:paraId="20AD0FE5" w14:textId="0D223DBA" w:rsidR="003C0F36" w:rsidRPr="00EB623E" w:rsidRDefault="00F80EE9" w:rsidP="00387244">
      <w:pPr>
        <w:pStyle w:val="enumlev1"/>
        <w:jc w:val="both"/>
        <w:rPr>
          <w:lang w:eastAsia="zh-CN"/>
        </w:rPr>
      </w:pPr>
      <w:r w:rsidRPr="00F80EE9">
        <w:rPr>
          <w:lang w:eastAsia="zh-CN"/>
        </w:rPr>
        <w:t>–</w:t>
      </w:r>
      <w:r w:rsidRPr="00F80EE9">
        <w:rPr>
          <w:lang w:eastAsia="zh-CN"/>
        </w:rPr>
        <w:tab/>
      </w:r>
      <w:r w:rsidR="003C0F36" w:rsidRPr="00EB623E">
        <w:rPr>
          <w:b/>
          <w:bCs/>
          <w:lang w:eastAsia="zh-CN"/>
        </w:rPr>
        <w:t>Implement an updated competency framework</w:t>
      </w:r>
      <w:r w:rsidR="003C0F36" w:rsidRPr="00EB623E">
        <w:rPr>
          <w:lang w:eastAsia="zh-CN"/>
        </w:rPr>
        <w:t>, aligned with shared values, to clarify role expectations and support consistent approaches to selection, performance and development.</w:t>
      </w:r>
    </w:p>
    <w:p w14:paraId="2A47805C" w14:textId="5A292109" w:rsidR="003C0F36" w:rsidRPr="00EB623E" w:rsidRDefault="00F80EE9" w:rsidP="5CD9E9E0">
      <w:pPr>
        <w:pStyle w:val="enumlev1"/>
        <w:jc w:val="both"/>
        <w:rPr>
          <w:lang w:eastAsia="zh-CN"/>
        </w:rPr>
      </w:pPr>
      <w:r w:rsidRPr="5CD9E9E0">
        <w:rPr>
          <w:lang w:eastAsia="zh-CN"/>
        </w:rPr>
        <w:t>–</w:t>
      </w:r>
      <w:r>
        <w:tab/>
      </w:r>
      <w:r w:rsidR="003C0F36" w:rsidRPr="5CD9E9E0">
        <w:rPr>
          <w:b/>
          <w:bCs/>
          <w:lang w:eastAsia="zh-CN"/>
        </w:rPr>
        <w:t>Modernize talent acquisition</w:t>
      </w:r>
      <w:r w:rsidR="00F510B1">
        <w:rPr>
          <w:rFonts w:hint="eastAsia"/>
          <w:lang w:eastAsia="zh-CN"/>
        </w:rPr>
        <w:t xml:space="preserve"> </w:t>
      </w:r>
      <w:r w:rsidR="003C0F36" w:rsidRPr="5CD9E9E0">
        <w:rPr>
          <w:lang w:eastAsia="zh-CN"/>
        </w:rPr>
        <w:t>by optimizing end-to-end processes, strengthening assessment methods, and reinforcing merit-based, fair and transparent recruitment, enabling targeted outreach and a robust talent pipeline</w:t>
      </w:r>
      <w:r w:rsidR="00372F91">
        <w:rPr>
          <w:rFonts w:hint="eastAsia"/>
          <w:lang w:eastAsia="zh-CN"/>
        </w:rPr>
        <w:t xml:space="preserve"> </w:t>
      </w:r>
      <w:r w:rsidR="006177E6">
        <w:rPr>
          <w:rFonts w:hint="eastAsia"/>
          <w:lang w:eastAsia="zh-CN"/>
        </w:rPr>
        <w:t>in</w:t>
      </w:r>
      <w:r w:rsidR="00372F91" w:rsidRPr="00372F91">
        <w:rPr>
          <w:lang w:eastAsia="zh-CN"/>
        </w:rPr>
        <w:t xml:space="preserve"> priority</w:t>
      </w:r>
      <w:r w:rsidR="006177E6">
        <w:rPr>
          <w:rFonts w:hint="eastAsia"/>
          <w:lang w:eastAsia="zh-CN"/>
        </w:rPr>
        <w:t xml:space="preserve"> and emerging</w:t>
      </w:r>
      <w:r w:rsidR="00372F91" w:rsidRPr="00372F91">
        <w:rPr>
          <w:lang w:eastAsia="zh-CN"/>
        </w:rPr>
        <w:t xml:space="preserve"> skill areas</w:t>
      </w:r>
      <w:r w:rsidR="003C0F36" w:rsidRPr="5CD9E9E0">
        <w:rPr>
          <w:lang w:eastAsia="zh-CN"/>
        </w:rPr>
        <w:t>, while enhancing candidate experience</w:t>
      </w:r>
      <w:r w:rsidR="0003278F">
        <w:rPr>
          <w:rFonts w:hint="eastAsia"/>
          <w:lang w:eastAsia="zh-CN"/>
        </w:rPr>
        <w:t xml:space="preserve"> </w:t>
      </w:r>
      <w:r w:rsidR="0003278F" w:rsidRPr="0003278F">
        <w:rPr>
          <w:lang w:eastAsia="zh-CN"/>
        </w:rPr>
        <w:t xml:space="preserve">and </w:t>
      </w:r>
      <w:r w:rsidR="00F510B1" w:rsidRPr="00F510B1">
        <w:rPr>
          <w:lang w:eastAsia="zh-CN"/>
        </w:rPr>
        <w:t>strengthening ITU’s attractiveness to qualified candidates</w:t>
      </w:r>
      <w:r w:rsidR="003C0F36" w:rsidRPr="5CD9E9E0">
        <w:rPr>
          <w:lang w:eastAsia="zh-CN"/>
        </w:rPr>
        <w:t>.</w:t>
      </w:r>
    </w:p>
    <w:p w14:paraId="14141DCB" w14:textId="7244C80F" w:rsidR="003C0F36" w:rsidRPr="00EB623E" w:rsidRDefault="00F80EE9" w:rsidP="00387244">
      <w:pPr>
        <w:pStyle w:val="enumlev1"/>
        <w:jc w:val="both"/>
        <w:rPr>
          <w:lang w:eastAsia="zh-CN"/>
        </w:rPr>
      </w:pPr>
      <w:r w:rsidRPr="00F80EE9">
        <w:rPr>
          <w:lang w:eastAsia="zh-CN"/>
        </w:rPr>
        <w:t>–</w:t>
      </w:r>
      <w:r w:rsidRPr="00F80EE9">
        <w:rPr>
          <w:lang w:eastAsia="zh-CN"/>
        </w:rPr>
        <w:tab/>
      </w:r>
      <w:r w:rsidR="003C0F36" w:rsidRPr="00EB623E">
        <w:rPr>
          <w:b/>
          <w:bCs/>
          <w:lang w:eastAsia="zh-CN"/>
        </w:rPr>
        <w:t>Strengthen induction and onboarding</w:t>
      </w:r>
      <w:r w:rsidR="003C0F36" w:rsidRPr="00EB623E">
        <w:rPr>
          <w:lang w:eastAsia="zh-CN"/>
        </w:rPr>
        <w:t xml:space="preserve"> through a more comprehensive and consistent onboarding journey and practical manager toolkits, supporting faster integration and time-to-productivity across teams and work modalities.</w:t>
      </w:r>
    </w:p>
    <w:p w14:paraId="62C7BC73" w14:textId="438C6DA6" w:rsidR="003C0F36" w:rsidRPr="00EB623E" w:rsidRDefault="00F80EE9" w:rsidP="5CD9E9E0">
      <w:pPr>
        <w:pStyle w:val="enumlev1"/>
        <w:jc w:val="both"/>
        <w:rPr>
          <w:lang w:eastAsia="zh-CN"/>
        </w:rPr>
      </w:pPr>
      <w:r w:rsidRPr="5CD9E9E0">
        <w:rPr>
          <w:lang w:eastAsia="zh-CN"/>
        </w:rPr>
        <w:t>–</w:t>
      </w:r>
      <w:r>
        <w:tab/>
      </w:r>
      <w:r w:rsidR="003C0F36" w:rsidRPr="5CD9E9E0">
        <w:rPr>
          <w:b/>
          <w:bCs/>
          <w:lang w:eastAsia="zh-CN"/>
        </w:rPr>
        <w:t xml:space="preserve">Expand developmental, and mobility opportunities </w:t>
      </w:r>
      <w:r w:rsidR="003C0F36" w:rsidRPr="5CD9E9E0">
        <w:rPr>
          <w:lang w:eastAsia="zh-CN"/>
        </w:rPr>
        <w:t>to allocate capabilities where they are most needed, support career growth and strengthen knowledge transfer, leveraging internal mobility where feasible;</w:t>
      </w:r>
      <w:r w:rsidR="003C0F36" w:rsidRPr="5CD9E9E0">
        <w:rPr>
          <w:b/>
          <w:bCs/>
          <w:lang w:eastAsia="zh-CN"/>
        </w:rPr>
        <w:t xml:space="preserve"> </w:t>
      </w:r>
      <w:r w:rsidR="003C0F36" w:rsidRPr="5CD9E9E0">
        <w:rPr>
          <w:lang w:eastAsia="zh-CN"/>
        </w:rPr>
        <w:t xml:space="preserve">and </w:t>
      </w:r>
      <w:r w:rsidR="003C0F36" w:rsidRPr="5CD9E9E0">
        <w:rPr>
          <w:b/>
          <w:bCs/>
          <w:lang w:eastAsia="zh-CN"/>
        </w:rPr>
        <w:t xml:space="preserve">strengthen targeted partnerships </w:t>
      </w:r>
      <w:r w:rsidR="003C0F36" w:rsidRPr="5CD9E9E0">
        <w:rPr>
          <w:lang w:eastAsia="zh-CN"/>
        </w:rPr>
        <w:t>with</w:t>
      </w:r>
      <w:r w:rsidR="003C0F36" w:rsidRPr="5CD9E9E0">
        <w:rPr>
          <w:rStyle w:val="CommentReference"/>
          <w:lang w:eastAsia="zh-CN"/>
        </w:rPr>
        <w:t xml:space="preserve"> </w:t>
      </w:r>
      <w:r w:rsidR="003C0F36" w:rsidRPr="5CD9E9E0">
        <w:rPr>
          <w:lang w:eastAsia="zh-CN"/>
        </w:rPr>
        <w:t>Member States, organizations and academia</w:t>
      </w:r>
      <w:r w:rsidR="003C0F36" w:rsidRPr="5CD9E9E0">
        <w:rPr>
          <w:b/>
          <w:bCs/>
          <w:lang w:eastAsia="zh-CN"/>
        </w:rPr>
        <w:t xml:space="preserve"> </w:t>
      </w:r>
      <w:r w:rsidR="003C0F36" w:rsidRPr="5CD9E9E0">
        <w:rPr>
          <w:lang w:eastAsia="zh-CN"/>
        </w:rPr>
        <w:t>to broaden entry pathways—particularly for young professionals and candidates from under-represented Member States—while ensuring transparent governance and mutual benefit.</w:t>
      </w:r>
    </w:p>
    <w:p w14:paraId="23958177" w14:textId="525F6BF1" w:rsidR="003C0F36" w:rsidRPr="00EB623E" w:rsidRDefault="00F80EE9" w:rsidP="00387244">
      <w:pPr>
        <w:pStyle w:val="enumlev1"/>
        <w:jc w:val="both"/>
        <w:rPr>
          <w:lang w:eastAsia="zh-CN"/>
        </w:rPr>
      </w:pPr>
      <w:r w:rsidRPr="00F80EE9">
        <w:rPr>
          <w:lang w:eastAsia="zh-CN"/>
        </w:rPr>
        <w:t>–</w:t>
      </w:r>
      <w:r>
        <w:tab/>
      </w:r>
      <w:r w:rsidR="003C0F36" w:rsidRPr="00E43561">
        <w:rPr>
          <w:lang w:eastAsia="zh-CN"/>
        </w:rPr>
        <w:t xml:space="preserve">Establish a clear contractual framework with </w:t>
      </w:r>
      <w:r w:rsidR="003C0F36" w:rsidRPr="00EB623E">
        <w:rPr>
          <w:b/>
          <w:bCs/>
          <w:lang w:eastAsia="zh-CN"/>
        </w:rPr>
        <w:t>more</w:t>
      </w:r>
      <w:r w:rsidR="003C0F36" w:rsidRPr="00E43561">
        <w:rPr>
          <w:lang w:eastAsia="zh-CN"/>
        </w:rPr>
        <w:t xml:space="preserve"> </w:t>
      </w:r>
      <w:r w:rsidR="003C0F36" w:rsidRPr="00EB623E">
        <w:rPr>
          <w:b/>
          <w:bCs/>
          <w:lang w:eastAsia="zh-CN"/>
        </w:rPr>
        <w:t xml:space="preserve">flexible contract modalities </w:t>
      </w:r>
      <w:r w:rsidR="003C0F36" w:rsidRPr="00EB623E">
        <w:rPr>
          <w:lang w:eastAsia="zh-CN"/>
        </w:rPr>
        <w:t xml:space="preserve">and </w:t>
      </w:r>
      <w:r w:rsidR="003C0F36" w:rsidRPr="00E43561">
        <w:rPr>
          <w:b/>
          <w:lang w:eastAsia="zh-CN"/>
        </w:rPr>
        <w:t>refine associated</w:t>
      </w:r>
      <w:r w:rsidR="003C0F36" w:rsidRPr="0CE3B669">
        <w:rPr>
          <w:b/>
          <w:lang w:eastAsia="zh-CN"/>
        </w:rPr>
        <w:t xml:space="preserve"> contractual and resourcing tools</w:t>
      </w:r>
      <w:r w:rsidR="003C0F36" w:rsidRPr="00EB623E">
        <w:rPr>
          <w:lang w:eastAsia="zh-CN"/>
        </w:rPr>
        <w:t xml:space="preserve"> to respond to short-term surges in work, specialized expertise and time-bound initiatives.</w:t>
      </w:r>
    </w:p>
    <w:p w14:paraId="3994651C" w14:textId="671D7560" w:rsidR="003C0F36" w:rsidRPr="00EB623E" w:rsidRDefault="00F80EE9" w:rsidP="00387244">
      <w:pPr>
        <w:pStyle w:val="enumlev1"/>
        <w:jc w:val="both"/>
        <w:rPr>
          <w:lang w:eastAsia="zh-CN"/>
        </w:rPr>
      </w:pPr>
      <w:r w:rsidRPr="00F80EE9">
        <w:rPr>
          <w:lang w:eastAsia="zh-CN"/>
        </w:rPr>
        <w:t>–</w:t>
      </w:r>
      <w:r w:rsidRPr="00F80EE9">
        <w:rPr>
          <w:lang w:eastAsia="zh-CN"/>
        </w:rPr>
        <w:tab/>
      </w:r>
      <w:r w:rsidR="003C0F36" w:rsidRPr="00EB623E">
        <w:rPr>
          <w:b/>
          <w:bCs/>
          <w:lang w:eastAsia="zh-CN"/>
        </w:rPr>
        <w:t>Strengthen workforce and succession planning</w:t>
      </w:r>
      <w:r w:rsidR="003C0F36" w:rsidRPr="00EB623E">
        <w:rPr>
          <w:lang w:eastAsia="zh-CN"/>
        </w:rPr>
        <w:t xml:space="preserve"> to anticipate critical capability needs, manage risks linked to turnover and retirement, and support timely staffing decisions aligned with business priorities.</w:t>
      </w:r>
    </w:p>
    <w:p w14:paraId="0CF7A377" w14:textId="6ED1C09D" w:rsidR="003C0F36" w:rsidRPr="00EB623E" w:rsidRDefault="00281248" w:rsidP="00387244">
      <w:pPr>
        <w:pStyle w:val="Heading2"/>
        <w:rPr>
          <w:lang w:eastAsia="zh-CN"/>
        </w:rPr>
      </w:pPr>
      <w:r w:rsidRPr="00EB623E">
        <w:rPr>
          <w:lang w:eastAsia="zh-CN"/>
        </w:rPr>
        <w:t>3.2</w:t>
      </w:r>
      <w:r w:rsidRPr="00EB623E">
        <w:rPr>
          <w:lang w:eastAsia="zh-CN"/>
        </w:rPr>
        <w:tab/>
      </w:r>
      <w:r w:rsidR="003C0F36" w:rsidRPr="00EB623E">
        <w:rPr>
          <w:lang w:eastAsia="zh-CN"/>
        </w:rPr>
        <w:t xml:space="preserve">Leadership, </w:t>
      </w:r>
      <w:r w:rsidR="00387244" w:rsidRPr="00EB623E">
        <w:rPr>
          <w:lang w:eastAsia="zh-CN"/>
        </w:rPr>
        <w:t xml:space="preserve">performance management, reward </w:t>
      </w:r>
      <w:r w:rsidR="00387244">
        <w:rPr>
          <w:lang w:eastAsia="zh-CN"/>
        </w:rPr>
        <w:t xml:space="preserve">and </w:t>
      </w:r>
      <w:r w:rsidR="00387244" w:rsidRPr="00EB623E">
        <w:rPr>
          <w:lang w:eastAsia="zh-CN"/>
        </w:rPr>
        <w:t>recognition</w:t>
      </w:r>
    </w:p>
    <w:p w14:paraId="1346B9DD" w14:textId="7CD767BC" w:rsidR="003C0F36" w:rsidRPr="00387244" w:rsidRDefault="003C0F36" w:rsidP="00387244">
      <w:pPr>
        <w:pStyle w:val="Headingb"/>
      </w:pPr>
      <w:r w:rsidRPr="00387244">
        <w:t xml:space="preserve">Why </w:t>
      </w:r>
      <w:proofErr w:type="gramStart"/>
      <w:r w:rsidRPr="00387244">
        <w:t>this</w:t>
      </w:r>
      <w:r w:rsidRPr="00387244">
        <w:rPr>
          <w:rFonts w:hint="eastAsia"/>
        </w:rPr>
        <w:t xml:space="preserve"> </w:t>
      </w:r>
      <w:r w:rsidRPr="00387244">
        <w:t>matters</w:t>
      </w:r>
      <w:proofErr w:type="gramEnd"/>
    </w:p>
    <w:p w14:paraId="1B551E84" w14:textId="77777777" w:rsidR="003C0F36" w:rsidRPr="00EB623E" w:rsidRDefault="003C0F36" w:rsidP="00387244">
      <w:pPr>
        <w:jc w:val="both"/>
        <w:rPr>
          <w:lang w:eastAsia="zh-CN"/>
        </w:rPr>
      </w:pPr>
      <w:r w:rsidRPr="00EB623E">
        <w:rPr>
          <w:lang w:eastAsia="zh-CN"/>
        </w:rPr>
        <w:t>Effective leadership and people management are critical to delivery, culture and staff trust. A consistent approach to performance management and fair recognition strengthens accountability and engagement, while timely handling of workplace issues supports a respectful environment. Cultivating leadership excellence at all levels—</w:t>
      </w:r>
      <w:r w:rsidRPr="00EB623E">
        <w:t xml:space="preserve"> aligned with the UN System Leadership Framework and</w:t>
      </w:r>
      <w:r w:rsidRPr="00EB623E">
        <w:rPr>
          <w:lang w:eastAsia="zh-CN"/>
        </w:rPr>
        <w:t xml:space="preserve"> anchored in shared values and clear accountability—empowers managers to lead inclusively, develop talent, and address underperformance early and fairly.</w:t>
      </w:r>
    </w:p>
    <w:p w14:paraId="2B806F84" w14:textId="6EB384D7" w:rsidR="003C0F36" w:rsidRPr="00387244" w:rsidRDefault="003C0F36" w:rsidP="00387244">
      <w:pPr>
        <w:pStyle w:val="Headingb"/>
      </w:pPr>
      <w:r w:rsidRPr="00387244">
        <w:t>Key initiatives</w:t>
      </w:r>
    </w:p>
    <w:p w14:paraId="7942F251" w14:textId="40903F96" w:rsidR="003C0F36" w:rsidRPr="00EB623E" w:rsidRDefault="00F80EE9" w:rsidP="00387244">
      <w:pPr>
        <w:pStyle w:val="enumlev1"/>
        <w:jc w:val="both"/>
        <w:rPr>
          <w:lang w:eastAsia="zh-CN"/>
        </w:rPr>
      </w:pPr>
      <w:r w:rsidRPr="00F80EE9">
        <w:rPr>
          <w:lang w:eastAsia="zh-CN"/>
        </w:rPr>
        <w:t>–</w:t>
      </w:r>
      <w:r w:rsidRPr="00F80EE9">
        <w:rPr>
          <w:lang w:eastAsia="zh-CN"/>
        </w:rPr>
        <w:tab/>
      </w:r>
      <w:r w:rsidR="003C0F36" w:rsidRPr="00EB623E">
        <w:rPr>
          <w:b/>
          <w:bCs/>
          <w:lang w:eastAsia="zh-CN"/>
        </w:rPr>
        <w:t>Strengthen leadership pipeline and proactive identification</w:t>
      </w:r>
      <w:r w:rsidR="003C0F36" w:rsidRPr="00EB623E">
        <w:rPr>
          <w:lang w:eastAsia="zh-CN"/>
        </w:rPr>
        <w:t xml:space="preserve"> by clarifying leadership expectations, identifying potential early and enabling targeted development opportunities.</w:t>
      </w:r>
    </w:p>
    <w:p w14:paraId="185705B0" w14:textId="73BBC4F6" w:rsidR="003C0F36" w:rsidRPr="00EB623E" w:rsidRDefault="00F80EE9" w:rsidP="00387244">
      <w:pPr>
        <w:pStyle w:val="enumlev1"/>
        <w:jc w:val="both"/>
        <w:rPr>
          <w:lang w:eastAsia="zh-CN"/>
        </w:rPr>
      </w:pPr>
      <w:r w:rsidRPr="00F80EE9">
        <w:rPr>
          <w:lang w:eastAsia="zh-CN"/>
        </w:rPr>
        <w:t>–</w:t>
      </w:r>
      <w:r w:rsidRPr="00F80EE9">
        <w:rPr>
          <w:lang w:eastAsia="zh-CN"/>
        </w:rPr>
        <w:tab/>
      </w:r>
      <w:r w:rsidR="003C0F36" w:rsidRPr="00EB623E">
        <w:rPr>
          <w:b/>
          <w:bCs/>
          <w:lang w:eastAsia="zh-CN"/>
        </w:rPr>
        <w:t>Introduce mandatory training for managers</w:t>
      </w:r>
      <w:r w:rsidR="003C0F36" w:rsidRPr="00EB623E">
        <w:rPr>
          <w:lang w:eastAsia="zh-CN"/>
        </w:rPr>
        <w:t xml:space="preserve"> to build and strengthen core people-management capability, supported by practical tools and guidance for consistent application of policies and procedures.</w:t>
      </w:r>
    </w:p>
    <w:p w14:paraId="5D81F8F1" w14:textId="3653CC2B" w:rsidR="003C0F36" w:rsidRPr="00EB623E" w:rsidRDefault="00F80EE9" w:rsidP="00387244">
      <w:pPr>
        <w:pStyle w:val="enumlev1"/>
        <w:jc w:val="both"/>
        <w:rPr>
          <w:lang w:eastAsia="zh-CN"/>
        </w:rPr>
      </w:pPr>
      <w:r w:rsidRPr="00F80EE9">
        <w:rPr>
          <w:lang w:eastAsia="zh-CN"/>
        </w:rPr>
        <w:t>–</w:t>
      </w:r>
      <w:r w:rsidRPr="00F80EE9">
        <w:rPr>
          <w:lang w:eastAsia="zh-CN"/>
        </w:rPr>
        <w:tab/>
      </w:r>
      <w:r w:rsidR="003C0F36" w:rsidRPr="00EB623E">
        <w:rPr>
          <w:b/>
          <w:bCs/>
          <w:lang w:eastAsia="zh-CN"/>
        </w:rPr>
        <w:t>Cultivate inclusive and adaptive leadership</w:t>
      </w:r>
      <w:r w:rsidR="003C0F36" w:rsidRPr="00EB623E">
        <w:rPr>
          <w:lang w:eastAsia="zh-CN"/>
        </w:rPr>
        <w:t xml:space="preserve"> to drive innovation and organizational resilience, supported by targeted learning programmes that embed accountability and fairness in day-to-day people decisions.</w:t>
      </w:r>
    </w:p>
    <w:p w14:paraId="5E3824BE" w14:textId="76E53367" w:rsidR="003C0F36" w:rsidRPr="00EB623E" w:rsidRDefault="00F80EE9" w:rsidP="00387244">
      <w:pPr>
        <w:pStyle w:val="enumlev1"/>
        <w:jc w:val="both"/>
        <w:rPr>
          <w:lang w:eastAsia="zh-CN"/>
        </w:rPr>
      </w:pPr>
      <w:r w:rsidRPr="00F80EE9">
        <w:rPr>
          <w:lang w:eastAsia="zh-CN"/>
        </w:rPr>
        <w:lastRenderedPageBreak/>
        <w:t>–</w:t>
      </w:r>
      <w:r>
        <w:tab/>
      </w:r>
      <w:r w:rsidR="003C0F36" w:rsidRPr="00EB623E">
        <w:rPr>
          <w:b/>
          <w:bCs/>
          <w:lang w:eastAsia="zh-CN"/>
        </w:rPr>
        <w:t>Strengthen conflict-management and workplace relations capability</w:t>
      </w:r>
      <w:r w:rsidR="003C0F36" w:rsidRPr="00EB623E">
        <w:rPr>
          <w:lang w:eastAsia="zh-CN"/>
        </w:rPr>
        <w:t xml:space="preserve"> by enhancing prevention, resolution pathways</w:t>
      </w:r>
      <w:r w:rsidR="3EC6DAE3" w:rsidRPr="0CE3B669">
        <w:rPr>
          <w:lang w:eastAsia="zh-CN"/>
        </w:rPr>
        <w:t xml:space="preserve">, including </w:t>
      </w:r>
      <w:r w:rsidR="003C0F36" w:rsidRPr="0CE3B669">
        <w:rPr>
          <w:lang w:eastAsia="zh-CN"/>
        </w:rPr>
        <w:t xml:space="preserve">timely </w:t>
      </w:r>
      <w:r w:rsidR="195B3971" w:rsidRPr="0CE3B669">
        <w:rPr>
          <w:lang w:eastAsia="zh-CN"/>
        </w:rPr>
        <w:t>access to independent</w:t>
      </w:r>
      <w:r w:rsidR="003C0F36" w:rsidRPr="00EB623E">
        <w:rPr>
          <w:lang w:eastAsia="zh-CN"/>
        </w:rPr>
        <w:t xml:space="preserve"> advice and support for managers and staff</w:t>
      </w:r>
      <w:r w:rsidR="37757ACA" w:rsidRPr="0CE3B669">
        <w:rPr>
          <w:lang w:eastAsia="zh-CN"/>
        </w:rPr>
        <w:t xml:space="preserve"> through the Ombudsman and other relevant mechanisms</w:t>
      </w:r>
      <w:r w:rsidR="003C0F36" w:rsidRPr="0CE3B669">
        <w:rPr>
          <w:lang w:eastAsia="zh-CN"/>
        </w:rPr>
        <w:t>.</w:t>
      </w:r>
    </w:p>
    <w:p w14:paraId="2AE67C25" w14:textId="72BC8320" w:rsidR="003C0F36" w:rsidRPr="00EB623E" w:rsidRDefault="00F80EE9" w:rsidP="00387244">
      <w:pPr>
        <w:pStyle w:val="enumlev1"/>
        <w:jc w:val="both"/>
        <w:rPr>
          <w:lang w:eastAsia="zh-CN"/>
        </w:rPr>
      </w:pPr>
      <w:r w:rsidRPr="00F80EE9">
        <w:rPr>
          <w:lang w:eastAsia="zh-CN"/>
        </w:rPr>
        <w:t>–</w:t>
      </w:r>
      <w:r w:rsidRPr="00F80EE9">
        <w:rPr>
          <w:lang w:eastAsia="zh-CN"/>
        </w:rPr>
        <w:tab/>
      </w:r>
      <w:r w:rsidR="003C0F36" w:rsidRPr="00EB623E">
        <w:rPr>
          <w:b/>
          <w:bCs/>
          <w:lang w:eastAsia="zh-CN"/>
        </w:rPr>
        <w:t>Pilot feedback process for directors and managers</w:t>
      </w:r>
      <w:r w:rsidR="003C0F36" w:rsidRPr="00EB623E">
        <w:rPr>
          <w:lang w:eastAsia="zh-CN"/>
        </w:rPr>
        <w:t xml:space="preserve"> (e.g. 360-degree feedback) to strengthen self-awareness, leadership behaviours and continuous improvement.</w:t>
      </w:r>
    </w:p>
    <w:p w14:paraId="6735593A" w14:textId="72C8C5C0" w:rsidR="003C0F36" w:rsidRPr="00EB623E" w:rsidRDefault="00F80EE9" w:rsidP="00387244">
      <w:pPr>
        <w:pStyle w:val="enumlev1"/>
        <w:jc w:val="both"/>
        <w:rPr>
          <w:lang w:eastAsia="zh-CN"/>
        </w:rPr>
      </w:pPr>
      <w:r w:rsidRPr="00F80EE9">
        <w:rPr>
          <w:lang w:eastAsia="zh-CN"/>
        </w:rPr>
        <w:t>–</w:t>
      </w:r>
      <w:r w:rsidRPr="00F80EE9">
        <w:rPr>
          <w:lang w:eastAsia="zh-CN"/>
        </w:rPr>
        <w:tab/>
      </w:r>
      <w:r w:rsidR="003C0F36" w:rsidRPr="00EB623E">
        <w:rPr>
          <w:b/>
          <w:bCs/>
          <w:lang w:eastAsia="zh-CN"/>
        </w:rPr>
        <w:t>Expand executive coaching</w:t>
      </w:r>
      <w:r w:rsidR="003C0F36" w:rsidRPr="00EB623E">
        <w:rPr>
          <w:lang w:eastAsia="zh-CN"/>
        </w:rPr>
        <w:t xml:space="preserve"> to support senior leaders and priority cohorts in leading change and navigating complex people-management situations.</w:t>
      </w:r>
    </w:p>
    <w:p w14:paraId="04ACF258" w14:textId="2600B81A" w:rsidR="003C0F36" w:rsidRPr="00EB623E" w:rsidRDefault="00F80EE9" w:rsidP="00387244">
      <w:pPr>
        <w:pStyle w:val="enumlev1"/>
        <w:jc w:val="both"/>
        <w:rPr>
          <w:lang w:eastAsia="zh-CN"/>
        </w:rPr>
      </w:pPr>
      <w:r w:rsidRPr="00F80EE9">
        <w:rPr>
          <w:lang w:eastAsia="zh-CN"/>
        </w:rPr>
        <w:t>–</w:t>
      </w:r>
      <w:r w:rsidRPr="00F80EE9">
        <w:rPr>
          <w:lang w:eastAsia="zh-CN"/>
        </w:rPr>
        <w:tab/>
      </w:r>
      <w:r w:rsidR="003C0F36" w:rsidRPr="00EB623E">
        <w:rPr>
          <w:b/>
          <w:bCs/>
          <w:lang w:eastAsia="zh-CN"/>
        </w:rPr>
        <w:t xml:space="preserve">Reinforce performance management </w:t>
      </w:r>
      <w:r w:rsidR="003C0F36" w:rsidRPr="00EB623E">
        <w:rPr>
          <w:lang w:eastAsia="zh-CN"/>
        </w:rPr>
        <w:t>including</w:t>
      </w:r>
      <w:r w:rsidR="003C0F36" w:rsidRPr="00EB623E">
        <w:rPr>
          <w:b/>
          <w:bCs/>
          <w:lang w:eastAsia="zh-CN"/>
        </w:rPr>
        <w:t xml:space="preserve"> </w:t>
      </w:r>
      <w:r w:rsidR="003C0F36" w:rsidRPr="00EB623E">
        <w:rPr>
          <w:lang w:eastAsia="zh-CN"/>
        </w:rPr>
        <w:t>managing underperformance through clearer standards, stronger documentation practice and targeted capability-building for managers.</w:t>
      </w:r>
    </w:p>
    <w:p w14:paraId="79D9DF80" w14:textId="1FB51474" w:rsidR="003C0F36" w:rsidRPr="00EB623E" w:rsidRDefault="00F80EE9" w:rsidP="00387244">
      <w:pPr>
        <w:pStyle w:val="enumlev1"/>
        <w:jc w:val="both"/>
        <w:rPr>
          <w:lang w:eastAsia="zh-CN"/>
        </w:rPr>
      </w:pPr>
      <w:r w:rsidRPr="00F80EE9">
        <w:rPr>
          <w:lang w:eastAsia="zh-CN"/>
        </w:rPr>
        <w:t>–</w:t>
      </w:r>
      <w:r w:rsidRPr="00F80EE9">
        <w:rPr>
          <w:lang w:eastAsia="zh-CN"/>
        </w:rPr>
        <w:tab/>
      </w:r>
      <w:r w:rsidR="003C0F36" w:rsidRPr="00EB623E">
        <w:rPr>
          <w:b/>
          <w:bCs/>
          <w:lang w:eastAsia="zh-CN"/>
        </w:rPr>
        <w:t>Implement the reward and recognition framework</w:t>
      </w:r>
      <w:r w:rsidR="003C0F36" w:rsidRPr="00EB623E">
        <w:rPr>
          <w:lang w:eastAsia="zh-CN"/>
        </w:rPr>
        <w:t xml:space="preserve"> to foster a culture of timely, transparent and inclusive recognition aligned with performance and shared values.</w:t>
      </w:r>
    </w:p>
    <w:p w14:paraId="366020EB" w14:textId="32A71303" w:rsidR="003C0F36" w:rsidRPr="00EB623E" w:rsidRDefault="00281248" w:rsidP="00387244">
      <w:pPr>
        <w:pStyle w:val="Heading2"/>
        <w:rPr>
          <w:lang w:eastAsia="zh-CN"/>
        </w:rPr>
      </w:pPr>
      <w:r w:rsidRPr="00EB623E">
        <w:rPr>
          <w:lang w:eastAsia="zh-CN"/>
        </w:rPr>
        <w:t>3.3</w:t>
      </w:r>
      <w:r w:rsidRPr="00EB623E">
        <w:rPr>
          <w:lang w:eastAsia="zh-CN"/>
        </w:rPr>
        <w:tab/>
      </w:r>
      <w:r w:rsidR="003C0F36" w:rsidRPr="00EB623E">
        <w:rPr>
          <w:lang w:eastAsia="zh-CN"/>
        </w:rPr>
        <w:t xml:space="preserve">Learning </w:t>
      </w:r>
      <w:r w:rsidR="00387244">
        <w:rPr>
          <w:lang w:eastAsia="zh-CN"/>
        </w:rPr>
        <w:t>and</w:t>
      </w:r>
      <w:r w:rsidR="003C0F36" w:rsidRPr="00EB623E">
        <w:rPr>
          <w:lang w:eastAsia="zh-CN"/>
        </w:rPr>
        <w:t xml:space="preserve"> </w:t>
      </w:r>
      <w:r w:rsidR="00387244" w:rsidRPr="00EB623E">
        <w:rPr>
          <w:lang w:eastAsia="zh-CN"/>
        </w:rPr>
        <w:t>career development</w:t>
      </w:r>
    </w:p>
    <w:p w14:paraId="20DBB51C" w14:textId="4F6CE3CA" w:rsidR="003C0F36" w:rsidRPr="00EB623E" w:rsidRDefault="003C0F36" w:rsidP="00387244">
      <w:pPr>
        <w:pStyle w:val="Headingb"/>
        <w:rPr>
          <w:lang w:eastAsia="zh-CN"/>
        </w:rPr>
      </w:pPr>
      <w:r w:rsidRPr="00EB623E">
        <w:rPr>
          <w:lang w:eastAsia="zh-CN"/>
        </w:rPr>
        <w:t xml:space="preserve">Why </w:t>
      </w:r>
      <w:proofErr w:type="gramStart"/>
      <w:r w:rsidRPr="00EB623E">
        <w:rPr>
          <w:lang w:eastAsia="zh-CN"/>
        </w:rPr>
        <w:t>this matters</w:t>
      </w:r>
      <w:proofErr w:type="gramEnd"/>
    </w:p>
    <w:p w14:paraId="27BFAF91" w14:textId="77777777" w:rsidR="003C0F36" w:rsidRPr="00EB623E" w:rsidRDefault="003C0F36" w:rsidP="00034B9B">
      <w:pPr>
        <w:jc w:val="both"/>
        <w:rPr>
          <w:lang w:eastAsia="zh-CN"/>
        </w:rPr>
      </w:pPr>
      <w:r w:rsidRPr="00EB623E">
        <w:rPr>
          <w:lang w:eastAsia="zh-CN"/>
        </w:rPr>
        <w:t>As skills requirements evolve rapidly, ITU is committed to fostering a culture of continuous learning to strengthen performance and future readiness. Clear and transparent career pathways and targeted development opportunities will support engagement and retention while strengthening organizational capability. Learning analytics will help ensure that investments are evidence-informed and aligned with ITU’s strategic priorities.</w:t>
      </w:r>
    </w:p>
    <w:p w14:paraId="7FBF1095" w14:textId="1F6B8A3C" w:rsidR="003C0F36" w:rsidRPr="00EB623E" w:rsidRDefault="003C0F36" w:rsidP="00387244">
      <w:pPr>
        <w:pStyle w:val="Headingb"/>
        <w:rPr>
          <w:lang w:eastAsia="zh-CN"/>
        </w:rPr>
      </w:pPr>
      <w:r w:rsidRPr="00EB623E">
        <w:rPr>
          <w:lang w:eastAsia="zh-CN"/>
        </w:rPr>
        <w:t>Key initiatives</w:t>
      </w:r>
    </w:p>
    <w:p w14:paraId="5FEC2C32" w14:textId="53273E53" w:rsidR="003C0F36" w:rsidRPr="00EB623E" w:rsidRDefault="00F80EE9" w:rsidP="00034B9B">
      <w:pPr>
        <w:pStyle w:val="enumlev1"/>
        <w:jc w:val="both"/>
        <w:rPr>
          <w:szCs w:val="24"/>
          <w:lang w:eastAsia="zh-CN"/>
        </w:rPr>
      </w:pPr>
      <w:r w:rsidRPr="00F80EE9">
        <w:rPr>
          <w:lang w:eastAsia="zh-CN"/>
        </w:rPr>
        <w:t>–</w:t>
      </w:r>
      <w:r w:rsidRPr="00F80EE9">
        <w:rPr>
          <w:lang w:eastAsia="zh-CN"/>
        </w:rPr>
        <w:tab/>
      </w:r>
      <w:r w:rsidR="003C0F36" w:rsidRPr="00EB623E">
        <w:rPr>
          <w:b/>
          <w:bCs/>
          <w:szCs w:val="24"/>
          <w:lang w:eastAsia="zh-CN"/>
        </w:rPr>
        <w:t>Strengthen career development frameworks</w:t>
      </w:r>
      <w:r w:rsidR="003C0F36" w:rsidRPr="00EB623E">
        <w:rPr>
          <w:szCs w:val="24"/>
          <w:lang w:eastAsia="zh-CN"/>
        </w:rPr>
        <w:t xml:space="preserve"> to provide clear </w:t>
      </w:r>
      <w:r w:rsidR="003C0F36" w:rsidRPr="00034B9B">
        <w:rPr>
          <w:lang w:eastAsia="zh-CN"/>
        </w:rPr>
        <w:t>expectations</w:t>
      </w:r>
      <w:r w:rsidR="003C0F36" w:rsidRPr="00EB623E">
        <w:rPr>
          <w:szCs w:val="24"/>
          <w:lang w:eastAsia="zh-CN"/>
        </w:rPr>
        <w:t xml:space="preserve"> and development options across functional areas and grades.</w:t>
      </w:r>
    </w:p>
    <w:p w14:paraId="026874FA" w14:textId="23A7671B" w:rsidR="003C0F36" w:rsidRPr="00EB623E" w:rsidRDefault="00F80EE9" w:rsidP="00034B9B">
      <w:pPr>
        <w:pStyle w:val="enumlev1"/>
        <w:jc w:val="both"/>
        <w:rPr>
          <w:szCs w:val="24"/>
          <w:lang w:eastAsia="zh-CN"/>
        </w:rPr>
      </w:pPr>
      <w:r w:rsidRPr="00F80EE9">
        <w:rPr>
          <w:lang w:eastAsia="zh-CN"/>
        </w:rPr>
        <w:t>–</w:t>
      </w:r>
      <w:r w:rsidRPr="00F80EE9">
        <w:rPr>
          <w:lang w:eastAsia="zh-CN"/>
        </w:rPr>
        <w:tab/>
      </w:r>
      <w:r w:rsidR="003C0F36" w:rsidRPr="00EB623E">
        <w:rPr>
          <w:b/>
          <w:bCs/>
          <w:szCs w:val="24"/>
          <w:lang w:eastAsia="zh-CN"/>
        </w:rPr>
        <w:t>Foster a continuous learning culture</w:t>
      </w:r>
      <w:r w:rsidR="003C0F36" w:rsidRPr="00EB623E">
        <w:rPr>
          <w:szCs w:val="24"/>
          <w:lang w:eastAsia="zh-CN"/>
        </w:rPr>
        <w:t xml:space="preserve"> by reinforcing shared </w:t>
      </w:r>
      <w:r w:rsidR="003C0F36" w:rsidRPr="00034B9B">
        <w:rPr>
          <w:lang w:eastAsia="zh-CN"/>
        </w:rPr>
        <w:t>accountability</w:t>
      </w:r>
      <w:r w:rsidR="003C0F36" w:rsidRPr="00EB623E">
        <w:rPr>
          <w:szCs w:val="24"/>
          <w:lang w:eastAsia="zh-CN"/>
        </w:rPr>
        <w:t xml:space="preserve"> for learning among staff, managers and the organization, and by promoting accessible learning opportunities.</w:t>
      </w:r>
    </w:p>
    <w:p w14:paraId="7C5C4321" w14:textId="3BEAA523" w:rsidR="003C0F36" w:rsidRPr="00EB623E" w:rsidRDefault="00F80EE9" w:rsidP="00034B9B">
      <w:pPr>
        <w:pStyle w:val="enumlev1"/>
        <w:jc w:val="both"/>
        <w:rPr>
          <w:szCs w:val="24"/>
          <w:lang w:eastAsia="zh-CN"/>
        </w:rPr>
      </w:pPr>
      <w:r w:rsidRPr="00F80EE9">
        <w:rPr>
          <w:lang w:eastAsia="zh-CN"/>
        </w:rPr>
        <w:t>–</w:t>
      </w:r>
      <w:r w:rsidRPr="00F80EE9">
        <w:rPr>
          <w:lang w:eastAsia="zh-CN"/>
        </w:rPr>
        <w:tab/>
      </w:r>
      <w:r w:rsidR="003C0F36" w:rsidRPr="00EB623E">
        <w:rPr>
          <w:b/>
          <w:bCs/>
          <w:szCs w:val="24"/>
          <w:lang w:eastAsia="zh-CN"/>
        </w:rPr>
        <w:t>Implement an annual learning plan aligned with the ITU Strategic Plan</w:t>
      </w:r>
      <w:r w:rsidR="003C0F36" w:rsidRPr="00EB623E">
        <w:rPr>
          <w:szCs w:val="24"/>
          <w:lang w:eastAsia="zh-CN"/>
        </w:rPr>
        <w:t xml:space="preserve"> to prioritize learning investments and ensure relevance to strategic priorities.</w:t>
      </w:r>
    </w:p>
    <w:p w14:paraId="7A883E8D" w14:textId="7EDF3600" w:rsidR="003C0F36" w:rsidRPr="00EB623E" w:rsidRDefault="00F80EE9" w:rsidP="00034B9B">
      <w:pPr>
        <w:pStyle w:val="enumlev1"/>
        <w:jc w:val="both"/>
        <w:rPr>
          <w:szCs w:val="24"/>
          <w:lang w:eastAsia="zh-CN"/>
        </w:rPr>
      </w:pPr>
      <w:r w:rsidRPr="00F80EE9">
        <w:rPr>
          <w:lang w:eastAsia="zh-CN"/>
        </w:rPr>
        <w:t>–</w:t>
      </w:r>
      <w:r w:rsidRPr="00F80EE9">
        <w:rPr>
          <w:lang w:eastAsia="zh-CN"/>
        </w:rPr>
        <w:tab/>
      </w:r>
      <w:r w:rsidR="003C0F36" w:rsidRPr="00EB623E">
        <w:rPr>
          <w:b/>
          <w:bCs/>
          <w:szCs w:val="24"/>
          <w:lang w:eastAsia="zh-CN"/>
        </w:rPr>
        <w:t>Strengthen future-oriented skills development</w:t>
      </w:r>
      <w:r w:rsidR="003C0F36" w:rsidRPr="00EB623E">
        <w:rPr>
          <w:szCs w:val="24"/>
          <w:lang w:eastAsia="zh-CN"/>
        </w:rPr>
        <w:t xml:space="preserve"> by aligning learning with emerging technologies, priority capability needs and critical roles, supported by </w:t>
      </w:r>
      <w:r w:rsidR="003C0F36" w:rsidRPr="00034B9B">
        <w:rPr>
          <w:lang w:eastAsia="zh-CN"/>
        </w:rPr>
        <w:t>targeted</w:t>
      </w:r>
      <w:r w:rsidR="003C0F36" w:rsidRPr="00EB623E">
        <w:rPr>
          <w:szCs w:val="24"/>
          <w:lang w:eastAsia="zh-CN"/>
        </w:rPr>
        <w:t xml:space="preserve"> programmes and on-the-job learning.</w:t>
      </w:r>
    </w:p>
    <w:p w14:paraId="57D497D7" w14:textId="58D1FBCF" w:rsidR="003C0F36" w:rsidRPr="00EB623E" w:rsidRDefault="00F80EE9" w:rsidP="00034B9B">
      <w:pPr>
        <w:pStyle w:val="enumlev1"/>
        <w:jc w:val="both"/>
        <w:rPr>
          <w:szCs w:val="24"/>
          <w:lang w:eastAsia="zh-CN"/>
        </w:rPr>
      </w:pPr>
      <w:r w:rsidRPr="00F80EE9">
        <w:rPr>
          <w:lang w:eastAsia="zh-CN"/>
        </w:rPr>
        <w:t>–</w:t>
      </w:r>
      <w:r w:rsidRPr="00F80EE9">
        <w:rPr>
          <w:lang w:eastAsia="zh-CN"/>
        </w:rPr>
        <w:tab/>
      </w:r>
      <w:r w:rsidR="003C0F36" w:rsidRPr="00EB623E">
        <w:rPr>
          <w:b/>
          <w:bCs/>
          <w:szCs w:val="24"/>
          <w:lang w:eastAsia="zh-CN"/>
        </w:rPr>
        <w:t>Develop learning analytics and skills assessment</w:t>
      </w:r>
      <w:r w:rsidR="003C0F36" w:rsidRPr="00EB623E">
        <w:rPr>
          <w:szCs w:val="24"/>
          <w:lang w:eastAsia="zh-CN"/>
        </w:rPr>
        <w:t xml:space="preserve"> to better understand capability gaps, tailor learning offers, and track learning uptake and effectiveness.</w:t>
      </w:r>
    </w:p>
    <w:p w14:paraId="11D1ED3F" w14:textId="5DC412E5" w:rsidR="003C0F36" w:rsidRPr="00EB623E" w:rsidRDefault="00F80EE9" w:rsidP="00034B9B">
      <w:pPr>
        <w:pStyle w:val="enumlev1"/>
        <w:jc w:val="both"/>
        <w:rPr>
          <w:szCs w:val="24"/>
          <w:lang w:eastAsia="zh-CN"/>
        </w:rPr>
      </w:pPr>
      <w:r w:rsidRPr="00F80EE9">
        <w:rPr>
          <w:lang w:eastAsia="zh-CN"/>
        </w:rPr>
        <w:t>–</w:t>
      </w:r>
      <w:r w:rsidRPr="00F80EE9">
        <w:rPr>
          <w:lang w:eastAsia="zh-CN"/>
        </w:rPr>
        <w:tab/>
      </w:r>
      <w:r w:rsidR="003C0F36" w:rsidRPr="00EB623E">
        <w:rPr>
          <w:b/>
          <w:bCs/>
          <w:szCs w:val="24"/>
          <w:lang w:eastAsia="zh-CN"/>
        </w:rPr>
        <w:t>Promote knowledge sharing and peer learning</w:t>
      </w:r>
      <w:r w:rsidR="003C0F36" w:rsidRPr="00EB623E">
        <w:rPr>
          <w:szCs w:val="24"/>
          <w:lang w:eastAsia="zh-CN"/>
        </w:rPr>
        <w:t xml:space="preserve"> through communities </w:t>
      </w:r>
      <w:r w:rsidR="003C0F36" w:rsidRPr="00034B9B">
        <w:rPr>
          <w:lang w:eastAsia="zh-CN"/>
        </w:rPr>
        <w:t>of</w:t>
      </w:r>
      <w:r w:rsidR="003C0F36" w:rsidRPr="00EB623E">
        <w:rPr>
          <w:szCs w:val="24"/>
          <w:lang w:eastAsia="zh-CN"/>
        </w:rPr>
        <w:t xml:space="preserve"> practice, mentoring and structured opportunities to share expertise across teams and departments.</w:t>
      </w:r>
    </w:p>
    <w:p w14:paraId="3D875112" w14:textId="53C68E7D" w:rsidR="003C0F36" w:rsidRPr="00EB623E" w:rsidRDefault="00281248" w:rsidP="00034B9B">
      <w:pPr>
        <w:pStyle w:val="Heading2"/>
        <w:rPr>
          <w:lang w:eastAsia="zh-CN"/>
        </w:rPr>
      </w:pPr>
      <w:r w:rsidRPr="00EB623E">
        <w:rPr>
          <w:lang w:eastAsia="zh-CN"/>
        </w:rPr>
        <w:t>3.4</w:t>
      </w:r>
      <w:r>
        <w:tab/>
      </w:r>
      <w:r w:rsidR="003C0F36" w:rsidRPr="00EB623E">
        <w:rPr>
          <w:lang w:eastAsia="zh-CN"/>
        </w:rPr>
        <w:t xml:space="preserve">Staff </w:t>
      </w:r>
      <w:r w:rsidR="00034B9B" w:rsidRPr="00EB623E">
        <w:rPr>
          <w:lang w:eastAsia="zh-CN"/>
        </w:rPr>
        <w:t xml:space="preserve">engagement, inclusion </w:t>
      </w:r>
      <w:r w:rsidR="00034B9B">
        <w:rPr>
          <w:lang w:eastAsia="zh-CN"/>
        </w:rPr>
        <w:t>and</w:t>
      </w:r>
      <w:r w:rsidR="00034B9B" w:rsidRPr="00EB623E">
        <w:rPr>
          <w:lang w:eastAsia="zh-CN"/>
        </w:rPr>
        <w:t xml:space="preserve"> wellbeing</w:t>
      </w:r>
    </w:p>
    <w:p w14:paraId="0B3DE873" w14:textId="7BA2EF11" w:rsidR="003C0F36" w:rsidRPr="00EB623E" w:rsidRDefault="003C0F36" w:rsidP="002453CF">
      <w:pPr>
        <w:pStyle w:val="Headingb"/>
        <w:rPr>
          <w:lang w:eastAsia="zh-CN"/>
        </w:rPr>
      </w:pPr>
      <w:r w:rsidRPr="00EB623E">
        <w:rPr>
          <w:lang w:eastAsia="zh-CN"/>
        </w:rPr>
        <w:t xml:space="preserve">Why </w:t>
      </w:r>
      <w:proofErr w:type="gramStart"/>
      <w:r w:rsidRPr="00EB623E">
        <w:rPr>
          <w:lang w:eastAsia="zh-CN"/>
        </w:rPr>
        <w:t>this matters</w:t>
      </w:r>
      <w:proofErr w:type="gramEnd"/>
    </w:p>
    <w:p w14:paraId="610B2D23" w14:textId="77777777" w:rsidR="003C0F36" w:rsidRPr="00EB623E" w:rsidRDefault="003C0F36" w:rsidP="00034B9B">
      <w:pPr>
        <w:jc w:val="both"/>
        <w:rPr>
          <w:szCs w:val="24"/>
          <w:lang w:eastAsia="zh-CN"/>
        </w:rPr>
      </w:pPr>
      <w:r w:rsidRPr="00EB623E">
        <w:rPr>
          <w:szCs w:val="24"/>
          <w:lang w:eastAsia="zh-CN"/>
        </w:rPr>
        <w:t xml:space="preserve">Staff engagement, inclusion, and wellbeing are foundational to sustained performance and a healthy organizational culture. By prioritizing its duty of </w:t>
      </w:r>
      <w:r w:rsidRPr="00034B9B">
        <w:rPr>
          <w:lang w:eastAsia="zh-CN"/>
        </w:rPr>
        <w:t>care</w:t>
      </w:r>
      <w:r w:rsidRPr="00EB623E">
        <w:rPr>
          <w:szCs w:val="24"/>
          <w:lang w:eastAsia="zh-CN"/>
        </w:rPr>
        <w:t xml:space="preserve"> and fostering supportive practices, ITU enables staff to thrive while mitigating institutional risks. Proactively listening </w:t>
      </w:r>
      <w:r w:rsidRPr="00EB623E">
        <w:rPr>
          <w:szCs w:val="24"/>
          <w:lang w:eastAsia="zh-CN"/>
        </w:rPr>
        <w:lastRenderedPageBreak/>
        <w:t>to staff and closing the feedback loop will bolster trust thereby reinforcing a respectful workplace across the Union.</w:t>
      </w:r>
    </w:p>
    <w:p w14:paraId="04CF7BC0" w14:textId="6DEC9258" w:rsidR="003C0F36" w:rsidRPr="00EB623E" w:rsidRDefault="003C0F36" w:rsidP="00387244">
      <w:pPr>
        <w:pStyle w:val="Headingb"/>
        <w:rPr>
          <w:lang w:eastAsia="zh-CN"/>
        </w:rPr>
      </w:pPr>
      <w:r w:rsidRPr="00EB623E">
        <w:rPr>
          <w:lang w:eastAsia="zh-CN"/>
        </w:rPr>
        <w:t>Key initiatives</w:t>
      </w:r>
    </w:p>
    <w:p w14:paraId="26CB14AC" w14:textId="6938B9E4" w:rsidR="003C0F36" w:rsidRPr="00EB623E" w:rsidRDefault="00F80EE9" w:rsidP="00034B9B">
      <w:pPr>
        <w:pStyle w:val="enumlev1"/>
        <w:jc w:val="both"/>
        <w:rPr>
          <w:b/>
          <w:bCs/>
          <w:szCs w:val="24"/>
          <w:lang w:eastAsia="zh-CN"/>
        </w:rPr>
      </w:pPr>
      <w:r w:rsidRPr="00F80EE9">
        <w:rPr>
          <w:lang w:eastAsia="zh-CN"/>
        </w:rPr>
        <w:t>–</w:t>
      </w:r>
      <w:r w:rsidRPr="00F80EE9">
        <w:rPr>
          <w:lang w:eastAsia="zh-CN"/>
        </w:rPr>
        <w:tab/>
      </w:r>
      <w:r w:rsidR="003C0F36" w:rsidRPr="00EB623E">
        <w:rPr>
          <w:b/>
          <w:bCs/>
          <w:szCs w:val="24"/>
          <w:lang w:eastAsia="zh-CN"/>
        </w:rPr>
        <w:t>Support the transition towards a more integrated Occupational Health &amp; Safety (OHS) approach</w:t>
      </w:r>
      <w:r w:rsidR="003C0F36" w:rsidRPr="00EB623E">
        <w:rPr>
          <w:szCs w:val="24"/>
          <w:lang w:eastAsia="zh-CN"/>
        </w:rPr>
        <w:t xml:space="preserve">, building on existing medical services, interagency linkages and strengthening prevention, </w:t>
      </w:r>
      <w:r w:rsidR="003C0F36" w:rsidRPr="00034B9B">
        <w:rPr>
          <w:lang w:eastAsia="zh-CN"/>
        </w:rPr>
        <w:t>risk</w:t>
      </w:r>
      <w:r w:rsidR="003C0F36" w:rsidRPr="00EB623E">
        <w:rPr>
          <w:szCs w:val="24"/>
          <w:lang w:eastAsia="zh-CN"/>
        </w:rPr>
        <w:t xml:space="preserve"> management and awareness.</w:t>
      </w:r>
    </w:p>
    <w:p w14:paraId="57E4CC7F" w14:textId="4B6A9EC3" w:rsidR="003C0F36" w:rsidRPr="00EB623E" w:rsidRDefault="00F80EE9" w:rsidP="00034B9B">
      <w:pPr>
        <w:pStyle w:val="enumlev1"/>
        <w:jc w:val="both"/>
        <w:rPr>
          <w:b/>
          <w:bCs/>
          <w:szCs w:val="24"/>
          <w:lang w:eastAsia="zh-CN"/>
        </w:rPr>
      </w:pPr>
      <w:r w:rsidRPr="00F80EE9">
        <w:rPr>
          <w:lang w:eastAsia="zh-CN"/>
        </w:rPr>
        <w:t>–</w:t>
      </w:r>
      <w:r w:rsidRPr="00F80EE9">
        <w:rPr>
          <w:lang w:eastAsia="zh-CN"/>
        </w:rPr>
        <w:tab/>
      </w:r>
      <w:r w:rsidR="003C0F36" w:rsidRPr="00EB623E">
        <w:rPr>
          <w:b/>
          <w:bCs/>
          <w:szCs w:val="24"/>
          <w:lang w:eastAsia="zh-CN"/>
        </w:rPr>
        <w:t xml:space="preserve">Enhance return-to-work programmes </w:t>
      </w:r>
      <w:r w:rsidR="003C0F36" w:rsidRPr="00EB623E">
        <w:rPr>
          <w:szCs w:val="24"/>
          <w:lang w:eastAsia="zh-CN"/>
        </w:rPr>
        <w:t xml:space="preserve">to support staff reintegration following illness or leave, through clear procedures, </w:t>
      </w:r>
      <w:r w:rsidR="003C0F36" w:rsidRPr="00034B9B">
        <w:rPr>
          <w:lang w:eastAsia="zh-CN"/>
        </w:rPr>
        <w:t>timely</w:t>
      </w:r>
      <w:r w:rsidR="003C0F36" w:rsidRPr="00EB623E">
        <w:rPr>
          <w:szCs w:val="24"/>
          <w:lang w:eastAsia="zh-CN"/>
        </w:rPr>
        <w:t xml:space="preserve"> coordination and appropriate workplace adjustments where needed.</w:t>
      </w:r>
    </w:p>
    <w:p w14:paraId="7F85FEF2" w14:textId="5EA5CA76" w:rsidR="003C0F36" w:rsidRPr="00EB623E" w:rsidRDefault="00F80EE9" w:rsidP="00034B9B">
      <w:pPr>
        <w:pStyle w:val="enumlev1"/>
        <w:jc w:val="both"/>
        <w:rPr>
          <w:b/>
          <w:bCs/>
          <w:szCs w:val="24"/>
          <w:lang w:eastAsia="zh-CN"/>
        </w:rPr>
      </w:pPr>
      <w:r w:rsidRPr="00F80EE9">
        <w:rPr>
          <w:lang w:eastAsia="zh-CN"/>
        </w:rPr>
        <w:t>–</w:t>
      </w:r>
      <w:r w:rsidRPr="00F80EE9">
        <w:rPr>
          <w:lang w:eastAsia="zh-CN"/>
        </w:rPr>
        <w:tab/>
      </w:r>
      <w:r w:rsidR="003C0F36" w:rsidRPr="00EB623E">
        <w:rPr>
          <w:b/>
          <w:bCs/>
          <w:szCs w:val="24"/>
          <w:lang w:eastAsia="zh-CN"/>
        </w:rPr>
        <w:t xml:space="preserve">Implement the Mental Health and Wellbeing Action Plan </w:t>
      </w:r>
      <w:r w:rsidR="003C0F36" w:rsidRPr="00EB623E">
        <w:rPr>
          <w:szCs w:val="24"/>
          <w:lang w:eastAsia="zh-CN"/>
        </w:rPr>
        <w:t xml:space="preserve">to strengthen prevention, access to support and </w:t>
      </w:r>
      <w:r w:rsidR="003C0F36" w:rsidRPr="00034B9B">
        <w:rPr>
          <w:lang w:eastAsia="zh-CN"/>
        </w:rPr>
        <w:t>awareness</w:t>
      </w:r>
      <w:r w:rsidR="003C0F36" w:rsidRPr="00EB623E">
        <w:rPr>
          <w:szCs w:val="24"/>
          <w:lang w:eastAsia="zh-CN"/>
        </w:rPr>
        <w:t>, and to promote a supportive environment for mental wellbeing.</w:t>
      </w:r>
    </w:p>
    <w:p w14:paraId="52928FCF" w14:textId="5F747BC9" w:rsidR="003C0F36" w:rsidRPr="00EB623E" w:rsidRDefault="00F80EE9" w:rsidP="00034B9B">
      <w:pPr>
        <w:pStyle w:val="enumlev1"/>
        <w:jc w:val="both"/>
        <w:rPr>
          <w:b/>
          <w:bCs/>
          <w:szCs w:val="24"/>
          <w:lang w:eastAsia="zh-CN"/>
        </w:rPr>
      </w:pPr>
      <w:r w:rsidRPr="00F80EE9">
        <w:rPr>
          <w:lang w:eastAsia="zh-CN"/>
        </w:rPr>
        <w:t>–</w:t>
      </w:r>
      <w:r w:rsidRPr="00F80EE9">
        <w:rPr>
          <w:lang w:eastAsia="zh-CN"/>
        </w:rPr>
        <w:tab/>
      </w:r>
      <w:r w:rsidR="003C0F36" w:rsidRPr="00EB623E">
        <w:rPr>
          <w:b/>
          <w:bCs/>
          <w:szCs w:val="24"/>
          <w:lang w:eastAsia="zh-CN"/>
        </w:rPr>
        <w:t xml:space="preserve">Mitigate workplace stressors and build resilience </w:t>
      </w:r>
      <w:r w:rsidR="003C0F36" w:rsidRPr="00EB623E">
        <w:rPr>
          <w:szCs w:val="24"/>
          <w:lang w:eastAsia="zh-CN"/>
        </w:rPr>
        <w:t>through targeted interventions, practical resources for staff and managers, and initiatives that promote healthy ways of working.</w:t>
      </w:r>
    </w:p>
    <w:p w14:paraId="5BA3E8D1" w14:textId="06122F38" w:rsidR="003C0F36" w:rsidRPr="00EB623E" w:rsidRDefault="4B509854" w:rsidP="1F132584">
      <w:pPr>
        <w:pStyle w:val="enumlev1"/>
        <w:jc w:val="both"/>
        <w:rPr>
          <w:b/>
          <w:bCs/>
          <w:lang w:eastAsia="zh-CN"/>
        </w:rPr>
      </w:pPr>
      <w:r w:rsidRPr="59A1C50B">
        <w:rPr>
          <w:lang w:eastAsia="zh-CN"/>
        </w:rPr>
        <w:t>–</w:t>
      </w:r>
      <w:r>
        <w:tab/>
      </w:r>
      <w:r w:rsidR="7E7C600D" w:rsidRPr="00E43561">
        <w:rPr>
          <w:b/>
          <w:bCs/>
          <w:lang w:eastAsia="zh-CN"/>
        </w:rPr>
        <w:t>Implement flexible working arrangements</w:t>
      </w:r>
      <w:r w:rsidR="7E7C600D" w:rsidRPr="59A1C50B">
        <w:rPr>
          <w:lang w:eastAsia="zh-CN"/>
        </w:rPr>
        <w:t xml:space="preserve"> appropriate for operational needs to support work-life balance, through a clear policy and guidance, and consistent application across teams.</w:t>
      </w:r>
    </w:p>
    <w:p w14:paraId="3A2773FE" w14:textId="299F6B18" w:rsidR="003C0F36" w:rsidRPr="00EB623E" w:rsidRDefault="00F80EE9" w:rsidP="00034B9B">
      <w:pPr>
        <w:pStyle w:val="enumlev1"/>
        <w:jc w:val="both"/>
        <w:rPr>
          <w:b/>
          <w:bCs/>
          <w:szCs w:val="24"/>
          <w:lang w:eastAsia="zh-CN"/>
        </w:rPr>
      </w:pPr>
      <w:r w:rsidRPr="00F80EE9">
        <w:rPr>
          <w:lang w:eastAsia="zh-CN"/>
        </w:rPr>
        <w:t>–</w:t>
      </w:r>
      <w:r w:rsidRPr="00F80EE9">
        <w:rPr>
          <w:lang w:eastAsia="zh-CN"/>
        </w:rPr>
        <w:tab/>
      </w:r>
      <w:r w:rsidR="003C0F36" w:rsidRPr="00EB623E">
        <w:rPr>
          <w:b/>
          <w:bCs/>
          <w:szCs w:val="24"/>
          <w:lang w:eastAsia="zh-CN"/>
        </w:rPr>
        <w:t xml:space="preserve">Build an inclusive workplace </w:t>
      </w:r>
      <w:r w:rsidR="003C0F36" w:rsidRPr="00EB623E">
        <w:rPr>
          <w:szCs w:val="24"/>
          <w:lang w:eastAsia="zh-CN"/>
        </w:rPr>
        <w:t xml:space="preserve">by fostering a respectful and supportive culture, leveraging diversity, preventing unacceptable conduct, and advancing disability inclusion through reasonable </w:t>
      </w:r>
      <w:r w:rsidR="003C0F36" w:rsidRPr="00034B9B">
        <w:rPr>
          <w:lang w:eastAsia="zh-CN"/>
        </w:rPr>
        <w:t>accommodation</w:t>
      </w:r>
      <w:r w:rsidR="003C0F36" w:rsidRPr="00EB623E">
        <w:rPr>
          <w:szCs w:val="24"/>
          <w:lang w:eastAsia="zh-CN"/>
        </w:rPr>
        <w:t>, alongside equitable opportunities for all.</w:t>
      </w:r>
    </w:p>
    <w:p w14:paraId="1699977D" w14:textId="170CF230" w:rsidR="003C0F36" w:rsidRPr="00EB623E" w:rsidRDefault="00F80EE9" w:rsidP="00034B9B">
      <w:pPr>
        <w:pStyle w:val="enumlev1"/>
        <w:jc w:val="both"/>
        <w:rPr>
          <w:b/>
          <w:bCs/>
          <w:szCs w:val="24"/>
          <w:lang w:eastAsia="zh-CN"/>
        </w:rPr>
      </w:pPr>
      <w:r w:rsidRPr="00F80EE9">
        <w:rPr>
          <w:lang w:eastAsia="zh-CN"/>
        </w:rPr>
        <w:t>–</w:t>
      </w:r>
      <w:r w:rsidRPr="00F80EE9">
        <w:rPr>
          <w:lang w:eastAsia="zh-CN"/>
        </w:rPr>
        <w:tab/>
      </w:r>
      <w:r w:rsidR="003C0F36" w:rsidRPr="00EB623E">
        <w:rPr>
          <w:b/>
          <w:bCs/>
          <w:szCs w:val="24"/>
          <w:lang w:eastAsia="zh-CN"/>
        </w:rPr>
        <w:t xml:space="preserve">Leverage the Employee Engagement Survey (EES) and action plans </w:t>
      </w:r>
      <w:r w:rsidR="003C0F36" w:rsidRPr="00EB623E">
        <w:rPr>
          <w:szCs w:val="24"/>
          <w:lang w:eastAsia="zh-CN"/>
        </w:rPr>
        <w:t xml:space="preserve">to institutionalize staff feedback mechanisms, prioritizing evidence-based interventions and monitoring </w:t>
      </w:r>
      <w:r w:rsidR="003C0F36" w:rsidRPr="00034B9B">
        <w:rPr>
          <w:lang w:eastAsia="zh-CN"/>
        </w:rPr>
        <w:t>progress</w:t>
      </w:r>
      <w:r w:rsidR="003C0F36" w:rsidRPr="00EB623E">
        <w:rPr>
          <w:szCs w:val="24"/>
          <w:lang w:eastAsia="zh-CN"/>
        </w:rPr>
        <w:t xml:space="preserve"> through transparent communication and mutual accountability.</w:t>
      </w:r>
    </w:p>
    <w:p w14:paraId="1D556370" w14:textId="0F67B4D6" w:rsidR="003C0F36" w:rsidRPr="00EB623E" w:rsidRDefault="00281248" w:rsidP="00034B9B">
      <w:pPr>
        <w:pStyle w:val="Heading2"/>
        <w:rPr>
          <w:lang w:eastAsia="zh-CN"/>
        </w:rPr>
      </w:pPr>
      <w:r w:rsidRPr="00EB623E">
        <w:rPr>
          <w:lang w:eastAsia="zh-CN"/>
        </w:rPr>
        <w:t>3.5</w:t>
      </w:r>
      <w:r w:rsidRPr="00EB623E">
        <w:rPr>
          <w:lang w:eastAsia="zh-CN"/>
        </w:rPr>
        <w:tab/>
      </w:r>
      <w:r w:rsidR="003C0F36" w:rsidRPr="00EB623E">
        <w:rPr>
          <w:lang w:eastAsia="zh-CN"/>
        </w:rPr>
        <w:t xml:space="preserve">HR </w:t>
      </w:r>
      <w:r w:rsidR="00034B9B" w:rsidRPr="00EB623E">
        <w:rPr>
          <w:lang w:eastAsia="zh-CN"/>
        </w:rPr>
        <w:t xml:space="preserve">governance, data </w:t>
      </w:r>
      <w:r w:rsidR="00034B9B">
        <w:rPr>
          <w:lang w:eastAsia="zh-CN"/>
        </w:rPr>
        <w:t>and</w:t>
      </w:r>
      <w:r w:rsidR="00034B9B" w:rsidRPr="00EB623E">
        <w:rPr>
          <w:lang w:eastAsia="zh-CN"/>
        </w:rPr>
        <w:t xml:space="preserve"> digital transformation</w:t>
      </w:r>
    </w:p>
    <w:p w14:paraId="6FD48F09" w14:textId="34BA661F" w:rsidR="003C0F36" w:rsidRPr="00EB623E" w:rsidRDefault="003C0F36" w:rsidP="00387244">
      <w:pPr>
        <w:pStyle w:val="Headingb"/>
        <w:rPr>
          <w:lang w:eastAsia="zh-CN"/>
        </w:rPr>
      </w:pPr>
      <w:r w:rsidRPr="00EB623E">
        <w:rPr>
          <w:lang w:eastAsia="zh-CN"/>
        </w:rPr>
        <w:t xml:space="preserve">Why </w:t>
      </w:r>
      <w:proofErr w:type="gramStart"/>
      <w:r w:rsidRPr="00EB623E">
        <w:rPr>
          <w:lang w:eastAsia="zh-CN"/>
        </w:rPr>
        <w:t>this matters</w:t>
      </w:r>
      <w:proofErr w:type="gramEnd"/>
    </w:p>
    <w:p w14:paraId="488033D2" w14:textId="77777777" w:rsidR="003C0F36" w:rsidRPr="00EB623E" w:rsidRDefault="003C0F36" w:rsidP="00034B9B">
      <w:pPr>
        <w:jc w:val="both"/>
        <w:rPr>
          <w:szCs w:val="24"/>
          <w:lang w:eastAsia="zh-CN"/>
        </w:rPr>
      </w:pPr>
      <w:r w:rsidRPr="00EB623E">
        <w:rPr>
          <w:szCs w:val="24"/>
          <w:lang w:eastAsia="zh-CN"/>
        </w:rPr>
        <w:t>Strong HR governance and modern enabling systems underpin consistent, compliant, and efficient people management. Targeted investment in technology and enhanced data analytics function will foster a client-service culture, drive evidence-informed decision-making, and alleviate administrative burden through automation and simplification.</w:t>
      </w:r>
    </w:p>
    <w:p w14:paraId="7950DA53" w14:textId="27B72711" w:rsidR="003C0F36" w:rsidRPr="00EB623E" w:rsidRDefault="003C0F36" w:rsidP="00387244">
      <w:pPr>
        <w:pStyle w:val="Headingb"/>
        <w:rPr>
          <w:lang w:eastAsia="zh-CN"/>
        </w:rPr>
      </w:pPr>
      <w:r w:rsidRPr="00EB623E">
        <w:rPr>
          <w:lang w:eastAsia="zh-CN"/>
        </w:rPr>
        <w:t>Key initiatives</w:t>
      </w:r>
    </w:p>
    <w:p w14:paraId="2DD49698" w14:textId="364902B0" w:rsidR="003C0F36" w:rsidRPr="00EB623E" w:rsidRDefault="00F80EE9" w:rsidP="00034B9B">
      <w:pPr>
        <w:pStyle w:val="enumlev1"/>
        <w:jc w:val="both"/>
        <w:rPr>
          <w:szCs w:val="24"/>
          <w:lang w:eastAsia="zh-CN"/>
        </w:rPr>
      </w:pPr>
      <w:r w:rsidRPr="00F80EE9">
        <w:rPr>
          <w:lang w:eastAsia="zh-CN"/>
        </w:rPr>
        <w:t>–</w:t>
      </w:r>
      <w:r w:rsidRPr="00F80EE9">
        <w:rPr>
          <w:lang w:eastAsia="zh-CN"/>
        </w:rPr>
        <w:tab/>
      </w:r>
      <w:r w:rsidR="003C0F36" w:rsidRPr="00EB623E">
        <w:rPr>
          <w:b/>
          <w:bCs/>
          <w:szCs w:val="24"/>
          <w:lang w:eastAsia="zh-CN"/>
        </w:rPr>
        <w:t>Strengthen the HR regulatory framework</w:t>
      </w:r>
      <w:r w:rsidR="003C0F36" w:rsidRPr="00EB623E">
        <w:rPr>
          <w:szCs w:val="24"/>
          <w:lang w:eastAsia="zh-CN"/>
        </w:rPr>
        <w:t xml:space="preserve"> by reviewing and updating policies, rules and guidance to close gaps, improve coherence and </w:t>
      </w:r>
      <w:r w:rsidR="003C0F36" w:rsidRPr="00034B9B">
        <w:rPr>
          <w:lang w:eastAsia="zh-CN"/>
        </w:rPr>
        <w:t>support</w:t>
      </w:r>
      <w:r w:rsidR="003C0F36" w:rsidRPr="00EB623E">
        <w:rPr>
          <w:szCs w:val="24"/>
          <w:lang w:eastAsia="zh-CN"/>
        </w:rPr>
        <w:t xml:space="preserve"> consistent application.</w:t>
      </w:r>
    </w:p>
    <w:p w14:paraId="4FA2032F" w14:textId="11D28584" w:rsidR="003C0F36" w:rsidRPr="00EB623E" w:rsidRDefault="00F80EE9" w:rsidP="00034B9B">
      <w:pPr>
        <w:pStyle w:val="enumlev1"/>
        <w:jc w:val="both"/>
        <w:rPr>
          <w:szCs w:val="24"/>
          <w:lang w:eastAsia="zh-CN"/>
        </w:rPr>
      </w:pPr>
      <w:r w:rsidRPr="00F80EE9">
        <w:rPr>
          <w:lang w:eastAsia="zh-CN"/>
        </w:rPr>
        <w:t>–</w:t>
      </w:r>
      <w:r w:rsidRPr="00F80EE9">
        <w:rPr>
          <w:lang w:eastAsia="zh-CN"/>
        </w:rPr>
        <w:tab/>
      </w:r>
      <w:r w:rsidR="003C0F36" w:rsidRPr="00EB623E">
        <w:rPr>
          <w:b/>
          <w:bCs/>
          <w:szCs w:val="24"/>
          <w:lang w:eastAsia="zh-CN"/>
        </w:rPr>
        <w:t>Develop and maintain a staffing table</w:t>
      </w:r>
      <w:r w:rsidR="003C0F36" w:rsidRPr="00EB623E">
        <w:rPr>
          <w:szCs w:val="24"/>
          <w:lang w:eastAsia="zh-CN"/>
        </w:rPr>
        <w:t xml:space="preserve"> to enhance workforce visibility and drive strategic workforce planning, resource </w:t>
      </w:r>
      <w:r w:rsidR="003C0F36" w:rsidRPr="00034B9B">
        <w:rPr>
          <w:lang w:eastAsia="zh-CN"/>
        </w:rPr>
        <w:t>optimization</w:t>
      </w:r>
      <w:r w:rsidR="003C0F36" w:rsidRPr="00EB623E">
        <w:rPr>
          <w:szCs w:val="24"/>
          <w:lang w:eastAsia="zh-CN"/>
        </w:rPr>
        <w:t>, and organizational realignment, ensuring real-time transparency on staffing trends.</w:t>
      </w:r>
    </w:p>
    <w:p w14:paraId="1561043C" w14:textId="194C6826" w:rsidR="003C0F36" w:rsidRPr="00EB623E" w:rsidRDefault="00F80EE9" w:rsidP="00034B9B">
      <w:pPr>
        <w:pStyle w:val="enumlev1"/>
        <w:jc w:val="both"/>
        <w:rPr>
          <w:szCs w:val="24"/>
          <w:lang w:eastAsia="zh-CN"/>
        </w:rPr>
      </w:pPr>
      <w:r w:rsidRPr="00F80EE9">
        <w:rPr>
          <w:lang w:eastAsia="zh-CN"/>
        </w:rPr>
        <w:t>–</w:t>
      </w:r>
      <w:r w:rsidRPr="00F80EE9">
        <w:rPr>
          <w:lang w:eastAsia="zh-CN"/>
        </w:rPr>
        <w:tab/>
      </w:r>
      <w:r w:rsidR="003C0F36" w:rsidRPr="00EB623E">
        <w:rPr>
          <w:b/>
          <w:bCs/>
          <w:szCs w:val="24"/>
          <w:lang w:eastAsia="zh-CN"/>
        </w:rPr>
        <w:t>Establish a robust contractual framework</w:t>
      </w:r>
      <w:r w:rsidR="003C0F36" w:rsidRPr="00EB623E">
        <w:rPr>
          <w:szCs w:val="24"/>
          <w:lang w:eastAsia="zh-CN"/>
        </w:rPr>
        <w:t xml:space="preserve"> to clarify contract modalities and related governance, enabling consistent, </w:t>
      </w:r>
      <w:r w:rsidR="003C0F36" w:rsidRPr="00034B9B">
        <w:rPr>
          <w:lang w:eastAsia="zh-CN"/>
        </w:rPr>
        <w:t>compliant</w:t>
      </w:r>
      <w:r w:rsidR="003C0F36" w:rsidRPr="00EB623E">
        <w:rPr>
          <w:szCs w:val="24"/>
          <w:lang w:eastAsia="zh-CN"/>
        </w:rPr>
        <w:t xml:space="preserve"> and efficient use of contractual arrangements.</w:t>
      </w:r>
    </w:p>
    <w:p w14:paraId="45EC2353" w14:textId="4CBB05CC" w:rsidR="003C0F36" w:rsidRPr="00EB623E" w:rsidRDefault="00F80EE9" w:rsidP="00034B9B">
      <w:pPr>
        <w:pStyle w:val="enumlev1"/>
        <w:jc w:val="both"/>
        <w:rPr>
          <w:szCs w:val="24"/>
          <w:lang w:eastAsia="zh-CN"/>
        </w:rPr>
      </w:pPr>
      <w:r w:rsidRPr="00F80EE9">
        <w:rPr>
          <w:lang w:eastAsia="zh-CN"/>
        </w:rPr>
        <w:t>–</w:t>
      </w:r>
      <w:r w:rsidRPr="00F80EE9">
        <w:rPr>
          <w:lang w:eastAsia="zh-CN"/>
        </w:rPr>
        <w:tab/>
      </w:r>
      <w:r w:rsidR="003C0F36" w:rsidRPr="00EB623E">
        <w:rPr>
          <w:b/>
          <w:bCs/>
          <w:szCs w:val="24"/>
          <w:lang w:eastAsia="zh-CN"/>
        </w:rPr>
        <w:t>Develop the Delegation of Authority (</w:t>
      </w:r>
      <w:proofErr w:type="spellStart"/>
      <w:r w:rsidR="003C0F36" w:rsidRPr="00EB623E">
        <w:rPr>
          <w:b/>
          <w:bCs/>
          <w:szCs w:val="24"/>
          <w:lang w:eastAsia="zh-CN"/>
        </w:rPr>
        <w:t>DoA</w:t>
      </w:r>
      <w:proofErr w:type="spellEnd"/>
      <w:r w:rsidR="003C0F36" w:rsidRPr="00EB623E">
        <w:rPr>
          <w:b/>
          <w:bCs/>
          <w:szCs w:val="24"/>
          <w:lang w:eastAsia="zh-CN"/>
        </w:rPr>
        <w:t xml:space="preserve">) framework </w:t>
      </w:r>
      <w:r w:rsidR="003C0F36" w:rsidRPr="00EB623E">
        <w:rPr>
          <w:szCs w:val="24"/>
          <w:lang w:eastAsia="zh-CN"/>
        </w:rPr>
        <w:t xml:space="preserve">to enhance operational agility, strengthen accountability, and </w:t>
      </w:r>
      <w:r w:rsidR="003C0F36" w:rsidRPr="00034B9B">
        <w:rPr>
          <w:lang w:eastAsia="zh-CN"/>
        </w:rPr>
        <w:t>streamline</w:t>
      </w:r>
      <w:r w:rsidR="003C0F36" w:rsidRPr="00EB623E">
        <w:rPr>
          <w:szCs w:val="24"/>
          <w:lang w:eastAsia="zh-CN"/>
        </w:rPr>
        <w:t xml:space="preserve"> decision-making across the Union.</w:t>
      </w:r>
    </w:p>
    <w:p w14:paraId="0F140378" w14:textId="06A5627E" w:rsidR="003C0F36" w:rsidRPr="00EB623E" w:rsidRDefault="00F80EE9" w:rsidP="00034B9B">
      <w:pPr>
        <w:pStyle w:val="enumlev1"/>
        <w:jc w:val="both"/>
        <w:rPr>
          <w:szCs w:val="24"/>
          <w:lang w:eastAsia="zh-CN"/>
        </w:rPr>
      </w:pPr>
      <w:r w:rsidRPr="00F80EE9">
        <w:rPr>
          <w:lang w:eastAsia="zh-CN"/>
        </w:rPr>
        <w:lastRenderedPageBreak/>
        <w:t>–</w:t>
      </w:r>
      <w:r w:rsidRPr="00F80EE9">
        <w:rPr>
          <w:lang w:eastAsia="zh-CN"/>
        </w:rPr>
        <w:tab/>
      </w:r>
      <w:r w:rsidR="003C0F36" w:rsidRPr="00EB623E">
        <w:rPr>
          <w:b/>
          <w:bCs/>
          <w:szCs w:val="24"/>
          <w:lang w:eastAsia="zh-CN"/>
        </w:rPr>
        <w:t>Streamline, simplify and automate HR processes</w:t>
      </w:r>
      <w:r w:rsidR="003C0F36" w:rsidRPr="00EB623E">
        <w:rPr>
          <w:szCs w:val="24"/>
          <w:lang w:eastAsia="zh-CN"/>
        </w:rPr>
        <w:t xml:space="preserve"> through standard operating procedures (SOPs) for key processes, SAP-HR enhancements and targeted HR technology investments to </w:t>
      </w:r>
      <w:r w:rsidR="003C0F36" w:rsidRPr="00034B9B">
        <w:rPr>
          <w:lang w:eastAsia="zh-CN"/>
        </w:rPr>
        <w:t>improve</w:t>
      </w:r>
      <w:r w:rsidR="003C0F36" w:rsidRPr="00EB623E">
        <w:rPr>
          <w:szCs w:val="24"/>
          <w:lang w:eastAsia="zh-CN"/>
        </w:rPr>
        <w:t xml:space="preserve"> efficiency and service delivery.</w:t>
      </w:r>
    </w:p>
    <w:p w14:paraId="0DD5BDAE" w14:textId="48C31000" w:rsidR="003C0F36" w:rsidRPr="00EB623E" w:rsidRDefault="00F80EE9" w:rsidP="00034B9B">
      <w:pPr>
        <w:pStyle w:val="enumlev1"/>
        <w:jc w:val="both"/>
        <w:rPr>
          <w:szCs w:val="24"/>
          <w:lang w:eastAsia="zh-CN"/>
        </w:rPr>
      </w:pPr>
      <w:r w:rsidRPr="00F80EE9">
        <w:rPr>
          <w:lang w:eastAsia="zh-CN"/>
        </w:rPr>
        <w:t>–</w:t>
      </w:r>
      <w:r w:rsidRPr="00F80EE9">
        <w:rPr>
          <w:lang w:eastAsia="zh-CN"/>
        </w:rPr>
        <w:tab/>
      </w:r>
      <w:r w:rsidR="003C0F36" w:rsidRPr="00EB623E">
        <w:rPr>
          <w:b/>
          <w:bCs/>
          <w:szCs w:val="24"/>
          <w:lang w:eastAsia="zh-CN"/>
        </w:rPr>
        <w:t xml:space="preserve">Strengthen the staff relations’ function </w:t>
      </w:r>
      <w:r w:rsidR="003C0F36" w:rsidRPr="00EB623E">
        <w:rPr>
          <w:szCs w:val="24"/>
          <w:lang w:eastAsia="zh-CN"/>
        </w:rPr>
        <w:t xml:space="preserve">through continued regular engagement with the Staff Council and </w:t>
      </w:r>
      <w:r w:rsidR="003C0F36" w:rsidRPr="00034B9B">
        <w:rPr>
          <w:lang w:eastAsia="zh-CN"/>
        </w:rPr>
        <w:t>strengthened</w:t>
      </w:r>
      <w:r w:rsidR="003C0F36" w:rsidRPr="00EB623E">
        <w:rPr>
          <w:szCs w:val="24"/>
          <w:lang w:eastAsia="zh-CN"/>
        </w:rPr>
        <w:t xml:space="preserve"> coordination with regional offices, reinforcing procedural fairness and mitigating people-related risks across the Union.</w:t>
      </w:r>
    </w:p>
    <w:p w14:paraId="5BDA80B2" w14:textId="22D95618" w:rsidR="003C0F36" w:rsidRPr="00EB623E" w:rsidRDefault="00F80EE9" w:rsidP="00034B9B">
      <w:pPr>
        <w:pStyle w:val="enumlev1"/>
        <w:jc w:val="both"/>
        <w:rPr>
          <w:szCs w:val="24"/>
          <w:lang w:eastAsia="zh-CN"/>
        </w:rPr>
      </w:pPr>
      <w:r w:rsidRPr="00F80EE9">
        <w:rPr>
          <w:lang w:eastAsia="zh-CN"/>
        </w:rPr>
        <w:t>–</w:t>
      </w:r>
      <w:r w:rsidRPr="00F80EE9">
        <w:rPr>
          <w:lang w:eastAsia="zh-CN"/>
        </w:rPr>
        <w:tab/>
      </w:r>
      <w:r w:rsidR="003C0F36" w:rsidRPr="00EB623E">
        <w:rPr>
          <w:b/>
          <w:bCs/>
          <w:szCs w:val="24"/>
          <w:lang w:eastAsia="zh-CN"/>
        </w:rPr>
        <w:t>Deliver health insurance, pension and related administrative services</w:t>
      </w:r>
      <w:r w:rsidR="003C0F36" w:rsidRPr="00EB623E">
        <w:rPr>
          <w:szCs w:val="24"/>
          <w:lang w:eastAsia="zh-CN"/>
        </w:rPr>
        <w:t xml:space="preserve"> organization-wide—including regional offices—under consistent rules, processes and service standards. Furthermore, provide dedicated support to regional offices through medical emergency sessions, offering practical guidance on procedures and support channels.</w:t>
      </w:r>
    </w:p>
    <w:p w14:paraId="68880740" w14:textId="151323F6" w:rsidR="003C0F36" w:rsidRPr="00EB623E" w:rsidRDefault="00F80EE9" w:rsidP="00034B9B">
      <w:pPr>
        <w:pStyle w:val="enumlev1"/>
        <w:jc w:val="both"/>
        <w:rPr>
          <w:szCs w:val="24"/>
          <w:lang w:eastAsia="zh-CN"/>
        </w:rPr>
      </w:pPr>
      <w:r w:rsidRPr="00F80EE9">
        <w:rPr>
          <w:lang w:eastAsia="zh-CN"/>
        </w:rPr>
        <w:t>–</w:t>
      </w:r>
      <w:r w:rsidRPr="00F80EE9">
        <w:rPr>
          <w:lang w:eastAsia="zh-CN"/>
        </w:rPr>
        <w:tab/>
      </w:r>
      <w:r w:rsidR="003C0F36" w:rsidRPr="00EB623E">
        <w:rPr>
          <w:b/>
          <w:bCs/>
          <w:szCs w:val="24"/>
          <w:lang w:eastAsia="zh-CN"/>
        </w:rPr>
        <w:t>Strengthen HR data and analytics capabilities</w:t>
      </w:r>
      <w:r w:rsidR="003C0F36" w:rsidRPr="00EB623E">
        <w:rPr>
          <w:szCs w:val="24"/>
          <w:lang w:eastAsia="zh-CN"/>
        </w:rPr>
        <w:t xml:space="preserve"> by establishing reliable and consolidated HR data sources, expanding business intelligence and moving towards </w:t>
      </w:r>
      <w:r w:rsidR="003C0F36" w:rsidRPr="00034B9B">
        <w:rPr>
          <w:lang w:eastAsia="zh-CN"/>
        </w:rPr>
        <w:t>predictive</w:t>
      </w:r>
      <w:r w:rsidR="003C0F36" w:rsidRPr="00EB623E">
        <w:rPr>
          <w:szCs w:val="24"/>
          <w:lang w:eastAsia="zh-CN"/>
        </w:rPr>
        <w:t xml:space="preserve"> analytics to support planning, reporting and decision-making. </w:t>
      </w:r>
      <w:r w:rsidR="003C0F36" w:rsidRPr="00EB623E">
        <w:rPr>
          <w:b/>
          <w:bCs/>
          <w:szCs w:val="24"/>
          <w:lang w:eastAsia="zh-CN"/>
        </w:rPr>
        <w:t>Assess and pilot AI-enabled HR solutions</w:t>
      </w:r>
      <w:r w:rsidR="003C0F36" w:rsidRPr="00EB623E">
        <w:rPr>
          <w:szCs w:val="24"/>
          <w:lang w:eastAsia="zh-CN"/>
        </w:rPr>
        <w:t>, engaging internally and inter-organizationally to validate effectiveness, share best practices, and address potential risks.</w:t>
      </w:r>
    </w:p>
    <w:p w14:paraId="458B133E" w14:textId="4C6ED9F0" w:rsidR="003C0F36" w:rsidRPr="00EB623E" w:rsidRDefault="00281248" w:rsidP="00034B9B">
      <w:pPr>
        <w:pStyle w:val="Heading1"/>
        <w:rPr>
          <w:lang w:eastAsia="zh-CN"/>
        </w:rPr>
      </w:pPr>
      <w:r w:rsidRPr="00EB623E">
        <w:rPr>
          <w:lang w:eastAsia="zh-CN"/>
        </w:rPr>
        <w:t>4</w:t>
      </w:r>
      <w:r w:rsidRPr="00EB623E">
        <w:rPr>
          <w:lang w:eastAsia="zh-CN"/>
        </w:rPr>
        <w:tab/>
      </w:r>
      <w:r w:rsidR="003C0F36" w:rsidRPr="00EB623E">
        <w:t xml:space="preserve">Implementation </w:t>
      </w:r>
      <w:r w:rsidR="00034B9B">
        <w:t xml:space="preserve">and </w:t>
      </w:r>
      <w:r w:rsidR="00034B9B" w:rsidRPr="00EB623E">
        <w:t>governance</w:t>
      </w:r>
    </w:p>
    <w:p w14:paraId="036E0812" w14:textId="21C23743" w:rsidR="003C0F36" w:rsidRPr="00EB623E" w:rsidRDefault="003C0F36">
      <w:pPr>
        <w:jc w:val="both"/>
        <w:rPr>
          <w:lang w:eastAsia="zh-CN"/>
        </w:rPr>
      </w:pPr>
      <w:r w:rsidRPr="00EB623E">
        <w:rPr>
          <w:lang w:eastAsia="zh-CN"/>
        </w:rPr>
        <w:t>The HRSP 2026</w:t>
      </w:r>
      <w:r w:rsidR="00F80EE9">
        <w:rPr>
          <w:lang w:eastAsia="zh-CN"/>
        </w:rPr>
        <w:t>-</w:t>
      </w:r>
      <w:r w:rsidRPr="00EB623E">
        <w:rPr>
          <w:lang w:eastAsia="zh-CN"/>
        </w:rPr>
        <w:t>2027 will be operationalized through an annual HRMD workplan, setting out deliverables, lead teams and timeframes, and implemented in close collaboration and continuous dialogue with leadership, managers and staff across the Union. A strengthened accountability framework will clarify roles, responsibilities and decisions, supporting consistent implementation and timely decision-making. Delivery will reinforce a strong client-service culture, with clear service standards, practical guidance for managers and continuous feedback to improve the user experience.</w:t>
      </w:r>
    </w:p>
    <w:p w14:paraId="2F384626" w14:textId="3F82EFA0" w:rsidR="003C0F36" w:rsidRPr="00EB623E" w:rsidRDefault="003C0F36">
      <w:pPr>
        <w:jc w:val="both"/>
        <w:rPr>
          <w:lang w:eastAsia="zh-CN"/>
        </w:rPr>
      </w:pPr>
      <w:r w:rsidRPr="00EB623E">
        <w:rPr>
          <w:lang w:eastAsia="zh-CN"/>
        </w:rPr>
        <w:t>An implementation roadmap (</w:t>
      </w:r>
      <w:r w:rsidR="00F80EE9">
        <w:rPr>
          <w:lang w:eastAsia="zh-CN"/>
        </w:rPr>
        <w:t xml:space="preserve">see </w:t>
      </w:r>
      <w:hyperlink w:anchor="Annex1" w:history="1">
        <w:r w:rsidRPr="00F80EE9">
          <w:rPr>
            <w:rStyle w:val="Hyperlink"/>
            <w:rFonts w:hint="eastAsia"/>
            <w:lang w:eastAsia="zh-CN"/>
          </w:rPr>
          <w:t>Annex</w:t>
        </w:r>
      </w:hyperlink>
      <w:r w:rsidRPr="00EB623E">
        <w:rPr>
          <w:lang w:eastAsia="zh-CN"/>
        </w:rPr>
        <w:t>) will provide further detail, including milestones, indicators and an indicative timetable, and will be used to manage sequencing, dependencies and key risks across initiatives.</w:t>
      </w:r>
      <w:r w:rsidRPr="00EB623E">
        <w:t xml:space="preserve"> </w:t>
      </w:r>
      <w:r w:rsidRPr="00EB623E">
        <w:rPr>
          <w:lang w:eastAsia="zh-CN"/>
        </w:rPr>
        <w:t>The results and data gathered will serve as a foundational baseline to inform the next strategic planning cycle and enable the development of updated performance indicators and targets.</w:t>
      </w:r>
    </w:p>
    <w:p w14:paraId="1CE7EEB5" w14:textId="77777777" w:rsidR="003C0F36" w:rsidRPr="00EB623E" w:rsidRDefault="003C0F36">
      <w:pPr>
        <w:jc w:val="both"/>
        <w:rPr>
          <w:lang w:eastAsia="zh-CN"/>
        </w:rPr>
      </w:pPr>
      <w:r w:rsidRPr="00EB623E">
        <w:rPr>
          <w:lang w:eastAsia="zh-CN"/>
        </w:rPr>
        <w:t>Progress and key issues will be communicated through established governance channels, including regular reporting to Council, IMAC, and through Town Hall meetings with all staff. Where needed, implementation priorities will be adjusted based on delivery progress, emerging risks and feedback from managers and staff.</w:t>
      </w:r>
    </w:p>
    <w:p w14:paraId="08BD5380" w14:textId="373E1166" w:rsidR="003C0F36" w:rsidRPr="00EB623E" w:rsidRDefault="00281248" w:rsidP="00034B9B">
      <w:pPr>
        <w:pStyle w:val="Heading1"/>
        <w:rPr>
          <w:lang w:eastAsia="zh-CN"/>
        </w:rPr>
      </w:pPr>
      <w:r w:rsidRPr="00EB623E">
        <w:rPr>
          <w:lang w:eastAsia="zh-CN"/>
        </w:rPr>
        <w:t>5</w:t>
      </w:r>
      <w:r w:rsidRPr="00EB623E">
        <w:rPr>
          <w:lang w:eastAsia="zh-CN"/>
        </w:rPr>
        <w:tab/>
      </w:r>
      <w:r w:rsidR="003C0F36" w:rsidRPr="00EB623E">
        <w:t xml:space="preserve">Monitoring </w:t>
      </w:r>
      <w:r w:rsidR="00034B9B">
        <w:t xml:space="preserve">and </w:t>
      </w:r>
      <w:r w:rsidR="00034B9B" w:rsidRPr="00EB623E">
        <w:t>indicators</w:t>
      </w:r>
    </w:p>
    <w:p w14:paraId="6238FC63" w14:textId="66D88B89" w:rsidR="003C0F36" w:rsidRPr="00EB623E" w:rsidRDefault="003C0F36">
      <w:pPr>
        <w:jc w:val="both"/>
        <w:rPr>
          <w:lang w:eastAsia="zh-CN"/>
        </w:rPr>
      </w:pPr>
      <w:r w:rsidRPr="00EB623E">
        <w:rPr>
          <w:lang w:eastAsia="zh-CN"/>
        </w:rPr>
        <w:t>Progress in implementing the HRSP 2026</w:t>
      </w:r>
      <w:r w:rsidR="002453CF">
        <w:rPr>
          <w:lang w:eastAsia="zh-CN"/>
        </w:rPr>
        <w:t>-</w:t>
      </w:r>
      <w:r w:rsidRPr="00EB623E">
        <w:rPr>
          <w:lang w:eastAsia="zh-CN"/>
        </w:rPr>
        <w:t>2027 will be monitored through the annual HRMD workplan tables, which will track key activities, lead teams and deadlines. Delivery status will be reviewed regularly to ensure timely delivery, enable escalation of risks and corrective action where required.</w:t>
      </w:r>
    </w:p>
    <w:p w14:paraId="3F374638" w14:textId="77777777" w:rsidR="003C0F36" w:rsidRPr="00EB623E" w:rsidRDefault="003C0F36">
      <w:pPr>
        <w:jc w:val="both"/>
        <w:rPr>
          <w:lang w:eastAsia="zh-CN"/>
        </w:rPr>
      </w:pPr>
      <w:r w:rsidRPr="00EB623E">
        <w:rPr>
          <w:lang w:eastAsia="zh-CN"/>
        </w:rPr>
        <w:t>Monitoring will also include targeted compliance checks covering performance management processes and mandatory training obligations. Where relevant, implementation monitoring will be complemented by enhanced use of dashboards to provide real-time insights into workforce trends (e.g. gender parity and geographical distribution). Results from monitoring will be used to inform the next planning cycle, ensuring continuous improvement.</w:t>
      </w:r>
    </w:p>
    <w:p w14:paraId="468DAD88" w14:textId="77777777" w:rsidR="003C0F36" w:rsidRPr="00EB623E" w:rsidRDefault="003C0F36">
      <w:pPr>
        <w:jc w:val="both"/>
        <w:rPr>
          <w:lang w:eastAsia="zh-CN"/>
        </w:rPr>
      </w:pPr>
      <w:r w:rsidRPr="00EB623E">
        <w:rPr>
          <w:lang w:eastAsia="zh-CN"/>
        </w:rPr>
        <w:lastRenderedPageBreak/>
        <w:t>Staff experience and wellbeing will be monitored through employee engagement surveys and follow-up action plans, complemented by medical and leave statistics and other available data to identify trends.</w:t>
      </w:r>
    </w:p>
    <w:p w14:paraId="471F5493" w14:textId="7361EB9A" w:rsidR="003C0F36" w:rsidRPr="00E43561" w:rsidRDefault="003C0F36" w:rsidP="00E43561">
      <w:pPr>
        <w:pStyle w:val="Normalaftertitle"/>
        <w:spacing w:before="840"/>
        <w:rPr>
          <w:i/>
          <w:iCs/>
          <w:lang w:eastAsia="zh-CN"/>
        </w:rPr>
        <w:sectPr w:rsidR="003C0F36" w:rsidRPr="00E43561" w:rsidSect="003C0F36">
          <w:footerReference w:type="default" r:id="rId14"/>
          <w:headerReference w:type="first" r:id="rId15"/>
          <w:footerReference w:type="first" r:id="rId16"/>
          <w:pgSz w:w="11907" w:h="16834"/>
          <w:pgMar w:top="1134" w:right="1418" w:bottom="1134" w:left="1418" w:header="720" w:footer="720" w:gutter="0"/>
          <w:paperSrc w:first="286" w:other="286"/>
          <w:cols w:space="720"/>
          <w:titlePg/>
        </w:sectPr>
      </w:pPr>
      <w:r w:rsidRPr="00E43561">
        <w:rPr>
          <w:b/>
          <w:bCs/>
          <w:i/>
          <w:iCs/>
          <w:lang w:eastAsia="zh-CN"/>
        </w:rPr>
        <w:t>Annex</w:t>
      </w:r>
      <w:r w:rsidR="00034B9B" w:rsidRPr="00E43561">
        <w:rPr>
          <w:b/>
          <w:bCs/>
          <w:i/>
          <w:iCs/>
          <w:lang w:eastAsia="zh-CN"/>
        </w:rPr>
        <w:t>:</w:t>
      </w:r>
      <w:r w:rsidRPr="00E43561">
        <w:rPr>
          <w:i/>
          <w:iCs/>
          <w:lang w:eastAsia="zh-CN"/>
        </w:rPr>
        <w:t xml:space="preserve"> </w:t>
      </w:r>
      <w:r w:rsidR="00034B9B" w:rsidRPr="00E43561">
        <w:rPr>
          <w:i/>
          <w:iCs/>
          <w:lang w:eastAsia="zh-CN"/>
        </w:rPr>
        <w:t>1</w:t>
      </w:r>
    </w:p>
    <w:p w14:paraId="17FC5F66" w14:textId="43FBC8E7" w:rsidR="003C0F36" w:rsidRPr="00EB623E" w:rsidRDefault="003C0F36">
      <w:pPr>
        <w:pStyle w:val="AnnexNo"/>
        <w:spacing w:before="0"/>
      </w:pPr>
      <w:bookmarkStart w:id="11" w:name="Annex1"/>
      <w:bookmarkEnd w:id="11"/>
      <w:r w:rsidRPr="00EB623E">
        <w:lastRenderedPageBreak/>
        <w:t>Annex</w:t>
      </w:r>
    </w:p>
    <w:p w14:paraId="47E49748" w14:textId="71D0483F" w:rsidR="003C0F36" w:rsidRPr="00EB623E" w:rsidRDefault="003C0F36">
      <w:pPr>
        <w:pStyle w:val="Annextitle"/>
        <w:spacing w:after="120"/>
        <w:rPr>
          <w:lang w:eastAsia="zh-CN"/>
        </w:rPr>
      </w:pPr>
      <w:r w:rsidRPr="00EB623E">
        <w:rPr>
          <w:bCs/>
        </w:rPr>
        <w:t xml:space="preserve">Implementation </w:t>
      </w:r>
      <w:r w:rsidR="00F80EE9" w:rsidRPr="00EB623E">
        <w:rPr>
          <w:bCs/>
        </w:rPr>
        <w:t xml:space="preserve">roadmap </w:t>
      </w:r>
      <w:r w:rsidRPr="00EB623E">
        <w:rPr>
          <w:bCs/>
        </w:rPr>
        <w:t>for the ITU HRSP 2026–2027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788"/>
        <w:gridCol w:w="3435"/>
        <w:gridCol w:w="5153"/>
        <w:gridCol w:w="1656"/>
        <w:gridCol w:w="1382"/>
      </w:tblGrid>
      <w:tr w:rsidR="003C0F36" w:rsidRPr="007B7E5B" w14:paraId="34530E7D" w14:textId="77777777" w:rsidTr="0CE3B669">
        <w:trPr>
          <w:cantSplit/>
          <w:tblHeader/>
          <w:jc w:val="center"/>
        </w:trPr>
        <w:tc>
          <w:tcPr>
            <w:tcW w:w="844" w:type="pct"/>
            <w:gridSpan w:val="2"/>
            <w:tcBorders>
              <w:bottom w:val="single" w:sz="4" w:space="0" w:color="auto"/>
            </w:tcBorders>
            <w:shd w:val="clear" w:color="auto" w:fill="D9D9D9" w:themeFill="background1" w:themeFillShade="D9"/>
            <w:vAlign w:val="center"/>
          </w:tcPr>
          <w:p w14:paraId="560D35FF" w14:textId="0DA39C51" w:rsidR="003C0F36" w:rsidRPr="007B7E5B" w:rsidRDefault="003C0F36" w:rsidP="007B7E5B">
            <w:pPr>
              <w:pStyle w:val="Tablehead"/>
              <w:rPr>
                <w:sz w:val="16"/>
                <w:szCs w:val="16"/>
                <w:lang w:eastAsia="zh-CN"/>
              </w:rPr>
            </w:pPr>
            <w:r w:rsidRPr="007B7E5B">
              <w:rPr>
                <w:sz w:val="16"/>
                <w:szCs w:val="16"/>
                <w:lang w:eastAsia="zh-CN"/>
              </w:rPr>
              <w:t>A.</w:t>
            </w:r>
            <w:r w:rsidRPr="007B7E5B">
              <w:rPr>
                <w:rFonts w:eastAsia="DengXian"/>
                <w:sz w:val="16"/>
                <w:szCs w:val="16"/>
                <w:lang w:eastAsia="zh-CN"/>
              </w:rPr>
              <w:t xml:space="preserve"> </w:t>
            </w:r>
            <w:r w:rsidR="007B7E5B" w:rsidRPr="007B7E5B">
              <w:rPr>
                <w:rFonts w:eastAsia="DengXian"/>
                <w:sz w:val="16"/>
                <w:szCs w:val="16"/>
                <w:lang w:eastAsia="zh-CN"/>
              </w:rPr>
              <w:br/>
            </w:r>
            <w:r w:rsidRPr="007B7E5B">
              <w:rPr>
                <w:sz w:val="16"/>
                <w:szCs w:val="16"/>
                <w:lang w:eastAsia="zh-CN"/>
              </w:rPr>
              <w:t>Pillar no. and item</w:t>
            </w:r>
          </w:p>
        </w:tc>
        <w:tc>
          <w:tcPr>
            <w:tcW w:w="1228" w:type="pct"/>
            <w:tcBorders>
              <w:bottom w:val="single" w:sz="4" w:space="0" w:color="auto"/>
            </w:tcBorders>
            <w:shd w:val="clear" w:color="auto" w:fill="D9D9D9" w:themeFill="background1" w:themeFillShade="D9"/>
            <w:vAlign w:val="center"/>
          </w:tcPr>
          <w:p w14:paraId="6B5AD4B3" w14:textId="0E3D25AF" w:rsidR="003C0F36" w:rsidRPr="007B7E5B" w:rsidRDefault="003C0F36" w:rsidP="007B7E5B">
            <w:pPr>
              <w:pStyle w:val="Tablehead"/>
              <w:rPr>
                <w:rFonts w:eastAsia="DengXian"/>
                <w:sz w:val="16"/>
                <w:szCs w:val="16"/>
                <w:lang w:eastAsia="zh-CN"/>
              </w:rPr>
            </w:pPr>
            <w:r w:rsidRPr="007B7E5B">
              <w:rPr>
                <w:sz w:val="16"/>
                <w:szCs w:val="16"/>
              </w:rPr>
              <w:t>B.</w:t>
            </w:r>
            <w:r w:rsidRPr="007B7E5B">
              <w:rPr>
                <w:rFonts w:eastAsia="DengXian"/>
                <w:sz w:val="16"/>
                <w:szCs w:val="16"/>
                <w:lang w:eastAsia="zh-CN"/>
              </w:rPr>
              <w:t xml:space="preserve"> </w:t>
            </w:r>
            <w:r w:rsidR="007B7E5B" w:rsidRPr="007B7E5B">
              <w:rPr>
                <w:rFonts w:eastAsia="DengXian"/>
                <w:sz w:val="16"/>
                <w:szCs w:val="16"/>
                <w:lang w:eastAsia="zh-CN"/>
              </w:rPr>
              <w:br/>
            </w:r>
            <w:r w:rsidRPr="007B7E5B">
              <w:rPr>
                <w:rFonts w:eastAsia="DengXian"/>
                <w:sz w:val="16"/>
                <w:szCs w:val="16"/>
                <w:lang w:eastAsia="zh-CN"/>
              </w:rPr>
              <w:t xml:space="preserve">Key </w:t>
            </w:r>
            <w:r w:rsidR="007B7E5B" w:rsidRPr="007B7E5B">
              <w:rPr>
                <w:rFonts w:eastAsia="DengXian"/>
                <w:sz w:val="16"/>
                <w:szCs w:val="16"/>
                <w:lang w:eastAsia="zh-CN"/>
              </w:rPr>
              <w:t>initiatives</w:t>
            </w:r>
          </w:p>
        </w:tc>
        <w:tc>
          <w:tcPr>
            <w:tcW w:w="1842" w:type="pct"/>
            <w:tcBorders>
              <w:bottom w:val="single" w:sz="4" w:space="0" w:color="auto"/>
            </w:tcBorders>
            <w:shd w:val="clear" w:color="auto" w:fill="D9D9D9" w:themeFill="background1" w:themeFillShade="D9"/>
            <w:vAlign w:val="center"/>
          </w:tcPr>
          <w:p w14:paraId="631BED90" w14:textId="5B1A14A8" w:rsidR="003C0F36" w:rsidRPr="007B7E5B" w:rsidRDefault="003C0F36" w:rsidP="007B7E5B">
            <w:pPr>
              <w:pStyle w:val="Tablehead"/>
              <w:rPr>
                <w:sz w:val="16"/>
                <w:szCs w:val="16"/>
              </w:rPr>
            </w:pPr>
            <w:r w:rsidRPr="007B7E5B">
              <w:rPr>
                <w:sz w:val="16"/>
                <w:szCs w:val="16"/>
              </w:rPr>
              <w:t>C.</w:t>
            </w:r>
            <w:r w:rsidRPr="007B7E5B">
              <w:rPr>
                <w:rFonts w:eastAsia="DengXian"/>
                <w:sz w:val="16"/>
                <w:szCs w:val="16"/>
                <w:lang w:eastAsia="zh-CN"/>
              </w:rPr>
              <w:t xml:space="preserve"> </w:t>
            </w:r>
            <w:r w:rsidR="007B7E5B" w:rsidRPr="007B7E5B">
              <w:rPr>
                <w:rFonts w:eastAsia="DengXian"/>
                <w:sz w:val="16"/>
                <w:szCs w:val="16"/>
                <w:lang w:eastAsia="zh-CN"/>
              </w:rPr>
              <w:br/>
            </w:r>
            <w:r w:rsidRPr="007B7E5B">
              <w:rPr>
                <w:sz w:val="16"/>
                <w:szCs w:val="16"/>
              </w:rPr>
              <w:t xml:space="preserve">Key </w:t>
            </w:r>
            <w:r w:rsidR="007B7E5B" w:rsidRPr="007B7E5B">
              <w:rPr>
                <w:sz w:val="16"/>
                <w:szCs w:val="16"/>
              </w:rPr>
              <w:t>performance indicators</w:t>
            </w:r>
          </w:p>
        </w:tc>
        <w:tc>
          <w:tcPr>
            <w:tcW w:w="592" w:type="pct"/>
            <w:tcBorders>
              <w:bottom w:val="single" w:sz="4" w:space="0" w:color="auto"/>
            </w:tcBorders>
            <w:shd w:val="clear" w:color="auto" w:fill="D9D9D9" w:themeFill="background1" w:themeFillShade="D9"/>
            <w:vAlign w:val="center"/>
          </w:tcPr>
          <w:p w14:paraId="57F0B0C2" w14:textId="1EE3EE96" w:rsidR="003C0F36" w:rsidRPr="007B7E5B" w:rsidRDefault="003C0F36" w:rsidP="007B7E5B">
            <w:pPr>
              <w:pStyle w:val="Tablehead"/>
              <w:rPr>
                <w:rFonts w:eastAsia="DengXian"/>
                <w:sz w:val="16"/>
                <w:szCs w:val="16"/>
                <w:lang w:eastAsia="zh-CN"/>
              </w:rPr>
            </w:pPr>
            <w:r w:rsidRPr="007B7E5B">
              <w:rPr>
                <w:rFonts w:eastAsia="DengXian"/>
                <w:sz w:val="16"/>
                <w:szCs w:val="16"/>
                <w:lang w:eastAsia="zh-CN"/>
              </w:rPr>
              <w:t xml:space="preserve">E. </w:t>
            </w:r>
            <w:r w:rsidR="007B7E5B" w:rsidRPr="007B7E5B">
              <w:rPr>
                <w:rFonts w:eastAsia="DengXian"/>
                <w:sz w:val="16"/>
                <w:szCs w:val="16"/>
                <w:lang w:eastAsia="zh-CN"/>
              </w:rPr>
              <w:br/>
            </w:r>
            <w:r w:rsidRPr="007B7E5B">
              <w:rPr>
                <w:rFonts w:eastAsia="DengXian"/>
                <w:sz w:val="16"/>
                <w:szCs w:val="16"/>
                <w:lang w:eastAsia="zh-CN"/>
              </w:rPr>
              <w:t>Timelines</w:t>
            </w:r>
          </w:p>
        </w:tc>
        <w:tc>
          <w:tcPr>
            <w:tcW w:w="494" w:type="pct"/>
            <w:tcBorders>
              <w:bottom w:val="single" w:sz="4" w:space="0" w:color="auto"/>
            </w:tcBorders>
            <w:shd w:val="clear" w:color="auto" w:fill="D9D9D9" w:themeFill="background1" w:themeFillShade="D9"/>
            <w:vAlign w:val="center"/>
          </w:tcPr>
          <w:p w14:paraId="405FBFEF" w14:textId="4E77B789" w:rsidR="003C0F36" w:rsidRPr="007B7E5B" w:rsidRDefault="003C0F36" w:rsidP="007B7E5B">
            <w:pPr>
              <w:pStyle w:val="Tablehead"/>
              <w:rPr>
                <w:rFonts w:eastAsia="DengXian"/>
                <w:sz w:val="16"/>
                <w:szCs w:val="16"/>
                <w:lang w:eastAsia="zh-CN"/>
              </w:rPr>
            </w:pPr>
            <w:r w:rsidRPr="007B7E5B">
              <w:rPr>
                <w:rFonts w:eastAsia="DengXian"/>
                <w:sz w:val="16"/>
                <w:szCs w:val="16"/>
                <w:lang w:eastAsia="zh-CN"/>
              </w:rPr>
              <w:t xml:space="preserve">F. </w:t>
            </w:r>
            <w:r w:rsidR="007B7E5B" w:rsidRPr="007B7E5B">
              <w:rPr>
                <w:rFonts w:eastAsia="DengXian"/>
                <w:sz w:val="16"/>
                <w:szCs w:val="16"/>
                <w:lang w:eastAsia="zh-CN"/>
              </w:rPr>
              <w:br/>
            </w:r>
            <w:r w:rsidRPr="007B7E5B">
              <w:rPr>
                <w:rFonts w:eastAsia="DengXian"/>
                <w:sz w:val="16"/>
                <w:szCs w:val="16"/>
                <w:lang w:eastAsia="zh-CN"/>
              </w:rPr>
              <w:t>Status</w:t>
            </w:r>
          </w:p>
        </w:tc>
      </w:tr>
      <w:tr w:rsidR="003C0F36" w:rsidRPr="007B7E5B" w14:paraId="769338B9"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715FA301"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1.1</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7CFD5625" w14:textId="77777777" w:rsidR="003C0F36" w:rsidRPr="007B7E5B" w:rsidRDefault="003C0F36" w:rsidP="00F80EE9">
            <w:pPr>
              <w:pStyle w:val="Tabletext"/>
              <w:rPr>
                <w:sz w:val="16"/>
                <w:szCs w:val="16"/>
                <w:lang w:eastAsia="zh-CN"/>
              </w:rPr>
            </w:pPr>
            <w:r w:rsidRPr="007B7E5B">
              <w:rPr>
                <w:sz w:val="16"/>
                <w:szCs w:val="16"/>
                <w:lang w:eastAsia="zh-CN"/>
              </w:rPr>
              <w:t>Competency framework</w:t>
            </w:r>
          </w:p>
        </w:tc>
        <w:tc>
          <w:tcPr>
            <w:tcW w:w="1228" w:type="pct"/>
            <w:tcBorders>
              <w:left w:val="single" w:sz="4" w:space="0" w:color="auto"/>
            </w:tcBorders>
            <w:shd w:val="clear" w:color="auto" w:fill="DEEAF6"/>
            <w:vAlign w:val="center"/>
          </w:tcPr>
          <w:p w14:paraId="1DDEC227" w14:textId="77777777" w:rsidR="003C0F36" w:rsidRPr="007B7E5B" w:rsidRDefault="003C0F36" w:rsidP="00F80EE9">
            <w:pPr>
              <w:pStyle w:val="Tabletext"/>
              <w:rPr>
                <w:sz w:val="16"/>
                <w:szCs w:val="16"/>
              </w:rPr>
            </w:pPr>
            <w:r w:rsidRPr="007B7E5B">
              <w:rPr>
                <w:sz w:val="16"/>
                <w:szCs w:val="16"/>
              </w:rPr>
              <w:t>Implement an updated competency framework, aligned with shared values, to clarify role expectations and support consistent approaches to selection, performance and development.</w:t>
            </w:r>
          </w:p>
        </w:tc>
        <w:tc>
          <w:tcPr>
            <w:tcW w:w="1842" w:type="pct"/>
            <w:shd w:val="clear" w:color="auto" w:fill="DEEAF6"/>
            <w:vAlign w:val="center"/>
          </w:tcPr>
          <w:p w14:paraId="05CB1DA0" w14:textId="77777777" w:rsidR="003C0F36" w:rsidRPr="007B7E5B" w:rsidRDefault="003C0F36" w:rsidP="00F80EE9">
            <w:pPr>
              <w:pStyle w:val="Tabletext"/>
              <w:rPr>
                <w:rFonts w:eastAsia="DengXian"/>
                <w:sz w:val="16"/>
                <w:szCs w:val="16"/>
                <w:lang w:eastAsia="zh-CN"/>
              </w:rPr>
            </w:pPr>
            <w:r w:rsidRPr="007B7E5B">
              <w:rPr>
                <w:sz w:val="16"/>
                <w:szCs w:val="16"/>
              </w:rPr>
              <w:t xml:space="preserve">• Framework approved and operationalized (qualitative) </w:t>
            </w:r>
          </w:p>
          <w:p w14:paraId="5C3C333A" w14:textId="77777777" w:rsidR="003C0F36" w:rsidRPr="007B7E5B" w:rsidRDefault="003C0F36" w:rsidP="00F80EE9">
            <w:pPr>
              <w:pStyle w:val="Tabletext"/>
              <w:rPr>
                <w:sz w:val="16"/>
                <w:szCs w:val="16"/>
                <w:lang w:eastAsia="zh-CN"/>
              </w:rPr>
            </w:pPr>
          </w:p>
          <w:p w14:paraId="0C862971" w14:textId="77777777" w:rsidR="003C0F36" w:rsidRPr="007B7E5B" w:rsidRDefault="003C0F36" w:rsidP="00F80EE9">
            <w:pPr>
              <w:pStyle w:val="Tabletext"/>
              <w:rPr>
                <w:sz w:val="16"/>
                <w:szCs w:val="16"/>
                <w:lang w:eastAsia="zh-CN"/>
              </w:rPr>
            </w:pPr>
          </w:p>
          <w:p w14:paraId="11F080B6" w14:textId="77777777" w:rsidR="003C0F36" w:rsidRPr="007B7E5B" w:rsidRDefault="003C0F36" w:rsidP="00F80EE9">
            <w:pPr>
              <w:pStyle w:val="Tabletext"/>
              <w:rPr>
                <w:rFonts w:eastAsia="DengXian"/>
                <w:sz w:val="16"/>
                <w:szCs w:val="16"/>
                <w:lang w:eastAsia="zh-CN"/>
              </w:rPr>
            </w:pPr>
            <w:r w:rsidRPr="007B7E5B">
              <w:rPr>
                <w:sz w:val="16"/>
                <w:szCs w:val="16"/>
              </w:rPr>
              <w:t>• % of job profiles/roles mapped to competencies</w:t>
            </w:r>
          </w:p>
          <w:p w14:paraId="5286837C" w14:textId="77777777" w:rsidR="003C0F36" w:rsidRPr="007B7E5B" w:rsidRDefault="003C0F36" w:rsidP="00F80EE9">
            <w:pPr>
              <w:pStyle w:val="Tabletext"/>
              <w:rPr>
                <w:sz w:val="16"/>
                <w:szCs w:val="16"/>
                <w:lang w:eastAsia="zh-CN"/>
              </w:rPr>
            </w:pPr>
            <w:r w:rsidRPr="007B7E5B">
              <w:rPr>
                <w:sz w:val="16"/>
                <w:szCs w:val="16"/>
              </w:rPr>
              <w:t>• % of selection</w:t>
            </w:r>
            <w:r w:rsidRPr="007B7E5B">
              <w:rPr>
                <w:sz w:val="16"/>
                <w:szCs w:val="16"/>
                <w:lang w:eastAsia="zh-CN"/>
              </w:rPr>
              <w:t xml:space="preserve"> </w:t>
            </w:r>
            <w:r w:rsidRPr="007B7E5B">
              <w:rPr>
                <w:sz w:val="16"/>
                <w:szCs w:val="16"/>
              </w:rPr>
              <w:t>templates updated to reflect competencies</w:t>
            </w:r>
          </w:p>
          <w:p w14:paraId="0D6EFCD3" w14:textId="77777777" w:rsidR="003C0F36" w:rsidRPr="007B7E5B" w:rsidRDefault="003C0F36" w:rsidP="00F80EE9">
            <w:pPr>
              <w:pStyle w:val="Tabletext"/>
              <w:rPr>
                <w:sz w:val="16"/>
                <w:szCs w:val="16"/>
                <w:lang w:eastAsia="zh-CN"/>
              </w:rPr>
            </w:pPr>
            <w:r w:rsidRPr="007B7E5B">
              <w:rPr>
                <w:sz w:val="16"/>
                <w:szCs w:val="16"/>
              </w:rPr>
              <w:t>• % of performance templates updated to reflect competencies</w:t>
            </w:r>
          </w:p>
        </w:tc>
        <w:tc>
          <w:tcPr>
            <w:tcW w:w="592" w:type="pct"/>
            <w:shd w:val="clear" w:color="auto" w:fill="DEEAF6"/>
          </w:tcPr>
          <w:p w14:paraId="75E5D6C8" w14:textId="77777777" w:rsidR="003C0F36" w:rsidRPr="007B7E5B" w:rsidRDefault="003C0F36" w:rsidP="00F80EE9">
            <w:pPr>
              <w:pStyle w:val="Tabletext"/>
              <w:rPr>
                <w:sz w:val="16"/>
                <w:szCs w:val="16"/>
                <w:lang w:eastAsia="zh-CN"/>
              </w:rPr>
            </w:pPr>
            <w:r w:rsidRPr="007B7E5B">
              <w:rPr>
                <w:sz w:val="16"/>
                <w:szCs w:val="16"/>
              </w:rPr>
              <w:t>Q3 2026 (approved) and implemented starting Q1 2027</w:t>
            </w:r>
          </w:p>
          <w:p w14:paraId="0D6DB656" w14:textId="77777777" w:rsidR="003C0F36" w:rsidRPr="007B7E5B" w:rsidRDefault="003C0F36" w:rsidP="00F80EE9">
            <w:pPr>
              <w:pStyle w:val="Tabletext"/>
              <w:rPr>
                <w:sz w:val="16"/>
                <w:szCs w:val="16"/>
                <w:lang w:eastAsia="zh-CN"/>
              </w:rPr>
            </w:pPr>
            <w:r w:rsidRPr="007B7E5B">
              <w:rPr>
                <w:sz w:val="16"/>
                <w:szCs w:val="16"/>
                <w:lang w:eastAsia="zh-CN"/>
              </w:rPr>
              <w:t>Q4 2026</w:t>
            </w:r>
          </w:p>
          <w:p w14:paraId="44F8C880" w14:textId="77777777" w:rsidR="003C0F36" w:rsidRPr="007B7E5B" w:rsidRDefault="003C0F36" w:rsidP="00F80EE9">
            <w:pPr>
              <w:pStyle w:val="Tabletext"/>
              <w:rPr>
                <w:sz w:val="16"/>
                <w:szCs w:val="16"/>
                <w:lang w:eastAsia="zh-CN"/>
              </w:rPr>
            </w:pPr>
            <w:r w:rsidRPr="007B7E5B">
              <w:rPr>
                <w:sz w:val="16"/>
                <w:szCs w:val="16"/>
                <w:lang w:eastAsia="zh-CN"/>
              </w:rPr>
              <w:t>Q4 2027</w:t>
            </w:r>
          </w:p>
          <w:p w14:paraId="1730A660" w14:textId="77777777" w:rsidR="003C0F36" w:rsidRPr="007B7E5B" w:rsidRDefault="003C0F36" w:rsidP="00F80EE9">
            <w:pPr>
              <w:pStyle w:val="Tabletext"/>
              <w:rPr>
                <w:sz w:val="16"/>
                <w:szCs w:val="16"/>
              </w:rPr>
            </w:pPr>
            <w:r w:rsidRPr="007B7E5B">
              <w:rPr>
                <w:sz w:val="16"/>
                <w:szCs w:val="16"/>
                <w:lang w:eastAsia="zh-CN"/>
              </w:rPr>
              <w:t>Q4 2027</w:t>
            </w:r>
          </w:p>
        </w:tc>
        <w:tc>
          <w:tcPr>
            <w:tcW w:w="494" w:type="pct"/>
            <w:shd w:val="clear" w:color="auto" w:fill="DEEAF6"/>
            <w:vAlign w:val="center"/>
          </w:tcPr>
          <w:p w14:paraId="406B7C7A" w14:textId="77777777" w:rsidR="003C0F36" w:rsidRPr="007B7E5B" w:rsidRDefault="003C0F36" w:rsidP="00F80EE9">
            <w:pPr>
              <w:pStyle w:val="Tabletext"/>
              <w:rPr>
                <w:rFonts w:eastAsia="DengXian"/>
                <w:sz w:val="16"/>
                <w:szCs w:val="16"/>
                <w:lang w:eastAsia="zh-CN"/>
              </w:rPr>
            </w:pPr>
          </w:p>
        </w:tc>
      </w:tr>
      <w:tr w:rsidR="003C0F36" w:rsidRPr="007B7E5B" w14:paraId="79F6B0B7"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8F3FA56"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1.2</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12D762BA" w14:textId="77777777" w:rsidR="003C0F36" w:rsidRPr="007B7E5B" w:rsidRDefault="003C0F36" w:rsidP="00F80EE9">
            <w:pPr>
              <w:pStyle w:val="Tabletext"/>
              <w:rPr>
                <w:sz w:val="16"/>
                <w:szCs w:val="16"/>
                <w:lang w:eastAsia="zh-CN"/>
              </w:rPr>
            </w:pPr>
            <w:r w:rsidRPr="007B7E5B">
              <w:rPr>
                <w:sz w:val="16"/>
                <w:szCs w:val="16"/>
                <w:lang w:eastAsia="zh-CN"/>
              </w:rPr>
              <w:t>Talent acquisition &amp; recruitment modernization</w:t>
            </w:r>
          </w:p>
        </w:tc>
        <w:tc>
          <w:tcPr>
            <w:tcW w:w="1228" w:type="pct"/>
            <w:tcBorders>
              <w:left w:val="single" w:sz="4" w:space="0" w:color="auto"/>
            </w:tcBorders>
            <w:shd w:val="clear" w:color="auto" w:fill="DEEAF6"/>
            <w:vAlign w:val="center"/>
          </w:tcPr>
          <w:p w14:paraId="6BF336DC" w14:textId="02AA3085" w:rsidR="003C0F36" w:rsidRPr="007B7E5B" w:rsidRDefault="00F510B1" w:rsidP="00F80EE9">
            <w:pPr>
              <w:pStyle w:val="Tabletext"/>
              <w:rPr>
                <w:rFonts w:eastAsia="DengXian"/>
                <w:sz w:val="16"/>
                <w:szCs w:val="16"/>
                <w:lang w:eastAsia="zh-CN"/>
              </w:rPr>
            </w:pPr>
            <w:r w:rsidRPr="00F510B1">
              <w:rPr>
                <w:rFonts w:eastAsia="DengXian"/>
                <w:sz w:val="16"/>
                <w:szCs w:val="16"/>
                <w:lang w:eastAsia="zh-CN"/>
              </w:rPr>
              <w:t>Modernize talent acquisition by optimizing end-to-end processes, strengthening assessment methods, and reinforcing merit-based, fair and transparent recruitment, enabling targeted outreach and a robust talent pipeline in priority and emerging skill areas, while enhancing candidate experience and strengthening ITU’s attractiveness to qualified candidates.</w:t>
            </w:r>
          </w:p>
        </w:tc>
        <w:tc>
          <w:tcPr>
            <w:tcW w:w="1842" w:type="pct"/>
            <w:shd w:val="clear" w:color="auto" w:fill="DEEAF6"/>
            <w:vAlign w:val="center"/>
          </w:tcPr>
          <w:p w14:paraId="6C8C8616"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Average number of eligible applications per post </w:t>
            </w:r>
          </w:p>
          <w:p w14:paraId="6600F70C"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Recruitment cycle time (time-to-hire) </w:t>
            </w:r>
          </w:p>
          <w:p w14:paraId="10A59A0B" w14:textId="77777777" w:rsidR="003C0F36" w:rsidRPr="002E19FB" w:rsidRDefault="003C0F36" w:rsidP="00F80EE9">
            <w:pPr>
              <w:pStyle w:val="Tabletext"/>
              <w:rPr>
                <w:rFonts w:eastAsia="DengXian"/>
                <w:sz w:val="16"/>
                <w:szCs w:val="16"/>
                <w:lang w:eastAsia="zh-CN"/>
              </w:rPr>
            </w:pPr>
            <w:r w:rsidRPr="002E19FB">
              <w:rPr>
                <w:rFonts w:eastAsia="DengXian"/>
                <w:sz w:val="16"/>
                <w:szCs w:val="16"/>
                <w:lang w:eastAsia="zh-CN"/>
              </w:rPr>
              <w:t xml:space="preserve">• Candidate experience feedback (qualitative/quantitative) </w:t>
            </w:r>
          </w:p>
          <w:p w14:paraId="33136898"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 of recruitments utilizing modernized assessment tools</w:t>
            </w:r>
          </w:p>
          <w:p w14:paraId="0AA06FF4" w14:textId="77777777" w:rsidR="003C0F36" w:rsidRPr="007B7E5B" w:rsidRDefault="003C0F36" w:rsidP="00F80EE9">
            <w:pPr>
              <w:pStyle w:val="Tabletext"/>
              <w:rPr>
                <w:sz w:val="16"/>
                <w:szCs w:val="16"/>
              </w:rPr>
            </w:pPr>
            <w:r w:rsidRPr="007B7E5B">
              <w:rPr>
                <w:rFonts w:eastAsia="DengXian"/>
                <w:sz w:val="16"/>
                <w:szCs w:val="16"/>
                <w:lang w:eastAsia="zh-CN"/>
              </w:rPr>
              <w:t xml:space="preserve">• Outreach Strategy approved and operationalized </w:t>
            </w:r>
            <w:r w:rsidRPr="007B7E5B">
              <w:rPr>
                <w:sz w:val="16"/>
                <w:szCs w:val="16"/>
              </w:rPr>
              <w:t>(qualitative)</w:t>
            </w:r>
          </w:p>
          <w:p w14:paraId="47F3AA39" w14:textId="77777777" w:rsidR="003C0F36" w:rsidRPr="007B7E5B" w:rsidRDefault="003C0F36" w:rsidP="00F80EE9">
            <w:pPr>
              <w:pStyle w:val="Tabletext"/>
              <w:rPr>
                <w:sz w:val="16"/>
                <w:szCs w:val="16"/>
              </w:rPr>
            </w:pPr>
          </w:p>
          <w:p w14:paraId="69D62A97"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Number of vacancies advertised internally vs. externally (per year)</w:t>
            </w:r>
          </w:p>
          <w:p w14:paraId="582CD38C" w14:textId="24C8D83F"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w:t>
            </w:r>
            <w:r w:rsidR="007B7E5B" w:rsidRPr="007B7E5B">
              <w:rPr>
                <w:rFonts w:eastAsia="DengXian"/>
                <w:sz w:val="16"/>
                <w:szCs w:val="16"/>
                <w:lang w:eastAsia="zh-CN"/>
              </w:rPr>
              <w:t xml:space="preserve"> </w:t>
            </w:r>
            <w:r w:rsidRPr="007B7E5B">
              <w:rPr>
                <w:rFonts w:eastAsia="DengXian"/>
                <w:sz w:val="16"/>
                <w:szCs w:val="16"/>
                <w:lang w:eastAsia="zh-CN"/>
              </w:rPr>
              <w:t>Number of posts filled by internal vs. external candidates (per year)</w:t>
            </w:r>
          </w:p>
        </w:tc>
        <w:tc>
          <w:tcPr>
            <w:tcW w:w="592" w:type="pct"/>
            <w:shd w:val="clear" w:color="auto" w:fill="DEEAF6"/>
            <w:vAlign w:val="center"/>
          </w:tcPr>
          <w:p w14:paraId="4ABC82E4" w14:textId="77777777" w:rsidR="003C0F36" w:rsidRPr="007B7E5B" w:rsidRDefault="003C0F36" w:rsidP="00F80EE9">
            <w:pPr>
              <w:pStyle w:val="Tabletext"/>
              <w:rPr>
                <w:sz w:val="16"/>
                <w:szCs w:val="16"/>
              </w:rPr>
            </w:pPr>
          </w:p>
          <w:p w14:paraId="3CF64749" w14:textId="77777777" w:rsidR="003C0F36" w:rsidRPr="007B7E5B" w:rsidRDefault="003C0F36" w:rsidP="00F80EE9">
            <w:pPr>
              <w:pStyle w:val="Tabletext"/>
              <w:rPr>
                <w:sz w:val="16"/>
                <w:szCs w:val="16"/>
              </w:rPr>
            </w:pPr>
          </w:p>
          <w:p w14:paraId="4F1988EB" w14:textId="77777777" w:rsidR="003C0F36" w:rsidRPr="007B7E5B" w:rsidRDefault="003C0F36" w:rsidP="00F80EE9">
            <w:pPr>
              <w:pStyle w:val="Tabletext"/>
              <w:rPr>
                <w:sz w:val="16"/>
                <w:szCs w:val="16"/>
              </w:rPr>
            </w:pPr>
          </w:p>
          <w:p w14:paraId="21A69190" w14:textId="77777777" w:rsidR="003C0F36" w:rsidRPr="007B7E5B" w:rsidRDefault="003C0F36" w:rsidP="00F80EE9">
            <w:pPr>
              <w:pStyle w:val="Tabletext"/>
              <w:rPr>
                <w:sz w:val="16"/>
                <w:szCs w:val="16"/>
              </w:rPr>
            </w:pPr>
            <w:r w:rsidRPr="007B7E5B">
              <w:rPr>
                <w:sz w:val="16"/>
                <w:szCs w:val="16"/>
              </w:rPr>
              <w:t>Q</w:t>
            </w:r>
            <w:r w:rsidRPr="007B7E5B">
              <w:rPr>
                <w:sz w:val="16"/>
                <w:szCs w:val="16"/>
                <w:lang w:eastAsia="zh-CN"/>
              </w:rPr>
              <w:t xml:space="preserve">2 </w:t>
            </w:r>
            <w:r w:rsidRPr="007B7E5B">
              <w:rPr>
                <w:sz w:val="16"/>
                <w:szCs w:val="16"/>
              </w:rPr>
              <w:t>2027</w:t>
            </w:r>
          </w:p>
          <w:p w14:paraId="0E2B1443" w14:textId="77777777" w:rsidR="003C0F36" w:rsidRPr="007B7E5B" w:rsidRDefault="003C0F36" w:rsidP="00F80EE9">
            <w:pPr>
              <w:pStyle w:val="Tabletext"/>
              <w:rPr>
                <w:sz w:val="16"/>
                <w:szCs w:val="16"/>
              </w:rPr>
            </w:pPr>
          </w:p>
          <w:p w14:paraId="25B504BD" w14:textId="77777777" w:rsidR="003C0F36" w:rsidRPr="007B7E5B" w:rsidRDefault="003C0F36" w:rsidP="00F80EE9">
            <w:pPr>
              <w:pStyle w:val="Tabletext"/>
              <w:rPr>
                <w:sz w:val="16"/>
                <w:szCs w:val="16"/>
              </w:rPr>
            </w:pPr>
          </w:p>
          <w:p w14:paraId="2C839B8E" w14:textId="77777777" w:rsidR="003C0F36" w:rsidRPr="007B7E5B" w:rsidRDefault="003C0F36" w:rsidP="00F80EE9">
            <w:pPr>
              <w:pStyle w:val="Tabletext"/>
              <w:rPr>
                <w:sz w:val="16"/>
                <w:szCs w:val="16"/>
              </w:rPr>
            </w:pPr>
            <w:r w:rsidRPr="007B7E5B">
              <w:rPr>
                <w:sz w:val="16"/>
                <w:szCs w:val="16"/>
              </w:rPr>
              <w:t>Q4 2026/ Q4 2027</w:t>
            </w:r>
          </w:p>
          <w:p w14:paraId="4FF368B5" w14:textId="77777777" w:rsidR="003C0F36" w:rsidRPr="007B7E5B" w:rsidRDefault="003C0F36" w:rsidP="00F80EE9">
            <w:pPr>
              <w:pStyle w:val="Tabletext"/>
              <w:rPr>
                <w:sz w:val="16"/>
                <w:szCs w:val="16"/>
              </w:rPr>
            </w:pPr>
          </w:p>
        </w:tc>
        <w:tc>
          <w:tcPr>
            <w:tcW w:w="494" w:type="pct"/>
            <w:shd w:val="clear" w:color="auto" w:fill="DEEAF6"/>
            <w:vAlign w:val="center"/>
          </w:tcPr>
          <w:p w14:paraId="4804C497" w14:textId="77777777" w:rsidR="003C0F36" w:rsidRPr="007B7E5B" w:rsidRDefault="003C0F36" w:rsidP="00F80EE9">
            <w:pPr>
              <w:pStyle w:val="Tabletext"/>
              <w:rPr>
                <w:rFonts w:eastAsia="DengXian"/>
                <w:sz w:val="16"/>
                <w:szCs w:val="16"/>
                <w:lang w:eastAsia="zh-CN"/>
              </w:rPr>
            </w:pPr>
          </w:p>
        </w:tc>
      </w:tr>
      <w:tr w:rsidR="003C0F36" w:rsidRPr="007B7E5B" w14:paraId="67F8CF01"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7E650D9"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1.3</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29B84BC2" w14:textId="77777777" w:rsidR="003C0F36" w:rsidRPr="007B7E5B" w:rsidRDefault="003C0F36" w:rsidP="00F80EE9">
            <w:pPr>
              <w:pStyle w:val="Tabletext"/>
              <w:rPr>
                <w:sz w:val="16"/>
                <w:szCs w:val="16"/>
                <w:lang w:eastAsia="zh-CN"/>
              </w:rPr>
            </w:pPr>
            <w:r w:rsidRPr="007B7E5B">
              <w:rPr>
                <w:sz w:val="16"/>
                <w:szCs w:val="16"/>
                <w:lang w:eastAsia="zh-CN"/>
              </w:rPr>
              <w:t>Induction &amp; onboarding</w:t>
            </w:r>
          </w:p>
        </w:tc>
        <w:tc>
          <w:tcPr>
            <w:tcW w:w="1228" w:type="pct"/>
            <w:tcBorders>
              <w:left w:val="single" w:sz="4" w:space="0" w:color="auto"/>
            </w:tcBorders>
            <w:shd w:val="clear" w:color="auto" w:fill="DEEAF6"/>
            <w:vAlign w:val="center"/>
          </w:tcPr>
          <w:p w14:paraId="1E3F0A6D" w14:textId="77777777" w:rsidR="003C0F36" w:rsidRPr="007B7E5B" w:rsidRDefault="003C0F36" w:rsidP="00F80EE9">
            <w:pPr>
              <w:pStyle w:val="Tabletext"/>
              <w:rPr>
                <w:rFonts w:eastAsia="DengXian"/>
                <w:sz w:val="16"/>
                <w:szCs w:val="16"/>
                <w:lang w:eastAsia="zh-CN"/>
              </w:rPr>
            </w:pPr>
            <w:r w:rsidRPr="007B7E5B">
              <w:rPr>
                <w:sz w:val="16"/>
                <w:szCs w:val="16"/>
              </w:rPr>
              <w:t>A comprehensive and consistent onboarding journey and practical manager toolkits, supporting faster integration and time-to-productivity across teams and work modalities.</w:t>
            </w:r>
          </w:p>
        </w:tc>
        <w:tc>
          <w:tcPr>
            <w:tcW w:w="1842" w:type="pct"/>
            <w:shd w:val="clear" w:color="auto" w:fill="DEEAF6"/>
            <w:vAlign w:val="center"/>
          </w:tcPr>
          <w:p w14:paraId="737FACDE"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Number of inductions held; % newly recruited staff participating </w:t>
            </w:r>
          </w:p>
          <w:p w14:paraId="0417C679"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Onboarding completion rate (e.g. 30/60/90-day milestones)</w:t>
            </w:r>
          </w:p>
          <w:p w14:paraId="1F25D352"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Manager toolkit deployed (yes/no) and usage feedback</w:t>
            </w:r>
          </w:p>
        </w:tc>
        <w:tc>
          <w:tcPr>
            <w:tcW w:w="592" w:type="pct"/>
            <w:shd w:val="clear" w:color="auto" w:fill="DEEAF6"/>
            <w:vAlign w:val="center"/>
          </w:tcPr>
          <w:p w14:paraId="0928AF95" w14:textId="77777777" w:rsidR="003C0F36" w:rsidRPr="007B7E5B" w:rsidRDefault="003C0F36" w:rsidP="00F80EE9">
            <w:pPr>
              <w:pStyle w:val="Tabletext"/>
              <w:rPr>
                <w:sz w:val="16"/>
                <w:szCs w:val="16"/>
                <w:lang w:eastAsia="zh-CN"/>
              </w:rPr>
            </w:pPr>
            <w:r w:rsidRPr="007B7E5B">
              <w:rPr>
                <w:sz w:val="16"/>
                <w:szCs w:val="16"/>
              </w:rPr>
              <w:t>Yearly/ongoing</w:t>
            </w:r>
          </w:p>
          <w:p w14:paraId="78E4A2D8" w14:textId="77777777" w:rsidR="003C0F36" w:rsidRPr="007B7E5B" w:rsidRDefault="003C0F36" w:rsidP="00F80EE9">
            <w:pPr>
              <w:pStyle w:val="Tabletext"/>
              <w:rPr>
                <w:sz w:val="16"/>
                <w:szCs w:val="16"/>
                <w:lang w:eastAsia="zh-CN"/>
              </w:rPr>
            </w:pPr>
            <w:r w:rsidRPr="007B7E5B">
              <w:rPr>
                <w:sz w:val="16"/>
                <w:szCs w:val="16"/>
              </w:rPr>
              <w:t>Q1 2027</w:t>
            </w:r>
          </w:p>
          <w:p w14:paraId="76482FC0" w14:textId="77777777" w:rsidR="003C0F36" w:rsidRPr="007B7E5B" w:rsidRDefault="003C0F36" w:rsidP="00F80EE9">
            <w:pPr>
              <w:pStyle w:val="Tabletext"/>
              <w:rPr>
                <w:sz w:val="16"/>
                <w:szCs w:val="16"/>
              </w:rPr>
            </w:pPr>
            <w:r w:rsidRPr="007B7E5B">
              <w:rPr>
                <w:sz w:val="16"/>
                <w:szCs w:val="16"/>
                <w:lang w:eastAsia="zh-CN"/>
              </w:rPr>
              <w:t>Q1 2027</w:t>
            </w:r>
          </w:p>
        </w:tc>
        <w:tc>
          <w:tcPr>
            <w:tcW w:w="494" w:type="pct"/>
            <w:shd w:val="clear" w:color="auto" w:fill="DEEAF6"/>
            <w:vAlign w:val="center"/>
          </w:tcPr>
          <w:p w14:paraId="4A5CDF8C" w14:textId="77777777" w:rsidR="003C0F36" w:rsidRPr="007B7E5B" w:rsidRDefault="003C0F36" w:rsidP="00F80EE9">
            <w:pPr>
              <w:pStyle w:val="Tabletext"/>
              <w:rPr>
                <w:rFonts w:eastAsia="DengXian"/>
                <w:sz w:val="16"/>
                <w:szCs w:val="16"/>
                <w:lang w:eastAsia="zh-CN"/>
              </w:rPr>
            </w:pPr>
          </w:p>
        </w:tc>
      </w:tr>
      <w:tr w:rsidR="003C0F36" w:rsidRPr="007B7E5B" w14:paraId="5FADFF2B"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F2A4EB3"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1.4</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251A141A" w14:textId="77777777" w:rsidR="003C0F36" w:rsidRPr="007B7E5B" w:rsidRDefault="003C0F36" w:rsidP="00F80EE9">
            <w:pPr>
              <w:pStyle w:val="Tabletext"/>
              <w:rPr>
                <w:rFonts w:eastAsia="DengXian"/>
                <w:sz w:val="16"/>
                <w:szCs w:val="16"/>
                <w:lang w:eastAsia="zh-CN"/>
              </w:rPr>
            </w:pPr>
            <w:r w:rsidRPr="007B7E5B">
              <w:rPr>
                <w:sz w:val="16"/>
                <w:szCs w:val="16"/>
                <w:lang w:eastAsia="zh-CN"/>
              </w:rPr>
              <w:t>Mobility &amp; rotation</w:t>
            </w:r>
          </w:p>
        </w:tc>
        <w:tc>
          <w:tcPr>
            <w:tcW w:w="1228" w:type="pct"/>
            <w:tcBorders>
              <w:left w:val="single" w:sz="4" w:space="0" w:color="auto"/>
            </w:tcBorders>
            <w:shd w:val="clear" w:color="auto" w:fill="DEEAF6"/>
            <w:vAlign w:val="center"/>
          </w:tcPr>
          <w:p w14:paraId="7481F293" w14:textId="77777777" w:rsidR="003C0F36" w:rsidRPr="007B7E5B" w:rsidRDefault="003C0F36" w:rsidP="00F80EE9">
            <w:pPr>
              <w:pStyle w:val="Tabletext"/>
              <w:rPr>
                <w:rFonts w:eastAsia="DengXian"/>
                <w:sz w:val="16"/>
                <w:szCs w:val="16"/>
                <w:lang w:eastAsia="zh-CN"/>
              </w:rPr>
            </w:pPr>
            <w:r w:rsidRPr="007B7E5B">
              <w:rPr>
                <w:sz w:val="16"/>
                <w:szCs w:val="16"/>
              </w:rPr>
              <w:t>Expand developmental assignments and mobility opportunities to allocate capabilities where they are most needed, support career growth and strengthen knowledge transfer, leveraging internal mobility where feasible</w:t>
            </w:r>
            <w:r w:rsidRPr="007B7E5B">
              <w:rPr>
                <w:rFonts w:eastAsia="DengXian"/>
                <w:sz w:val="16"/>
                <w:szCs w:val="16"/>
                <w:lang w:eastAsia="zh-CN"/>
              </w:rPr>
              <w:t>.</w:t>
            </w:r>
          </w:p>
        </w:tc>
        <w:tc>
          <w:tcPr>
            <w:tcW w:w="1842" w:type="pct"/>
            <w:shd w:val="clear" w:color="auto" w:fill="DEEAF6"/>
            <w:vAlign w:val="center"/>
          </w:tcPr>
          <w:p w14:paraId="3843D608"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Number of internal mobility opportunities launched</w:t>
            </w:r>
          </w:p>
          <w:p w14:paraId="1D76C8A6"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Yearly mobility trends by grade/function area/department (dashboard) </w:t>
            </w:r>
          </w:p>
        </w:tc>
        <w:tc>
          <w:tcPr>
            <w:tcW w:w="592" w:type="pct"/>
            <w:shd w:val="clear" w:color="auto" w:fill="DEEAF6"/>
            <w:vAlign w:val="center"/>
          </w:tcPr>
          <w:p w14:paraId="70FC56AD" w14:textId="77777777" w:rsidR="003C0F36" w:rsidRPr="007B7E5B" w:rsidRDefault="003C0F36" w:rsidP="00F80EE9">
            <w:pPr>
              <w:pStyle w:val="Tabletext"/>
              <w:rPr>
                <w:sz w:val="16"/>
                <w:szCs w:val="16"/>
                <w:lang w:eastAsia="zh-CN"/>
              </w:rPr>
            </w:pPr>
            <w:r w:rsidRPr="007B7E5B">
              <w:rPr>
                <w:sz w:val="16"/>
                <w:szCs w:val="16"/>
              </w:rPr>
              <w:t>Q1 2027</w:t>
            </w:r>
          </w:p>
          <w:p w14:paraId="1B962AE7" w14:textId="77777777" w:rsidR="003C0F36" w:rsidRPr="007B7E5B" w:rsidRDefault="003C0F36" w:rsidP="00F80EE9">
            <w:pPr>
              <w:pStyle w:val="Tabletext"/>
              <w:rPr>
                <w:sz w:val="16"/>
                <w:szCs w:val="16"/>
              </w:rPr>
            </w:pPr>
            <w:r w:rsidRPr="007B7E5B">
              <w:rPr>
                <w:sz w:val="16"/>
                <w:szCs w:val="16"/>
                <w:lang w:eastAsia="zh-CN"/>
              </w:rPr>
              <w:t>Q4 2027</w:t>
            </w:r>
          </w:p>
        </w:tc>
        <w:tc>
          <w:tcPr>
            <w:tcW w:w="494" w:type="pct"/>
            <w:shd w:val="clear" w:color="auto" w:fill="DEEAF6"/>
            <w:vAlign w:val="center"/>
          </w:tcPr>
          <w:p w14:paraId="6AF8A3BA" w14:textId="77777777" w:rsidR="003C0F36" w:rsidRPr="007B7E5B" w:rsidRDefault="003C0F36" w:rsidP="00F80EE9">
            <w:pPr>
              <w:pStyle w:val="Tabletext"/>
              <w:rPr>
                <w:rFonts w:eastAsia="DengXian"/>
                <w:sz w:val="16"/>
                <w:szCs w:val="16"/>
                <w:lang w:eastAsia="zh-CN"/>
              </w:rPr>
            </w:pPr>
          </w:p>
        </w:tc>
      </w:tr>
      <w:tr w:rsidR="003C0F36" w:rsidRPr="007B7E5B" w14:paraId="3AC523B2"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1230457"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lastRenderedPageBreak/>
              <w:t>1.5</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276A50C7" w14:textId="77777777" w:rsidR="003C0F36" w:rsidRPr="007B7E5B" w:rsidRDefault="003C0F36" w:rsidP="00F80EE9">
            <w:pPr>
              <w:pStyle w:val="Tabletext"/>
              <w:rPr>
                <w:sz w:val="16"/>
                <w:szCs w:val="16"/>
                <w:lang w:eastAsia="zh-CN"/>
              </w:rPr>
            </w:pPr>
            <w:r w:rsidRPr="007B7E5B">
              <w:rPr>
                <w:sz w:val="16"/>
                <w:szCs w:val="16"/>
                <w:lang w:eastAsia="zh-CN"/>
              </w:rPr>
              <w:t>Targeted partnerships</w:t>
            </w:r>
          </w:p>
        </w:tc>
        <w:tc>
          <w:tcPr>
            <w:tcW w:w="1228" w:type="pct"/>
            <w:tcBorders>
              <w:left w:val="single" w:sz="4" w:space="0" w:color="auto"/>
            </w:tcBorders>
            <w:shd w:val="clear" w:color="auto" w:fill="DEEAF6"/>
            <w:vAlign w:val="center"/>
          </w:tcPr>
          <w:p w14:paraId="34A9AD99"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S</w:t>
            </w:r>
            <w:r w:rsidRPr="007B7E5B">
              <w:rPr>
                <w:sz w:val="16"/>
                <w:szCs w:val="16"/>
              </w:rPr>
              <w:t>trengthen targeted partnerships with</w:t>
            </w:r>
            <w:r w:rsidRPr="007B7E5B">
              <w:rPr>
                <w:sz w:val="16"/>
                <w:szCs w:val="16"/>
                <w:lang w:eastAsia="zh-CN"/>
              </w:rPr>
              <w:t xml:space="preserve"> </w:t>
            </w:r>
            <w:r w:rsidRPr="007B7E5B">
              <w:rPr>
                <w:sz w:val="16"/>
                <w:szCs w:val="16"/>
              </w:rPr>
              <w:t>Member States,</w:t>
            </w:r>
            <w:r w:rsidRPr="007B7E5B">
              <w:rPr>
                <w:sz w:val="16"/>
                <w:szCs w:val="16"/>
                <w:lang w:eastAsia="zh-CN"/>
              </w:rPr>
              <w:t xml:space="preserve"> </w:t>
            </w:r>
            <w:r w:rsidRPr="007B7E5B">
              <w:rPr>
                <w:sz w:val="16"/>
                <w:szCs w:val="16"/>
              </w:rPr>
              <w:t>organizations and academia to broaden entry pathways—particularly for young professionals and candidates from under-represented Member States—while ensuring transparent governance and mutual benefit</w:t>
            </w:r>
            <w:r w:rsidRPr="007B7E5B">
              <w:rPr>
                <w:rFonts w:eastAsia="DengXian"/>
                <w:sz w:val="16"/>
                <w:szCs w:val="16"/>
                <w:lang w:eastAsia="zh-CN"/>
              </w:rPr>
              <w:t>.</w:t>
            </w:r>
          </w:p>
        </w:tc>
        <w:tc>
          <w:tcPr>
            <w:tcW w:w="1842" w:type="pct"/>
            <w:shd w:val="clear" w:color="auto" w:fill="DEEAF6"/>
            <w:vAlign w:val="center"/>
          </w:tcPr>
          <w:p w14:paraId="6C758F1C"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Number of established partnerships (FIT, JPOs, loans/secondments partners) </w:t>
            </w:r>
          </w:p>
          <w:p w14:paraId="75001EC7"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Number of interns / early-career specialists</w:t>
            </w:r>
          </w:p>
          <w:p w14:paraId="20A9B101"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Number of candidates from LDCs, LLDCs and SIDS</w:t>
            </w:r>
            <w:r w:rsidRPr="007B7E5B">
              <w:rPr>
                <w:rFonts w:eastAsia="DengXian"/>
                <w:sz w:val="16"/>
                <w:szCs w:val="16"/>
                <w:vertAlign w:val="superscript"/>
                <w:lang w:eastAsia="zh-CN"/>
              </w:rPr>
              <w:footnoteReference w:id="1"/>
            </w:r>
          </w:p>
        </w:tc>
        <w:tc>
          <w:tcPr>
            <w:tcW w:w="592" w:type="pct"/>
            <w:shd w:val="clear" w:color="auto" w:fill="DEEAF6"/>
            <w:vAlign w:val="center"/>
          </w:tcPr>
          <w:p w14:paraId="28F83ED1" w14:textId="77777777" w:rsidR="003C0F36" w:rsidRPr="007B7E5B" w:rsidRDefault="003C0F36" w:rsidP="00F80EE9">
            <w:pPr>
              <w:pStyle w:val="Tabletext"/>
              <w:rPr>
                <w:sz w:val="16"/>
                <w:szCs w:val="16"/>
              </w:rPr>
            </w:pPr>
            <w:r w:rsidRPr="007B7E5B">
              <w:rPr>
                <w:sz w:val="16"/>
                <w:szCs w:val="16"/>
              </w:rPr>
              <w:t>Ongoing</w:t>
            </w:r>
            <w:r w:rsidRPr="007B7E5B">
              <w:rPr>
                <w:sz w:val="16"/>
                <w:szCs w:val="16"/>
                <w:lang w:eastAsia="zh-CN"/>
              </w:rPr>
              <w:t xml:space="preserve"> throughout 2026-2027</w:t>
            </w:r>
          </w:p>
        </w:tc>
        <w:tc>
          <w:tcPr>
            <w:tcW w:w="494" w:type="pct"/>
            <w:shd w:val="clear" w:color="auto" w:fill="DEEAF6"/>
            <w:vAlign w:val="center"/>
          </w:tcPr>
          <w:p w14:paraId="568EAE64" w14:textId="77777777" w:rsidR="003C0F36" w:rsidRPr="007B7E5B" w:rsidRDefault="003C0F36" w:rsidP="00F80EE9">
            <w:pPr>
              <w:pStyle w:val="Tabletext"/>
              <w:rPr>
                <w:rFonts w:eastAsia="DengXian"/>
                <w:sz w:val="16"/>
                <w:szCs w:val="16"/>
                <w:lang w:eastAsia="zh-CN"/>
              </w:rPr>
            </w:pPr>
          </w:p>
        </w:tc>
      </w:tr>
      <w:tr w:rsidR="003C0F36" w:rsidRPr="007B7E5B" w14:paraId="028704D8"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7F736AF"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1.6</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21F9BB4E" w14:textId="77777777" w:rsidR="003C0F36" w:rsidRPr="007B7E5B" w:rsidRDefault="003C0F36" w:rsidP="00F80EE9">
            <w:pPr>
              <w:pStyle w:val="Tabletext"/>
              <w:rPr>
                <w:sz w:val="16"/>
                <w:szCs w:val="16"/>
                <w:lang w:eastAsia="zh-CN"/>
              </w:rPr>
            </w:pPr>
            <w:r w:rsidRPr="007B7E5B">
              <w:rPr>
                <w:sz w:val="16"/>
                <w:szCs w:val="16"/>
                <w:lang w:eastAsia="zh-CN"/>
              </w:rPr>
              <w:t>Contract modalities &amp; resourcing tools</w:t>
            </w:r>
          </w:p>
        </w:tc>
        <w:tc>
          <w:tcPr>
            <w:tcW w:w="1228" w:type="pct"/>
            <w:tcBorders>
              <w:left w:val="single" w:sz="4" w:space="0" w:color="auto"/>
            </w:tcBorders>
            <w:shd w:val="clear" w:color="auto" w:fill="DEEAF6"/>
            <w:vAlign w:val="center"/>
          </w:tcPr>
          <w:p w14:paraId="0493701D" w14:textId="77777777" w:rsidR="003C0F36" w:rsidRPr="007B7E5B" w:rsidRDefault="003C0F36" w:rsidP="00F80EE9">
            <w:pPr>
              <w:pStyle w:val="Tabletext"/>
              <w:rPr>
                <w:rFonts w:eastAsia="DengXian"/>
                <w:sz w:val="16"/>
                <w:szCs w:val="16"/>
                <w:lang w:eastAsia="zh-CN"/>
              </w:rPr>
            </w:pPr>
            <w:r w:rsidRPr="007B7E5B">
              <w:rPr>
                <w:sz w:val="16"/>
                <w:szCs w:val="16"/>
              </w:rPr>
              <w:t xml:space="preserve">Establish </w:t>
            </w:r>
            <w:r w:rsidRPr="007B7E5B">
              <w:rPr>
                <w:sz w:val="16"/>
                <w:szCs w:val="16"/>
                <w:lang w:eastAsia="zh-CN"/>
              </w:rPr>
              <w:t xml:space="preserve">a contractual framework with </w:t>
            </w:r>
            <w:r w:rsidRPr="007B7E5B">
              <w:rPr>
                <w:sz w:val="16"/>
                <w:szCs w:val="16"/>
              </w:rPr>
              <w:t>more flexible contract modalities and refine associated contractual and resourcing tools to respond to short-term surges</w:t>
            </w:r>
            <w:r w:rsidRPr="007B7E5B">
              <w:rPr>
                <w:sz w:val="16"/>
                <w:szCs w:val="16"/>
                <w:lang w:eastAsia="zh-CN"/>
              </w:rPr>
              <w:t xml:space="preserve"> in work</w:t>
            </w:r>
            <w:r w:rsidRPr="007B7E5B">
              <w:rPr>
                <w:sz w:val="16"/>
                <w:szCs w:val="16"/>
              </w:rPr>
              <w:t>, specialized expertise and time-bound initiatives</w:t>
            </w:r>
            <w:r w:rsidRPr="007B7E5B">
              <w:rPr>
                <w:rFonts w:eastAsia="DengXian"/>
                <w:sz w:val="16"/>
                <w:szCs w:val="16"/>
                <w:lang w:eastAsia="zh-CN"/>
              </w:rPr>
              <w:t>.</w:t>
            </w:r>
          </w:p>
        </w:tc>
        <w:tc>
          <w:tcPr>
            <w:tcW w:w="1842" w:type="pct"/>
            <w:shd w:val="clear" w:color="auto" w:fill="DEEAF6"/>
            <w:vAlign w:val="center"/>
          </w:tcPr>
          <w:p w14:paraId="2740B4AB"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Number of new contractual modalities established</w:t>
            </w:r>
          </w:p>
          <w:p w14:paraId="785FDD6F"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A toolkit for managers developed and operationalized</w:t>
            </w:r>
          </w:p>
          <w:p w14:paraId="10BED8F3"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Average time-to-fill for affiliate workforce positions (project-based)</w:t>
            </w:r>
          </w:p>
        </w:tc>
        <w:tc>
          <w:tcPr>
            <w:tcW w:w="592" w:type="pct"/>
            <w:shd w:val="clear" w:color="auto" w:fill="DEEAF6"/>
            <w:vAlign w:val="center"/>
          </w:tcPr>
          <w:p w14:paraId="04958BDE" w14:textId="77777777" w:rsidR="003C0F36" w:rsidRPr="007B7E5B" w:rsidRDefault="003C0F36" w:rsidP="00F80EE9">
            <w:pPr>
              <w:pStyle w:val="Tabletext"/>
              <w:rPr>
                <w:sz w:val="16"/>
                <w:szCs w:val="16"/>
              </w:rPr>
            </w:pPr>
            <w:r w:rsidRPr="007B7E5B">
              <w:rPr>
                <w:sz w:val="16"/>
                <w:szCs w:val="16"/>
              </w:rPr>
              <w:t>Q4 2026</w:t>
            </w:r>
          </w:p>
        </w:tc>
        <w:tc>
          <w:tcPr>
            <w:tcW w:w="494" w:type="pct"/>
            <w:shd w:val="clear" w:color="auto" w:fill="DEEAF6"/>
            <w:vAlign w:val="center"/>
          </w:tcPr>
          <w:p w14:paraId="78236FDA" w14:textId="77777777" w:rsidR="003C0F36" w:rsidRPr="007B7E5B" w:rsidRDefault="003C0F36" w:rsidP="00F80EE9">
            <w:pPr>
              <w:pStyle w:val="Tabletext"/>
              <w:rPr>
                <w:rFonts w:eastAsia="DengXian"/>
                <w:sz w:val="16"/>
                <w:szCs w:val="16"/>
                <w:lang w:eastAsia="zh-CN"/>
              </w:rPr>
            </w:pPr>
          </w:p>
        </w:tc>
      </w:tr>
      <w:tr w:rsidR="003C0F36" w:rsidRPr="007B7E5B" w14:paraId="400D2295"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0D195AF"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1.7</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53680B6E" w14:textId="77777777" w:rsidR="003C0F36" w:rsidRPr="007B7E5B" w:rsidRDefault="003C0F36" w:rsidP="00F80EE9">
            <w:pPr>
              <w:pStyle w:val="Tabletext"/>
              <w:rPr>
                <w:sz w:val="16"/>
                <w:szCs w:val="16"/>
                <w:lang w:eastAsia="zh-CN"/>
              </w:rPr>
            </w:pPr>
            <w:r w:rsidRPr="007B7E5B">
              <w:rPr>
                <w:sz w:val="16"/>
                <w:szCs w:val="16"/>
                <w:lang w:eastAsia="zh-CN"/>
              </w:rPr>
              <w:t>Workforce &amp; succession planning</w:t>
            </w:r>
          </w:p>
        </w:tc>
        <w:tc>
          <w:tcPr>
            <w:tcW w:w="1228" w:type="pct"/>
            <w:tcBorders>
              <w:left w:val="single" w:sz="4" w:space="0" w:color="auto"/>
            </w:tcBorders>
            <w:shd w:val="clear" w:color="auto" w:fill="DEEAF6"/>
            <w:vAlign w:val="center"/>
          </w:tcPr>
          <w:p w14:paraId="598B55EC" w14:textId="77777777" w:rsidR="003C0F36" w:rsidRPr="007B7E5B" w:rsidRDefault="003C0F36" w:rsidP="00F80EE9">
            <w:pPr>
              <w:pStyle w:val="Tabletext"/>
              <w:rPr>
                <w:rFonts w:eastAsia="DengXian"/>
                <w:sz w:val="16"/>
                <w:szCs w:val="16"/>
                <w:lang w:eastAsia="zh-CN"/>
              </w:rPr>
            </w:pPr>
            <w:r w:rsidRPr="007B7E5B">
              <w:rPr>
                <w:sz w:val="16"/>
                <w:szCs w:val="16"/>
              </w:rPr>
              <w:t>Strengthen workforce and succession planning to anticipate critical capability needs, manage risks linked to turnover and retirement, and support timely staffing decisions aligned with business priorities</w:t>
            </w:r>
            <w:r w:rsidRPr="007B7E5B">
              <w:rPr>
                <w:rFonts w:eastAsia="DengXian"/>
                <w:sz w:val="16"/>
                <w:szCs w:val="16"/>
                <w:lang w:eastAsia="zh-CN"/>
              </w:rPr>
              <w:t>.</w:t>
            </w:r>
          </w:p>
        </w:tc>
        <w:tc>
          <w:tcPr>
            <w:tcW w:w="1842" w:type="pct"/>
            <w:shd w:val="clear" w:color="auto" w:fill="DEEAF6"/>
            <w:vAlign w:val="center"/>
          </w:tcPr>
          <w:p w14:paraId="516C2C34"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Workforce Planning Framework approved and operationalized </w:t>
            </w:r>
            <w:r w:rsidRPr="007B7E5B">
              <w:rPr>
                <w:sz w:val="16"/>
                <w:szCs w:val="16"/>
              </w:rPr>
              <w:t>(qualitative)</w:t>
            </w:r>
          </w:p>
          <w:p w14:paraId="3DE8AF31"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Succession planning for critical roles mapped(qualitative/quantitative) </w:t>
            </w:r>
          </w:p>
          <w:p w14:paraId="2295BEA6"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Vacancy trends and pipeline visibility (dashboard)</w:t>
            </w:r>
          </w:p>
        </w:tc>
        <w:tc>
          <w:tcPr>
            <w:tcW w:w="592" w:type="pct"/>
            <w:shd w:val="clear" w:color="auto" w:fill="DEEAF6"/>
            <w:vAlign w:val="center"/>
          </w:tcPr>
          <w:p w14:paraId="65BFA398" w14:textId="77777777" w:rsidR="003C0F36" w:rsidRPr="007B7E5B" w:rsidRDefault="003C0F36" w:rsidP="00F80EE9">
            <w:pPr>
              <w:pStyle w:val="Tabletext"/>
              <w:rPr>
                <w:sz w:val="16"/>
                <w:szCs w:val="16"/>
              </w:rPr>
            </w:pPr>
            <w:r w:rsidRPr="007B7E5B">
              <w:rPr>
                <w:sz w:val="16"/>
                <w:szCs w:val="16"/>
              </w:rPr>
              <w:t>Q4/2026</w:t>
            </w:r>
          </w:p>
        </w:tc>
        <w:tc>
          <w:tcPr>
            <w:tcW w:w="494" w:type="pct"/>
            <w:shd w:val="clear" w:color="auto" w:fill="DEEAF6"/>
            <w:vAlign w:val="center"/>
          </w:tcPr>
          <w:p w14:paraId="03F3EE64" w14:textId="77777777" w:rsidR="003C0F36" w:rsidRPr="007B7E5B" w:rsidRDefault="003C0F36" w:rsidP="00F80EE9">
            <w:pPr>
              <w:pStyle w:val="Tabletext"/>
              <w:rPr>
                <w:rFonts w:eastAsia="DengXian"/>
                <w:sz w:val="16"/>
                <w:szCs w:val="16"/>
                <w:lang w:eastAsia="zh-CN"/>
              </w:rPr>
            </w:pPr>
          </w:p>
        </w:tc>
      </w:tr>
      <w:tr w:rsidR="003C0F36" w:rsidRPr="007B7E5B" w14:paraId="4D38C1AC"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52F48711"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2.1</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09EE8852" w14:textId="77777777" w:rsidR="003C0F36" w:rsidRPr="007B7E5B" w:rsidRDefault="003C0F36" w:rsidP="00F80EE9">
            <w:pPr>
              <w:pStyle w:val="Tabletext"/>
              <w:rPr>
                <w:sz w:val="16"/>
                <w:szCs w:val="16"/>
                <w:lang w:eastAsia="zh-CN"/>
              </w:rPr>
            </w:pPr>
            <w:r w:rsidRPr="007B7E5B">
              <w:rPr>
                <w:sz w:val="16"/>
                <w:szCs w:val="16"/>
                <w:lang w:eastAsia="zh-CN"/>
              </w:rPr>
              <w:t>Leadership pipeline &amp; early identification</w:t>
            </w:r>
          </w:p>
        </w:tc>
        <w:tc>
          <w:tcPr>
            <w:tcW w:w="1228" w:type="pct"/>
            <w:tcBorders>
              <w:left w:val="single" w:sz="4" w:space="0" w:color="auto"/>
            </w:tcBorders>
            <w:shd w:val="clear" w:color="auto" w:fill="DEEAF6"/>
            <w:vAlign w:val="center"/>
          </w:tcPr>
          <w:p w14:paraId="1EF06FE8" w14:textId="77777777" w:rsidR="003C0F36" w:rsidRPr="007B7E5B" w:rsidRDefault="003C0F36" w:rsidP="00F80EE9">
            <w:pPr>
              <w:pStyle w:val="Tabletext"/>
              <w:rPr>
                <w:sz w:val="16"/>
                <w:szCs w:val="16"/>
              </w:rPr>
            </w:pPr>
            <w:r w:rsidRPr="007B7E5B">
              <w:rPr>
                <w:sz w:val="16"/>
                <w:szCs w:val="16"/>
              </w:rPr>
              <w:t>Strengthen leadership pipeline and proactive identification by clarifying leadership expectations, identifying potential early and enabling targeted development opportunities.</w:t>
            </w:r>
          </w:p>
        </w:tc>
        <w:tc>
          <w:tcPr>
            <w:tcW w:w="1842" w:type="pct"/>
            <w:shd w:val="clear" w:color="auto" w:fill="DEEAF6"/>
            <w:vAlign w:val="center"/>
          </w:tcPr>
          <w:p w14:paraId="0901E104"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Number of leadership development programmes offered </w:t>
            </w:r>
          </w:p>
          <w:p w14:paraId="2821FFBE"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Leadership learning participation and completion</w:t>
            </w:r>
          </w:p>
        </w:tc>
        <w:tc>
          <w:tcPr>
            <w:tcW w:w="592" w:type="pct"/>
            <w:shd w:val="clear" w:color="auto" w:fill="DEEAF6"/>
            <w:vAlign w:val="center"/>
          </w:tcPr>
          <w:p w14:paraId="3B5CD2B9" w14:textId="77777777" w:rsidR="003C0F36" w:rsidRPr="007B7E5B" w:rsidRDefault="003C0F36" w:rsidP="00F80EE9">
            <w:pPr>
              <w:pStyle w:val="Tabletext"/>
              <w:rPr>
                <w:sz w:val="16"/>
                <w:szCs w:val="16"/>
              </w:rPr>
            </w:pPr>
            <w:r w:rsidRPr="007B7E5B">
              <w:rPr>
                <w:sz w:val="16"/>
                <w:szCs w:val="16"/>
              </w:rPr>
              <w:t>Offered in 2026 and 2027</w:t>
            </w:r>
          </w:p>
        </w:tc>
        <w:tc>
          <w:tcPr>
            <w:tcW w:w="494" w:type="pct"/>
            <w:shd w:val="clear" w:color="auto" w:fill="DEEAF6"/>
            <w:vAlign w:val="center"/>
          </w:tcPr>
          <w:p w14:paraId="730CCD9C" w14:textId="77777777" w:rsidR="003C0F36" w:rsidRPr="007B7E5B" w:rsidRDefault="003C0F36" w:rsidP="00F80EE9">
            <w:pPr>
              <w:pStyle w:val="Tabletext"/>
              <w:rPr>
                <w:rFonts w:eastAsia="DengXian"/>
                <w:sz w:val="16"/>
                <w:szCs w:val="16"/>
                <w:lang w:eastAsia="zh-CN"/>
              </w:rPr>
            </w:pPr>
          </w:p>
        </w:tc>
      </w:tr>
      <w:tr w:rsidR="003C0F36" w:rsidRPr="007B7E5B" w14:paraId="184AD99A"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56AC1D2"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2.2</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3B9A6311" w14:textId="77777777" w:rsidR="003C0F36" w:rsidRPr="007B7E5B" w:rsidRDefault="003C0F36" w:rsidP="00F80EE9">
            <w:pPr>
              <w:pStyle w:val="Tabletext"/>
              <w:rPr>
                <w:sz w:val="16"/>
                <w:szCs w:val="16"/>
                <w:lang w:eastAsia="zh-CN"/>
              </w:rPr>
            </w:pPr>
            <w:r w:rsidRPr="007B7E5B">
              <w:rPr>
                <w:sz w:val="16"/>
                <w:szCs w:val="16"/>
                <w:lang w:eastAsia="zh-CN"/>
              </w:rPr>
              <w:t>Mandatory training for managers</w:t>
            </w:r>
          </w:p>
        </w:tc>
        <w:tc>
          <w:tcPr>
            <w:tcW w:w="1228" w:type="pct"/>
            <w:tcBorders>
              <w:left w:val="single" w:sz="4" w:space="0" w:color="auto"/>
            </w:tcBorders>
            <w:shd w:val="clear" w:color="auto" w:fill="DEEAF6"/>
            <w:vAlign w:val="center"/>
          </w:tcPr>
          <w:p w14:paraId="2CD74B7C" w14:textId="77777777" w:rsidR="003C0F36" w:rsidRPr="007B7E5B" w:rsidRDefault="003C0F36" w:rsidP="00F80EE9">
            <w:pPr>
              <w:pStyle w:val="Tabletext"/>
              <w:rPr>
                <w:sz w:val="16"/>
                <w:szCs w:val="16"/>
              </w:rPr>
            </w:pPr>
            <w:r w:rsidRPr="007B7E5B">
              <w:rPr>
                <w:sz w:val="16"/>
                <w:szCs w:val="16"/>
              </w:rPr>
              <w:t>Introduce mandatory training for</w:t>
            </w:r>
            <w:r w:rsidRPr="007B7E5B">
              <w:rPr>
                <w:sz w:val="16"/>
                <w:szCs w:val="16"/>
                <w:lang w:eastAsia="zh-CN"/>
              </w:rPr>
              <w:t xml:space="preserve"> </w:t>
            </w:r>
            <w:r w:rsidRPr="007B7E5B">
              <w:rPr>
                <w:sz w:val="16"/>
                <w:szCs w:val="16"/>
              </w:rPr>
              <w:t>managers to build/strengthen</w:t>
            </w:r>
            <w:r w:rsidRPr="007B7E5B">
              <w:rPr>
                <w:sz w:val="16"/>
                <w:szCs w:val="16"/>
                <w:lang w:eastAsia="zh-CN"/>
              </w:rPr>
              <w:t xml:space="preserve"> </w:t>
            </w:r>
            <w:r w:rsidRPr="007B7E5B">
              <w:rPr>
                <w:sz w:val="16"/>
                <w:szCs w:val="16"/>
              </w:rPr>
              <w:t>core people-management capability, supported by practical tools and guidance for consistent application of policies and procedures.</w:t>
            </w:r>
          </w:p>
        </w:tc>
        <w:tc>
          <w:tcPr>
            <w:tcW w:w="1842" w:type="pct"/>
            <w:shd w:val="clear" w:color="auto" w:fill="DEEAF6"/>
            <w:vAlign w:val="center"/>
          </w:tcPr>
          <w:p w14:paraId="5A779263"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 completion rate of mandatory trainings (manager cohort) </w:t>
            </w:r>
          </w:p>
          <w:p w14:paraId="3837BE9A"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 of managers completing mandatory training within set timeframe</w:t>
            </w:r>
          </w:p>
        </w:tc>
        <w:tc>
          <w:tcPr>
            <w:tcW w:w="592" w:type="pct"/>
            <w:shd w:val="clear" w:color="auto" w:fill="DEEAF6"/>
            <w:vAlign w:val="center"/>
          </w:tcPr>
          <w:p w14:paraId="4D97DD3B" w14:textId="77777777" w:rsidR="003C0F36" w:rsidRPr="007B7E5B" w:rsidRDefault="003C0F36" w:rsidP="00F80EE9">
            <w:pPr>
              <w:pStyle w:val="Tabletext"/>
              <w:rPr>
                <w:sz w:val="16"/>
                <w:szCs w:val="16"/>
              </w:rPr>
            </w:pPr>
            <w:r w:rsidRPr="007B7E5B">
              <w:rPr>
                <w:sz w:val="16"/>
                <w:szCs w:val="16"/>
              </w:rPr>
              <w:t>Q4 2026</w:t>
            </w:r>
          </w:p>
        </w:tc>
        <w:tc>
          <w:tcPr>
            <w:tcW w:w="494" w:type="pct"/>
            <w:shd w:val="clear" w:color="auto" w:fill="DEEAF6"/>
            <w:vAlign w:val="center"/>
          </w:tcPr>
          <w:p w14:paraId="560EFE9E" w14:textId="77777777" w:rsidR="003C0F36" w:rsidRPr="007B7E5B" w:rsidRDefault="003C0F36" w:rsidP="00F80EE9">
            <w:pPr>
              <w:pStyle w:val="Tabletext"/>
              <w:rPr>
                <w:rFonts w:eastAsia="DengXian"/>
                <w:sz w:val="16"/>
                <w:szCs w:val="16"/>
                <w:lang w:eastAsia="zh-CN"/>
              </w:rPr>
            </w:pPr>
          </w:p>
        </w:tc>
      </w:tr>
      <w:tr w:rsidR="003C0F36" w:rsidRPr="007B7E5B" w14:paraId="435C2C2C"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A8AB97F"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2.3</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06FAFABB" w14:textId="77777777" w:rsidR="003C0F36" w:rsidRPr="007B7E5B" w:rsidRDefault="003C0F36" w:rsidP="00F80EE9">
            <w:pPr>
              <w:pStyle w:val="Tabletext"/>
              <w:rPr>
                <w:sz w:val="16"/>
                <w:szCs w:val="16"/>
                <w:lang w:eastAsia="zh-CN"/>
              </w:rPr>
            </w:pPr>
            <w:r w:rsidRPr="007B7E5B">
              <w:rPr>
                <w:sz w:val="16"/>
                <w:szCs w:val="16"/>
                <w:lang w:eastAsia="zh-CN"/>
              </w:rPr>
              <w:t>Inclusive and adaptive leadership</w:t>
            </w:r>
          </w:p>
        </w:tc>
        <w:tc>
          <w:tcPr>
            <w:tcW w:w="1228" w:type="pct"/>
            <w:tcBorders>
              <w:left w:val="single" w:sz="4" w:space="0" w:color="auto"/>
            </w:tcBorders>
            <w:shd w:val="clear" w:color="auto" w:fill="DEEAF6"/>
            <w:vAlign w:val="center"/>
          </w:tcPr>
          <w:p w14:paraId="6571973F" w14:textId="77777777" w:rsidR="003C0F36" w:rsidRPr="007B7E5B" w:rsidRDefault="003C0F36" w:rsidP="00F80EE9">
            <w:pPr>
              <w:pStyle w:val="Tabletext"/>
              <w:rPr>
                <w:sz w:val="16"/>
                <w:szCs w:val="16"/>
              </w:rPr>
            </w:pPr>
            <w:r w:rsidRPr="007B7E5B">
              <w:rPr>
                <w:sz w:val="16"/>
                <w:szCs w:val="16"/>
              </w:rPr>
              <w:t>Cultivate inclusive and adaptive leadership to drive innovation and organizational resilience, supported by targeted learning programmes that embed accountability and fairness in day-to-day people decisions.</w:t>
            </w:r>
          </w:p>
        </w:tc>
        <w:tc>
          <w:tcPr>
            <w:tcW w:w="1842" w:type="pct"/>
            <w:shd w:val="clear" w:color="auto" w:fill="DEEAF6"/>
            <w:vAlign w:val="center"/>
          </w:tcPr>
          <w:p w14:paraId="51C43862"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Leadership learning participation and completion (including adaptive leadership, gender-responsive leadership etc.)</w:t>
            </w:r>
          </w:p>
          <w:p w14:paraId="6FB3E20A"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Inclusion-related score in employee engagement survey (EES) (trend)</w:t>
            </w:r>
          </w:p>
        </w:tc>
        <w:tc>
          <w:tcPr>
            <w:tcW w:w="592" w:type="pct"/>
            <w:shd w:val="clear" w:color="auto" w:fill="DEEAF6"/>
            <w:vAlign w:val="center"/>
          </w:tcPr>
          <w:p w14:paraId="62F37CB0" w14:textId="77777777" w:rsidR="003C0F36" w:rsidRPr="007B7E5B" w:rsidRDefault="003C0F36" w:rsidP="00F80EE9">
            <w:pPr>
              <w:pStyle w:val="Tabletext"/>
              <w:rPr>
                <w:sz w:val="16"/>
                <w:szCs w:val="16"/>
              </w:rPr>
            </w:pPr>
            <w:r w:rsidRPr="007B7E5B">
              <w:rPr>
                <w:sz w:val="16"/>
                <w:szCs w:val="16"/>
              </w:rPr>
              <w:t>Q3 2026</w:t>
            </w:r>
          </w:p>
        </w:tc>
        <w:tc>
          <w:tcPr>
            <w:tcW w:w="494" w:type="pct"/>
            <w:shd w:val="clear" w:color="auto" w:fill="DEEAF6"/>
            <w:vAlign w:val="center"/>
          </w:tcPr>
          <w:p w14:paraId="32034ADF" w14:textId="77777777" w:rsidR="003C0F36" w:rsidRPr="007B7E5B" w:rsidRDefault="003C0F36" w:rsidP="00F80EE9">
            <w:pPr>
              <w:pStyle w:val="Tabletext"/>
              <w:rPr>
                <w:rFonts w:eastAsia="DengXian"/>
                <w:sz w:val="16"/>
                <w:szCs w:val="16"/>
                <w:lang w:eastAsia="zh-CN"/>
              </w:rPr>
            </w:pPr>
          </w:p>
        </w:tc>
      </w:tr>
      <w:tr w:rsidR="003C0F36" w:rsidRPr="007B7E5B" w14:paraId="3554DF2C"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21761AF"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lastRenderedPageBreak/>
              <w:t>2.4</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160B5E47" w14:textId="77777777" w:rsidR="003C0F36" w:rsidRPr="007B7E5B" w:rsidRDefault="003C0F36" w:rsidP="00F80EE9">
            <w:pPr>
              <w:pStyle w:val="Tabletext"/>
              <w:rPr>
                <w:sz w:val="16"/>
                <w:szCs w:val="16"/>
                <w:lang w:eastAsia="zh-CN"/>
              </w:rPr>
            </w:pPr>
            <w:r w:rsidRPr="007B7E5B">
              <w:rPr>
                <w:sz w:val="16"/>
                <w:szCs w:val="16"/>
                <w:lang w:eastAsia="zh-CN"/>
              </w:rPr>
              <w:t>Conflict-management</w:t>
            </w:r>
            <w:r w:rsidRPr="007B7E5B">
              <w:rPr>
                <w:rFonts w:eastAsia="DengXian"/>
                <w:sz w:val="16"/>
                <w:szCs w:val="16"/>
                <w:lang w:eastAsia="zh-CN"/>
              </w:rPr>
              <w:t xml:space="preserve"> and </w:t>
            </w:r>
            <w:r w:rsidRPr="007B7E5B">
              <w:rPr>
                <w:sz w:val="16"/>
                <w:szCs w:val="16"/>
                <w:lang w:eastAsia="zh-CN"/>
              </w:rPr>
              <w:t>workplace relations capability</w:t>
            </w:r>
          </w:p>
        </w:tc>
        <w:tc>
          <w:tcPr>
            <w:tcW w:w="1228" w:type="pct"/>
            <w:tcBorders>
              <w:left w:val="single" w:sz="4" w:space="0" w:color="auto"/>
            </w:tcBorders>
            <w:shd w:val="clear" w:color="auto" w:fill="DEEAF6"/>
            <w:vAlign w:val="center"/>
          </w:tcPr>
          <w:p w14:paraId="4D2C8C41" w14:textId="34367579" w:rsidR="003C0F36" w:rsidRPr="007B7E5B" w:rsidRDefault="26D5FC70" w:rsidP="00F80EE9">
            <w:pPr>
              <w:pStyle w:val="Tabletext"/>
              <w:rPr>
                <w:sz w:val="16"/>
                <w:szCs w:val="16"/>
              </w:rPr>
            </w:pPr>
            <w:r w:rsidRPr="0CE3B669">
              <w:rPr>
                <w:sz w:val="16"/>
                <w:szCs w:val="16"/>
              </w:rPr>
              <w:t>Strengthen conflict-management and workplace relations capability by enhancing prevention, resolution pathways, including timely access to independent advice and support for managers and staff through the Ombudsman and other relevant mechanisms.</w:t>
            </w:r>
          </w:p>
        </w:tc>
        <w:tc>
          <w:tcPr>
            <w:tcW w:w="1842" w:type="pct"/>
            <w:shd w:val="clear" w:color="auto" w:fill="DEEAF6"/>
            <w:vAlign w:val="center"/>
          </w:tcPr>
          <w:p w14:paraId="410D77E0"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Number of managers and staff trained in conflict prevention and informal resolution</w:t>
            </w:r>
          </w:p>
          <w:p w14:paraId="3CBC932F"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Trend in the use of informal resolution pathways (e.g., ombudsman and mediation)</w:t>
            </w:r>
          </w:p>
        </w:tc>
        <w:tc>
          <w:tcPr>
            <w:tcW w:w="592" w:type="pct"/>
            <w:shd w:val="clear" w:color="auto" w:fill="DEEAF6"/>
            <w:vAlign w:val="center"/>
          </w:tcPr>
          <w:p w14:paraId="29673E81" w14:textId="77777777" w:rsidR="003C0F36" w:rsidRPr="007B7E5B" w:rsidRDefault="003C0F36" w:rsidP="00F80EE9">
            <w:pPr>
              <w:pStyle w:val="Tabletext"/>
              <w:rPr>
                <w:sz w:val="16"/>
                <w:szCs w:val="16"/>
              </w:rPr>
            </w:pPr>
            <w:r w:rsidRPr="007B7E5B">
              <w:rPr>
                <w:sz w:val="16"/>
                <w:szCs w:val="16"/>
              </w:rPr>
              <w:t>Q3 2026</w:t>
            </w:r>
          </w:p>
        </w:tc>
        <w:tc>
          <w:tcPr>
            <w:tcW w:w="494" w:type="pct"/>
            <w:shd w:val="clear" w:color="auto" w:fill="DEEAF6"/>
            <w:vAlign w:val="center"/>
          </w:tcPr>
          <w:p w14:paraId="78D598D3" w14:textId="77777777" w:rsidR="003C0F36" w:rsidRPr="007B7E5B" w:rsidRDefault="003C0F36" w:rsidP="00F80EE9">
            <w:pPr>
              <w:pStyle w:val="Tabletext"/>
              <w:rPr>
                <w:rFonts w:eastAsia="DengXian"/>
                <w:sz w:val="16"/>
                <w:szCs w:val="16"/>
                <w:lang w:eastAsia="zh-CN"/>
              </w:rPr>
            </w:pPr>
          </w:p>
        </w:tc>
      </w:tr>
      <w:tr w:rsidR="003C0F36" w:rsidRPr="007B7E5B" w14:paraId="6B38A98F"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4027307"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2.5</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3D03976E" w14:textId="77777777" w:rsidR="003C0F36" w:rsidRPr="007B7E5B" w:rsidRDefault="003C0F36" w:rsidP="00F80EE9">
            <w:pPr>
              <w:pStyle w:val="Tabletext"/>
              <w:rPr>
                <w:rFonts w:eastAsia="DengXian"/>
                <w:sz w:val="16"/>
                <w:szCs w:val="16"/>
                <w:lang w:eastAsia="zh-CN"/>
              </w:rPr>
            </w:pPr>
            <w:r w:rsidRPr="007B7E5B">
              <w:rPr>
                <w:sz w:val="16"/>
                <w:szCs w:val="16"/>
                <w:lang w:eastAsia="zh-CN"/>
              </w:rPr>
              <w:t>Feedback insight pilot</w:t>
            </w:r>
          </w:p>
        </w:tc>
        <w:tc>
          <w:tcPr>
            <w:tcW w:w="1228" w:type="pct"/>
            <w:tcBorders>
              <w:left w:val="single" w:sz="4" w:space="0" w:color="auto"/>
            </w:tcBorders>
            <w:shd w:val="clear" w:color="auto" w:fill="DEEAF6"/>
            <w:vAlign w:val="center"/>
          </w:tcPr>
          <w:p w14:paraId="4DD5202A" w14:textId="77777777" w:rsidR="003C0F36" w:rsidRPr="007B7E5B" w:rsidRDefault="003C0F36" w:rsidP="00F80EE9">
            <w:pPr>
              <w:pStyle w:val="Tabletext"/>
              <w:rPr>
                <w:sz w:val="16"/>
                <w:szCs w:val="16"/>
              </w:rPr>
            </w:pPr>
            <w:bookmarkStart w:id="12" w:name="_Hlk220430719"/>
            <w:r w:rsidRPr="007B7E5B">
              <w:rPr>
                <w:sz w:val="16"/>
                <w:szCs w:val="16"/>
              </w:rPr>
              <w:t>Pilot feedback process for directors and managers (e.g. 360-degree feedback) to strengthen self-awareness, leadership behaviours and continuous improvement.</w:t>
            </w:r>
            <w:bookmarkEnd w:id="12"/>
          </w:p>
        </w:tc>
        <w:tc>
          <w:tcPr>
            <w:tcW w:w="1842" w:type="pct"/>
            <w:shd w:val="clear" w:color="auto" w:fill="DEEAF6"/>
            <w:vAlign w:val="center"/>
          </w:tcPr>
          <w:p w14:paraId="043FD6DC"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Pilot implemented (yes/no) </w:t>
            </w:r>
          </w:p>
          <w:p w14:paraId="2022631B"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Participation rate</w:t>
            </w:r>
          </w:p>
        </w:tc>
        <w:tc>
          <w:tcPr>
            <w:tcW w:w="592" w:type="pct"/>
            <w:shd w:val="clear" w:color="auto" w:fill="DEEAF6"/>
            <w:vAlign w:val="center"/>
          </w:tcPr>
          <w:p w14:paraId="6240CA97"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Q2 2026</w:t>
            </w:r>
          </w:p>
        </w:tc>
        <w:tc>
          <w:tcPr>
            <w:tcW w:w="494" w:type="pct"/>
            <w:shd w:val="clear" w:color="auto" w:fill="DEEAF6"/>
            <w:vAlign w:val="center"/>
          </w:tcPr>
          <w:p w14:paraId="6AA8DD24" w14:textId="77777777" w:rsidR="003C0F36" w:rsidRPr="007B7E5B" w:rsidRDefault="003C0F36" w:rsidP="00F80EE9">
            <w:pPr>
              <w:pStyle w:val="Tabletext"/>
              <w:rPr>
                <w:rFonts w:eastAsia="DengXian"/>
                <w:sz w:val="16"/>
                <w:szCs w:val="16"/>
                <w:lang w:eastAsia="zh-CN"/>
              </w:rPr>
            </w:pPr>
          </w:p>
        </w:tc>
      </w:tr>
      <w:tr w:rsidR="003C0F36" w:rsidRPr="007B7E5B" w14:paraId="0219F117"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77CDB9F9"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2.6</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2A647C5F" w14:textId="77777777" w:rsidR="003C0F36" w:rsidRPr="007B7E5B" w:rsidRDefault="003C0F36" w:rsidP="00F80EE9">
            <w:pPr>
              <w:pStyle w:val="Tabletext"/>
              <w:rPr>
                <w:sz w:val="16"/>
                <w:szCs w:val="16"/>
                <w:lang w:eastAsia="zh-CN"/>
              </w:rPr>
            </w:pPr>
            <w:r w:rsidRPr="007B7E5B">
              <w:rPr>
                <w:sz w:val="16"/>
                <w:szCs w:val="16"/>
                <w:lang w:eastAsia="zh-CN"/>
              </w:rPr>
              <w:t>Executive coaching</w:t>
            </w:r>
          </w:p>
        </w:tc>
        <w:tc>
          <w:tcPr>
            <w:tcW w:w="1228" w:type="pct"/>
            <w:tcBorders>
              <w:left w:val="single" w:sz="4" w:space="0" w:color="auto"/>
            </w:tcBorders>
            <w:shd w:val="clear" w:color="auto" w:fill="DEEAF6"/>
            <w:vAlign w:val="center"/>
          </w:tcPr>
          <w:p w14:paraId="6C04062D" w14:textId="77777777" w:rsidR="003C0F36" w:rsidRPr="007B7E5B" w:rsidRDefault="003C0F36" w:rsidP="00F80EE9">
            <w:pPr>
              <w:pStyle w:val="Tabletext"/>
              <w:rPr>
                <w:sz w:val="16"/>
                <w:szCs w:val="16"/>
              </w:rPr>
            </w:pPr>
            <w:r w:rsidRPr="007B7E5B">
              <w:rPr>
                <w:sz w:val="16"/>
                <w:szCs w:val="16"/>
              </w:rPr>
              <w:t>Expand executive coaching to support senior leaders and priority cohorts in leading change and navigating complex people-management situations.</w:t>
            </w:r>
          </w:p>
        </w:tc>
        <w:tc>
          <w:tcPr>
            <w:tcW w:w="1842" w:type="pct"/>
            <w:shd w:val="clear" w:color="auto" w:fill="DEEAF6"/>
            <w:vAlign w:val="center"/>
          </w:tcPr>
          <w:p w14:paraId="716DD8FE"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Number of senior leaders receiving coaching</w:t>
            </w:r>
          </w:p>
        </w:tc>
        <w:tc>
          <w:tcPr>
            <w:tcW w:w="592" w:type="pct"/>
            <w:shd w:val="clear" w:color="auto" w:fill="DEEAF6"/>
            <w:vAlign w:val="center"/>
          </w:tcPr>
          <w:p w14:paraId="1E2A70CD" w14:textId="77777777" w:rsidR="003C0F36" w:rsidRPr="007B7E5B" w:rsidRDefault="003C0F36" w:rsidP="00F80EE9">
            <w:pPr>
              <w:pStyle w:val="Tabletext"/>
              <w:rPr>
                <w:sz w:val="16"/>
                <w:szCs w:val="16"/>
              </w:rPr>
            </w:pPr>
            <w:r w:rsidRPr="007B7E5B">
              <w:rPr>
                <w:sz w:val="16"/>
                <w:szCs w:val="16"/>
              </w:rPr>
              <w:t>Q4 2026</w:t>
            </w:r>
          </w:p>
        </w:tc>
        <w:tc>
          <w:tcPr>
            <w:tcW w:w="494" w:type="pct"/>
            <w:shd w:val="clear" w:color="auto" w:fill="DEEAF6"/>
            <w:vAlign w:val="center"/>
          </w:tcPr>
          <w:p w14:paraId="5D362AEF" w14:textId="77777777" w:rsidR="003C0F36" w:rsidRPr="007B7E5B" w:rsidRDefault="003C0F36" w:rsidP="00F80EE9">
            <w:pPr>
              <w:pStyle w:val="Tabletext"/>
              <w:rPr>
                <w:rFonts w:eastAsia="DengXian"/>
                <w:sz w:val="16"/>
                <w:szCs w:val="16"/>
                <w:lang w:eastAsia="zh-CN"/>
              </w:rPr>
            </w:pPr>
          </w:p>
        </w:tc>
      </w:tr>
      <w:tr w:rsidR="003C0F36" w:rsidRPr="007B7E5B" w14:paraId="7DBB3CA0"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8429FCD"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2.7</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6EF947E6" w14:textId="77777777" w:rsidR="003C0F36" w:rsidRPr="007B7E5B" w:rsidRDefault="003C0F36" w:rsidP="00F80EE9">
            <w:pPr>
              <w:pStyle w:val="Tabletext"/>
              <w:rPr>
                <w:sz w:val="16"/>
                <w:szCs w:val="16"/>
                <w:lang w:eastAsia="zh-CN"/>
              </w:rPr>
            </w:pPr>
            <w:r w:rsidRPr="007B7E5B">
              <w:rPr>
                <w:sz w:val="16"/>
                <w:szCs w:val="16"/>
                <w:lang w:eastAsia="zh-CN"/>
              </w:rPr>
              <w:t>Performance management &amp; difficult conversations</w:t>
            </w:r>
          </w:p>
        </w:tc>
        <w:tc>
          <w:tcPr>
            <w:tcW w:w="1228" w:type="pct"/>
            <w:tcBorders>
              <w:left w:val="single" w:sz="4" w:space="0" w:color="auto"/>
            </w:tcBorders>
            <w:shd w:val="clear" w:color="auto" w:fill="DEEAF6"/>
            <w:vAlign w:val="center"/>
          </w:tcPr>
          <w:p w14:paraId="6C483DE2" w14:textId="77777777" w:rsidR="003C0F36" w:rsidRPr="007B7E5B" w:rsidRDefault="003C0F36" w:rsidP="00F80EE9">
            <w:pPr>
              <w:pStyle w:val="Tabletext"/>
              <w:rPr>
                <w:sz w:val="16"/>
                <w:szCs w:val="16"/>
                <w:lang w:eastAsia="zh-CN"/>
              </w:rPr>
            </w:pPr>
            <w:r w:rsidRPr="007B7E5B">
              <w:rPr>
                <w:sz w:val="16"/>
                <w:szCs w:val="16"/>
              </w:rPr>
              <w:t>Reinforce performance management including managing underperformance through clearer standards, stronger documentation practice and targeted capability-building for managers</w:t>
            </w:r>
            <w:r w:rsidRPr="007B7E5B">
              <w:rPr>
                <w:sz w:val="16"/>
                <w:szCs w:val="16"/>
                <w:lang w:eastAsia="zh-CN"/>
              </w:rPr>
              <w:t>.</w:t>
            </w:r>
          </w:p>
        </w:tc>
        <w:tc>
          <w:tcPr>
            <w:tcW w:w="1842" w:type="pct"/>
            <w:shd w:val="clear" w:color="auto" w:fill="DEEAF6"/>
            <w:vAlign w:val="center"/>
          </w:tcPr>
          <w:p w14:paraId="2A7B06B5"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Compliance rates (performance management) </w:t>
            </w:r>
          </w:p>
          <w:p w14:paraId="4CBD0E1E"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 of managers trained in Performance Management, 'Managing Underperformance' and 'Difficult Conversations'</w:t>
            </w:r>
          </w:p>
        </w:tc>
        <w:tc>
          <w:tcPr>
            <w:tcW w:w="592" w:type="pct"/>
            <w:shd w:val="clear" w:color="auto" w:fill="DEEAF6"/>
            <w:vAlign w:val="center"/>
          </w:tcPr>
          <w:p w14:paraId="0BD36FDD" w14:textId="77777777" w:rsidR="003C0F36" w:rsidRPr="007B7E5B" w:rsidRDefault="003C0F36" w:rsidP="00F80EE9">
            <w:pPr>
              <w:pStyle w:val="Tabletext"/>
              <w:rPr>
                <w:sz w:val="16"/>
                <w:szCs w:val="16"/>
              </w:rPr>
            </w:pPr>
            <w:r w:rsidRPr="007B7E5B">
              <w:rPr>
                <w:sz w:val="16"/>
                <w:szCs w:val="16"/>
              </w:rPr>
              <w:t>Q4 2026 and Q4 2027 (done on a yearly basis)</w:t>
            </w:r>
          </w:p>
        </w:tc>
        <w:tc>
          <w:tcPr>
            <w:tcW w:w="494" w:type="pct"/>
            <w:shd w:val="clear" w:color="auto" w:fill="DEEAF6"/>
            <w:vAlign w:val="center"/>
          </w:tcPr>
          <w:p w14:paraId="49773864" w14:textId="77777777" w:rsidR="003C0F36" w:rsidRPr="007B7E5B" w:rsidRDefault="003C0F36" w:rsidP="00F80EE9">
            <w:pPr>
              <w:pStyle w:val="Tabletext"/>
              <w:rPr>
                <w:rFonts w:eastAsia="DengXian"/>
                <w:sz w:val="16"/>
                <w:szCs w:val="16"/>
                <w:lang w:eastAsia="zh-CN"/>
              </w:rPr>
            </w:pPr>
          </w:p>
        </w:tc>
      </w:tr>
      <w:tr w:rsidR="003C0F36" w:rsidRPr="007B7E5B" w14:paraId="38CB3C5A"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311C056"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2.8</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2B0C609C"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Reward &amp; recognition framework</w:t>
            </w:r>
          </w:p>
        </w:tc>
        <w:tc>
          <w:tcPr>
            <w:tcW w:w="1228" w:type="pct"/>
            <w:tcBorders>
              <w:left w:val="single" w:sz="4" w:space="0" w:color="auto"/>
            </w:tcBorders>
            <w:shd w:val="clear" w:color="auto" w:fill="DEEAF6"/>
            <w:vAlign w:val="center"/>
          </w:tcPr>
          <w:p w14:paraId="14E31173" w14:textId="77777777" w:rsidR="003C0F36" w:rsidRPr="007B7E5B" w:rsidRDefault="003C0F36" w:rsidP="00F80EE9">
            <w:pPr>
              <w:pStyle w:val="Tabletext"/>
              <w:rPr>
                <w:sz w:val="16"/>
                <w:szCs w:val="16"/>
              </w:rPr>
            </w:pPr>
            <w:r w:rsidRPr="007B7E5B">
              <w:rPr>
                <w:sz w:val="16"/>
                <w:szCs w:val="16"/>
              </w:rPr>
              <w:t>Implement the reward and recognition framework to foster a culture of timely, transparent and inclusive recognition aligned with performance and shared values.</w:t>
            </w:r>
          </w:p>
        </w:tc>
        <w:tc>
          <w:tcPr>
            <w:tcW w:w="1842" w:type="pct"/>
            <w:shd w:val="clear" w:color="auto" w:fill="DEEAF6"/>
            <w:vAlign w:val="center"/>
          </w:tcPr>
          <w:p w14:paraId="662114E8"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Framework </w:t>
            </w:r>
            <w:r w:rsidRPr="007B7E5B">
              <w:rPr>
                <w:sz w:val="16"/>
                <w:szCs w:val="16"/>
              </w:rPr>
              <w:t xml:space="preserve">approved and operationalized </w:t>
            </w:r>
            <w:r w:rsidRPr="007B7E5B">
              <w:rPr>
                <w:rFonts w:eastAsia="DengXian"/>
                <w:sz w:val="16"/>
                <w:szCs w:val="16"/>
                <w:lang w:eastAsia="zh-CN"/>
              </w:rPr>
              <w:t>(</w:t>
            </w:r>
            <w:r w:rsidRPr="007B7E5B">
              <w:rPr>
                <w:sz w:val="16"/>
                <w:szCs w:val="16"/>
              </w:rPr>
              <w:t>qualitative</w:t>
            </w:r>
            <w:r w:rsidRPr="007B7E5B">
              <w:rPr>
                <w:rFonts w:eastAsia="DengXian"/>
                <w:sz w:val="16"/>
                <w:szCs w:val="16"/>
                <w:lang w:eastAsia="zh-CN"/>
              </w:rPr>
              <w:t xml:space="preserve">) </w:t>
            </w:r>
          </w:p>
          <w:p w14:paraId="1E2C07F6"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Uptake of recognition mechanisms (number/%) </w:t>
            </w:r>
          </w:p>
          <w:p w14:paraId="1A3A2FA0"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Perception of recognition/fairness (EES items/qualitative)</w:t>
            </w:r>
          </w:p>
        </w:tc>
        <w:tc>
          <w:tcPr>
            <w:tcW w:w="592" w:type="pct"/>
            <w:shd w:val="clear" w:color="auto" w:fill="DEEAF6"/>
            <w:vAlign w:val="center"/>
          </w:tcPr>
          <w:p w14:paraId="4541DD00" w14:textId="77777777" w:rsidR="003C0F36" w:rsidRPr="007B7E5B" w:rsidRDefault="003C0F36" w:rsidP="00F80EE9">
            <w:pPr>
              <w:pStyle w:val="Tabletext"/>
              <w:rPr>
                <w:sz w:val="16"/>
                <w:szCs w:val="16"/>
              </w:rPr>
            </w:pPr>
            <w:r w:rsidRPr="007B7E5B">
              <w:rPr>
                <w:sz w:val="16"/>
                <w:szCs w:val="16"/>
              </w:rPr>
              <w:t>Q4 2026 (then implemented yearly)</w:t>
            </w:r>
          </w:p>
        </w:tc>
        <w:tc>
          <w:tcPr>
            <w:tcW w:w="494" w:type="pct"/>
            <w:shd w:val="clear" w:color="auto" w:fill="DEEAF6"/>
            <w:vAlign w:val="center"/>
          </w:tcPr>
          <w:p w14:paraId="0AC8149B" w14:textId="77777777" w:rsidR="003C0F36" w:rsidRPr="007B7E5B" w:rsidRDefault="003C0F36" w:rsidP="00F80EE9">
            <w:pPr>
              <w:pStyle w:val="Tabletext"/>
              <w:rPr>
                <w:rFonts w:eastAsia="DengXian"/>
                <w:sz w:val="16"/>
                <w:szCs w:val="16"/>
                <w:lang w:eastAsia="zh-CN"/>
              </w:rPr>
            </w:pPr>
          </w:p>
        </w:tc>
      </w:tr>
      <w:tr w:rsidR="003C0F36" w:rsidRPr="007B7E5B" w14:paraId="28E23D54"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7D70B74"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3.1</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3FDF5B46" w14:textId="77777777" w:rsidR="003C0F36" w:rsidRPr="007B7E5B" w:rsidRDefault="003C0F36" w:rsidP="00F80EE9">
            <w:pPr>
              <w:pStyle w:val="Tabletext"/>
              <w:rPr>
                <w:sz w:val="16"/>
                <w:szCs w:val="16"/>
                <w:lang w:eastAsia="zh-CN"/>
              </w:rPr>
            </w:pPr>
            <w:r w:rsidRPr="007B7E5B">
              <w:rPr>
                <w:sz w:val="16"/>
                <w:szCs w:val="16"/>
                <w:lang w:eastAsia="zh-CN"/>
              </w:rPr>
              <w:t>Career development</w:t>
            </w:r>
          </w:p>
        </w:tc>
        <w:tc>
          <w:tcPr>
            <w:tcW w:w="1228" w:type="pct"/>
            <w:tcBorders>
              <w:left w:val="single" w:sz="4" w:space="0" w:color="auto"/>
            </w:tcBorders>
            <w:shd w:val="clear" w:color="auto" w:fill="DEEAF6"/>
            <w:vAlign w:val="center"/>
          </w:tcPr>
          <w:p w14:paraId="76BD691D" w14:textId="77777777" w:rsidR="003C0F36" w:rsidRPr="007B7E5B" w:rsidRDefault="003C0F36" w:rsidP="00F80EE9">
            <w:pPr>
              <w:pStyle w:val="Tabletext"/>
              <w:rPr>
                <w:sz w:val="16"/>
                <w:szCs w:val="16"/>
                <w:lang w:eastAsia="zh-CN"/>
              </w:rPr>
            </w:pPr>
            <w:r w:rsidRPr="007B7E5B">
              <w:rPr>
                <w:sz w:val="16"/>
                <w:szCs w:val="16"/>
              </w:rPr>
              <w:t>Strengthen career development frameworks to provide clear expectations and development options across functional areas and grades.</w:t>
            </w:r>
          </w:p>
        </w:tc>
        <w:tc>
          <w:tcPr>
            <w:tcW w:w="1842" w:type="pct"/>
            <w:shd w:val="clear" w:color="auto" w:fill="DEEAF6"/>
            <w:vAlign w:val="center"/>
          </w:tcPr>
          <w:p w14:paraId="5B7671D3"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 of staff completing targeted career development / upskilling programs</w:t>
            </w:r>
          </w:p>
          <w:p w14:paraId="69F981E4"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Provide dedicated career development programs including CV writing, competency-based interview (CBI) training (EES items/qualitative)</w:t>
            </w:r>
          </w:p>
        </w:tc>
        <w:tc>
          <w:tcPr>
            <w:tcW w:w="592" w:type="pct"/>
            <w:shd w:val="clear" w:color="auto" w:fill="DEEAF6"/>
            <w:vAlign w:val="center"/>
          </w:tcPr>
          <w:p w14:paraId="23F90AA8" w14:textId="77777777" w:rsidR="003C0F36" w:rsidRPr="007B7E5B" w:rsidRDefault="003C0F36" w:rsidP="00F80EE9">
            <w:pPr>
              <w:pStyle w:val="Tabletext"/>
              <w:rPr>
                <w:sz w:val="16"/>
                <w:szCs w:val="16"/>
              </w:rPr>
            </w:pPr>
            <w:r w:rsidRPr="007B7E5B">
              <w:rPr>
                <w:sz w:val="16"/>
                <w:szCs w:val="16"/>
              </w:rPr>
              <w:t>Q3 2026 / Q3 2027 (offered every year)</w:t>
            </w:r>
          </w:p>
        </w:tc>
        <w:tc>
          <w:tcPr>
            <w:tcW w:w="494" w:type="pct"/>
            <w:shd w:val="clear" w:color="auto" w:fill="DEEAF6"/>
          </w:tcPr>
          <w:p w14:paraId="241A880E" w14:textId="77777777" w:rsidR="003C0F36" w:rsidRPr="007B7E5B" w:rsidRDefault="003C0F36" w:rsidP="00F80EE9">
            <w:pPr>
              <w:pStyle w:val="Tabletext"/>
              <w:rPr>
                <w:rFonts w:eastAsia="DengXian"/>
                <w:sz w:val="16"/>
                <w:szCs w:val="16"/>
                <w:lang w:eastAsia="zh-CN"/>
              </w:rPr>
            </w:pPr>
          </w:p>
        </w:tc>
      </w:tr>
      <w:tr w:rsidR="003C0F36" w:rsidRPr="007B7E5B" w14:paraId="28E0F539"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A579ADB"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3.2</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5DDC8724" w14:textId="77777777" w:rsidR="003C0F36" w:rsidRPr="007B7E5B" w:rsidRDefault="003C0F36" w:rsidP="00F80EE9">
            <w:pPr>
              <w:pStyle w:val="Tabletext"/>
              <w:rPr>
                <w:sz w:val="16"/>
                <w:szCs w:val="16"/>
                <w:lang w:eastAsia="zh-CN"/>
              </w:rPr>
            </w:pPr>
            <w:r w:rsidRPr="007B7E5B">
              <w:rPr>
                <w:sz w:val="16"/>
                <w:szCs w:val="16"/>
                <w:lang w:eastAsia="zh-CN"/>
              </w:rPr>
              <w:t>Continuous learning</w:t>
            </w:r>
          </w:p>
        </w:tc>
        <w:tc>
          <w:tcPr>
            <w:tcW w:w="1228" w:type="pct"/>
            <w:tcBorders>
              <w:left w:val="single" w:sz="4" w:space="0" w:color="auto"/>
            </w:tcBorders>
            <w:shd w:val="clear" w:color="auto" w:fill="DEEAF6"/>
            <w:vAlign w:val="center"/>
          </w:tcPr>
          <w:p w14:paraId="70396A22" w14:textId="77777777" w:rsidR="003C0F36" w:rsidRPr="007B7E5B" w:rsidRDefault="003C0F36" w:rsidP="00F80EE9">
            <w:pPr>
              <w:pStyle w:val="Tabletext"/>
              <w:rPr>
                <w:sz w:val="16"/>
                <w:szCs w:val="16"/>
              </w:rPr>
            </w:pPr>
            <w:r w:rsidRPr="007B7E5B">
              <w:rPr>
                <w:sz w:val="16"/>
                <w:szCs w:val="16"/>
              </w:rPr>
              <w:t>Foster a continuous learning culture by reinforcing shared accountability for learning among staff, managers and the organization, and by promoting accessible learning opportunities.</w:t>
            </w:r>
          </w:p>
        </w:tc>
        <w:tc>
          <w:tcPr>
            <w:tcW w:w="1842" w:type="pct"/>
            <w:shd w:val="clear" w:color="auto" w:fill="DEEAF6"/>
            <w:vAlign w:val="center"/>
          </w:tcPr>
          <w:p w14:paraId="65A9966E"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 of staff completing at least one targeted in-service training</w:t>
            </w:r>
          </w:p>
        </w:tc>
        <w:tc>
          <w:tcPr>
            <w:tcW w:w="592" w:type="pct"/>
            <w:shd w:val="clear" w:color="auto" w:fill="DEEAF6"/>
            <w:vAlign w:val="center"/>
          </w:tcPr>
          <w:p w14:paraId="35FCF25F" w14:textId="77777777" w:rsidR="003C0F36" w:rsidRPr="007B7E5B" w:rsidRDefault="003C0F36" w:rsidP="00F80EE9">
            <w:pPr>
              <w:pStyle w:val="Tabletext"/>
              <w:rPr>
                <w:sz w:val="16"/>
                <w:szCs w:val="16"/>
              </w:rPr>
            </w:pPr>
            <w:r w:rsidRPr="007B7E5B">
              <w:rPr>
                <w:sz w:val="16"/>
                <w:szCs w:val="16"/>
              </w:rPr>
              <w:t>Each year (by Q4 2026 / Q4 2027)</w:t>
            </w:r>
          </w:p>
        </w:tc>
        <w:tc>
          <w:tcPr>
            <w:tcW w:w="494" w:type="pct"/>
            <w:shd w:val="clear" w:color="auto" w:fill="DEEAF6"/>
          </w:tcPr>
          <w:p w14:paraId="43EAFC61" w14:textId="77777777" w:rsidR="003C0F36" w:rsidRPr="007B7E5B" w:rsidRDefault="003C0F36" w:rsidP="00F80EE9">
            <w:pPr>
              <w:pStyle w:val="Tabletext"/>
              <w:rPr>
                <w:rFonts w:eastAsia="DengXian"/>
                <w:sz w:val="16"/>
                <w:szCs w:val="16"/>
                <w:lang w:eastAsia="zh-CN"/>
              </w:rPr>
            </w:pPr>
          </w:p>
        </w:tc>
      </w:tr>
      <w:tr w:rsidR="003C0F36" w:rsidRPr="007B7E5B" w14:paraId="44EF9B93"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592C5955"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3.3</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156BF29D" w14:textId="77777777" w:rsidR="003C0F36" w:rsidRPr="007B7E5B" w:rsidRDefault="003C0F36" w:rsidP="00F80EE9">
            <w:pPr>
              <w:pStyle w:val="Tabletext"/>
              <w:rPr>
                <w:sz w:val="16"/>
                <w:szCs w:val="16"/>
                <w:lang w:eastAsia="zh-CN"/>
              </w:rPr>
            </w:pPr>
            <w:r w:rsidRPr="007B7E5B">
              <w:rPr>
                <w:sz w:val="16"/>
                <w:szCs w:val="16"/>
                <w:lang w:eastAsia="zh-CN"/>
              </w:rPr>
              <w:t>Annual learning plan</w:t>
            </w:r>
          </w:p>
        </w:tc>
        <w:tc>
          <w:tcPr>
            <w:tcW w:w="1228" w:type="pct"/>
            <w:tcBorders>
              <w:left w:val="single" w:sz="4" w:space="0" w:color="auto"/>
            </w:tcBorders>
            <w:shd w:val="clear" w:color="auto" w:fill="DEEAF6"/>
            <w:vAlign w:val="center"/>
          </w:tcPr>
          <w:p w14:paraId="6947379E" w14:textId="77777777" w:rsidR="003C0F36" w:rsidRPr="007B7E5B" w:rsidRDefault="003C0F36" w:rsidP="00F80EE9">
            <w:pPr>
              <w:pStyle w:val="Tabletext"/>
              <w:rPr>
                <w:rFonts w:eastAsia="DengXian"/>
                <w:sz w:val="16"/>
                <w:szCs w:val="16"/>
                <w:lang w:eastAsia="zh-CN"/>
              </w:rPr>
            </w:pPr>
            <w:r w:rsidRPr="007B7E5B">
              <w:rPr>
                <w:sz w:val="16"/>
                <w:szCs w:val="16"/>
              </w:rPr>
              <w:t>Implement an annual learning plan aligned with the ITU Strategic Plan to prioritize learning investments and ensure relevance to strategic priorities.</w:t>
            </w:r>
          </w:p>
        </w:tc>
        <w:tc>
          <w:tcPr>
            <w:tcW w:w="1842" w:type="pct"/>
            <w:shd w:val="clear" w:color="auto" w:fill="DEEAF6"/>
            <w:vAlign w:val="center"/>
          </w:tcPr>
          <w:p w14:paraId="6C2D8648"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Plan published and executed (</w:t>
            </w:r>
            <w:r w:rsidRPr="007B7E5B">
              <w:rPr>
                <w:sz w:val="16"/>
                <w:szCs w:val="16"/>
              </w:rPr>
              <w:t>qualitative</w:t>
            </w:r>
            <w:r w:rsidRPr="007B7E5B">
              <w:rPr>
                <w:rFonts w:eastAsia="DengXian"/>
                <w:sz w:val="16"/>
                <w:szCs w:val="16"/>
                <w:lang w:eastAsia="zh-CN"/>
              </w:rPr>
              <w:t>)</w:t>
            </w:r>
          </w:p>
          <w:p w14:paraId="298568DA"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Training investment as % of staff cost (target = 3%)</w:t>
            </w:r>
          </w:p>
        </w:tc>
        <w:tc>
          <w:tcPr>
            <w:tcW w:w="592" w:type="pct"/>
            <w:shd w:val="clear" w:color="auto" w:fill="DEEAF6"/>
            <w:vAlign w:val="center"/>
          </w:tcPr>
          <w:p w14:paraId="7E142DDC" w14:textId="77777777" w:rsidR="003C0F36" w:rsidRPr="007B7E5B" w:rsidRDefault="003C0F36" w:rsidP="00F80EE9">
            <w:pPr>
              <w:pStyle w:val="Tabletext"/>
              <w:rPr>
                <w:sz w:val="16"/>
                <w:szCs w:val="16"/>
              </w:rPr>
            </w:pPr>
            <w:r w:rsidRPr="007B7E5B">
              <w:rPr>
                <w:sz w:val="16"/>
                <w:szCs w:val="16"/>
              </w:rPr>
              <w:t>Q1 2026 / Q1 2027 (annually)</w:t>
            </w:r>
          </w:p>
        </w:tc>
        <w:tc>
          <w:tcPr>
            <w:tcW w:w="494" w:type="pct"/>
            <w:shd w:val="clear" w:color="auto" w:fill="DEEAF6"/>
            <w:vAlign w:val="center"/>
          </w:tcPr>
          <w:p w14:paraId="673059BD" w14:textId="77777777" w:rsidR="003C0F36" w:rsidRPr="007B7E5B" w:rsidRDefault="003C0F36" w:rsidP="00F80EE9">
            <w:pPr>
              <w:pStyle w:val="Tabletext"/>
              <w:rPr>
                <w:rFonts w:eastAsia="DengXian"/>
                <w:sz w:val="16"/>
                <w:szCs w:val="16"/>
                <w:lang w:eastAsia="zh-CN"/>
              </w:rPr>
            </w:pPr>
          </w:p>
        </w:tc>
      </w:tr>
      <w:tr w:rsidR="003C0F36" w:rsidRPr="007B7E5B" w14:paraId="01B7AE93"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730302B"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lastRenderedPageBreak/>
              <w:t>3.4</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4EB4AC53" w14:textId="77777777" w:rsidR="003C0F36" w:rsidRPr="007B7E5B" w:rsidRDefault="003C0F36" w:rsidP="00F80EE9">
            <w:pPr>
              <w:pStyle w:val="Tabletext"/>
              <w:rPr>
                <w:sz w:val="16"/>
                <w:szCs w:val="16"/>
                <w:lang w:eastAsia="zh-CN"/>
              </w:rPr>
            </w:pPr>
            <w:r w:rsidRPr="007B7E5B">
              <w:rPr>
                <w:sz w:val="16"/>
                <w:szCs w:val="16"/>
                <w:lang w:eastAsia="zh-CN"/>
              </w:rPr>
              <w:t>Future-oriented skills development</w:t>
            </w:r>
          </w:p>
        </w:tc>
        <w:tc>
          <w:tcPr>
            <w:tcW w:w="1228" w:type="pct"/>
            <w:tcBorders>
              <w:left w:val="single" w:sz="4" w:space="0" w:color="auto"/>
            </w:tcBorders>
            <w:shd w:val="clear" w:color="auto" w:fill="DEEAF6"/>
            <w:vAlign w:val="center"/>
          </w:tcPr>
          <w:p w14:paraId="0443C9AB" w14:textId="77777777" w:rsidR="003C0F36" w:rsidRPr="007B7E5B" w:rsidRDefault="003C0F36" w:rsidP="00F80EE9">
            <w:pPr>
              <w:pStyle w:val="Tabletext"/>
              <w:rPr>
                <w:rFonts w:eastAsia="DengXian"/>
                <w:sz w:val="16"/>
                <w:szCs w:val="16"/>
                <w:lang w:eastAsia="zh-CN"/>
              </w:rPr>
            </w:pPr>
            <w:r w:rsidRPr="007B7E5B">
              <w:rPr>
                <w:sz w:val="16"/>
                <w:szCs w:val="16"/>
              </w:rPr>
              <w:t>Strengthen future-oriented skills development by aligning learning with emerging technologies, priority capability needs and critical roles, supported by targeted programmes and on-the-job learning.</w:t>
            </w:r>
          </w:p>
        </w:tc>
        <w:tc>
          <w:tcPr>
            <w:tcW w:w="1842" w:type="pct"/>
            <w:shd w:val="clear" w:color="auto" w:fill="DEEAF6"/>
            <w:vAlign w:val="center"/>
          </w:tcPr>
          <w:p w14:paraId="379C4C9C"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Number of programmes delivered</w:t>
            </w:r>
          </w:p>
          <w:p w14:paraId="0233CBF3"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Participation in skills programmes (number/%)</w:t>
            </w:r>
          </w:p>
        </w:tc>
        <w:tc>
          <w:tcPr>
            <w:tcW w:w="592" w:type="pct"/>
            <w:shd w:val="clear" w:color="auto" w:fill="DEEAF6"/>
            <w:vAlign w:val="center"/>
          </w:tcPr>
          <w:p w14:paraId="1823E380" w14:textId="77777777" w:rsidR="003C0F36" w:rsidRPr="007B7E5B" w:rsidRDefault="003C0F36" w:rsidP="00F80EE9">
            <w:pPr>
              <w:pStyle w:val="Tabletext"/>
              <w:rPr>
                <w:sz w:val="16"/>
                <w:szCs w:val="16"/>
              </w:rPr>
            </w:pPr>
            <w:r w:rsidRPr="007B7E5B">
              <w:rPr>
                <w:sz w:val="16"/>
                <w:szCs w:val="16"/>
              </w:rPr>
              <w:t>Q4 2026</w:t>
            </w:r>
          </w:p>
        </w:tc>
        <w:tc>
          <w:tcPr>
            <w:tcW w:w="494" w:type="pct"/>
            <w:shd w:val="clear" w:color="auto" w:fill="DEEAF6"/>
            <w:vAlign w:val="center"/>
          </w:tcPr>
          <w:p w14:paraId="33DB5E26" w14:textId="77777777" w:rsidR="003C0F36" w:rsidRPr="007B7E5B" w:rsidRDefault="003C0F36" w:rsidP="00F80EE9">
            <w:pPr>
              <w:pStyle w:val="Tabletext"/>
              <w:rPr>
                <w:rFonts w:eastAsia="DengXian"/>
                <w:sz w:val="16"/>
                <w:szCs w:val="16"/>
                <w:lang w:eastAsia="zh-CN"/>
              </w:rPr>
            </w:pPr>
          </w:p>
        </w:tc>
      </w:tr>
      <w:tr w:rsidR="003C0F36" w:rsidRPr="007B7E5B" w14:paraId="0080695A"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7EB0FDE9"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3.5</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6709E2E8" w14:textId="77777777" w:rsidR="003C0F36" w:rsidRPr="007B7E5B" w:rsidRDefault="003C0F36" w:rsidP="00F80EE9">
            <w:pPr>
              <w:pStyle w:val="Tabletext"/>
              <w:rPr>
                <w:sz w:val="16"/>
                <w:szCs w:val="16"/>
                <w:lang w:eastAsia="zh-CN"/>
              </w:rPr>
            </w:pPr>
            <w:r w:rsidRPr="007B7E5B">
              <w:rPr>
                <w:sz w:val="16"/>
                <w:szCs w:val="16"/>
                <w:lang w:eastAsia="zh-CN"/>
              </w:rPr>
              <w:t>Learning analytics and skills assessment</w:t>
            </w:r>
          </w:p>
        </w:tc>
        <w:tc>
          <w:tcPr>
            <w:tcW w:w="1228" w:type="pct"/>
            <w:tcBorders>
              <w:left w:val="single" w:sz="4" w:space="0" w:color="auto"/>
            </w:tcBorders>
            <w:shd w:val="clear" w:color="auto" w:fill="DEEAF6"/>
            <w:vAlign w:val="center"/>
          </w:tcPr>
          <w:p w14:paraId="0152DA97" w14:textId="77777777" w:rsidR="003C0F36" w:rsidRPr="007B7E5B" w:rsidRDefault="003C0F36" w:rsidP="00F80EE9">
            <w:pPr>
              <w:pStyle w:val="Tabletext"/>
              <w:rPr>
                <w:rFonts w:eastAsia="DengXian"/>
                <w:sz w:val="16"/>
                <w:szCs w:val="16"/>
                <w:lang w:eastAsia="zh-CN"/>
              </w:rPr>
            </w:pPr>
            <w:r w:rsidRPr="007B7E5B">
              <w:rPr>
                <w:sz w:val="16"/>
                <w:szCs w:val="16"/>
              </w:rPr>
              <w:t>Develop learning analytics and skills assessment to better understand capability gaps, tailor learning offers, and track learning uptake and effectiveness.</w:t>
            </w:r>
          </w:p>
        </w:tc>
        <w:tc>
          <w:tcPr>
            <w:tcW w:w="1842" w:type="pct"/>
            <w:shd w:val="clear" w:color="auto" w:fill="DEEAF6"/>
            <w:vAlign w:val="center"/>
          </w:tcPr>
          <w:p w14:paraId="62989371"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Active usage of the Learning Dashboard</w:t>
            </w:r>
          </w:p>
          <w:p w14:paraId="125D45EC"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 of training offers tailored to identified skill gaps</w:t>
            </w:r>
          </w:p>
          <w:p w14:paraId="1F5034F2"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Average learning effectiveness score (post-training evaluation)</w:t>
            </w:r>
          </w:p>
        </w:tc>
        <w:tc>
          <w:tcPr>
            <w:tcW w:w="592" w:type="pct"/>
            <w:shd w:val="clear" w:color="auto" w:fill="DEEAF6"/>
            <w:vAlign w:val="center"/>
          </w:tcPr>
          <w:p w14:paraId="630BE2F5" w14:textId="77777777" w:rsidR="003C0F36" w:rsidRPr="007B7E5B" w:rsidRDefault="003C0F36" w:rsidP="00F80EE9">
            <w:pPr>
              <w:pStyle w:val="Tabletext"/>
              <w:rPr>
                <w:sz w:val="16"/>
                <w:szCs w:val="16"/>
              </w:rPr>
            </w:pPr>
            <w:r w:rsidRPr="007B7E5B">
              <w:rPr>
                <w:sz w:val="16"/>
                <w:szCs w:val="16"/>
              </w:rPr>
              <w:t>Q3 2026</w:t>
            </w:r>
          </w:p>
        </w:tc>
        <w:tc>
          <w:tcPr>
            <w:tcW w:w="494" w:type="pct"/>
            <w:shd w:val="clear" w:color="auto" w:fill="DEEAF6"/>
            <w:vAlign w:val="center"/>
          </w:tcPr>
          <w:p w14:paraId="5A0EAFF0" w14:textId="77777777" w:rsidR="003C0F36" w:rsidRPr="007B7E5B" w:rsidRDefault="003C0F36" w:rsidP="00F80EE9">
            <w:pPr>
              <w:pStyle w:val="Tabletext"/>
              <w:rPr>
                <w:rFonts w:eastAsia="DengXian"/>
                <w:sz w:val="16"/>
                <w:szCs w:val="16"/>
                <w:lang w:eastAsia="zh-CN"/>
              </w:rPr>
            </w:pPr>
          </w:p>
        </w:tc>
      </w:tr>
      <w:tr w:rsidR="003C0F36" w:rsidRPr="007B7E5B" w14:paraId="6D5037F9"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59564908"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3.6</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5E3C9F9B" w14:textId="77777777" w:rsidR="003C0F36" w:rsidRPr="007B7E5B" w:rsidRDefault="003C0F36" w:rsidP="00F80EE9">
            <w:pPr>
              <w:pStyle w:val="Tabletext"/>
              <w:rPr>
                <w:sz w:val="16"/>
                <w:szCs w:val="16"/>
                <w:lang w:eastAsia="zh-CN"/>
              </w:rPr>
            </w:pPr>
            <w:r w:rsidRPr="007B7E5B">
              <w:rPr>
                <w:sz w:val="16"/>
                <w:szCs w:val="16"/>
                <w:lang w:eastAsia="zh-CN"/>
              </w:rPr>
              <w:t>Knowledge sharing and peer learning</w:t>
            </w:r>
          </w:p>
        </w:tc>
        <w:tc>
          <w:tcPr>
            <w:tcW w:w="1228" w:type="pct"/>
            <w:tcBorders>
              <w:left w:val="single" w:sz="4" w:space="0" w:color="auto"/>
            </w:tcBorders>
            <w:shd w:val="clear" w:color="auto" w:fill="DEEAF6"/>
            <w:vAlign w:val="center"/>
          </w:tcPr>
          <w:p w14:paraId="56C3F199"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Promote knowledge sharing and peer learning through communities of practice, mentoring and structured opportunities to share expertise across teams and departments.</w:t>
            </w:r>
          </w:p>
        </w:tc>
        <w:tc>
          <w:tcPr>
            <w:tcW w:w="1842" w:type="pct"/>
            <w:shd w:val="clear" w:color="auto" w:fill="DEEAF6"/>
            <w:vAlign w:val="center"/>
          </w:tcPr>
          <w:p w14:paraId="361850D3"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Number of staff mentored</w:t>
            </w:r>
          </w:p>
        </w:tc>
        <w:tc>
          <w:tcPr>
            <w:tcW w:w="592" w:type="pct"/>
            <w:shd w:val="clear" w:color="auto" w:fill="DEEAF6"/>
            <w:vAlign w:val="center"/>
          </w:tcPr>
          <w:p w14:paraId="5DE18B1D" w14:textId="77777777" w:rsidR="003C0F36" w:rsidRPr="007B7E5B" w:rsidRDefault="003C0F36" w:rsidP="00F80EE9">
            <w:pPr>
              <w:pStyle w:val="Tabletext"/>
              <w:rPr>
                <w:sz w:val="16"/>
                <w:szCs w:val="16"/>
              </w:rPr>
            </w:pPr>
            <w:r w:rsidRPr="007B7E5B">
              <w:rPr>
                <w:sz w:val="16"/>
                <w:szCs w:val="16"/>
              </w:rPr>
              <w:t>Q4 2026 (regularly afterwards)</w:t>
            </w:r>
          </w:p>
        </w:tc>
        <w:tc>
          <w:tcPr>
            <w:tcW w:w="494" w:type="pct"/>
            <w:shd w:val="clear" w:color="auto" w:fill="DEEAF6"/>
            <w:vAlign w:val="center"/>
          </w:tcPr>
          <w:p w14:paraId="30A2B6EC" w14:textId="77777777" w:rsidR="003C0F36" w:rsidRPr="007B7E5B" w:rsidRDefault="003C0F36" w:rsidP="00F80EE9">
            <w:pPr>
              <w:pStyle w:val="Tabletext"/>
              <w:rPr>
                <w:rFonts w:eastAsia="DengXian"/>
                <w:sz w:val="16"/>
                <w:szCs w:val="16"/>
                <w:lang w:eastAsia="zh-CN"/>
              </w:rPr>
            </w:pPr>
          </w:p>
        </w:tc>
      </w:tr>
      <w:tr w:rsidR="003C0F36" w:rsidRPr="007B7E5B" w14:paraId="294A7EC1"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9804D29"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4.1</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0A1CE18F" w14:textId="77777777" w:rsidR="003C0F36" w:rsidRPr="007B7E5B" w:rsidRDefault="003C0F36" w:rsidP="00F80EE9">
            <w:pPr>
              <w:pStyle w:val="Tabletext"/>
              <w:rPr>
                <w:sz w:val="16"/>
                <w:szCs w:val="16"/>
                <w:lang w:eastAsia="zh-CN"/>
              </w:rPr>
            </w:pPr>
            <w:r w:rsidRPr="007B7E5B">
              <w:rPr>
                <w:sz w:val="16"/>
                <w:szCs w:val="16"/>
                <w:lang w:eastAsia="zh-CN"/>
              </w:rPr>
              <w:t>Occupational Health &amp; Safety (OHS)</w:t>
            </w:r>
          </w:p>
        </w:tc>
        <w:tc>
          <w:tcPr>
            <w:tcW w:w="1228" w:type="pct"/>
            <w:tcBorders>
              <w:left w:val="single" w:sz="4" w:space="0" w:color="auto"/>
            </w:tcBorders>
            <w:shd w:val="clear" w:color="auto" w:fill="DEEAF6"/>
            <w:vAlign w:val="center"/>
          </w:tcPr>
          <w:p w14:paraId="1105DF41"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Support the transition towards a more integrated Occupational Health &amp; Safety (OHS) approach, building on existing medical services and strengthening prevention, risk management and awareness.</w:t>
            </w:r>
          </w:p>
        </w:tc>
        <w:tc>
          <w:tcPr>
            <w:tcW w:w="1842" w:type="pct"/>
            <w:shd w:val="clear" w:color="auto" w:fill="DEEAF6"/>
            <w:vAlign w:val="center"/>
          </w:tcPr>
          <w:p w14:paraId="29526BD9"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Organizational Health Review conducted</w:t>
            </w:r>
          </w:p>
          <w:p w14:paraId="5A003640"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Health and occupational risks integrated into the ITU Risk Register</w:t>
            </w:r>
          </w:p>
          <w:p w14:paraId="552E2DF5"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 of staff completing OHS awareness and prevention training</w:t>
            </w:r>
          </w:p>
        </w:tc>
        <w:tc>
          <w:tcPr>
            <w:tcW w:w="592" w:type="pct"/>
            <w:shd w:val="clear" w:color="auto" w:fill="DEEAF6"/>
            <w:vAlign w:val="center"/>
          </w:tcPr>
          <w:p w14:paraId="67A601BE" w14:textId="77777777" w:rsidR="003C0F36" w:rsidRPr="007B7E5B" w:rsidRDefault="003C0F36" w:rsidP="00F80EE9">
            <w:pPr>
              <w:pStyle w:val="Tabletext"/>
              <w:rPr>
                <w:sz w:val="16"/>
                <w:szCs w:val="16"/>
                <w:lang w:eastAsia="zh-CN"/>
              </w:rPr>
            </w:pPr>
            <w:r w:rsidRPr="007B7E5B">
              <w:rPr>
                <w:sz w:val="16"/>
                <w:szCs w:val="16"/>
              </w:rPr>
              <w:t>Q4 202</w:t>
            </w:r>
            <w:r w:rsidRPr="007B7E5B">
              <w:rPr>
                <w:sz w:val="16"/>
                <w:szCs w:val="16"/>
                <w:lang w:eastAsia="zh-CN"/>
              </w:rPr>
              <w:t>7</w:t>
            </w:r>
          </w:p>
          <w:p w14:paraId="669DCBE2" w14:textId="77777777" w:rsidR="003C0F36" w:rsidRPr="007B7E5B" w:rsidRDefault="003C0F36" w:rsidP="00F80EE9">
            <w:pPr>
              <w:pStyle w:val="Tabletext"/>
              <w:rPr>
                <w:sz w:val="16"/>
                <w:szCs w:val="16"/>
                <w:lang w:eastAsia="zh-CN"/>
              </w:rPr>
            </w:pPr>
            <w:r w:rsidRPr="007B7E5B">
              <w:rPr>
                <w:sz w:val="16"/>
                <w:szCs w:val="16"/>
              </w:rPr>
              <w:t>Q4 202</w:t>
            </w:r>
            <w:r w:rsidRPr="007B7E5B">
              <w:rPr>
                <w:sz w:val="16"/>
                <w:szCs w:val="16"/>
                <w:lang w:eastAsia="zh-CN"/>
              </w:rPr>
              <w:t>7</w:t>
            </w:r>
          </w:p>
          <w:p w14:paraId="4EA39297" w14:textId="77777777" w:rsidR="003C0F36" w:rsidRPr="007B7E5B" w:rsidRDefault="003C0F36" w:rsidP="00F80EE9">
            <w:pPr>
              <w:pStyle w:val="Tabletext"/>
              <w:rPr>
                <w:sz w:val="16"/>
                <w:szCs w:val="16"/>
              </w:rPr>
            </w:pPr>
            <w:r w:rsidRPr="007B7E5B">
              <w:rPr>
                <w:sz w:val="16"/>
                <w:szCs w:val="16"/>
              </w:rPr>
              <w:t>Q4 2026</w:t>
            </w:r>
            <w:r w:rsidRPr="007B7E5B">
              <w:rPr>
                <w:sz w:val="16"/>
                <w:szCs w:val="16"/>
                <w:lang w:eastAsia="zh-CN"/>
              </w:rPr>
              <w:t>/Q4 2027</w:t>
            </w:r>
          </w:p>
        </w:tc>
        <w:tc>
          <w:tcPr>
            <w:tcW w:w="494" w:type="pct"/>
            <w:shd w:val="clear" w:color="auto" w:fill="DEEAF6"/>
            <w:vAlign w:val="center"/>
          </w:tcPr>
          <w:p w14:paraId="743B7D80" w14:textId="77777777" w:rsidR="003C0F36" w:rsidRPr="007B7E5B" w:rsidRDefault="003C0F36" w:rsidP="00F80EE9">
            <w:pPr>
              <w:pStyle w:val="Tabletext"/>
              <w:rPr>
                <w:rFonts w:eastAsia="DengXian"/>
                <w:sz w:val="16"/>
                <w:szCs w:val="16"/>
                <w:lang w:eastAsia="zh-CN"/>
              </w:rPr>
            </w:pPr>
          </w:p>
        </w:tc>
      </w:tr>
      <w:tr w:rsidR="003C0F36" w:rsidRPr="007B7E5B" w14:paraId="1076690E"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9ED7148"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4.2</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151F8F5B" w14:textId="77777777" w:rsidR="003C0F36" w:rsidRPr="007B7E5B" w:rsidRDefault="003C0F36" w:rsidP="00F80EE9">
            <w:pPr>
              <w:pStyle w:val="Tabletext"/>
              <w:rPr>
                <w:sz w:val="16"/>
                <w:szCs w:val="16"/>
                <w:lang w:eastAsia="zh-CN"/>
              </w:rPr>
            </w:pPr>
            <w:r w:rsidRPr="007B7E5B">
              <w:rPr>
                <w:sz w:val="16"/>
                <w:szCs w:val="16"/>
                <w:lang w:eastAsia="zh-CN"/>
              </w:rPr>
              <w:t>Return-to-work</w:t>
            </w:r>
            <w:r w:rsidRPr="007B7E5B">
              <w:rPr>
                <w:rFonts w:eastAsia="DengXian"/>
                <w:sz w:val="16"/>
                <w:szCs w:val="16"/>
                <w:lang w:eastAsia="zh-CN"/>
              </w:rPr>
              <w:t xml:space="preserve"> (RTW)</w:t>
            </w:r>
            <w:r w:rsidRPr="007B7E5B">
              <w:rPr>
                <w:sz w:val="16"/>
                <w:szCs w:val="16"/>
                <w:lang w:eastAsia="zh-CN"/>
              </w:rPr>
              <w:t xml:space="preserve"> programmes</w:t>
            </w:r>
          </w:p>
        </w:tc>
        <w:tc>
          <w:tcPr>
            <w:tcW w:w="1228" w:type="pct"/>
            <w:tcBorders>
              <w:left w:val="single" w:sz="4" w:space="0" w:color="auto"/>
            </w:tcBorders>
            <w:shd w:val="clear" w:color="auto" w:fill="DEEAF6"/>
            <w:vAlign w:val="center"/>
          </w:tcPr>
          <w:p w14:paraId="76CB525F"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Enhance RTW programmes to support staff reintegration following illness or leave, through clear procedures, timely coordination and appropriate workplace adjustments where needed.</w:t>
            </w:r>
          </w:p>
        </w:tc>
        <w:tc>
          <w:tcPr>
            <w:tcW w:w="1842" w:type="pct"/>
            <w:shd w:val="clear" w:color="auto" w:fill="DEEAF6"/>
            <w:vAlign w:val="center"/>
          </w:tcPr>
          <w:p w14:paraId="71240F2E"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Standard Operating Procedures (SOPs) for RTW implemented (</w:t>
            </w:r>
            <w:r w:rsidRPr="007B7E5B">
              <w:rPr>
                <w:sz w:val="16"/>
                <w:szCs w:val="16"/>
              </w:rPr>
              <w:t>qualitative</w:t>
            </w:r>
            <w:r w:rsidRPr="007B7E5B">
              <w:rPr>
                <w:rFonts w:eastAsia="DengXian"/>
                <w:sz w:val="16"/>
                <w:szCs w:val="16"/>
                <w:lang w:eastAsia="zh-CN"/>
              </w:rPr>
              <w:t>)</w:t>
            </w:r>
          </w:p>
          <w:p w14:paraId="0F673D8B"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%of RTW cases supported</w:t>
            </w:r>
          </w:p>
        </w:tc>
        <w:tc>
          <w:tcPr>
            <w:tcW w:w="592" w:type="pct"/>
            <w:shd w:val="clear" w:color="auto" w:fill="DEEAF6"/>
            <w:vAlign w:val="center"/>
          </w:tcPr>
          <w:p w14:paraId="06B0AB48" w14:textId="77777777" w:rsidR="003C0F36" w:rsidRPr="007B7E5B" w:rsidRDefault="003C0F36" w:rsidP="00F80EE9">
            <w:pPr>
              <w:pStyle w:val="Tabletext"/>
              <w:rPr>
                <w:sz w:val="16"/>
                <w:szCs w:val="16"/>
              </w:rPr>
            </w:pPr>
            <w:r w:rsidRPr="007B7E5B">
              <w:rPr>
                <w:sz w:val="16"/>
                <w:szCs w:val="16"/>
              </w:rPr>
              <w:t>Q4 2026</w:t>
            </w:r>
          </w:p>
          <w:p w14:paraId="42A79BF5" w14:textId="77777777" w:rsidR="003C0F36" w:rsidRPr="007B7E5B" w:rsidRDefault="003C0F36" w:rsidP="00F80EE9">
            <w:pPr>
              <w:pStyle w:val="Tabletext"/>
              <w:rPr>
                <w:sz w:val="16"/>
                <w:szCs w:val="16"/>
              </w:rPr>
            </w:pPr>
            <w:r w:rsidRPr="007B7E5B">
              <w:rPr>
                <w:sz w:val="16"/>
                <w:szCs w:val="16"/>
              </w:rPr>
              <w:t>Q4 2026</w:t>
            </w:r>
            <w:r w:rsidRPr="007B7E5B">
              <w:rPr>
                <w:sz w:val="16"/>
                <w:szCs w:val="16"/>
                <w:lang w:eastAsia="zh-CN"/>
              </w:rPr>
              <w:t>/Q4 2027</w:t>
            </w:r>
          </w:p>
        </w:tc>
        <w:tc>
          <w:tcPr>
            <w:tcW w:w="494" w:type="pct"/>
            <w:shd w:val="clear" w:color="auto" w:fill="DEEAF6"/>
            <w:vAlign w:val="center"/>
          </w:tcPr>
          <w:p w14:paraId="3316E5B0" w14:textId="77777777" w:rsidR="003C0F36" w:rsidRPr="007B7E5B" w:rsidRDefault="003C0F36" w:rsidP="00F80EE9">
            <w:pPr>
              <w:pStyle w:val="Tabletext"/>
              <w:rPr>
                <w:rFonts w:eastAsia="DengXian"/>
                <w:sz w:val="16"/>
                <w:szCs w:val="16"/>
                <w:lang w:eastAsia="zh-CN"/>
              </w:rPr>
            </w:pPr>
          </w:p>
        </w:tc>
      </w:tr>
      <w:tr w:rsidR="003C0F36" w:rsidRPr="007B7E5B" w14:paraId="07D53D59"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9A908F1"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4.3</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54C8CAA2" w14:textId="77777777" w:rsidR="003C0F36" w:rsidRPr="007B7E5B" w:rsidRDefault="003C0F36" w:rsidP="00F80EE9">
            <w:pPr>
              <w:pStyle w:val="Tabletext"/>
              <w:rPr>
                <w:sz w:val="16"/>
                <w:szCs w:val="16"/>
                <w:lang w:eastAsia="zh-CN"/>
              </w:rPr>
            </w:pPr>
            <w:r w:rsidRPr="007B7E5B">
              <w:rPr>
                <w:sz w:val="16"/>
                <w:szCs w:val="16"/>
                <w:lang w:eastAsia="zh-CN"/>
              </w:rPr>
              <w:t>Mental Health and Wellbeing Action Plan</w:t>
            </w:r>
          </w:p>
        </w:tc>
        <w:tc>
          <w:tcPr>
            <w:tcW w:w="1228" w:type="pct"/>
            <w:tcBorders>
              <w:left w:val="single" w:sz="4" w:space="0" w:color="auto"/>
            </w:tcBorders>
            <w:shd w:val="clear" w:color="auto" w:fill="DEEAF6"/>
            <w:vAlign w:val="center"/>
          </w:tcPr>
          <w:p w14:paraId="361294D3"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Implement the Mental Health and Wellbeing Action Plan to strengthen prevention, access to support and awareness, and to promote a supportive environment for mental wellbeing.</w:t>
            </w:r>
          </w:p>
        </w:tc>
        <w:tc>
          <w:tcPr>
            <w:tcW w:w="1842" w:type="pct"/>
            <w:shd w:val="clear" w:color="auto" w:fill="DEEAF6"/>
            <w:vAlign w:val="center"/>
          </w:tcPr>
          <w:p w14:paraId="01E432AE"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 of Mental Health Action Plan milestones achieved</w:t>
            </w:r>
          </w:p>
          <w:p w14:paraId="2A78F063"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EES scores for "Work &amp; Life Blend and Our Culture" (trend)</w:t>
            </w:r>
          </w:p>
        </w:tc>
        <w:tc>
          <w:tcPr>
            <w:tcW w:w="592" w:type="pct"/>
            <w:shd w:val="clear" w:color="auto" w:fill="DEEAF6"/>
            <w:vAlign w:val="center"/>
          </w:tcPr>
          <w:p w14:paraId="7CAAE220" w14:textId="77777777" w:rsidR="003C0F36" w:rsidRPr="007B7E5B" w:rsidRDefault="003C0F36" w:rsidP="00F80EE9">
            <w:pPr>
              <w:pStyle w:val="Tabletext"/>
              <w:rPr>
                <w:sz w:val="16"/>
                <w:szCs w:val="16"/>
                <w:lang w:eastAsia="zh-CN"/>
              </w:rPr>
            </w:pPr>
            <w:r w:rsidRPr="007B7E5B">
              <w:rPr>
                <w:sz w:val="16"/>
                <w:szCs w:val="16"/>
              </w:rPr>
              <w:t>Q4 2026</w:t>
            </w:r>
            <w:r w:rsidRPr="007B7E5B">
              <w:rPr>
                <w:sz w:val="16"/>
                <w:szCs w:val="16"/>
                <w:lang w:eastAsia="zh-CN"/>
              </w:rPr>
              <w:t>/Q4 2027</w:t>
            </w:r>
          </w:p>
          <w:p w14:paraId="42B1E680" w14:textId="77777777" w:rsidR="003C0F36" w:rsidRPr="007B7E5B" w:rsidRDefault="003C0F36" w:rsidP="00F80EE9">
            <w:pPr>
              <w:pStyle w:val="Tabletext"/>
              <w:rPr>
                <w:sz w:val="16"/>
                <w:szCs w:val="16"/>
              </w:rPr>
            </w:pPr>
            <w:r w:rsidRPr="007B7E5B">
              <w:rPr>
                <w:sz w:val="16"/>
                <w:szCs w:val="16"/>
              </w:rPr>
              <w:t>Q4 202</w:t>
            </w:r>
            <w:r w:rsidRPr="007B7E5B">
              <w:rPr>
                <w:sz w:val="16"/>
                <w:szCs w:val="16"/>
                <w:lang w:eastAsia="zh-CN"/>
              </w:rPr>
              <w:t>7</w:t>
            </w:r>
          </w:p>
        </w:tc>
        <w:tc>
          <w:tcPr>
            <w:tcW w:w="494" w:type="pct"/>
            <w:shd w:val="clear" w:color="auto" w:fill="DEEAF6"/>
            <w:vAlign w:val="center"/>
          </w:tcPr>
          <w:p w14:paraId="3DE4A686" w14:textId="77777777" w:rsidR="003C0F36" w:rsidRPr="007B7E5B" w:rsidRDefault="003C0F36" w:rsidP="00F80EE9">
            <w:pPr>
              <w:pStyle w:val="Tabletext"/>
              <w:rPr>
                <w:rFonts w:eastAsia="DengXian"/>
                <w:sz w:val="16"/>
                <w:szCs w:val="16"/>
                <w:lang w:eastAsia="zh-CN"/>
              </w:rPr>
            </w:pPr>
          </w:p>
        </w:tc>
      </w:tr>
      <w:tr w:rsidR="003C0F36" w:rsidRPr="007B7E5B" w14:paraId="4214A2D9"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A9F2A91"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4.4</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6730CF18" w14:textId="77777777" w:rsidR="003C0F36" w:rsidRPr="007B7E5B" w:rsidRDefault="003C0F36" w:rsidP="00F80EE9">
            <w:pPr>
              <w:pStyle w:val="Tabletext"/>
              <w:rPr>
                <w:sz w:val="16"/>
                <w:szCs w:val="16"/>
                <w:lang w:eastAsia="zh-CN"/>
              </w:rPr>
            </w:pPr>
            <w:r w:rsidRPr="007B7E5B">
              <w:rPr>
                <w:sz w:val="16"/>
                <w:szCs w:val="16"/>
                <w:lang w:eastAsia="zh-CN"/>
              </w:rPr>
              <w:t>Stressors and resilience</w:t>
            </w:r>
          </w:p>
        </w:tc>
        <w:tc>
          <w:tcPr>
            <w:tcW w:w="1228" w:type="pct"/>
            <w:tcBorders>
              <w:left w:val="single" w:sz="4" w:space="0" w:color="auto"/>
            </w:tcBorders>
            <w:shd w:val="clear" w:color="auto" w:fill="DEEAF6"/>
            <w:vAlign w:val="center"/>
          </w:tcPr>
          <w:p w14:paraId="5685C46D"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Mitigate workplace stressors and build resilience through targeted interventions, practical resources for staff and managers, and initiatives that promote healthy ways of working.</w:t>
            </w:r>
          </w:p>
        </w:tc>
        <w:tc>
          <w:tcPr>
            <w:tcW w:w="1842" w:type="pct"/>
            <w:shd w:val="clear" w:color="auto" w:fill="DEEAF6"/>
            <w:vAlign w:val="center"/>
          </w:tcPr>
          <w:p w14:paraId="64CD7B56"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 staff participation in mental health awareness or resilience sessions</w:t>
            </w:r>
          </w:p>
          <w:p w14:paraId="3A01881B"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Medical/leave statistics (trend)</w:t>
            </w:r>
          </w:p>
        </w:tc>
        <w:tc>
          <w:tcPr>
            <w:tcW w:w="592" w:type="pct"/>
            <w:shd w:val="clear" w:color="auto" w:fill="DEEAF6"/>
            <w:vAlign w:val="center"/>
          </w:tcPr>
          <w:p w14:paraId="67CF42EE" w14:textId="77777777" w:rsidR="003C0F36" w:rsidRPr="007B7E5B" w:rsidRDefault="003C0F36" w:rsidP="00F80EE9">
            <w:pPr>
              <w:pStyle w:val="Tabletext"/>
              <w:rPr>
                <w:sz w:val="16"/>
                <w:szCs w:val="16"/>
              </w:rPr>
            </w:pPr>
            <w:r w:rsidRPr="007B7E5B">
              <w:rPr>
                <w:sz w:val="16"/>
                <w:szCs w:val="16"/>
              </w:rPr>
              <w:t>Q4 2026</w:t>
            </w:r>
            <w:r w:rsidRPr="007B7E5B">
              <w:rPr>
                <w:sz w:val="16"/>
                <w:szCs w:val="16"/>
                <w:lang w:eastAsia="zh-CN"/>
              </w:rPr>
              <w:t>/Q4 2027</w:t>
            </w:r>
            <w:r w:rsidRPr="007B7E5B">
              <w:rPr>
                <w:sz w:val="16"/>
                <w:szCs w:val="16"/>
              </w:rPr>
              <w:br/>
            </w:r>
          </w:p>
          <w:p w14:paraId="15479D79" w14:textId="77777777" w:rsidR="003C0F36" w:rsidRPr="007B7E5B" w:rsidRDefault="003C0F36" w:rsidP="00F80EE9">
            <w:pPr>
              <w:pStyle w:val="Tabletext"/>
              <w:rPr>
                <w:sz w:val="16"/>
                <w:szCs w:val="16"/>
              </w:rPr>
            </w:pPr>
            <w:r w:rsidRPr="007B7E5B">
              <w:rPr>
                <w:sz w:val="16"/>
                <w:szCs w:val="16"/>
              </w:rPr>
              <w:t>Q4 202</w:t>
            </w:r>
            <w:r w:rsidRPr="007B7E5B">
              <w:rPr>
                <w:sz w:val="16"/>
                <w:szCs w:val="16"/>
                <w:lang w:eastAsia="zh-CN"/>
              </w:rPr>
              <w:t>7</w:t>
            </w:r>
          </w:p>
        </w:tc>
        <w:tc>
          <w:tcPr>
            <w:tcW w:w="494" w:type="pct"/>
            <w:shd w:val="clear" w:color="auto" w:fill="DEEAF6"/>
            <w:vAlign w:val="center"/>
          </w:tcPr>
          <w:p w14:paraId="7770EBD8" w14:textId="77777777" w:rsidR="003C0F36" w:rsidRPr="007B7E5B" w:rsidRDefault="003C0F36" w:rsidP="00F80EE9">
            <w:pPr>
              <w:pStyle w:val="Tabletext"/>
              <w:rPr>
                <w:rFonts w:eastAsia="DengXian"/>
                <w:sz w:val="16"/>
                <w:szCs w:val="16"/>
                <w:lang w:eastAsia="zh-CN"/>
              </w:rPr>
            </w:pPr>
          </w:p>
        </w:tc>
      </w:tr>
      <w:tr w:rsidR="003C0F36" w:rsidRPr="007B7E5B" w14:paraId="7B117EE5"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CB82F88"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4.5</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31043FEF" w14:textId="77777777" w:rsidR="003C0F36" w:rsidRPr="007B7E5B" w:rsidRDefault="003C0F36" w:rsidP="00F80EE9">
            <w:pPr>
              <w:pStyle w:val="Tabletext"/>
              <w:rPr>
                <w:rFonts w:eastAsia="DengXian"/>
                <w:sz w:val="16"/>
                <w:szCs w:val="16"/>
                <w:lang w:eastAsia="zh-CN"/>
              </w:rPr>
            </w:pPr>
            <w:r w:rsidRPr="007B7E5B">
              <w:rPr>
                <w:sz w:val="16"/>
                <w:szCs w:val="16"/>
                <w:lang w:eastAsia="zh-CN"/>
              </w:rPr>
              <w:t>Flexible working arrangements</w:t>
            </w:r>
            <w:r w:rsidRPr="007B7E5B">
              <w:rPr>
                <w:rFonts w:eastAsia="DengXian"/>
                <w:sz w:val="16"/>
                <w:szCs w:val="16"/>
                <w:lang w:eastAsia="zh-CN"/>
              </w:rPr>
              <w:t xml:space="preserve"> (FWA)</w:t>
            </w:r>
          </w:p>
        </w:tc>
        <w:tc>
          <w:tcPr>
            <w:tcW w:w="1228" w:type="pct"/>
            <w:tcBorders>
              <w:left w:val="single" w:sz="4" w:space="0" w:color="auto"/>
            </w:tcBorders>
            <w:shd w:val="clear" w:color="auto" w:fill="DEEAF6"/>
            <w:vAlign w:val="center"/>
          </w:tcPr>
          <w:p w14:paraId="0B159143" w14:textId="28457DEC" w:rsidR="003C0F36" w:rsidRPr="007B7E5B" w:rsidRDefault="40097AA8" w:rsidP="00E43561">
            <w:pPr>
              <w:pStyle w:val="Tabletext"/>
              <w:spacing w:line="259" w:lineRule="auto"/>
              <w:rPr>
                <w:rFonts w:eastAsia="DengXian"/>
                <w:sz w:val="16"/>
                <w:szCs w:val="16"/>
                <w:lang w:eastAsia="zh-CN"/>
              </w:rPr>
            </w:pPr>
            <w:r w:rsidRPr="2764FB75">
              <w:rPr>
                <w:rFonts w:eastAsia="DengXian"/>
                <w:sz w:val="16"/>
                <w:szCs w:val="16"/>
                <w:lang w:eastAsia="zh-CN"/>
              </w:rPr>
              <w:t>Implement FWA appropriate for operational needs to support work-life balance, through a clear policy and guidance, and consistent application across teams.</w:t>
            </w:r>
          </w:p>
        </w:tc>
        <w:tc>
          <w:tcPr>
            <w:tcW w:w="1842" w:type="pct"/>
            <w:shd w:val="clear" w:color="auto" w:fill="DEEAF6"/>
            <w:vAlign w:val="center"/>
          </w:tcPr>
          <w:p w14:paraId="55727E39"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Updated Policy promulgated and operationalized (</w:t>
            </w:r>
            <w:r w:rsidRPr="007B7E5B">
              <w:rPr>
                <w:sz w:val="16"/>
                <w:szCs w:val="16"/>
              </w:rPr>
              <w:t>qualitative</w:t>
            </w:r>
            <w:r w:rsidRPr="007B7E5B">
              <w:rPr>
                <w:rFonts w:eastAsia="DengXian"/>
                <w:sz w:val="16"/>
                <w:szCs w:val="16"/>
                <w:lang w:eastAsia="zh-CN"/>
              </w:rPr>
              <w:t>)</w:t>
            </w:r>
          </w:p>
          <w:p w14:paraId="2461241B"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Dashboard utilization for FWA tracking and monitoring</w:t>
            </w:r>
          </w:p>
        </w:tc>
        <w:tc>
          <w:tcPr>
            <w:tcW w:w="592" w:type="pct"/>
            <w:shd w:val="clear" w:color="auto" w:fill="DEEAF6"/>
            <w:vAlign w:val="center"/>
          </w:tcPr>
          <w:p w14:paraId="3DB2D9A7" w14:textId="77777777" w:rsidR="003C0F36" w:rsidRPr="007B7E5B" w:rsidRDefault="003C0F36" w:rsidP="00F80EE9">
            <w:pPr>
              <w:pStyle w:val="Tabletext"/>
              <w:rPr>
                <w:sz w:val="16"/>
                <w:szCs w:val="16"/>
              </w:rPr>
            </w:pPr>
            <w:r w:rsidRPr="007B7E5B">
              <w:rPr>
                <w:rFonts w:eastAsia="DengXian"/>
                <w:sz w:val="16"/>
                <w:szCs w:val="16"/>
                <w:lang w:eastAsia="zh-CN"/>
              </w:rPr>
              <w:t>Q1 2026</w:t>
            </w:r>
          </w:p>
        </w:tc>
        <w:tc>
          <w:tcPr>
            <w:tcW w:w="494" w:type="pct"/>
            <w:shd w:val="clear" w:color="auto" w:fill="DEEAF6"/>
            <w:vAlign w:val="center"/>
          </w:tcPr>
          <w:p w14:paraId="1154BE34" w14:textId="77777777" w:rsidR="003C0F36" w:rsidRPr="007B7E5B" w:rsidRDefault="003C0F36" w:rsidP="00F80EE9">
            <w:pPr>
              <w:pStyle w:val="Tabletext"/>
              <w:rPr>
                <w:rFonts w:eastAsia="DengXian"/>
                <w:sz w:val="16"/>
                <w:szCs w:val="16"/>
                <w:lang w:eastAsia="zh-CN"/>
              </w:rPr>
            </w:pPr>
          </w:p>
        </w:tc>
      </w:tr>
      <w:tr w:rsidR="003C0F36" w:rsidRPr="007B7E5B" w14:paraId="1EAE2B69"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93E0542"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lastRenderedPageBreak/>
              <w:t>4.6</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0B5CAEBD" w14:textId="77777777" w:rsidR="003C0F36" w:rsidRPr="007B7E5B" w:rsidRDefault="003C0F36" w:rsidP="00F80EE9">
            <w:pPr>
              <w:pStyle w:val="Tabletext"/>
              <w:rPr>
                <w:sz w:val="16"/>
                <w:szCs w:val="16"/>
                <w:lang w:eastAsia="zh-CN"/>
              </w:rPr>
            </w:pPr>
            <w:r w:rsidRPr="007B7E5B">
              <w:rPr>
                <w:rFonts w:eastAsia="DengXian"/>
                <w:sz w:val="16"/>
                <w:szCs w:val="16"/>
                <w:lang w:eastAsia="zh-CN"/>
              </w:rPr>
              <w:t>I</w:t>
            </w:r>
            <w:r w:rsidRPr="007B7E5B">
              <w:rPr>
                <w:sz w:val="16"/>
                <w:szCs w:val="16"/>
                <w:lang w:eastAsia="zh-CN"/>
              </w:rPr>
              <w:t xml:space="preserve">nclusive </w:t>
            </w:r>
            <w:r w:rsidRPr="007B7E5B">
              <w:rPr>
                <w:rFonts w:eastAsia="DengXian"/>
                <w:sz w:val="16"/>
                <w:szCs w:val="16"/>
                <w:lang w:eastAsia="zh-CN"/>
              </w:rPr>
              <w:t xml:space="preserve">and respectful </w:t>
            </w:r>
            <w:r w:rsidRPr="007B7E5B">
              <w:rPr>
                <w:sz w:val="16"/>
                <w:szCs w:val="16"/>
                <w:lang w:eastAsia="zh-CN"/>
              </w:rPr>
              <w:t>workplace</w:t>
            </w:r>
          </w:p>
        </w:tc>
        <w:tc>
          <w:tcPr>
            <w:tcW w:w="1228" w:type="pct"/>
            <w:tcBorders>
              <w:left w:val="single" w:sz="4" w:space="0" w:color="auto"/>
            </w:tcBorders>
            <w:shd w:val="clear" w:color="auto" w:fill="DEEAF6"/>
            <w:vAlign w:val="center"/>
          </w:tcPr>
          <w:p w14:paraId="7DA84280"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Build an inclusive workplace by fostering a respectful and supportive culture, leveraging diversity, preventing unacceptable conduct, and advancing disability inclusion through reasonable accommodation, alongside equitable opportunities for all.</w:t>
            </w:r>
          </w:p>
        </w:tc>
        <w:tc>
          <w:tcPr>
            <w:tcW w:w="1842" w:type="pct"/>
            <w:shd w:val="clear" w:color="auto" w:fill="DEEAF6"/>
            <w:vAlign w:val="center"/>
          </w:tcPr>
          <w:p w14:paraId="3B0C3165"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 staff completion of trainings on preventing harassment and misconduct </w:t>
            </w:r>
          </w:p>
          <w:p w14:paraId="5DCFC422"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 reasonable accommodation requests supported</w:t>
            </w:r>
          </w:p>
        </w:tc>
        <w:tc>
          <w:tcPr>
            <w:tcW w:w="592" w:type="pct"/>
            <w:shd w:val="clear" w:color="auto" w:fill="DEEAF6"/>
            <w:vAlign w:val="center"/>
          </w:tcPr>
          <w:p w14:paraId="06A44165" w14:textId="77777777" w:rsidR="003C0F36" w:rsidRPr="007B7E5B" w:rsidRDefault="003C0F36" w:rsidP="00F80EE9">
            <w:pPr>
              <w:pStyle w:val="Tabletext"/>
              <w:rPr>
                <w:sz w:val="16"/>
                <w:szCs w:val="16"/>
                <w:lang w:eastAsia="zh-CN"/>
              </w:rPr>
            </w:pPr>
          </w:p>
          <w:p w14:paraId="666D6886" w14:textId="77777777" w:rsidR="003C0F36" w:rsidRPr="007B7E5B" w:rsidRDefault="003C0F36" w:rsidP="00F80EE9">
            <w:pPr>
              <w:pStyle w:val="Tabletext"/>
              <w:rPr>
                <w:sz w:val="16"/>
                <w:szCs w:val="16"/>
              </w:rPr>
            </w:pPr>
            <w:r w:rsidRPr="007B7E5B">
              <w:rPr>
                <w:sz w:val="16"/>
                <w:szCs w:val="16"/>
              </w:rPr>
              <w:t>Q4 2026</w:t>
            </w:r>
            <w:r w:rsidRPr="007B7E5B">
              <w:rPr>
                <w:sz w:val="16"/>
                <w:szCs w:val="16"/>
                <w:lang w:eastAsia="zh-CN"/>
              </w:rPr>
              <w:t>/Q4 2027</w:t>
            </w:r>
            <w:r w:rsidRPr="007B7E5B">
              <w:rPr>
                <w:sz w:val="16"/>
                <w:szCs w:val="16"/>
              </w:rPr>
              <w:br/>
            </w:r>
          </w:p>
          <w:p w14:paraId="0E4FDCA9" w14:textId="77777777" w:rsidR="003C0F36" w:rsidRPr="007B7E5B" w:rsidRDefault="003C0F36" w:rsidP="00F80EE9">
            <w:pPr>
              <w:pStyle w:val="Tabletext"/>
              <w:rPr>
                <w:sz w:val="16"/>
                <w:szCs w:val="16"/>
              </w:rPr>
            </w:pPr>
            <w:r w:rsidRPr="007B7E5B">
              <w:rPr>
                <w:sz w:val="16"/>
                <w:szCs w:val="16"/>
              </w:rPr>
              <w:t>Q4 2026</w:t>
            </w:r>
            <w:r w:rsidRPr="007B7E5B">
              <w:rPr>
                <w:sz w:val="16"/>
                <w:szCs w:val="16"/>
                <w:lang w:eastAsia="zh-CN"/>
              </w:rPr>
              <w:t>/Q4 2027</w:t>
            </w:r>
          </w:p>
          <w:p w14:paraId="28D0FC2A" w14:textId="77777777" w:rsidR="003C0F36" w:rsidRPr="007B7E5B" w:rsidRDefault="003C0F36" w:rsidP="00F80EE9">
            <w:pPr>
              <w:pStyle w:val="Tabletext"/>
              <w:rPr>
                <w:sz w:val="16"/>
                <w:szCs w:val="16"/>
              </w:rPr>
            </w:pPr>
          </w:p>
        </w:tc>
        <w:tc>
          <w:tcPr>
            <w:tcW w:w="494" w:type="pct"/>
            <w:shd w:val="clear" w:color="auto" w:fill="DEEAF6"/>
            <w:vAlign w:val="center"/>
          </w:tcPr>
          <w:p w14:paraId="746696A5" w14:textId="77777777" w:rsidR="003C0F36" w:rsidRPr="007B7E5B" w:rsidRDefault="003C0F36" w:rsidP="00F80EE9">
            <w:pPr>
              <w:pStyle w:val="Tabletext"/>
              <w:rPr>
                <w:rFonts w:eastAsia="DengXian"/>
                <w:sz w:val="16"/>
                <w:szCs w:val="16"/>
                <w:lang w:eastAsia="zh-CN"/>
              </w:rPr>
            </w:pPr>
          </w:p>
        </w:tc>
      </w:tr>
      <w:tr w:rsidR="003C0F36" w:rsidRPr="007B7E5B" w14:paraId="7442B708"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AC40B2D"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4.7</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6DED8161" w14:textId="77777777" w:rsidR="003C0F36" w:rsidRPr="007B7E5B" w:rsidRDefault="003C0F36" w:rsidP="00F80EE9">
            <w:pPr>
              <w:pStyle w:val="Tabletext"/>
              <w:rPr>
                <w:sz w:val="16"/>
                <w:szCs w:val="16"/>
                <w:lang w:eastAsia="zh-CN"/>
              </w:rPr>
            </w:pPr>
            <w:r w:rsidRPr="007B7E5B">
              <w:rPr>
                <w:rFonts w:eastAsia="DengXian"/>
                <w:sz w:val="16"/>
                <w:szCs w:val="16"/>
                <w:lang w:eastAsia="zh-CN"/>
              </w:rPr>
              <w:t xml:space="preserve">EES </w:t>
            </w:r>
            <w:r w:rsidRPr="007B7E5B">
              <w:rPr>
                <w:sz w:val="16"/>
                <w:szCs w:val="16"/>
                <w:lang w:eastAsia="zh-CN"/>
              </w:rPr>
              <w:t>and action plans</w:t>
            </w:r>
          </w:p>
        </w:tc>
        <w:tc>
          <w:tcPr>
            <w:tcW w:w="1228" w:type="pct"/>
            <w:tcBorders>
              <w:left w:val="single" w:sz="4" w:space="0" w:color="auto"/>
            </w:tcBorders>
            <w:shd w:val="clear" w:color="auto" w:fill="DEEAF6"/>
            <w:vAlign w:val="center"/>
          </w:tcPr>
          <w:p w14:paraId="4B8963BE"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Leverage the Employee Engagement Survey (EES) and action plans to institutionalize staff feedback mechanisms, prioritizing evidence-based interventions and monitoring progress through transparent communication and mutual accountability.</w:t>
            </w:r>
          </w:p>
        </w:tc>
        <w:tc>
          <w:tcPr>
            <w:tcW w:w="1842" w:type="pct"/>
            <w:shd w:val="clear" w:color="auto" w:fill="DEEAF6"/>
            <w:vAlign w:val="center"/>
          </w:tcPr>
          <w:p w14:paraId="70C45373"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EES participation rate</w:t>
            </w:r>
          </w:p>
          <w:p w14:paraId="36C26467"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 of departments with an active EES Action Plan </w:t>
            </w:r>
          </w:p>
          <w:p w14:paraId="5A92A68C"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Trend in scores across key survey dimensions over time</w:t>
            </w:r>
          </w:p>
        </w:tc>
        <w:tc>
          <w:tcPr>
            <w:tcW w:w="592" w:type="pct"/>
            <w:shd w:val="clear" w:color="auto" w:fill="DEEAF6"/>
            <w:vAlign w:val="center"/>
          </w:tcPr>
          <w:p w14:paraId="470C2E9D" w14:textId="77777777" w:rsidR="003C0F36" w:rsidRPr="007B7E5B" w:rsidRDefault="003C0F36" w:rsidP="00F80EE9">
            <w:pPr>
              <w:pStyle w:val="Tabletext"/>
              <w:rPr>
                <w:sz w:val="16"/>
                <w:szCs w:val="16"/>
              </w:rPr>
            </w:pPr>
            <w:r w:rsidRPr="007B7E5B">
              <w:rPr>
                <w:sz w:val="16"/>
                <w:szCs w:val="16"/>
              </w:rPr>
              <w:t>Q4 2026 (issuance of new survey Q1 2027)</w:t>
            </w:r>
          </w:p>
        </w:tc>
        <w:tc>
          <w:tcPr>
            <w:tcW w:w="494" w:type="pct"/>
            <w:shd w:val="clear" w:color="auto" w:fill="DEEAF6"/>
            <w:vAlign w:val="center"/>
          </w:tcPr>
          <w:p w14:paraId="39650A23" w14:textId="77777777" w:rsidR="003C0F36" w:rsidRPr="007B7E5B" w:rsidRDefault="003C0F36" w:rsidP="00F80EE9">
            <w:pPr>
              <w:pStyle w:val="Tabletext"/>
              <w:rPr>
                <w:rFonts w:eastAsia="DengXian"/>
                <w:sz w:val="16"/>
                <w:szCs w:val="16"/>
                <w:lang w:eastAsia="zh-CN"/>
              </w:rPr>
            </w:pPr>
          </w:p>
        </w:tc>
      </w:tr>
      <w:tr w:rsidR="003C0F36" w:rsidRPr="007B7E5B" w14:paraId="53C6DE97"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E749156"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5.1</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18F86B95" w14:textId="77777777" w:rsidR="003C0F36" w:rsidRPr="007B7E5B" w:rsidRDefault="003C0F36" w:rsidP="00F80EE9">
            <w:pPr>
              <w:pStyle w:val="Tabletext"/>
              <w:rPr>
                <w:sz w:val="16"/>
                <w:szCs w:val="16"/>
                <w:lang w:eastAsia="zh-CN"/>
              </w:rPr>
            </w:pPr>
            <w:r w:rsidRPr="007B7E5B">
              <w:rPr>
                <w:sz w:val="16"/>
                <w:szCs w:val="16"/>
                <w:lang w:eastAsia="zh-CN"/>
              </w:rPr>
              <w:t>HR regulatory framework</w:t>
            </w:r>
          </w:p>
        </w:tc>
        <w:tc>
          <w:tcPr>
            <w:tcW w:w="1228" w:type="pct"/>
            <w:tcBorders>
              <w:left w:val="single" w:sz="4" w:space="0" w:color="auto"/>
            </w:tcBorders>
            <w:shd w:val="clear" w:color="auto" w:fill="DEEAF6"/>
            <w:vAlign w:val="center"/>
          </w:tcPr>
          <w:p w14:paraId="0D43F6B8"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Strengthen the HR regulatory framework by reviewing and updating policies, rules and guidance to close gaps, improve coherence and support consistent application.</w:t>
            </w:r>
          </w:p>
        </w:tc>
        <w:tc>
          <w:tcPr>
            <w:tcW w:w="1842" w:type="pct"/>
            <w:shd w:val="clear" w:color="auto" w:fill="DEEAF6"/>
            <w:vAlign w:val="center"/>
          </w:tcPr>
          <w:p w14:paraId="035C9E2E"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Number of priority HR policies/service orders reviewed and updated</w:t>
            </w:r>
          </w:p>
          <w:p w14:paraId="132CFA12"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Staff Rules/Regulations updated and approved (</w:t>
            </w:r>
            <w:r w:rsidRPr="007B7E5B">
              <w:rPr>
                <w:sz w:val="16"/>
                <w:szCs w:val="16"/>
              </w:rPr>
              <w:t>qualitative</w:t>
            </w:r>
            <w:r w:rsidRPr="007B7E5B">
              <w:rPr>
                <w:rFonts w:eastAsia="DengXian"/>
                <w:sz w:val="16"/>
                <w:szCs w:val="16"/>
                <w:lang w:eastAsia="zh-CN"/>
              </w:rPr>
              <w:t>)</w:t>
            </w:r>
          </w:p>
          <w:p w14:paraId="3F823039"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Percentage of new/revised HR policies available to all staff on a unified accessible platform, and number of training sessions/communication initiatives delivered</w:t>
            </w:r>
          </w:p>
        </w:tc>
        <w:tc>
          <w:tcPr>
            <w:tcW w:w="592" w:type="pct"/>
            <w:shd w:val="clear" w:color="auto" w:fill="DEEAF6"/>
            <w:vAlign w:val="center"/>
          </w:tcPr>
          <w:p w14:paraId="0080D094" w14:textId="77777777" w:rsidR="003C0F36" w:rsidRPr="007B7E5B" w:rsidRDefault="003C0F36" w:rsidP="00F80EE9">
            <w:pPr>
              <w:pStyle w:val="Tabletext"/>
              <w:rPr>
                <w:sz w:val="16"/>
                <w:szCs w:val="16"/>
              </w:rPr>
            </w:pPr>
            <w:r w:rsidRPr="007B7E5B">
              <w:rPr>
                <w:sz w:val="16"/>
                <w:szCs w:val="16"/>
              </w:rPr>
              <w:t>Ongoing throughout 2026</w:t>
            </w:r>
            <w:r w:rsidRPr="007B7E5B">
              <w:rPr>
                <w:sz w:val="16"/>
                <w:szCs w:val="16"/>
                <w:lang w:eastAsia="zh-CN"/>
              </w:rPr>
              <w:t>-2027</w:t>
            </w:r>
          </w:p>
        </w:tc>
        <w:tc>
          <w:tcPr>
            <w:tcW w:w="494" w:type="pct"/>
            <w:shd w:val="clear" w:color="auto" w:fill="DEEAF6"/>
            <w:vAlign w:val="center"/>
          </w:tcPr>
          <w:p w14:paraId="68CE7762" w14:textId="77777777" w:rsidR="003C0F36" w:rsidRPr="007B7E5B" w:rsidRDefault="003C0F36" w:rsidP="00F80EE9">
            <w:pPr>
              <w:pStyle w:val="Tabletext"/>
              <w:rPr>
                <w:rFonts w:eastAsia="DengXian"/>
                <w:sz w:val="16"/>
                <w:szCs w:val="16"/>
                <w:lang w:eastAsia="zh-CN"/>
              </w:rPr>
            </w:pPr>
          </w:p>
        </w:tc>
      </w:tr>
      <w:tr w:rsidR="003C0F36" w:rsidRPr="007B7E5B" w14:paraId="29F8F1F0"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F56330E"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5.2</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78F15EA6" w14:textId="77777777" w:rsidR="003C0F36" w:rsidRPr="007B7E5B" w:rsidRDefault="003C0F36" w:rsidP="00F80EE9">
            <w:pPr>
              <w:pStyle w:val="Tabletext"/>
              <w:rPr>
                <w:sz w:val="16"/>
                <w:szCs w:val="16"/>
                <w:lang w:eastAsia="zh-CN"/>
              </w:rPr>
            </w:pPr>
            <w:r w:rsidRPr="007B7E5B">
              <w:rPr>
                <w:rFonts w:eastAsia="DengXian"/>
                <w:sz w:val="16"/>
                <w:szCs w:val="16"/>
                <w:lang w:eastAsia="zh-CN"/>
              </w:rPr>
              <w:t>S</w:t>
            </w:r>
            <w:r w:rsidRPr="007B7E5B">
              <w:rPr>
                <w:sz w:val="16"/>
                <w:szCs w:val="16"/>
                <w:lang w:eastAsia="zh-CN"/>
              </w:rPr>
              <w:t>taffing table</w:t>
            </w:r>
          </w:p>
        </w:tc>
        <w:tc>
          <w:tcPr>
            <w:tcW w:w="1228" w:type="pct"/>
            <w:tcBorders>
              <w:left w:val="single" w:sz="4" w:space="0" w:color="auto"/>
            </w:tcBorders>
            <w:shd w:val="clear" w:color="auto" w:fill="DEEAF6"/>
            <w:vAlign w:val="center"/>
          </w:tcPr>
          <w:p w14:paraId="5EC8F9D8"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Develop and maintain a staffing table to enhance workforce visibility and drive strategic workforce planning, resource optimization, and organizational realignment, ensuring real-time transparency on staffing trends.</w:t>
            </w:r>
          </w:p>
        </w:tc>
        <w:tc>
          <w:tcPr>
            <w:tcW w:w="1842" w:type="pct"/>
            <w:shd w:val="clear" w:color="auto" w:fill="DEEAF6"/>
            <w:vAlign w:val="center"/>
          </w:tcPr>
          <w:p w14:paraId="5F25B0E7"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Staffing table established and updated (</w:t>
            </w:r>
            <w:r w:rsidRPr="007B7E5B">
              <w:rPr>
                <w:sz w:val="16"/>
                <w:szCs w:val="16"/>
              </w:rPr>
              <w:t>qualitative</w:t>
            </w:r>
            <w:r w:rsidRPr="007B7E5B">
              <w:rPr>
                <w:rFonts w:eastAsia="DengXian"/>
                <w:sz w:val="16"/>
                <w:szCs w:val="16"/>
                <w:lang w:eastAsia="zh-CN"/>
              </w:rPr>
              <w:t>)</w:t>
            </w:r>
          </w:p>
          <w:p w14:paraId="44007B2A"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Real-time visibility of staffing trends (dashboard)</w:t>
            </w:r>
          </w:p>
          <w:p w14:paraId="6181CDA7"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 error rate less than 1%</w:t>
            </w:r>
          </w:p>
        </w:tc>
        <w:tc>
          <w:tcPr>
            <w:tcW w:w="592" w:type="pct"/>
            <w:shd w:val="clear" w:color="auto" w:fill="DEEAF6"/>
            <w:vAlign w:val="center"/>
          </w:tcPr>
          <w:p w14:paraId="4BBB5FE0"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Q3 2026</w:t>
            </w:r>
          </w:p>
          <w:p w14:paraId="6E59F6E7"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Q3 2026</w:t>
            </w:r>
          </w:p>
          <w:p w14:paraId="0C61F6A7"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Q1 2027</w:t>
            </w:r>
          </w:p>
        </w:tc>
        <w:tc>
          <w:tcPr>
            <w:tcW w:w="494" w:type="pct"/>
            <w:shd w:val="clear" w:color="auto" w:fill="DEEAF6"/>
            <w:vAlign w:val="center"/>
          </w:tcPr>
          <w:p w14:paraId="25402C87" w14:textId="77777777" w:rsidR="003C0F36" w:rsidRPr="007B7E5B" w:rsidRDefault="003C0F36" w:rsidP="00F80EE9">
            <w:pPr>
              <w:pStyle w:val="Tabletext"/>
              <w:rPr>
                <w:rFonts w:eastAsia="DengXian"/>
                <w:sz w:val="16"/>
                <w:szCs w:val="16"/>
                <w:lang w:eastAsia="zh-CN"/>
              </w:rPr>
            </w:pPr>
          </w:p>
        </w:tc>
      </w:tr>
      <w:tr w:rsidR="003C0F36" w:rsidRPr="007B7E5B" w14:paraId="0ED7287D"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E66552F"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5.3</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46DED37A" w14:textId="77777777" w:rsidR="003C0F36" w:rsidRPr="007B7E5B" w:rsidRDefault="003C0F36" w:rsidP="00F80EE9">
            <w:pPr>
              <w:pStyle w:val="Tabletext"/>
              <w:rPr>
                <w:sz w:val="16"/>
                <w:szCs w:val="16"/>
                <w:lang w:eastAsia="zh-CN"/>
              </w:rPr>
            </w:pPr>
            <w:r w:rsidRPr="007B7E5B">
              <w:rPr>
                <w:rFonts w:eastAsia="DengXian"/>
                <w:sz w:val="16"/>
                <w:szCs w:val="16"/>
                <w:lang w:eastAsia="zh-CN"/>
              </w:rPr>
              <w:t>C</w:t>
            </w:r>
            <w:r w:rsidRPr="007B7E5B">
              <w:rPr>
                <w:sz w:val="16"/>
                <w:szCs w:val="16"/>
                <w:lang w:eastAsia="zh-CN"/>
              </w:rPr>
              <w:t>ontractual framework</w:t>
            </w:r>
          </w:p>
        </w:tc>
        <w:tc>
          <w:tcPr>
            <w:tcW w:w="1228" w:type="pct"/>
            <w:tcBorders>
              <w:left w:val="single" w:sz="4" w:space="0" w:color="auto"/>
            </w:tcBorders>
            <w:shd w:val="clear" w:color="auto" w:fill="DEEAF6"/>
            <w:vAlign w:val="center"/>
          </w:tcPr>
          <w:p w14:paraId="6D63BC45"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Establish a robust contractual framework to clarify contract modalities and related governance, enabling consistent, compliant and efficient use of contractual arrangements.</w:t>
            </w:r>
          </w:p>
        </w:tc>
        <w:tc>
          <w:tcPr>
            <w:tcW w:w="1842" w:type="pct"/>
            <w:shd w:val="clear" w:color="auto" w:fill="DEEAF6"/>
            <w:vAlign w:val="center"/>
          </w:tcPr>
          <w:p w14:paraId="263A91D0" w14:textId="77777777" w:rsidR="003C0F36" w:rsidRPr="007B7E5B" w:rsidRDefault="003C0F36" w:rsidP="00F80EE9">
            <w:pPr>
              <w:pStyle w:val="Tabletext"/>
              <w:rPr>
                <w:sz w:val="16"/>
                <w:szCs w:val="16"/>
                <w:lang w:eastAsia="zh-CN"/>
              </w:rPr>
            </w:pPr>
            <w:r w:rsidRPr="007B7E5B">
              <w:rPr>
                <w:rFonts w:eastAsia="DengXian"/>
                <w:sz w:val="16"/>
                <w:szCs w:val="16"/>
                <w:lang w:eastAsia="zh-CN"/>
              </w:rPr>
              <w:t>• Comprehensive contractual framework implemented (Yes/No)</w:t>
            </w:r>
          </w:p>
        </w:tc>
        <w:tc>
          <w:tcPr>
            <w:tcW w:w="592" w:type="pct"/>
            <w:shd w:val="clear" w:color="auto" w:fill="DEEAF6"/>
            <w:vAlign w:val="center"/>
          </w:tcPr>
          <w:p w14:paraId="2FF89E06" w14:textId="77777777" w:rsidR="003C0F36" w:rsidRPr="007B7E5B" w:rsidRDefault="003C0F36" w:rsidP="00F80EE9">
            <w:pPr>
              <w:pStyle w:val="Tabletext"/>
              <w:rPr>
                <w:sz w:val="16"/>
                <w:szCs w:val="16"/>
                <w:lang w:eastAsia="zh-CN"/>
              </w:rPr>
            </w:pPr>
            <w:r w:rsidRPr="007B7E5B">
              <w:rPr>
                <w:sz w:val="16"/>
                <w:szCs w:val="16"/>
                <w:lang w:eastAsia="zh-CN"/>
              </w:rPr>
              <w:t>Q4 2026</w:t>
            </w:r>
          </w:p>
        </w:tc>
        <w:tc>
          <w:tcPr>
            <w:tcW w:w="494" w:type="pct"/>
            <w:shd w:val="clear" w:color="auto" w:fill="DEEAF6"/>
            <w:vAlign w:val="center"/>
          </w:tcPr>
          <w:p w14:paraId="6FD30E44" w14:textId="77777777" w:rsidR="003C0F36" w:rsidRPr="007B7E5B" w:rsidRDefault="003C0F36" w:rsidP="00F80EE9">
            <w:pPr>
              <w:pStyle w:val="Tabletext"/>
              <w:rPr>
                <w:rFonts w:eastAsia="DengXian"/>
                <w:sz w:val="16"/>
                <w:szCs w:val="16"/>
                <w:lang w:eastAsia="zh-CN"/>
              </w:rPr>
            </w:pPr>
          </w:p>
        </w:tc>
      </w:tr>
      <w:tr w:rsidR="003C0F36" w:rsidRPr="007B7E5B" w14:paraId="2BCB0044"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F38F888"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5.4</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77A3714A" w14:textId="77777777" w:rsidR="003C0F36" w:rsidRPr="007B7E5B" w:rsidRDefault="003C0F36" w:rsidP="00F80EE9">
            <w:pPr>
              <w:pStyle w:val="Tabletext"/>
              <w:rPr>
                <w:sz w:val="16"/>
                <w:szCs w:val="16"/>
                <w:lang w:eastAsia="zh-CN"/>
              </w:rPr>
            </w:pPr>
            <w:r w:rsidRPr="007B7E5B">
              <w:rPr>
                <w:sz w:val="16"/>
                <w:szCs w:val="16"/>
                <w:lang w:eastAsia="zh-CN"/>
              </w:rPr>
              <w:t>Delegation of Authority (</w:t>
            </w:r>
            <w:proofErr w:type="spellStart"/>
            <w:r w:rsidRPr="007B7E5B">
              <w:rPr>
                <w:sz w:val="16"/>
                <w:szCs w:val="16"/>
                <w:lang w:eastAsia="zh-CN"/>
              </w:rPr>
              <w:t>DoA</w:t>
            </w:r>
            <w:proofErr w:type="spellEnd"/>
            <w:r w:rsidRPr="007B7E5B">
              <w:rPr>
                <w:sz w:val="16"/>
                <w:szCs w:val="16"/>
                <w:lang w:eastAsia="zh-CN"/>
              </w:rPr>
              <w:t>)</w:t>
            </w:r>
          </w:p>
        </w:tc>
        <w:tc>
          <w:tcPr>
            <w:tcW w:w="1228" w:type="pct"/>
            <w:tcBorders>
              <w:left w:val="single" w:sz="4" w:space="0" w:color="auto"/>
            </w:tcBorders>
            <w:shd w:val="clear" w:color="auto" w:fill="DEEAF6"/>
            <w:vAlign w:val="center"/>
          </w:tcPr>
          <w:p w14:paraId="543E15B3"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Update the Delegation of Authority (</w:t>
            </w:r>
            <w:proofErr w:type="spellStart"/>
            <w:r w:rsidRPr="007B7E5B">
              <w:rPr>
                <w:rFonts w:eastAsia="DengXian"/>
                <w:sz w:val="16"/>
                <w:szCs w:val="16"/>
                <w:lang w:eastAsia="zh-CN"/>
              </w:rPr>
              <w:t>DoA</w:t>
            </w:r>
            <w:proofErr w:type="spellEnd"/>
            <w:r w:rsidRPr="007B7E5B">
              <w:rPr>
                <w:rFonts w:eastAsia="DengXian"/>
                <w:sz w:val="16"/>
                <w:szCs w:val="16"/>
                <w:lang w:eastAsia="zh-CN"/>
              </w:rPr>
              <w:t>) framework to enhance operational agility, strengthen accountability, and streamline decision-making across the Union.</w:t>
            </w:r>
          </w:p>
        </w:tc>
        <w:tc>
          <w:tcPr>
            <w:tcW w:w="1842" w:type="pct"/>
            <w:shd w:val="clear" w:color="auto" w:fill="DEEAF6"/>
            <w:vAlign w:val="center"/>
          </w:tcPr>
          <w:p w14:paraId="6CD34A91"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 </w:t>
            </w:r>
            <w:proofErr w:type="spellStart"/>
            <w:r w:rsidRPr="007B7E5B">
              <w:rPr>
                <w:rFonts w:eastAsia="DengXian"/>
                <w:sz w:val="16"/>
                <w:szCs w:val="16"/>
                <w:lang w:eastAsia="zh-CN"/>
              </w:rPr>
              <w:t>DoA</w:t>
            </w:r>
            <w:proofErr w:type="spellEnd"/>
            <w:r w:rsidRPr="007B7E5B">
              <w:rPr>
                <w:rFonts w:eastAsia="DengXian"/>
                <w:sz w:val="16"/>
                <w:szCs w:val="16"/>
                <w:lang w:eastAsia="zh-CN"/>
              </w:rPr>
              <w:t xml:space="preserve"> promulgated (</w:t>
            </w:r>
            <w:r w:rsidRPr="007B7E5B">
              <w:rPr>
                <w:sz w:val="16"/>
                <w:szCs w:val="16"/>
              </w:rPr>
              <w:t>qualitative</w:t>
            </w:r>
            <w:r w:rsidRPr="007B7E5B">
              <w:rPr>
                <w:rFonts w:eastAsia="DengXian"/>
                <w:sz w:val="16"/>
                <w:szCs w:val="16"/>
                <w:lang w:eastAsia="zh-CN"/>
              </w:rPr>
              <w:t>)</w:t>
            </w:r>
          </w:p>
          <w:p w14:paraId="00E09504"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Approval workflows aligned in ERP system (yes/no)</w:t>
            </w:r>
          </w:p>
        </w:tc>
        <w:tc>
          <w:tcPr>
            <w:tcW w:w="592" w:type="pct"/>
            <w:shd w:val="clear" w:color="auto" w:fill="DEEAF6"/>
            <w:vAlign w:val="center"/>
          </w:tcPr>
          <w:p w14:paraId="42C16324" w14:textId="77777777" w:rsidR="003C0F36" w:rsidRPr="007B7E5B" w:rsidRDefault="003C0F36" w:rsidP="00F80EE9">
            <w:pPr>
              <w:pStyle w:val="Tabletext"/>
              <w:rPr>
                <w:sz w:val="16"/>
                <w:szCs w:val="16"/>
                <w:lang w:eastAsia="zh-CN"/>
              </w:rPr>
            </w:pPr>
            <w:r w:rsidRPr="007B7E5B">
              <w:rPr>
                <w:sz w:val="16"/>
                <w:szCs w:val="16"/>
                <w:lang w:eastAsia="zh-CN"/>
              </w:rPr>
              <w:t>Q4 2026</w:t>
            </w:r>
          </w:p>
          <w:p w14:paraId="100527C3" w14:textId="77777777" w:rsidR="003C0F36" w:rsidRPr="007B7E5B" w:rsidRDefault="003C0F36" w:rsidP="00F80EE9">
            <w:pPr>
              <w:pStyle w:val="Tabletext"/>
              <w:rPr>
                <w:sz w:val="16"/>
                <w:szCs w:val="16"/>
                <w:lang w:eastAsia="zh-CN"/>
              </w:rPr>
            </w:pPr>
            <w:r w:rsidRPr="007B7E5B">
              <w:rPr>
                <w:sz w:val="16"/>
                <w:szCs w:val="16"/>
                <w:lang w:eastAsia="zh-CN"/>
              </w:rPr>
              <w:t>Q4 2026</w:t>
            </w:r>
          </w:p>
        </w:tc>
        <w:tc>
          <w:tcPr>
            <w:tcW w:w="494" w:type="pct"/>
            <w:shd w:val="clear" w:color="auto" w:fill="DEEAF6"/>
            <w:vAlign w:val="center"/>
          </w:tcPr>
          <w:p w14:paraId="30D30DF3" w14:textId="77777777" w:rsidR="003C0F36" w:rsidRPr="007B7E5B" w:rsidRDefault="003C0F36" w:rsidP="00F80EE9">
            <w:pPr>
              <w:pStyle w:val="Tabletext"/>
              <w:rPr>
                <w:rFonts w:eastAsia="DengXian"/>
                <w:sz w:val="16"/>
                <w:szCs w:val="16"/>
                <w:lang w:eastAsia="zh-CN"/>
              </w:rPr>
            </w:pPr>
          </w:p>
        </w:tc>
      </w:tr>
      <w:tr w:rsidR="003C0F36" w:rsidRPr="007B7E5B" w14:paraId="5BCF1876" w14:textId="77777777" w:rsidTr="007B7E5B">
        <w:trPr>
          <w:cantSplit/>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25D5F424"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5.5</w:t>
            </w:r>
          </w:p>
        </w:tc>
        <w:tc>
          <w:tcPr>
            <w:tcW w:w="639" w:type="pct"/>
            <w:vMerge w:val="restart"/>
            <w:tcBorders>
              <w:top w:val="single" w:sz="4" w:space="0" w:color="auto"/>
              <w:left w:val="single" w:sz="4" w:space="0" w:color="auto"/>
              <w:right w:val="single" w:sz="4" w:space="0" w:color="auto"/>
            </w:tcBorders>
            <w:shd w:val="clear" w:color="auto" w:fill="DEEAF6"/>
            <w:vAlign w:val="center"/>
          </w:tcPr>
          <w:p w14:paraId="1C03CED7" w14:textId="77777777" w:rsidR="003C0F36" w:rsidRPr="007B7E5B" w:rsidRDefault="003C0F36" w:rsidP="00F80EE9">
            <w:pPr>
              <w:pStyle w:val="Tabletext"/>
              <w:rPr>
                <w:sz w:val="16"/>
                <w:szCs w:val="16"/>
                <w:lang w:eastAsia="zh-CN"/>
              </w:rPr>
            </w:pPr>
            <w:r w:rsidRPr="007B7E5B">
              <w:rPr>
                <w:sz w:val="16"/>
                <w:szCs w:val="16"/>
                <w:lang w:eastAsia="zh-CN"/>
              </w:rPr>
              <w:t>HR processes</w:t>
            </w:r>
          </w:p>
        </w:tc>
        <w:tc>
          <w:tcPr>
            <w:tcW w:w="1228" w:type="pct"/>
            <w:vMerge w:val="restart"/>
            <w:tcBorders>
              <w:left w:val="single" w:sz="4" w:space="0" w:color="auto"/>
            </w:tcBorders>
            <w:shd w:val="clear" w:color="auto" w:fill="DEEAF6"/>
            <w:vAlign w:val="center"/>
          </w:tcPr>
          <w:p w14:paraId="5922C5B3"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xml:space="preserve">Streamline, simplify and automate HR processes through standard operating procedures (SOPs) for key processes, SAP-HR enhancements and </w:t>
            </w:r>
            <w:r w:rsidRPr="007B7E5B">
              <w:rPr>
                <w:rFonts w:eastAsia="DengXian"/>
                <w:sz w:val="16"/>
                <w:szCs w:val="16"/>
                <w:lang w:eastAsia="zh-CN"/>
              </w:rPr>
              <w:lastRenderedPageBreak/>
              <w:t>targeted HR technology investments to improve efficiency and service delivery.</w:t>
            </w:r>
          </w:p>
        </w:tc>
        <w:tc>
          <w:tcPr>
            <w:tcW w:w="1842" w:type="pct"/>
            <w:shd w:val="clear" w:color="auto" w:fill="DEEAF6"/>
            <w:vAlign w:val="center"/>
          </w:tcPr>
          <w:p w14:paraId="26075BB1"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lastRenderedPageBreak/>
              <w:t>• Number of SOPs approved by the Chief and centrally archived</w:t>
            </w:r>
          </w:p>
          <w:p w14:paraId="03554BDA"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Number of SAP HR/SAS enhancements proposed</w:t>
            </w:r>
          </w:p>
          <w:p w14:paraId="7A4BA6A9"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Reduction in process-related queries</w:t>
            </w:r>
          </w:p>
        </w:tc>
        <w:tc>
          <w:tcPr>
            <w:tcW w:w="592" w:type="pct"/>
            <w:shd w:val="clear" w:color="auto" w:fill="DEEAF6"/>
            <w:vAlign w:val="center"/>
          </w:tcPr>
          <w:p w14:paraId="434591A4" w14:textId="77777777" w:rsidR="003C0F36" w:rsidRPr="007B7E5B" w:rsidRDefault="003C0F36" w:rsidP="00F80EE9">
            <w:pPr>
              <w:pStyle w:val="Tabletext"/>
              <w:rPr>
                <w:sz w:val="16"/>
                <w:szCs w:val="16"/>
                <w:lang w:eastAsia="zh-CN"/>
              </w:rPr>
            </w:pPr>
            <w:r w:rsidRPr="007B7E5B">
              <w:rPr>
                <w:sz w:val="16"/>
                <w:szCs w:val="16"/>
                <w:lang w:eastAsia="zh-CN"/>
              </w:rPr>
              <w:t>Q4 2026/Q4 2027</w:t>
            </w:r>
          </w:p>
          <w:p w14:paraId="5EF10EE0" w14:textId="77777777" w:rsidR="003C0F36" w:rsidRPr="007B7E5B" w:rsidRDefault="003C0F36" w:rsidP="00F80EE9">
            <w:pPr>
              <w:pStyle w:val="Tabletext"/>
              <w:rPr>
                <w:sz w:val="16"/>
                <w:szCs w:val="16"/>
                <w:lang w:eastAsia="zh-CN"/>
              </w:rPr>
            </w:pPr>
            <w:r w:rsidRPr="007B7E5B">
              <w:rPr>
                <w:sz w:val="16"/>
                <w:szCs w:val="16"/>
                <w:lang w:eastAsia="zh-CN"/>
              </w:rPr>
              <w:t>Q4 2026/Q4 2027</w:t>
            </w:r>
          </w:p>
          <w:p w14:paraId="60D4A075" w14:textId="77777777" w:rsidR="003C0F36" w:rsidRPr="007B7E5B" w:rsidRDefault="003C0F36" w:rsidP="00F80EE9">
            <w:pPr>
              <w:pStyle w:val="Tabletext"/>
              <w:rPr>
                <w:sz w:val="16"/>
                <w:szCs w:val="16"/>
                <w:lang w:eastAsia="zh-CN"/>
              </w:rPr>
            </w:pPr>
            <w:r w:rsidRPr="007B7E5B">
              <w:rPr>
                <w:sz w:val="16"/>
                <w:szCs w:val="16"/>
                <w:lang w:eastAsia="zh-CN"/>
              </w:rPr>
              <w:t>Q4 2026</w:t>
            </w:r>
          </w:p>
        </w:tc>
        <w:tc>
          <w:tcPr>
            <w:tcW w:w="494" w:type="pct"/>
            <w:shd w:val="clear" w:color="auto" w:fill="DEEAF6"/>
            <w:vAlign w:val="center"/>
          </w:tcPr>
          <w:p w14:paraId="581C96B9" w14:textId="77777777" w:rsidR="003C0F36" w:rsidRPr="007B7E5B" w:rsidRDefault="003C0F36" w:rsidP="00F80EE9">
            <w:pPr>
              <w:pStyle w:val="Tabletext"/>
              <w:rPr>
                <w:rFonts w:eastAsia="DengXian"/>
                <w:sz w:val="16"/>
                <w:szCs w:val="16"/>
                <w:lang w:eastAsia="zh-CN"/>
              </w:rPr>
            </w:pPr>
          </w:p>
        </w:tc>
      </w:tr>
      <w:tr w:rsidR="003C0F36" w:rsidRPr="007B7E5B" w14:paraId="02DCDA9B" w14:textId="77777777" w:rsidTr="0CE3B669">
        <w:trPr>
          <w:cantSplit/>
          <w:jc w:val="center"/>
        </w:trPr>
        <w:tc>
          <w:tcPr>
            <w:tcW w:w="205" w:type="pct"/>
            <w:vMerge/>
            <w:vAlign w:val="center"/>
          </w:tcPr>
          <w:p w14:paraId="32EA5E3B" w14:textId="77777777" w:rsidR="003C0F36" w:rsidRPr="007B7E5B" w:rsidRDefault="003C0F36" w:rsidP="00F80EE9">
            <w:pPr>
              <w:pStyle w:val="Tabletext"/>
              <w:rPr>
                <w:rFonts w:eastAsia="DengXian"/>
                <w:sz w:val="16"/>
                <w:szCs w:val="16"/>
                <w:lang w:eastAsia="zh-CN"/>
              </w:rPr>
            </w:pPr>
          </w:p>
        </w:tc>
        <w:tc>
          <w:tcPr>
            <w:tcW w:w="639" w:type="pct"/>
            <w:vMerge/>
            <w:vAlign w:val="center"/>
          </w:tcPr>
          <w:p w14:paraId="642DBE78" w14:textId="77777777" w:rsidR="003C0F36" w:rsidRPr="007B7E5B" w:rsidRDefault="003C0F36" w:rsidP="00F80EE9">
            <w:pPr>
              <w:pStyle w:val="Tabletext"/>
              <w:rPr>
                <w:sz w:val="16"/>
                <w:szCs w:val="16"/>
                <w:lang w:eastAsia="zh-CN"/>
              </w:rPr>
            </w:pPr>
          </w:p>
        </w:tc>
        <w:tc>
          <w:tcPr>
            <w:tcW w:w="1228" w:type="pct"/>
            <w:vMerge/>
            <w:vAlign w:val="center"/>
          </w:tcPr>
          <w:p w14:paraId="49F0F4E8" w14:textId="77777777" w:rsidR="003C0F36" w:rsidRPr="007B7E5B" w:rsidRDefault="003C0F36" w:rsidP="00F80EE9">
            <w:pPr>
              <w:pStyle w:val="Tabletext"/>
              <w:rPr>
                <w:rFonts w:eastAsia="DengXian"/>
                <w:sz w:val="16"/>
                <w:szCs w:val="16"/>
                <w:lang w:eastAsia="zh-CN"/>
              </w:rPr>
            </w:pPr>
          </w:p>
        </w:tc>
        <w:tc>
          <w:tcPr>
            <w:tcW w:w="1842" w:type="pct"/>
            <w:shd w:val="clear" w:color="auto" w:fill="DEEAF6"/>
            <w:vAlign w:val="center"/>
          </w:tcPr>
          <w:p w14:paraId="3BF05707"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On-time delivery of monthly payroll cycle</w:t>
            </w:r>
          </w:p>
          <w:p w14:paraId="0E476CDB"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Number of SAP HR/Payroll enhancements proposed</w:t>
            </w:r>
          </w:p>
          <w:p w14:paraId="6527C1B5"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Number of SOPs approved by the Chief and centrally archived</w:t>
            </w:r>
          </w:p>
        </w:tc>
        <w:tc>
          <w:tcPr>
            <w:tcW w:w="592" w:type="pct"/>
            <w:shd w:val="clear" w:color="auto" w:fill="DEEAF6"/>
            <w:vAlign w:val="center"/>
          </w:tcPr>
          <w:p w14:paraId="413F26C7" w14:textId="77777777" w:rsidR="003C0F36" w:rsidRPr="007B7E5B" w:rsidRDefault="003C0F36" w:rsidP="00F80EE9">
            <w:pPr>
              <w:pStyle w:val="Tabletext"/>
              <w:rPr>
                <w:sz w:val="16"/>
                <w:szCs w:val="16"/>
                <w:lang w:eastAsia="zh-CN"/>
              </w:rPr>
            </w:pPr>
            <w:r w:rsidRPr="007B7E5B">
              <w:rPr>
                <w:sz w:val="16"/>
                <w:szCs w:val="16"/>
                <w:lang w:eastAsia="zh-CN"/>
              </w:rPr>
              <w:t>Monthly 2026</w:t>
            </w:r>
            <w:r w:rsidRPr="007B7E5B">
              <w:rPr>
                <w:sz w:val="16"/>
                <w:szCs w:val="16"/>
              </w:rPr>
              <w:br/>
            </w:r>
            <w:r w:rsidRPr="007B7E5B">
              <w:rPr>
                <w:sz w:val="16"/>
                <w:szCs w:val="16"/>
                <w:lang w:eastAsia="zh-CN"/>
              </w:rPr>
              <w:t>Q4 2026/Q4 2027</w:t>
            </w:r>
            <w:r w:rsidRPr="007B7E5B">
              <w:rPr>
                <w:sz w:val="16"/>
                <w:szCs w:val="16"/>
              </w:rPr>
              <w:br/>
            </w:r>
            <w:r w:rsidRPr="007B7E5B">
              <w:rPr>
                <w:sz w:val="16"/>
                <w:szCs w:val="16"/>
                <w:lang w:eastAsia="zh-CN"/>
              </w:rPr>
              <w:t>Q4 2026/Q4 2027</w:t>
            </w:r>
          </w:p>
        </w:tc>
        <w:tc>
          <w:tcPr>
            <w:tcW w:w="494" w:type="pct"/>
            <w:shd w:val="clear" w:color="auto" w:fill="DEEAF6"/>
            <w:vAlign w:val="center"/>
          </w:tcPr>
          <w:p w14:paraId="2EBF7AF5" w14:textId="77777777" w:rsidR="003C0F36" w:rsidRPr="007B7E5B" w:rsidDel="004B5D0E" w:rsidRDefault="003C0F36" w:rsidP="00F80EE9">
            <w:pPr>
              <w:pStyle w:val="Tabletext"/>
              <w:rPr>
                <w:rFonts w:eastAsia="DengXian"/>
                <w:sz w:val="16"/>
                <w:szCs w:val="16"/>
                <w:lang w:eastAsia="zh-CN"/>
              </w:rPr>
            </w:pPr>
          </w:p>
        </w:tc>
      </w:tr>
      <w:tr w:rsidR="003C0F36" w:rsidRPr="007B7E5B" w14:paraId="6564CB36"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DBB185D"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5.6</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3DA2A07F" w14:textId="77777777" w:rsidR="003C0F36" w:rsidRPr="007B7E5B" w:rsidRDefault="003C0F36" w:rsidP="00F80EE9">
            <w:pPr>
              <w:pStyle w:val="Tabletext"/>
              <w:rPr>
                <w:sz w:val="16"/>
                <w:szCs w:val="16"/>
                <w:lang w:eastAsia="zh-CN"/>
              </w:rPr>
            </w:pPr>
            <w:r w:rsidRPr="007B7E5B">
              <w:rPr>
                <w:sz w:val="16"/>
                <w:szCs w:val="16"/>
                <w:lang w:eastAsia="zh-CN"/>
              </w:rPr>
              <w:t>Staff relations function</w:t>
            </w:r>
          </w:p>
        </w:tc>
        <w:tc>
          <w:tcPr>
            <w:tcW w:w="1228" w:type="pct"/>
            <w:tcBorders>
              <w:left w:val="single" w:sz="4" w:space="0" w:color="auto"/>
            </w:tcBorders>
            <w:shd w:val="clear" w:color="auto" w:fill="DEEAF6"/>
            <w:vAlign w:val="center"/>
          </w:tcPr>
          <w:p w14:paraId="22F40A85"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Strengthen the staff relations’ function through continued regular engagement with the Staff Council and strengthened coordination with regional offices, reinforcing procedural fairness and mitigating people-related risks across the Union.</w:t>
            </w:r>
          </w:p>
        </w:tc>
        <w:tc>
          <w:tcPr>
            <w:tcW w:w="1842" w:type="pct"/>
            <w:shd w:val="clear" w:color="auto" w:fill="DEEAF6"/>
            <w:vAlign w:val="center"/>
          </w:tcPr>
          <w:p w14:paraId="074456C1"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Regular engagement with Staff Council</w:t>
            </w:r>
          </w:p>
          <w:p w14:paraId="63C0D3B2"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Increased communication with regional offices</w:t>
            </w:r>
          </w:p>
        </w:tc>
        <w:tc>
          <w:tcPr>
            <w:tcW w:w="592" w:type="pct"/>
            <w:shd w:val="clear" w:color="auto" w:fill="DEEAF6"/>
            <w:vAlign w:val="center"/>
          </w:tcPr>
          <w:p w14:paraId="77864C98" w14:textId="77777777" w:rsidR="003C0F36" w:rsidRPr="007B7E5B" w:rsidRDefault="003C0F36" w:rsidP="00F80EE9">
            <w:pPr>
              <w:pStyle w:val="Tabletext"/>
              <w:rPr>
                <w:sz w:val="16"/>
                <w:szCs w:val="16"/>
                <w:lang w:eastAsia="zh-CN"/>
              </w:rPr>
            </w:pPr>
            <w:r w:rsidRPr="007B7E5B">
              <w:rPr>
                <w:sz w:val="16"/>
                <w:szCs w:val="16"/>
                <w:lang w:eastAsia="zh-CN"/>
              </w:rPr>
              <w:t>Q4 2026/Q4 2027</w:t>
            </w:r>
          </w:p>
          <w:p w14:paraId="763569DD" w14:textId="77777777" w:rsidR="003C0F36" w:rsidRPr="007B7E5B" w:rsidRDefault="003C0F36" w:rsidP="00F80EE9">
            <w:pPr>
              <w:pStyle w:val="Tabletext"/>
              <w:rPr>
                <w:sz w:val="16"/>
                <w:szCs w:val="16"/>
                <w:lang w:eastAsia="zh-CN"/>
              </w:rPr>
            </w:pPr>
            <w:r w:rsidRPr="007B7E5B">
              <w:rPr>
                <w:sz w:val="16"/>
                <w:szCs w:val="16"/>
                <w:lang w:eastAsia="zh-CN"/>
              </w:rPr>
              <w:t>Q4 2026/Q4 2027</w:t>
            </w:r>
          </w:p>
        </w:tc>
        <w:tc>
          <w:tcPr>
            <w:tcW w:w="494" w:type="pct"/>
            <w:shd w:val="clear" w:color="auto" w:fill="DEEAF6"/>
            <w:vAlign w:val="center"/>
          </w:tcPr>
          <w:p w14:paraId="7A2B2CDB" w14:textId="77777777" w:rsidR="003C0F36" w:rsidRPr="007B7E5B" w:rsidRDefault="003C0F36" w:rsidP="00F80EE9">
            <w:pPr>
              <w:pStyle w:val="Tabletext"/>
              <w:rPr>
                <w:rFonts w:eastAsia="DengXian"/>
                <w:sz w:val="16"/>
                <w:szCs w:val="16"/>
                <w:lang w:eastAsia="zh-CN"/>
              </w:rPr>
            </w:pPr>
          </w:p>
        </w:tc>
      </w:tr>
      <w:tr w:rsidR="003C0F36" w:rsidRPr="007B7E5B" w14:paraId="28BE9A74"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6D4C7FB"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5.7</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0C08E192" w14:textId="77777777" w:rsidR="003C0F36" w:rsidRPr="007B7E5B" w:rsidRDefault="003C0F36" w:rsidP="00F80EE9">
            <w:pPr>
              <w:pStyle w:val="Tabletext"/>
              <w:rPr>
                <w:sz w:val="16"/>
                <w:szCs w:val="16"/>
                <w:lang w:eastAsia="zh-CN"/>
              </w:rPr>
            </w:pPr>
            <w:r w:rsidRPr="007B7E5B">
              <w:rPr>
                <w:sz w:val="16"/>
                <w:szCs w:val="16"/>
                <w:lang w:eastAsia="zh-CN"/>
              </w:rPr>
              <w:t>Health insurance, pension and related administrative services</w:t>
            </w:r>
          </w:p>
        </w:tc>
        <w:tc>
          <w:tcPr>
            <w:tcW w:w="1228" w:type="pct"/>
            <w:tcBorders>
              <w:left w:val="single" w:sz="4" w:space="0" w:color="auto"/>
            </w:tcBorders>
            <w:shd w:val="clear" w:color="auto" w:fill="DEEAF6"/>
            <w:vAlign w:val="center"/>
          </w:tcPr>
          <w:p w14:paraId="4BC25B68"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Deliver health insurance, pension and related administrative services organization-wide—including regional offices—under consistent rules, processes and service standards. Furthermore, provide dedicated support to regional offices through medical emergency sessions, offering practical guidance on procedures and support channels.</w:t>
            </w:r>
          </w:p>
        </w:tc>
        <w:tc>
          <w:tcPr>
            <w:tcW w:w="1842" w:type="pct"/>
            <w:shd w:val="clear" w:color="auto" w:fill="DEEAF6"/>
            <w:vAlign w:val="center"/>
          </w:tcPr>
          <w:p w14:paraId="7A39758D"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 of premium/pension reports transmitted to UNSMIS/UNJSPF on time and without errors</w:t>
            </w:r>
          </w:p>
          <w:p w14:paraId="095F9B16" w14:textId="77777777" w:rsidR="003C0F36" w:rsidRPr="007B7E5B" w:rsidDel="00037073" w:rsidRDefault="003C0F36" w:rsidP="00F80EE9">
            <w:pPr>
              <w:pStyle w:val="Tabletext"/>
              <w:rPr>
                <w:rFonts w:eastAsia="DengXian"/>
                <w:sz w:val="16"/>
                <w:szCs w:val="16"/>
                <w:lang w:eastAsia="zh-CN"/>
              </w:rPr>
            </w:pPr>
            <w:r w:rsidRPr="007B7E5B">
              <w:rPr>
                <w:rFonts w:eastAsia="DengXian"/>
                <w:sz w:val="16"/>
                <w:szCs w:val="16"/>
                <w:lang w:eastAsia="zh-CN"/>
              </w:rPr>
              <w:t>• Number of medical emergency sessions delivered for regional offices and participation rate per session</w:t>
            </w:r>
          </w:p>
        </w:tc>
        <w:tc>
          <w:tcPr>
            <w:tcW w:w="592" w:type="pct"/>
            <w:shd w:val="clear" w:color="auto" w:fill="DEEAF6"/>
            <w:vAlign w:val="center"/>
          </w:tcPr>
          <w:p w14:paraId="33CD4E05" w14:textId="77777777" w:rsidR="003C0F36" w:rsidRPr="007B7E5B" w:rsidRDefault="003C0F36" w:rsidP="00F80EE9">
            <w:pPr>
              <w:pStyle w:val="Tabletext"/>
              <w:rPr>
                <w:sz w:val="16"/>
                <w:szCs w:val="16"/>
                <w:lang w:eastAsia="zh-CN"/>
              </w:rPr>
            </w:pPr>
            <w:r w:rsidRPr="007B7E5B">
              <w:rPr>
                <w:sz w:val="16"/>
                <w:szCs w:val="16"/>
                <w:lang w:eastAsia="zh-CN"/>
              </w:rPr>
              <w:t>Monthly 2026</w:t>
            </w:r>
          </w:p>
          <w:p w14:paraId="6636E40A" w14:textId="77777777" w:rsidR="003C0F36" w:rsidRPr="007B7E5B" w:rsidRDefault="003C0F36" w:rsidP="00F80EE9">
            <w:pPr>
              <w:pStyle w:val="Tabletext"/>
              <w:rPr>
                <w:sz w:val="16"/>
                <w:szCs w:val="16"/>
                <w:lang w:eastAsia="zh-CN"/>
              </w:rPr>
            </w:pPr>
          </w:p>
          <w:p w14:paraId="62D745BF" w14:textId="77777777" w:rsidR="003C0F36" w:rsidRPr="007B7E5B" w:rsidRDefault="003C0F36" w:rsidP="00F80EE9">
            <w:pPr>
              <w:pStyle w:val="Tabletext"/>
              <w:rPr>
                <w:sz w:val="16"/>
                <w:szCs w:val="16"/>
                <w:lang w:eastAsia="zh-CN"/>
              </w:rPr>
            </w:pPr>
            <w:r w:rsidRPr="007B7E5B">
              <w:rPr>
                <w:sz w:val="16"/>
                <w:szCs w:val="16"/>
                <w:lang w:eastAsia="zh-CN"/>
              </w:rPr>
              <w:t>Q2 &amp; Q3 2026</w:t>
            </w:r>
          </w:p>
        </w:tc>
        <w:tc>
          <w:tcPr>
            <w:tcW w:w="494" w:type="pct"/>
            <w:shd w:val="clear" w:color="auto" w:fill="DEEAF6"/>
            <w:vAlign w:val="center"/>
          </w:tcPr>
          <w:p w14:paraId="779BA2B9" w14:textId="77777777" w:rsidR="003C0F36" w:rsidRPr="007B7E5B" w:rsidDel="004B5D0E" w:rsidRDefault="003C0F36" w:rsidP="00F80EE9">
            <w:pPr>
              <w:pStyle w:val="Tabletext"/>
              <w:rPr>
                <w:rFonts w:eastAsia="DengXian"/>
                <w:sz w:val="16"/>
                <w:szCs w:val="16"/>
                <w:lang w:eastAsia="zh-CN"/>
              </w:rPr>
            </w:pPr>
          </w:p>
        </w:tc>
      </w:tr>
      <w:tr w:rsidR="003C0F36" w:rsidRPr="007B7E5B" w14:paraId="0EC6C922"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33828BC"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5.8</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0C7F90E9" w14:textId="77777777" w:rsidR="003C0F36" w:rsidRPr="007B7E5B" w:rsidRDefault="003C0F36" w:rsidP="00F80EE9">
            <w:pPr>
              <w:pStyle w:val="Tabletext"/>
              <w:rPr>
                <w:sz w:val="16"/>
                <w:szCs w:val="16"/>
                <w:lang w:eastAsia="zh-CN"/>
              </w:rPr>
            </w:pPr>
            <w:r w:rsidRPr="007B7E5B">
              <w:rPr>
                <w:sz w:val="16"/>
                <w:szCs w:val="16"/>
                <w:lang w:eastAsia="zh-CN"/>
              </w:rPr>
              <w:t>HR data &amp; analytics</w:t>
            </w:r>
          </w:p>
        </w:tc>
        <w:tc>
          <w:tcPr>
            <w:tcW w:w="1228" w:type="pct"/>
            <w:tcBorders>
              <w:left w:val="single" w:sz="4" w:space="0" w:color="auto"/>
            </w:tcBorders>
            <w:shd w:val="clear" w:color="auto" w:fill="DEEAF6"/>
            <w:vAlign w:val="center"/>
          </w:tcPr>
          <w:p w14:paraId="14E7019B" w14:textId="77777777" w:rsidR="003C0F36" w:rsidRPr="007B7E5B" w:rsidRDefault="003C0F36" w:rsidP="00F80EE9">
            <w:pPr>
              <w:pStyle w:val="Tabletext"/>
              <w:rPr>
                <w:rFonts w:eastAsia="DengXian"/>
                <w:sz w:val="16"/>
                <w:szCs w:val="16"/>
                <w:lang w:eastAsia="zh-CN"/>
              </w:rPr>
            </w:pPr>
            <w:bookmarkStart w:id="13" w:name="_Hlk221119482"/>
            <w:r w:rsidRPr="007B7E5B">
              <w:rPr>
                <w:rFonts w:eastAsia="DengXian"/>
                <w:sz w:val="16"/>
                <w:szCs w:val="16"/>
                <w:lang w:eastAsia="zh-CN"/>
              </w:rPr>
              <w:t xml:space="preserve">Strengthen HR data and analytics capabilities by </w:t>
            </w:r>
            <w:r w:rsidRPr="007B7E5B">
              <w:rPr>
                <w:rFonts w:eastAsia="Malgun Gothic"/>
                <w:sz w:val="16"/>
                <w:szCs w:val="16"/>
                <w:lang w:eastAsia="ko-KR"/>
              </w:rPr>
              <w:t>establishing reliable and consolidated HR data sources</w:t>
            </w:r>
            <w:r w:rsidRPr="007B7E5B">
              <w:rPr>
                <w:rFonts w:eastAsia="DengXian"/>
                <w:sz w:val="16"/>
                <w:szCs w:val="16"/>
                <w:lang w:eastAsia="zh-CN"/>
              </w:rPr>
              <w:t>, expanding business intelligence and moving towards predictive analytics to support planning, reporting and decision-making</w:t>
            </w:r>
            <w:bookmarkEnd w:id="13"/>
            <w:r w:rsidRPr="007B7E5B">
              <w:rPr>
                <w:rFonts w:eastAsia="DengXian"/>
                <w:sz w:val="16"/>
                <w:szCs w:val="16"/>
                <w:lang w:eastAsia="zh-CN"/>
              </w:rPr>
              <w:t>.</w:t>
            </w:r>
          </w:p>
        </w:tc>
        <w:tc>
          <w:tcPr>
            <w:tcW w:w="1842" w:type="pct"/>
            <w:shd w:val="clear" w:color="auto" w:fill="DEEAF6"/>
            <w:vAlign w:val="center"/>
          </w:tcPr>
          <w:p w14:paraId="7D354B4E" w14:textId="77777777" w:rsidR="003C0F36" w:rsidRPr="007B7E5B" w:rsidRDefault="003C0F36" w:rsidP="00F80EE9">
            <w:pPr>
              <w:pStyle w:val="Tabletext"/>
              <w:rPr>
                <w:sz w:val="16"/>
                <w:szCs w:val="16"/>
                <w:lang w:eastAsia="zh-CN"/>
              </w:rPr>
            </w:pPr>
            <w:r w:rsidRPr="007B7E5B">
              <w:rPr>
                <w:rFonts w:eastAsia="DengXian"/>
                <w:sz w:val="16"/>
                <w:szCs w:val="16"/>
                <w:lang w:eastAsia="zh-CN"/>
              </w:rPr>
              <w:t xml:space="preserve">• Availability of </w:t>
            </w:r>
            <w:r w:rsidRPr="007B7E5B">
              <w:rPr>
                <w:rFonts w:eastAsia="Malgun Gothic"/>
                <w:sz w:val="16"/>
                <w:szCs w:val="16"/>
                <w:lang w:eastAsia="ko-KR"/>
              </w:rPr>
              <w:t>data quality monitoring system (e.g., dashboard)</w:t>
            </w:r>
            <w:r w:rsidRPr="007B7E5B">
              <w:rPr>
                <w:sz w:val="16"/>
                <w:szCs w:val="16"/>
                <w:lang w:eastAsia="zh-CN"/>
              </w:rPr>
              <w:t xml:space="preserve"> (yes/no)</w:t>
            </w:r>
          </w:p>
          <w:p w14:paraId="0096F1CA" w14:textId="77777777" w:rsidR="003C0F36" w:rsidRPr="007B7E5B" w:rsidRDefault="003C0F36" w:rsidP="00F80EE9">
            <w:pPr>
              <w:pStyle w:val="Tabletext"/>
              <w:rPr>
                <w:rFonts w:eastAsia="Malgun Gothic"/>
                <w:sz w:val="16"/>
                <w:szCs w:val="16"/>
                <w:lang w:eastAsia="ko-KR"/>
              </w:rPr>
            </w:pPr>
            <w:r w:rsidRPr="007B7E5B">
              <w:rPr>
                <w:rFonts w:eastAsia="DengXian"/>
                <w:sz w:val="16"/>
                <w:szCs w:val="16"/>
                <w:lang w:eastAsia="zh-CN"/>
              </w:rPr>
              <w:t xml:space="preserve">• Number of </w:t>
            </w:r>
            <w:r w:rsidRPr="007B7E5B">
              <w:rPr>
                <w:sz w:val="16"/>
                <w:szCs w:val="16"/>
                <w:lang w:eastAsia="zh-CN"/>
              </w:rPr>
              <w:t>a</w:t>
            </w:r>
            <w:r w:rsidRPr="007B7E5B">
              <w:rPr>
                <w:rFonts w:eastAsia="Malgun Gothic"/>
                <w:sz w:val="16"/>
                <w:szCs w:val="16"/>
                <w:lang w:eastAsia="ko-KR"/>
              </w:rPr>
              <w:t>nalytic</w:t>
            </w:r>
            <w:r w:rsidRPr="007B7E5B">
              <w:rPr>
                <w:sz w:val="16"/>
                <w:szCs w:val="16"/>
                <w:lang w:eastAsia="zh-CN"/>
              </w:rPr>
              <w:t xml:space="preserve">al </w:t>
            </w:r>
            <w:r w:rsidRPr="007B7E5B">
              <w:rPr>
                <w:rFonts w:eastAsia="Malgun Gothic"/>
                <w:sz w:val="16"/>
                <w:szCs w:val="16"/>
                <w:lang w:eastAsia="ko-KR"/>
              </w:rPr>
              <w:t>tools utiliz</w:t>
            </w:r>
            <w:r w:rsidRPr="007B7E5B">
              <w:rPr>
                <w:sz w:val="16"/>
                <w:szCs w:val="16"/>
                <w:lang w:eastAsia="zh-CN"/>
              </w:rPr>
              <w:t>ed</w:t>
            </w:r>
            <w:r w:rsidRPr="007B7E5B">
              <w:rPr>
                <w:rFonts w:eastAsia="Malgun Gothic"/>
                <w:sz w:val="16"/>
                <w:szCs w:val="16"/>
                <w:lang w:eastAsia="ko-KR"/>
              </w:rPr>
              <w:t xml:space="preserve"> for business intelligence and HR data consolidation</w:t>
            </w:r>
          </w:p>
          <w:p w14:paraId="39C68F00" w14:textId="77777777" w:rsidR="003C0F36" w:rsidRPr="007B7E5B" w:rsidDel="00037073" w:rsidRDefault="003C0F36" w:rsidP="00F80EE9">
            <w:pPr>
              <w:pStyle w:val="Tabletext"/>
              <w:rPr>
                <w:rFonts w:eastAsia="DengXian"/>
                <w:sz w:val="16"/>
                <w:szCs w:val="16"/>
                <w:lang w:eastAsia="zh-CN"/>
              </w:rPr>
            </w:pPr>
            <w:r w:rsidRPr="007B7E5B">
              <w:rPr>
                <w:rFonts w:eastAsia="DengXian"/>
                <w:sz w:val="16"/>
                <w:szCs w:val="16"/>
                <w:lang w:eastAsia="zh-CN"/>
              </w:rPr>
              <w:t>•</w:t>
            </w:r>
            <w:r w:rsidRPr="007B7E5B">
              <w:rPr>
                <w:rFonts w:eastAsia="Malgun Gothic"/>
                <w:sz w:val="16"/>
                <w:szCs w:val="16"/>
                <w:lang w:eastAsia="ko-KR"/>
              </w:rPr>
              <w:t xml:space="preserve"> </w:t>
            </w:r>
            <w:r w:rsidRPr="007B7E5B">
              <w:rPr>
                <w:sz w:val="16"/>
                <w:szCs w:val="16"/>
                <w:lang w:eastAsia="zh-CN"/>
              </w:rPr>
              <w:t xml:space="preserve">Number of </w:t>
            </w:r>
            <w:r w:rsidRPr="007B7E5B">
              <w:rPr>
                <w:rFonts w:eastAsia="Malgun Gothic"/>
                <w:sz w:val="16"/>
                <w:szCs w:val="16"/>
                <w:lang w:eastAsia="ko-KR"/>
              </w:rPr>
              <w:t>AI-assisted tool</w:t>
            </w:r>
            <w:r w:rsidRPr="007B7E5B">
              <w:rPr>
                <w:sz w:val="16"/>
                <w:szCs w:val="16"/>
                <w:lang w:eastAsia="zh-CN"/>
              </w:rPr>
              <w:t>s</w:t>
            </w:r>
            <w:r w:rsidRPr="007B7E5B">
              <w:rPr>
                <w:rFonts w:eastAsia="Malgun Gothic"/>
                <w:sz w:val="16"/>
                <w:szCs w:val="16"/>
                <w:lang w:eastAsia="ko-KR"/>
              </w:rPr>
              <w:t xml:space="preserve"> adopt</w:t>
            </w:r>
            <w:r w:rsidRPr="007B7E5B">
              <w:rPr>
                <w:sz w:val="16"/>
                <w:szCs w:val="16"/>
                <w:lang w:eastAsia="zh-CN"/>
              </w:rPr>
              <w:t>ed</w:t>
            </w:r>
          </w:p>
        </w:tc>
        <w:tc>
          <w:tcPr>
            <w:tcW w:w="592" w:type="pct"/>
            <w:shd w:val="clear" w:color="auto" w:fill="DEEAF6"/>
            <w:vAlign w:val="center"/>
          </w:tcPr>
          <w:p w14:paraId="1168CAD2" w14:textId="77777777" w:rsidR="003C0F36" w:rsidRPr="007B7E5B" w:rsidRDefault="003C0F36" w:rsidP="00F80EE9">
            <w:pPr>
              <w:pStyle w:val="Tabletext"/>
              <w:rPr>
                <w:sz w:val="16"/>
                <w:szCs w:val="16"/>
                <w:lang w:eastAsia="zh-CN"/>
              </w:rPr>
            </w:pPr>
          </w:p>
          <w:p w14:paraId="7C3994BB" w14:textId="77777777" w:rsidR="003C0F36" w:rsidRPr="007B7E5B" w:rsidRDefault="003C0F36" w:rsidP="00F80EE9">
            <w:pPr>
              <w:pStyle w:val="Tabletext"/>
              <w:rPr>
                <w:sz w:val="16"/>
                <w:szCs w:val="16"/>
                <w:lang w:eastAsia="zh-CN"/>
              </w:rPr>
            </w:pPr>
          </w:p>
          <w:p w14:paraId="480BBDD9" w14:textId="77777777" w:rsidR="003C0F36" w:rsidRPr="007B7E5B" w:rsidRDefault="003C0F36" w:rsidP="00F80EE9">
            <w:pPr>
              <w:pStyle w:val="Tabletext"/>
              <w:rPr>
                <w:rFonts w:eastAsia="Malgun Gothic"/>
                <w:sz w:val="16"/>
                <w:szCs w:val="16"/>
                <w:lang w:eastAsia="ko-KR"/>
              </w:rPr>
            </w:pPr>
            <w:r w:rsidRPr="007B7E5B">
              <w:rPr>
                <w:sz w:val="16"/>
                <w:szCs w:val="16"/>
              </w:rPr>
              <w:t>Q</w:t>
            </w:r>
            <w:r w:rsidRPr="007B7E5B">
              <w:rPr>
                <w:rFonts w:eastAsia="Malgun Gothic"/>
                <w:sz w:val="16"/>
                <w:szCs w:val="16"/>
                <w:lang w:eastAsia="ko-KR"/>
              </w:rPr>
              <w:t>4 2026</w:t>
            </w:r>
          </w:p>
          <w:p w14:paraId="057F07AD" w14:textId="77777777" w:rsidR="003C0F36" w:rsidRPr="007B7E5B" w:rsidRDefault="003C0F36" w:rsidP="00F80EE9">
            <w:pPr>
              <w:pStyle w:val="Tabletext"/>
              <w:rPr>
                <w:rFonts w:eastAsia="Malgun Gothic"/>
                <w:sz w:val="16"/>
                <w:szCs w:val="16"/>
                <w:lang w:eastAsia="ko-KR"/>
              </w:rPr>
            </w:pPr>
            <w:r w:rsidRPr="007B7E5B">
              <w:rPr>
                <w:rFonts w:eastAsia="Malgun Gothic"/>
                <w:sz w:val="16"/>
                <w:szCs w:val="16"/>
                <w:lang w:eastAsia="ko-KR"/>
              </w:rPr>
              <w:t>Q4 2026</w:t>
            </w:r>
          </w:p>
          <w:p w14:paraId="75562327" w14:textId="77777777" w:rsidR="003C0F36" w:rsidRPr="007B7E5B" w:rsidRDefault="003C0F36" w:rsidP="00F80EE9">
            <w:pPr>
              <w:pStyle w:val="Tabletext"/>
              <w:rPr>
                <w:rFonts w:eastAsia="Malgun Gothic"/>
                <w:sz w:val="16"/>
                <w:szCs w:val="16"/>
                <w:lang w:eastAsia="ko-KR"/>
              </w:rPr>
            </w:pPr>
          </w:p>
          <w:p w14:paraId="126AC20A" w14:textId="1CC0FC95" w:rsidR="003C0F36" w:rsidRPr="007B7E5B" w:rsidRDefault="003C0F36" w:rsidP="007B7E5B">
            <w:pPr>
              <w:pStyle w:val="Tabletext"/>
              <w:rPr>
                <w:rFonts w:eastAsia="Malgun Gothic"/>
                <w:sz w:val="16"/>
                <w:szCs w:val="16"/>
                <w:lang w:eastAsia="ko-KR"/>
              </w:rPr>
            </w:pPr>
            <w:r w:rsidRPr="007B7E5B">
              <w:rPr>
                <w:rFonts w:eastAsia="Malgun Gothic"/>
                <w:sz w:val="16"/>
                <w:szCs w:val="16"/>
                <w:lang w:eastAsia="ko-KR"/>
              </w:rPr>
              <w:t>Q4 2027</w:t>
            </w:r>
          </w:p>
        </w:tc>
        <w:tc>
          <w:tcPr>
            <w:tcW w:w="494" w:type="pct"/>
            <w:shd w:val="clear" w:color="auto" w:fill="DEEAF6"/>
            <w:vAlign w:val="center"/>
          </w:tcPr>
          <w:p w14:paraId="24A2A5FE" w14:textId="77777777" w:rsidR="003C0F36" w:rsidRPr="007B7E5B" w:rsidDel="004B5D0E" w:rsidRDefault="003C0F36" w:rsidP="00F80EE9">
            <w:pPr>
              <w:pStyle w:val="Tabletext"/>
              <w:rPr>
                <w:rFonts w:eastAsia="DengXian"/>
                <w:sz w:val="16"/>
                <w:szCs w:val="16"/>
                <w:lang w:eastAsia="zh-CN"/>
              </w:rPr>
            </w:pPr>
          </w:p>
        </w:tc>
      </w:tr>
      <w:tr w:rsidR="003C0F36" w:rsidRPr="007B7E5B" w14:paraId="65E16BAC" w14:textId="77777777" w:rsidTr="007B7E5B">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7B1ED83E"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5.9</w:t>
            </w:r>
          </w:p>
        </w:tc>
        <w:tc>
          <w:tcPr>
            <w:tcW w:w="639" w:type="pct"/>
            <w:tcBorders>
              <w:top w:val="single" w:sz="4" w:space="0" w:color="auto"/>
              <w:left w:val="single" w:sz="4" w:space="0" w:color="auto"/>
              <w:bottom w:val="single" w:sz="4" w:space="0" w:color="auto"/>
              <w:right w:val="single" w:sz="4" w:space="0" w:color="auto"/>
            </w:tcBorders>
            <w:shd w:val="clear" w:color="auto" w:fill="DEEAF6"/>
            <w:vAlign w:val="center"/>
          </w:tcPr>
          <w:p w14:paraId="695AB9E2" w14:textId="77777777" w:rsidR="003C0F36" w:rsidRPr="007B7E5B" w:rsidRDefault="003C0F36" w:rsidP="00F80EE9">
            <w:pPr>
              <w:pStyle w:val="Tabletext"/>
              <w:rPr>
                <w:sz w:val="16"/>
                <w:szCs w:val="16"/>
                <w:lang w:eastAsia="zh-CN"/>
              </w:rPr>
            </w:pPr>
            <w:r w:rsidRPr="007B7E5B">
              <w:rPr>
                <w:sz w:val="16"/>
                <w:szCs w:val="16"/>
                <w:lang w:eastAsia="zh-CN"/>
              </w:rPr>
              <w:t>AI-enabled HR solutions</w:t>
            </w:r>
          </w:p>
        </w:tc>
        <w:tc>
          <w:tcPr>
            <w:tcW w:w="1228" w:type="pct"/>
            <w:tcBorders>
              <w:left w:val="single" w:sz="4" w:space="0" w:color="auto"/>
            </w:tcBorders>
            <w:shd w:val="clear" w:color="auto" w:fill="DEEAF6"/>
            <w:vAlign w:val="center"/>
          </w:tcPr>
          <w:p w14:paraId="5899FA94"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Assess and pilot AI-enabled HR solutions, engaging internally and inter-organizationally to validate effectiveness, share best practices, and address potential risks.</w:t>
            </w:r>
          </w:p>
        </w:tc>
        <w:tc>
          <w:tcPr>
            <w:tcW w:w="1842" w:type="pct"/>
            <w:shd w:val="clear" w:color="auto" w:fill="DEEAF6"/>
            <w:vAlign w:val="center"/>
          </w:tcPr>
          <w:p w14:paraId="262ED3B0" w14:textId="77777777" w:rsidR="003C0F36" w:rsidRPr="007B7E5B" w:rsidRDefault="003C0F36" w:rsidP="00F80EE9">
            <w:pPr>
              <w:pStyle w:val="Tabletext"/>
              <w:rPr>
                <w:rFonts w:eastAsia="DengXian"/>
                <w:sz w:val="16"/>
                <w:szCs w:val="16"/>
                <w:lang w:eastAsia="zh-CN"/>
              </w:rPr>
            </w:pPr>
            <w:r w:rsidRPr="007B7E5B">
              <w:rPr>
                <w:rFonts w:eastAsia="DengXian"/>
                <w:sz w:val="16"/>
                <w:szCs w:val="16"/>
                <w:lang w:eastAsia="zh-CN"/>
              </w:rPr>
              <w:t>• Number of AI-enabled use cases in use</w:t>
            </w:r>
          </w:p>
          <w:p w14:paraId="6D7BCB32" w14:textId="77777777" w:rsidR="003C0F36" w:rsidRPr="007B7E5B" w:rsidDel="00037073" w:rsidRDefault="003C0F36" w:rsidP="00F80EE9">
            <w:pPr>
              <w:pStyle w:val="Tabletext"/>
              <w:rPr>
                <w:rFonts w:eastAsia="DengXian"/>
                <w:sz w:val="16"/>
                <w:szCs w:val="16"/>
                <w:lang w:eastAsia="zh-CN"/>
              </w:rPr>
            </w:pPr>
            <w:r w:rsidRPr="007B7E5B">
              <w:rPr>
                <w:rFonts w:eastAsia="DengXian"/>
                <w:sz w:val="16"/>
                <w:szCs w:val="16"/>
                <w:lang w:eastAsia="zh-CN"/>
              </w:rPr>
              <w:t>• Lessons learned and good practices shared internally and with inter-organizationally (qualitative)</w:t>
            </w:r>
          </w:p>
        </w:tc>
        <w:tc>
          <w:tcPr>
            <w:tcW w:w="592" w:type="pct"/>
            <w:shd w:val="clear" w:color="auto" w:fill="DEEAF6"/>
            <w:vAlign w:val="center"/>
          </w:tcPr>
          <w:p w14:paraId="412F2936" w14:textId="77777777" w:rsidR="003C0F36" w:rsidRPr="007B7E5B" w:rsidRDefault="003C0F36" w:rsidP="00F80EE9">
            <w:pPr>
              <w:pStyle w:val="Tabletext"/>
              <w:rPr>
                <w:sz w:val="16"/>
                <w:szCs w:val="16"/>
                <w:lang w:eastAsia="zh-CN"/>
              </w:rPr>
            </w:pPr>
            <w:r w:rsidRPr="007B7E5B">
              <w:rPr>
                <w:sz w:val="16"/>
                <w:szCs w:val="16"/>
                <w:lang w:eastAsia="zh-CN"/>
              </w:rPr>
              <w:t>Q4 2027</w:t>
            </w:r>
          </w:p>
          <w:p w14:paraId="494CD3C2" w14:textId="77777777" w:rsidR="003C0F36" w:rsidRPr="007B7E5B" w:rsidRDefault="003C0F36" w:rsidP="00F80EE9">
            <w:pPr>
              <w:pStyle w:val="Tabletext"/>
              <w:rPr>
                <w:sz w:val="16"/>
                <w:szCs w:val="16"/>
                <w:lang w:eastAsia="zh-CN"/>
              </w:rPr>
            </w:pPr>
            <w:r w:rsidRPr="007B7E5B">
              <w:rPr>
                <w:sz w:val="16"/>
                <w:szCs w:val="16"/>
                <w:lang w:eastAsia="zh-CN"/>
              </w:rPr>
              <w:t>Q4 2027</w:t>
            </w:r>
          </w:p>
        </w:tc>
        <w:tc>
          <w:tcPr>
            <w:tcW w:w="494" w:type="pct"/>
            <w:shd w:val="clear" w:color="auto" w:fill="DEEAF6"/>
            <w:vAlign w:val="center"/>
          </w:tcPr>
          <w:p w14:paraId="23649CD5" w14:textId="77777777" w:rsidR="003C0F36" w:rsidRPr="007B7E5B" w:rsidDel="004B5D0E" w:rsidRDefault="003C0F36" w:rsidP="00F80EE9">
            <w:pPr>
              <w:pStyle w:val="Tabletext"/>
              <w:rPr>
                <w:rFonts w:eastAsia="DengXian"/>
                <w:sz w:val="16"/>
                <w:szCs w:val="16"/>
                <w:lang w:eastAsia="zh-CN"/>
              </w:rPr>
            </w:pPr>
          </w:p>
        </w:tc>
      </w:tr>
    </w:tbl>
    <w:p w14:paraId="7931B693" w14:textId="12974B79" w:rsidR="007A3FCD" w:rsidRPr="00EB623E" w:rsidRDefault="007A3FCD" w:rsidP="00E43561">
      <w:pPr>
        <w:spacing w:before="720"/>
        <w:jc w:val="center"/>
      </w:pPr>
      <w:r w:rsidRPr="00EB623E">
        <w:t>______________</w:t>
      </w:r>
    </w:p>
    <w:sectPr w:rsidR="007A3FCD" w:rsidRPr="00EB623E" w:rsidSect="003C0F36">
      <w:headerReference w:type="first" r:id="rId17"/>
      <w:footerReference w:type="first" r:id="rId18"/>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B350" w14:textId="77777777" w:rsidR="00984400" w:rsidRDefault="00984400">
      <w:r>
        <w:separator/>
      </w:r>
    </w:p>
  </w:endnote>
  <w:endnote w:type="continuationSeparator" w:id="0">
    <w:p w14:paraId="7A8D7A49" w14:textId="77777777" w:rsidR="00984400" w:rsidRDefault="0098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C0F36" w:rsidRPr="00784011" w14:paraId="4D16B572" w14:textId="77777777">
      <w:trPr>
        <w:jc w:val="center"/>
      </w:trPr>
      <w:tc>
        <w:tcPr>
          <w:tcW w:w="1803" w:type="dxa"/>
          <w:vAlign w:val="center"/>
        </w:tcPr>
        <w:p w14:paraId="53AA88C4" w14:textId="77777777" w:rsidR="003C0F36" w:rsidRDefault="003C0F36" w:rsidP="003C0F36">
          <w:pPr>
            <w:pStyle w:val="Header"/>
            <w:jc w:val="left"/>
            <w:rPr>
              <w:noProof/>
            </w:rPr>
          </w:pPr>
          <w:r>
            <w:rPr>
              <w:noProof/>
            </w:rPr>
            <w:t>gDoc #</w:t>
          </w:r>
        </w:p>
      </w:tc>
      <w:tc>
        <w:tcPr>
          <w:tcW w:w="8261" w:type="dxa"/>
        </w:tcPr>
        <w:p w14:paraId="504DA098" w14:textId="6BDEBA40" w:rsidR="003C0F36" w:rsidRPr="00E06FD5" w:rsidRDefault="003C0F36" w:rsidP="003C0F36">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sidR="00281248">
            <w:rPr>
              <w:bCs/>
            </w:rPr>
            <w:t>67</w:t>
          </w:r>
          <w:r w:rsidRPr="00623AE3">
            <w:rPr>
              <w:bCs/>
            </w:rPr>
            <w:t>-E</w:t>
          </w:r>
          <w:r>
            <w:rPr>
              <w:bCs/>
            </w:rPr>
            <w:tab/>
          </w:r>
          <w:r>
            <w:fldChar w:fldCharType="begin"/>
          </w:r>
          <w:r>
            <w:instrText>PAGE</w:instrText>
          </w:r>
          <w:r>
            <w:fldChar w:fldCharType="separate"/>
          </w:r>
          <w:r>
            <w:t>10</w:t>
          </w:r>
          <w:r>
            <w:rPr>
              <w:noProof/>
            </w:rPr>
            <w:fldChar w:fldCharType="end"/>
          </w:r>
        </w:p>
      </w:tc>
    </w:tr>
  </w:tbl>
  <w:p w14:paraId="7B3BA22A" w14:textId="77777777" w:rsidR="003C0F36" w:rsidRPr="00DB1936" w:rsidRDefault="003C0F36" w:rsidP="003C0F36">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3C0F36" w:rsidRPr="00784011" w14:paraId="1E30D8E3" w14:textId="77777777">
      <w:trPr>
        <w:jc w:val="center"/>
      </w:trPr>
      <w:tc>
        <w:tcPr>
          <w:tcW w:w="1803" w:type="dxa"/>
          <w:vAlign w:val="center"/>
        </w:tcPr>
        <w:p w14:paraId="0C813371" w14:textId="77777777" w:rsidR="003C0F36" w:rsidRPr="006B77F1" w:rsidRDefault="003C0F36" w:rsidP="003C0F36">
          <w:pPr>
            <w:pStyle w:val="Header"/>
            <w:jc w:val="left"/>
            <w:rPr>
              <w:noProof/>
            </w:rPr>
          </w:pPr>
          <w:hyperlink r:id="rId1" w:history="1">
            <w:r>
              <w:rPr>
                <w:rStyle w:val="Hyperlink"/>
                <w:u w:val="none"/>
              </w:rPr>
              <w:t>council.itu.int/2026</w:t>
            </w:r>
          </w:hyperlink>
        </w:p>
      </w:tc>
      <w:tc>
        <w:tcPr>
          <w:tcW w:w="8261" w:type="dxa"/>
        </w:tcPr>
        <w:p w14:paraId="539F37E9" w14:textId="33653DC5" w:rsidR="003C0F36" w:rsidRPr="00E06FD5" w:rsidRDefault="003C0F36" w:rsidP="003C0F36">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sidR="00281248">
            <w:rPr>
              <w:bCs/>
            </w:rPr>
            <w:t>67</w:t>
          </w:r>
          <w:r w:rsidRPr="00623AE3">
            <w:rPr>
              <w:bCs/>
            </w:rPr>
            <w:t>-E</w:t>
          </w:r>
          <w:r>
            <w:rPr>
              <w:bCs/>
            </w:rPr>
            <w:tab/>
          </w:r>
          <w:r>
            <w:fldChar w:fldCharType="begin"/>
          </w:r>
          <w:r>
            <w:instrText>PAGE</w:instrText>
          </w:r>
          <w:r>
            <w:fldChar w:fldCharType="separate"/>
          </w:r>
          <w:r>
            <w:t>9</w:t>
          </w:r>
          <w:r>
            <w:rPr>
              <w:noProof/>
            </w:rPr>
            <w:fldChar w:fldCharType="end"/>
          </w:r>
        </w:p>
      </w:tc>
    </w:tr>
  </w:tbl>
  <w:p w14:paraId="06E88725" w14:textId="72283B8B" w:rsidR="003C0F36" w:rsidRPr="003C0F36" w:rsidRDefault="003C0F36" w:rsidP="003C0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6ACE40CD" w14:textId="77777777" w:rsidTr="006B77F1">
      <w:trPr>
        <w:jc w:val="center"/>
      </w:trPr>
      <w:tc>
        <w:tcPr>
          <w:tcW w:w="1803" w:type="dxa"/>
          <w:vAlign w:val="center"/>
        </w:tcPr>
        <w:p w14:paraId="2174D7E5"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1A8B3DCA" w14:textId="7777777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/xx-E</w:t>
          </w:r>
          <w:r>
            <w:rPr>
              <w:bCs/>
            </w:rPr>
            <w:tab/>
          </w:r>
          <w:r>
            <w:fldChar w:fldCharType="begin"/>
          </w:r>
          <w:r>
            <w:instrText>PAGE</w:instrText>
          </w:r>
          <w:r>
            <w:fldChar w:fldCharType="separate"/>
          </w:r>
          <w:r>
            <w:t>1</w:t>
          </w:r>
          <w:r>
            <w:rPr>
              <w:noProof/>
            </w:rPr>
            <w:fldChar w:fldCharType="end"/>
          </w:r>
        </w:p>
      </w:tc>
    </w:tr>
  </w:tbl>
  <w:p w14:paraId="0598F130"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F87A0" w14:textId="77777777" w:rsidR="00984400" w:rsidRDefault="00984400">
      <w:r>
        <w:t>____________________</w:t>
      </w:r>
    </w:p>
  </w:footnote>
  <w:footnote w:type="continuationSeparator" w:id="0">
    <w:p w14:paraId="016CCF3D" w14:textId="77777777" w:rsidR="00984400" w:rsidRDefault="00984400">
      <w:r>
        <w:continuationSeparator/>
      </w:r>
    </w:p>
  </w:footnote>
  <w:footnote w:id="1">
    <w:p w14:paraId="1A710443" w14:textId="7A576C9F" w:rsidR="003C0F36" w:rsidRPr="007B7E5B" w:rsidRDefault="003C0F36" w:rsidP="007B7E5B">
      <w:pPr>
        <w:pStyle w:val="FootnoteText"/>
        <w:rPr>
          <w:rFonts w:eastAsia="DengXian"/>
        </w:rPr>
      </w:pPr>
      <w:r w:rsidRPr="00FF6536">
        <w:rPr>
          <w:rStyle w:val="FootnoteReference"/>
          <w:szCs w:val="16"/>
        </w:rPr>
        <w:footnoteRef/>
      </w:r>
      <w:r w:rsidR="007B7E5B">
        <w:tab/>
      </w:r>
      <w:r w:rsidRPr="00E43561">
        <w:rPr>
          <w:sz w:val="20"/>
        </w:rPr>
        <w:t xml:space="preserve">Least </w:t>
      </w:r>
      <w:r w:rsidR="007B7E5B" w:rsidRPr="00E43561">
        <w:rPr>
          <w:sz w:val="20"/>
        </w:rPr>
        <w:t>developed countries</w:t>
      </w:r>
      <w:r w:rsidRPr="00E43561">
        <w:rPr>
          <w:sz w:val="20"/>
        </w:rPr>
        <w:t>/</w:t>
      </w:r>
      <w:r w:rsidR="007B7E5B" w:rsidRPr="00E43561">
        <w:rPr>
          <w:sz w:val="20"/>
        </w:rPr>
        <w:t>landlocked developing countries</w:t>
      </w:r>
      <w:r w:rsidRPr="00E43561">
        <w:rPr>
          <w:sz w:val="20"/>
        </w:rPr>
        <w:t>/</w:t>
      </w:r>
      <w:r w:rsidR="007B7E5B" w:rsidRPr="00E43561">
        <w:rPr>
          <w:sz w:val="20"/>
        </w:rPr>
        <w:t xml:space="preserve">small island developing </w:t>
      </w:r>
      <w:r w:rsidRPr="00E43561">
        <w:rPr>
          <w:sz w:val="20"/>
        </w:rPr>
        <w:t>States</w:t>
      </w:r>
      <w:r w:rsidR="007B7E5B" w:rsidRPr="00E43561">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577C" w14:textId="29A4E026" w:rsidR="003C0F36" w:rsidRDefault="003C0F36">
    <w:pPr>
      <w:pStyle w:val="Header"/>
    </w:pPr>
    <w:r>
      <w:rPr>
        <w:noProof/>
      </w:rPr>
      <w:drawing>
        <wp:inline distT="0" distB="0" distL="0" distR="0" wp14:anchorId="3537D28B" wp14:editId="3AC4A7F4">
          <wp:extent cx="5760085" cy="840740"/>
          <wp:effectExtent l="0" t="0" r="0" b="0"/>
          <wp:docPr id="1135725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61AF"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4113B6"/>
    <w:multiLevelType w:val="hybridMultilevel"/>
    <w:tmpl w:val="9CBECCDC"/>
    <w:lvl w:ilvl="0" w:tplc="55CAAEC0">
      <w:start w:val="1"/>
      <w:numFmt w:val="bullet"/>
      <w:lvlText w:val="•"/>
      <w:lvlJc w:val="left"/>
      <w:pPr>
        <w:tabs>
          <w:tab w:val="num" w:pos="720"/>
        </w:tabs>
        <w:ind w:left="720" w:hanging="360"/>
      </w:pPr>
      <w:rPr>
        <w:rFonts w:ascii="Arial" w:hAnsi="Arial" w:hint="default"/>
      </w:rPr>
    </w:lvl>
    <w:lvl w:ilvl="1" w:tplc="C9D0C296">
      <w:numFmt w:val="bullet"/>
      <w:lvlText w:val="–"/>
      <w:lvlJc w:val="left"/>
      <w:pPr>
        <w:tabs>
          <w:tab w:val="num" w:pos="1440"/>
        </w:tabs>
        <w:ind w:left="1440" w:hanging="360"/>
      </w:pPr>
      <w:rPr>
        <w:rFonts w:ascii="Arial" w:hAnsi="Arial" w:hint="default"/>
      </w:rPr>
    </w:lvl>
    <w:lvl w:ilvl="2" w:tplc="6B3AEB26" w:tentative="1">
      <w:start w:val="1"/>
      <w:numFmt w:val="bullet"/>
      <w:lvlText w:val="•"/>
      <w:lvlJc w:val="left"/>
      <w:pPr>
        <w:tabs>
          <w:tab w:val="num" w:pos="2160"/>
        </w:tabs>
        <w:ind w:left="2160" w:hanging="360"/>
      </w:pPr>
      <w:rPr>
        <w:rFonts w:ascii="Arial" w:hAnsi="Arial" w:hint="default"/>
      </w:rPr>
    </w:lvl>
    <w:lvl w:ilvl="3" w:tplc="9E5A5CAE" w:tentative="1">
      <w:start w:val="1"/>
      <w:numFmt w:val="bullet"/>
      <w:lvlText w:val="•"/>
      <w:lvlJc w:val="left"/>
      <w:pPr>
        <w:tabs>
          <w:tab w:val="num" w:pos="2880"/>
        </w:tabs>
        <w:ind w:left="2880" w:hanging="360"/>
      </w:pPr>
      <w:rPr>
        <w:rFonts w:ascii="Arial" w:hAnsi="Arial" w:hint="default"/>
      </w:rPr>
    </w:lvl>
    <w:lvl w:ilvl="4" w:tplc="DD3CF324" w:tentative="1">
      <w:start w:val="1"/>
      <w:numFmt w:val="bullet"/>
      <w:lvlText w:val="•"/>
      <w:lvlJc w:val="left"/>
      <w:pPr>
        <w:tabs>
          <w:tab w:val="num" w:pos="3600"/>
        </w:tabs>
        <w:ind w:left="3600" w:hanging="360"/>
      </w:pPr>
      <w:rPr>
        <w:rFonts w:ascii="Arial" w:hAnsi="Arial" w:hint="default"/>
      </w:rPr>
    </w:lvl>
    <w:lvl w:ilvl="5" w:tplc="67CEA002" w:tentative="1">
      <w:start w:val="1"/>
      <w:numFmt w:val="bullet"/>
      <w:lvlText w:val="•"/>
      <w:lvlJc w:val="left"/>
      <w:pPr>
        <w:tabs>
          <w:tab w:val="num" w:pos="4320"/>
        </w:tabs>
        <w:ind w:left="4320" w:hanging="360"/>
      </w:pPr>
      <w:rPr>
        <w:rFonts w:ascii="Arial" w:hAnsi="Arial" w:hint="default"/>
      </w:rPr>
    </w:lvl>
    <w:lvl w:ilvl="6" w:tplc="D9E47C00" w:tentative="1">
      <w:start w:val="1"/>
      <w:numFmt w:val="bullet"/>
      <w:lvlText w:val="•"/>
      <w:lvlJc w:val="left"/>
      <w:pPr>
        <w:tabs>
          <w:tab w:val="num" w:pos="5040"/>
        </w:tabs>
        <w:ind w:left="5040" w:hanging="360"/>
      </w:pPr>
      <w:rPr>
        <w:rFonts w:ascii="Arial" w:hAnsi="Arial" w:hint="default"/>
      </w:rPr>
    </w:lvl>
    <w:lvl w:ilvl="7" w:tplc="6FDEFE32" w:tentative="1">
      <w:start w:val="1"/>
      <w:numFmt w:val="bullet"/>
      <w:lvlText w:val="•"/>
      <w:lvlJc w:val="left"/>
      <w:pPr>
        <w:tabs>
          <w:tab w:val="num" w:pos="5760"/>
        </w:tabs>
        <w:ind w:left="5760" w:hanging="360"/>
      </w:pPr>
      <w:rPr>
        <w:rFonts w:ascii="Arial" w:hAnsi="Arial" w:hint="default"/>
      </w:rPr>
    </w:lvl>
    <w:lvl w:ilvl="8" w:tplc="784425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B25932"/>
    <w:multiLevelType w:val="multilevel"/>
    <w:tmpl w:val="4336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B25571"/>
    <w:multiLevelType w:val="multilevel"/>
    <w:tmpl w:val="E6725DE4"/>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0E3561"/>
    <w:multiLevelType w:val="hybridMultilevel"/>
    <w:tmpl w:val="C8142D46"/>
    <w:lvl w:ilvl="0" w:tplc="4F1EA24A">
      <w:start w:val="1"/>
      <w:numFmt w:val="decimal"/>
      <w:lvlText w:val="%1."/>
      <w:lvlJc w:val="left"/>
      <w:pPr>
        <w:ind w:left="3195" w:hanging="360"/>
      </w:pPr>
      <w:rPr>
        <w:b w:val="0"/>
        <w:bCs w:val="0"/>
        <w:color w:val="auto"/>
        <w:sz w:val="20"/>
        <w:szCs w:val="20"/>
      </w:rPr>
    </w:lvl>
    <w:lvl w:ilvl="1" w:tplc="04090019">
      <w:start w:val="1"/>
      <w:numFmt w:val="lowerLetter"/>
      <w:lvlText w:val="%2."/>
      <w:lvlJc w:val="left"/>
      <w:pPr>
        <w:ind w:left="3566" w:hanging="360"/>
      </w:pPr>
    </w:lvl>
    <w:lvl w:ilvl="2" w:tplc="0409001B">
      <w:start w:val="1"/>
      <w:numFmt w:val="lowerRoman"/>
      <w:lvlText w:val="%3."/>
      <w:lvlJc w:val="right"/>
      <w:pPr>
        <w:ind w:left="4286" w:hanging="180"/>
      </w:pPr>
    </w:lvl>
    <w:lvl w:ilvl="3" w:tplc="0409000F">
      <w:start w:val="1"/>
      <w:numFmt w:val="decimal"/>
      <w:lvlText w:val="%4."/>
      <w:lvlJc w:val="left"/>
      <w:pPr>
        <w:ind w:left="5006" w:hanging="360"/>
      </w:pPr>
    </w:lvl>
    <w:lvl w:ilvl="4" w:tplc="04090019">
      <w:start w:val="1"/>
      <w:numFmt w:val="lowerLetter"/>
      <w:lvlText w:val="%5."/>
      <w:lvlJc w:val="left"/>
      <w:pPr>
        <w:ind w:left="5726" w:hanging="360"/>
      </w:pPr>
    </w:lvl>
    <w:lvl w:ilvl="5" w:tplc="0409001B">
      <w:start w:val="1"/>
      <w:numFmt w:val="lowerRoman"/>
      <w:lvlText w:val="%6."/>
      <w:lvlJc w:val="right"/>
      <w:pPr>
        <w:ind w:left="6446" w:hanging="180"/>
      </w:pPr>
    </w:lvl>
    <w:lvl w:ilvl="6" w:tplc="0409000F">
      <w:start w:val="1"/>
      <w:numFmt w:val="decimal"/>
      <w:lvlText w:val="%7."/>
      <w:lvlJc w:val="left"/>
      <w:pPr>
        <w:ind w:left="7166" w:hanging="360"/>
      </w:pPr>
    </w:lvl>
    <w:lvl w:ilvl="7" w:tplc="04090019">
      <w:start w:val="1"/>
      <w:numFmt w:val="lowerLetter"/>
      <w:lvlText w:val="%8."/>
      <w:lvlJc w:val="left"/>
      <w:pPr>
        <w:ind w:left="7886" w:hanging="360"/>
      </w:pPr>
    </w:lvl>
    <w:lvl w:ilvl="8" w:tplc="0409001B">
      <w:start w:val="1"/>
      <w:numFmt w:val="lowerRoman"/>
      <w:lvlText w:val="%9."/>
      <w:lvlJc w:val="right"/>
      <w:pPr>
        <w:ind w:left="8606" w:hanging="180"/>
      </w:pPr>
    </w:lvl>
  </w:abstractNum>
  <w:abstractNum w:abstractNumId="5" w15:restartNumberingAfterBreak="0">
    <w:nsid w:val="420B57E7"/>
    <w:multiLevelType w:val="multilevel"/>
    <w:tmpl w:val="19E4BC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4A555B1F"/>
    <w:multiLevelType w:val="multilevel"/>
    <w:tmpl w:val="17D6A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0"/>
  </w:num>
  <w:num w:numId="2" w16cid:durableId="1390573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8687172">
    <w:abstractNumId w:val="1"/>
  </w:num>
  <w:num w:numId="4" w16cid:durableId="1568563840">
    <w:abstractNumId w:val="5"/>
  </w:num>
  <w:num w:numId="5" w16cid:durableId="804812651">
    <w:abstractNumId w:val="3"/>
  </w:num>
  <w:num w:numId="6" w16cid:durableId="1097941546">
    <w:abstractNumId w:val="6"/>
  </w:num>
  <w:num w:numId="7" w16cid:durableId="2132288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36"/>
    <w:rsid w:val="00000BCD"/>
    <w:rsid w:val="00011E78"/>
    <w:rsid w:val="000210D4"/>
    <w:rsid w:val="00022A15"/>
    <w:rsid w:val="000264CF"/>
    <w:rsid w:val="0003278F"/>
    <w:rsid w:val="00034A7E"/>
    <w:rsid w:val="00034B9B"/>
    <w:rsid w:val="0006007D"/>
    <w:rsid w:val="00063016"/>
    <w:rsid w:val="00066795"/>
    <w:rsid w:val="00076AF6"/>
    <w:rsid w:val="000834D1"/>
    <w:rsid w:val="00084708"/>
    <w:rsid w:val="00085CF2"/>
    <w:rsid w:val="00087113"/>
    <w:rsid w:val="00095E1A"/>
    <w:rsid w:val="000A533E"/>
    <w:rsid w:val="000B1705"/>
    <w:rsid w:val="000D75B2"/>
    <w:rsid w:val="000E372C"/>
    <w:rsid w:val="000E4D32"/>
    <w:rsid w:val="000F5DDB"/>
    <w:rsid w:val="00112134"/>
    <w:rsid w:val="001121F5"/>
    <w:rsid w:val="001238D8"/>
    <w:rsid w:val="001400DC"/>
    <w:rsid w:val="00140CE1"/>
    <w:rsid w:val="0015189A"/>
    <w:rsid w:val="001525DC"/>
    <w:rsid w:val="00165391"/>
    <w:rsid w:val="0017539C"/>
    <w:rsid w:val="00175AC2"/>
    <w:rsid w:val="0017609F"/>
    <w:rsid w:val="00176F47"/>
    <w:rsid w:val="001A3154"/>
    <w:rsid w:val="001A7D1D"/>
    <w:rsid w:val="001B51DD"/>
    <w:rsid w:val="001C628E"/>
    <w:rsid w:val="001E0F7B"/>
    <w:rsid w:val="001F5569"/>
    <w:rsid w:val="00203FA9"/>
    <w:rsid w:val="0020487B"/>
    <w:rsid w:val="002119FD"/>
    <w:rsid w:val="002130E0"/>
    <w:rsid w:val="00221F46"/>
    <w:rsid w:val="002453CF"/>
    <w:rsid w:val="00264425"/>
    <w:rsid w:val="00265875"/>
    <w:rsid w:val="0027303B"/>
    <w:rsid w:val="00277DEA"/>
    <w:rsid w:val="0028109B"/>
    <w:rsid w:val="00281248"/>
    <w:rsid w:val="002916B4"/>
    <w:rsid w:val="002A0615"/>
    <w:rsid w:val="002A133E"/>
    <w:rsid w:val="002A2188"/>
    <w:rsid w:val="002B1F58"/>
    <w:rsid w:val="002C1C7A"/>
    <w:rsid w:val="002C3F32"/>
    <w:rsid w:val="002C54E2"/>
    <w:rsid w:val="002D6397"/>
    <w:rsid w:val="002E19FB"/>
    <w:rsid w:val="0030160F"/>
    <w:rsid w:val="003104A7"/>
    <w:rsid w:val="00320223"/>
    <w:rsid w:val="00322D0D"/>
    <w:rsid w:val="00325B95"/>
    <w:rsid w:val="00361465"/>
    <w:rsid w:val="00362658"/>
    <w:rsid w:val="00372F91"/>
    <w:rsid w:val="00387244"/>
    <w:rsid w:val="003877F5"/>
    <w:rsid w:val="003936D3"/>
    <w:rsid w:val="003942D4"/>
    <w:rsid w:val="003958A8"/>
    <w:rsid w:val="003B29C2"/>
    <w:rsid w:val="003B4FAF"/>
    <w:rsid w:val="003C0F36"/>
    <w:rsid w:val="003C2533"/>
    <w:rsid w:val="003D5A7F"/>
    <w:rsid w:val="003D6F55"/>
    <w:rsid w:val="003E1CB9"/>
    <w:rsid w:val="003F0228"/>
    <w:rsid w:val="0040435A"/>
    <w:rsid w:val="0041653E"/>
    <w:rsid w:val="00416A24"/>
    <w:rsid w:val="00431D9E"/>
    <w:rsid w:val="00433CE8"/>
    <w:rsid w:val="00434A5C"/>
    <w:rsid w:val="0045072F"/>
    <w:rsid w:val="00453079"/>
    <w:rsid w:val="004544D9"/>
    <w:rsid w:val="00463D46"/>
    <w:rsid w:val="00465C35"/>
    <w:rsid w:val="00472BAD"/>
    <w:rsid w:val="00484009"/>
    <w:rsid w:val="00490E72"/>
    <w:rsid w:val="00491157"/>
    <w:rsid w:val="00491BA9"/>
    <w:rsid w:val="004921C8"/>
    <w:rsid w:val="0049369C"/>
    <w:rsid w:val="00495615"/>
    <w:rsid w:val="00495B0B"/>
    <w:rsid w:val="004A1B8B"/>
    <w:rsid w:val="004A359A"/>
    <w:rsid w:val="004B430D"/>
    <w:rsid w:val="004C459F"/>
    <w:rsid w:val="004D1851"/>
    <w:rsid w:val="004D599D"/>
    <w:rsid w:val="004E2EA5"/>
    <w:rsid w:val="004E3AEB"/>
    <w:rsid w:val="004E626C"/>
    <w:rsid w:val="0050223C"/>
    <w:rsid w:val="00512087"/>
    <w:rsid w:val="005243FF"/>
    <w:rsid w:val="00564FBC"/>
    <w:rsid w:val="00572AF1"/>
    <w:rsid w:val="005800BC"/>
    <w:rsid w:val="00582442"/>
    <w:rsid w:val="005F3269"/>
    <w:rsid w:val="0061071E"/>
    <w:rsid w:val="006177E6"/>
    <w:rsid w:val="00623AE3"/>
    <w:rsid w:val="0063696E"/>
    <w:rsid w:val="00641B32"/>
    <w:rsid w:val="00646AFB"/>
    <w:rsid w:val="0064737F"/>
    <w:rsid w:val="006535F1"/>
    <w:rsid w:val="0065557D"/>
    <w:rsid w:val="00660D50"/>
    <w:rsid w:val="00662984"/>
    <w:rsid w:val="006716BB"/>
    <w:rsid w:val="0067486A"/>
    <w:rsid w:val="006A2F4B"/>
    <w:rsid w:val="006B1859"/>
    <w:rsid w:val="006B6680"/>
    <w:rsid w:val="006B6DCC"/>
    <w:rsid w:val="006B7574"/>
    <w:rsid w:val="006B77F1"/>
    <w:rsid w:val="00702DEF"/>
    <w:rsid w:val="00706861"/>
    <w:rsid w:val="00722551"/>
    <w:rsid w:val="0075051B"/>
    <w:rsid w:val="00765C89"/>
    <w:rsid w:val="0077110E"/>
    <w:rsid w:val="00793188"/>
    <w:rsid w:val="00794D34"/>
    <w:rsid w:val="007A3FCD"/>
    <w:rsid w:val="007A7A35"/>
    <w:rsid w:val="007B19CF"/>
    <w:rsid w:val="007B7E5B"/>
    <w:rsid w:val="007C27DE"/>
    <w:rsid w:val="007D01AF"/>
    <w:rsid w:val="007D2D19"/>
    <w:rsid w:val="00813E5E"/>
    <w:rsid w:val="00820ED8"/>
    <w:rsid w:val="0083581B"/>
    <w:rsid w:val="0084546D"/>
    <w:rsid w:val="00855EC9"/>
    <w:rsid w:val="00863874"/>
    <w:rsid w:val="00864AFF"/>
    <w:rsid w:val="00864EC4"/>
    <w:rsid w:val="00865925"/>
    <w:rsid w:val="0088393C"/>
    <w:rsid w:val="00893787"/>
    <w:rsid w:val="008A4761"/>
    <w:rsid w:val="008B4A6A"/>
    <w:rsid w:val="008B5F76"/>
    <w:rsid w:val="008C7E27"/>
    <w:rsid w:val="008D4E80"/>
    <w:rsid w:val="008F7448"/>
    <w:rsid w:val="0090147A"/>
    <w:rsid w:val="00902E32"/>
    <w:rsid w:val="009173EF"/>
    <w:rsid w:val="00932906"/>
    <w:rsid w:val="00946D71"/>
    <w:rsid w:val="00947D80"/>
    <w:rsid w:val="00953749"/>
    <w:rsid w:val="00954C49"/>
    <w:rsid w:val="00961B0B"/>
    <w:rsid w:val="00962D33"/>
    <w:rsid w:val="009842A1"/>
    <w:rsid w:val="00984400"/>
    <w:rsid w:val="00986804"/>
    <w:rsid w:val="009A3F30"/>
    <w:rsid w:val="009A76A8"/>
    <w:rsid w:val="009B38C3"/>
    <w:rsid w:val="009E1333"/>
    <w:rsid w:val="009E17BD"/>
    <w:rsid w:val="009E485A"/>
    <w:rsid w:val="009E5B2B"/>
    <w:rsid w:val="009E7B89"/>
    <w:rsid w:val="00A04CEC"/>
    <w:rsid w:val="00A109AF"/>
    <w:rsid w:val="00A1269B"/>
    <w:rsid w:val="00A27F92"/>
    <w:rsid w:val="00A32257"/>
    <w:rsid w:val="00A36D20"/>
    <w:rsid w:val="00A514A4"/>
    <w:rsid w:val="00A55622"/>
    <w:rsid w:val="00A718EC"/>
    <w:rsid w:val="00A73C4B"/>
    <w:rsid w:val="00A83502"/>
    <w:rsid w:val="00A94BAB"/>
    <w:rsid w:val="00AD0762"/>
    <w:rsid w:val="00AD15B3"/>
    <w:rsid w:val="00AD3606"/>
    <w:rsid w:val="00AD4A3D"/>
    <w:rsid w:val="00AF6E49"/>
    <w:rsid w:val="00B04A67"/>
    <w:rsid w:val="00B0583C"/>
    <w:rsid w:val="00B159F9"/>
    <w:rsid w:val="00B40A81"/>
    <w:rsid w:val="00B44910"/>
    <w:rsid w:val="00B5417F"/>
    <w:rsid w:val="00B71B57"/>
    <w:rsid w:val="00B72267"/>
    <w:rsid w:val="00B72877"/>
    <w:rsid w:val="00B76EB6"/>
    <w:rsid w:val="00B7737B"/>
    <w:rsid w:val="00B812AC"/>
    <w:rsid w:val="00B824C8"/>
    <w:rsid w:val="00B84B9D"/>
    <w:rsid w:val="00B9131F"/>
    <w:rsid w:val="00B93576"/>
    <w:rsid w:val="00BB0646"/>
    <w:rsid w:val="00BC251A"/>
    <w:rsid w:val="00BC4A20"/>
    <w:rsid w:val="00BD032B"/>
    <w:rsid w:val="00BE01C6"/>
    <w:rsid w:val="00BE2640"/>
    <w:rsid w:val="00BF1FDE"/>
    <w:rsid w:val="00C01189"/>
    <w:rsid w:val="00C01A33"/>
    <w:rsid w:val="00C0458D"/>
    <w:rsid w:val="00C3073F"/>
    <w:rsid w:val="00C374DE"/>
    <w:rsid w:val="00C47AD4"/>
    <w:rsid w:val="00C52D81"/>
    <w:rsid w:val="00C55198"/>
    <w:rsid w:val="00C5605F"/>
    <w:rsid w:val="00C6520B"/>
    <w:rsid w:val="00C81B53"/>
    <w:rsid w:val="00C84F3D"/>
    <w:rsid w:val="00CA6393"/>
    <w:rsid w:val="00CA7995"/>
    <w:rsid w:val="00CB18FF"/>
    <w:rsid w:val="00CD0C08"/>
    <w:rsid w:val="00CE03FB"/>
    <w:rsid w:val="00CE0C9C"/>
    <w:rsid w:val="00CE433C"/>
    <w:rsid w:val="00CF0161"/>
    <w:rsid w:val="00CF33F3"/>
    <w:rsid w:val="00CF4A2B"/>
    <w:rsid w:val="00D00ECD"/>
    <w:rsid w:val="00D024CA"/>
    <w:rsid w:val="00D06183"/>
    <w:rsid w:val="00D11765"/>
    <w:rsid w:val="00D22C42"/>
    <w:rsid w:val="00D466EB"/>
    <w:rsid w:val="00D65041"/>
    <w:rsid w:val="00DB1936"/>
    <w:rsid w:val="00DB384B"/>
    <w:rsid w:val="00DC2176"/>
    <w:rsid w:val="00DE532B"/>
    <w:rsid w:val="00DF0189"/>
    <w:rsid w:val="00DF5B63"/>
    <w:rsid w:val="00DF70D1"/>
    <w:rsid w:val="00E06FD5"/>
    <w:rsid w:val="00E10E80"/>
    <w:rsid w:val="00E124F0"/>
    <w:rsid w:val="00E227F3"/>
    <w:rsid w:val="00E42DC6"/>
    <w:rsid w:val="00E43561"/>
    <w:rsid w:val="00E545C6"/>
    <w:rsid w:val="00E60F04"/>
    <w:rsid w:val="00E65B24"/>
    <w:rsid w:val="00E66D20"/>
    <w:rsid w:val="00E854E4"/>
    <w:rsid w:val="00E86DBF"/>
    <w:rsid w:val="00E969AF"/>
    <w:rsid w:val="00EB0D6F"/>
    <w:rsid w:val="00EB2232"/>
    <w:rsid w:val="00EB623E"/>
    <w:rsid w:val="00EC5337"/>
    <w:rsid w:val="00EE49E8"/>
    <w:rsid w:val="00F16BAB"/>
    <w:rsid w:val="00F2150A"/>
    <w:rsid w:val="00F231D8"/>
    <w:rsid w:val="00F3041E"/>
    <w:rsid w:val="00F44C00"/>
    <w:rsid w:val="00F45D2C"/>
    <w:rsid w:val="00F46C5F"/>
    <w:rsid w:val="00F510B1"/>
    <w:rsid w:val="00F632C0"/>
    <w:rsid w:val="00F641E1"/>
    <w:rsid w:val="00F80EE9"/>
    <w:rsid w:val="00F83FA0"/>
    <w:rsid w:val="00F91D60"/>
    <w:rsid w:val="00F94A63"/>
    <w:rsid w:val="00FA1C28"/>
    <w:rsid w:val="00FA5989"/>
    <w:rsid w:val="00FB1279"/>
    <w:rsid w:val="00FB6B76"/>
    <w:rsid w:val="00FB6C2D"/>
    <w:rsid w:val="00FB7596"/>
    <w:rsid w:val="00FD55FA"/>
    <w:rsid w:val="00FE1AB6"/>
    <w:rsid w:val="00FE3BAD"/>
    <w:rsid w:val="00FE4077"/>
    <w:rsid w:val="00FE500D"/>
    <w:rsid w:val="00FE77D2"/>
    <w:rsid w:val="00FF39B1"/>
    <w:rsid w:val="024A1924"/>
    <w:rsid w:val="030590A8"/>
    <w:rsid w:val="0873EFB8"/>
    <w:rsid w:val="09072CAC"/>
    <w:rsid w:val="0CE3B669"/>
    <w:rsid w:val="0D0C920E"/>
    <w:rsid w:val="0E634BB4"/>
    <w:rsid w:val="13336104"/>
    <w:rsid w:val="136D92FF"/>
    <w:rsid w:val="16B3E6A7"/>
    <w:rsid w:val="195B3971"/>
    <w:rsid w:val="197FECA8"/>
    <w:rsid w:val="1F132584"/>
    <w:rsid w:val="20DD17D6"/>
    <w:rsid w:val="25409C71"/>
    <w:rsid w:val="26D5FC70"/>
    <w:rsid w:val="2764FB75"/>
    <w:rsid w:val="2AE231DE"/>
    <w:rsid w:val="2B4117E9"/>
    <w:rsid w:val="32981DAB"/>
    <w:rsid w:val="3482428D"/>
    <w:rsid w:val="34F5529A"/>
    <w:rsid w:val="37757ACA"/>
    <w:rsid w:val="391C5DD7"/>
    <w:rsid w:val="3AD09041"/>
    <w:rsid w:val="3EC6DAE3"/>
    <w:rsid w:val="40097AA8"/>
    <w:rsid w:val="412742FF"/>
    <w:rsid w:val="4149C314"/>
    <w:rsid w:val="42812624"/>
    <w:rsid w:val="45EE8C3B"/>
    <w:rsid w:val="47ABF192"/>
    <w:rsid w:val="49541606"/>
    <w:rsid w:val="49FD25D5"/>
    <w:rsid w:val="4B0066CB"/>
    <w:rsid w:val="4B509854"/>
    <w:rsid w:val="4DC01E67"/>
    <w:rsid w:val="4E917823"/>
    <w:rsid w:val="503A99E2"/>
    <w:rsid w:val="57455F3F"/>
    <w:rsid w:val="59A1C50B"/>
    <w:rsid w:val="5CD9E9E0"/>
    <w:rsid w:val="620C6D77"/>
    <w:rsid w:val="641C3221"/>
    <w:rsid w:val="65BD4999"/>
    <w:rsid w:val="65E6790E"/>
    <w:rsid w:val="6A89BA75"/>
    <w:rsid w:val="6C4F13AF"/>
    <w:rsid w:val="6C86AC9A"/>
    <w:rsid w:val="727FF431"/>
    <w:rsid w:val="73FFA748"/>
    <w:rsid w:val="782729F7"/>
    <w:rsid w:val="7E7C60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D1E3D"/>
  <w15:docId w15:val="{BE7CC179-C4A8-4181-B3B9-A36F6F4E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B9131F"/>
    <w:pPr>
      <w:keepNext/>
      <w:keepLines/>
      <w:spacing w:before="360"/>
      <w:ind w:left="567" w:hanging="567"/>
      <w:outlineLvl w:val="0"/>
    </w:pPr>
    <w:rPr>
      <w:b/>
      <w:sz w:val="28"/>
    </w:rPr>
  </w:style>
  <w:style w:type="paragraph" w:styleId="Heading2">
    <w:name w:val="heading 2"/>
    <w:basedOn w:val="Heading1"/>
    <w:next w:val="Normal"/>
    <w:link w:val="Heading2Char"/>
    <w:qFormat/>
    <w:rsid w:val="00B9131F"/>
    <w:pPr>
      <w:spacing w:before="240"/>
      <w:outlineLvl w:val="1"/>
    </w:pPr>
    <w:rPr>
      <w:sz w:val="24"/>
    </w:rPr>
  </w:style>
  <w:style w:type="paragraph" w:styleId="Heading3">
    <w:name w:val="heading 3"/>
    <w:basedOn w:val="Heading1"/>
    <w:next w:val="Normal"/>
    <w:link w:val="Heading3Char"/>
    <w:uiPriority w:val="9"/>
    <w:qFormat/>
    <w:rsid w:val="00B9131F"/>
    <w:pPr>
      <w:spacing w:before="200"/>
      <w:outlineLvl w:val="2"/>
    </w:pPr>
    <w:rPr>
      <w:sz w:val="24"/>
    </w:rPr>
  </w:style>
  <w:style w:type="paragraph" w:styleId="Heading4">
    <w:name w:val="heading 4"/>
    <w:basedOn w:val="Heading3"/>
    <w:next w:val="Normal"/>
    <w:link w:val="Heading4Char"/>
    <w:uiPriority w:val="9"/>
    <w:qFormat/>
    <w:rsid w:val="00B9131F"/>
    <w:pPr>
      <w:ind w:left="1134" w:hanging="1134"/>
      <w:outlineLvl w:val="3"/>
    </w:pPr>
  </w:style>
  <w:style w:type="paragraph" w:styleId="Heading5">
    <w:name w:val="heading 5"/>
    <w:basedOn w:val="Heading4"/>
    <w:next w:val="Normal"/>
    <w:link w:val="Heading5Char"/>
    <w:uiPriority w:val="9"/>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link w:val="Heading9Char"/>
    <w:uiPriority w:val="9"/>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uiPriority w:val="39"/>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uiPriority w:val="39"/>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uiPriority w:val="39"/>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uiPriority w:val="39"/>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uiPriority w:val="39"/>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uiPriority w:val="39"/>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813E5E"/>
    <w:rPr>
      <w:rFonts w:ascii="Calibri" w:hAnsi="Calibri"/>
      <w:position w:val="6"/>
      <w:sz w:val="16"/>
    </w:rPr>
  </w:style>
  <w:style w:type="paragraph" w:styleId="FootnoteText">
    <w:name w:val="footnote text"/>
    <w:aliases w:val="ALTS FOOTNOTE,Schriftart: 9 pt,Schriftart: 10 pt,Schriftart: 8 pt,WB-Fuكnotentext,Footnote text,Footnote Text Char Char Char Char,Footnote Text Char Char,Footnote Text Char Char Char Char Char,WB-Fußnotentext,MTFootnote,fn,Fußn"/>
    <w:basedOn w:val="Normal"/>
    <w:link w:val="FootnoteTextChar"/>
    <w:qFormat/>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link w:val="enumlev1Char"/>
    <w:uiPriority w:val="99"/>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uiPriority w:val="39"/>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uiPriority w:val="99"/>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Heading1Char">
    <w:name w:val="Heading 1 Char"/>
    <w:basedOn w:val="DefaultParagraphFont"/>
    <w:link w:val="Heading1"/>
    <w:uiPriority w:val="9"/>
    <w:rsid w:val="003C0F36"/>
    <w:rPr>
      <w:rFonts w:ascii="Calibri" w:hAnsi="Calibri"/>
      <w:b/>
      <w:sz w:val="28"/>
      <w:lang w:val="en-GB" w:eastAsia="en-US"/>
    </w:rPr>
  </w:style>
  <w:style w:type="character" w:customStyle="1" w:styleId="Heading2Char">
    <w:name w:val="Heading 2 Char"/>
    <w:basedOn w:val="DefaultParagraphFont"/>
    <w:link w:val="Heading2"/>
    <w:rsid w:val="003C0F36"/>
    <w:rPr>
      <w:rFonts w:ascii="Calibri" w:hAnsi="Calibri"/>
      <w:b/>
      <w:sz w:val="24"/>
      <w:lang w:val="en-GB" w:eastAsia="en-US"/>
    </w:rPr>
  </w:style>
  <w:style w:type="paragraph" w:styleId="Title">
    <w:name w:val="Title"/>
    <w:basedOn w:val="Normal"/>
    <w:next w:val="Normal"/>
    <w:link w:val="TitleChar"/>
    <w:uiPriority w:val="10"/>
    <w:qFormat/>
    <w:rsid w:val="003C0F36"/>
    <w:pPr>
      <w:tabs>
        <w:tab w:val="clear" w:pos="567"/>
        <w:tab w:val="clear" w:pos="1134"/>
        <w:tab w:val="clear" w:pos="1701"/>
        <w:tab w:val="clear" w:pos="2268"/>
        <w:tab w:val="clear" w:pos="2835"/>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F36"/>
    <w:rPr>
      <w:rFonts w:asciiTheme="majorHAnsi" w:eastAsiaTheme="majorEastAsia" w:hAnsiTheme="majorHAnsi" w:cstheme="majorBidi"/>
      <w:spacing w:val="-10"/>
      <w:kern w:val="28"/>
      <w:sz w:val="56"/>
      <w:szCs w:val="56"/>
      <w:lang w:val="en-GB" w:eastAsia="en-US"/>
    </w:rPr>
  </w:style>
  <w:style w:type="character" w:customStyle="1" w:styleId="FooterChar">
    <w:name w:val="Footer Char"/>
    <w:basedOn w:val="DefaultParagraphFont"/>
    <w:link w:val="Footer"/>
    <w:uiPriority w:val="99"/>
    <w:rsid w:val="003C0F36"/>
    <w:rPr>
      <w:rFonts w:ascii="Calibri" w:hAnsi="Calibri"/>
      <w:caps/>
      <w:noProof/>
      <w:sz w:val="16"/>
      <w:lang w:val="en-GB" w:eastAsia="en-US"/>
    </w:rPr>
  </w:style>
  <w:style w:type="paragraph" w:styleId="BalloonText">
    <w:name w:val="Balloon Text"/>
    <w:basedOn w:val="Normal"/>
    <w:link w:val="BalloonTextChar"/>
    <w:uiPriority w:val="99"/>
    <w:semiHidden/>
    <w:unhideWhenUsed/>
    <w:rsid w:val="003C0F36"/>
    <w:pPr>
      <w:tabs>
        <w:tab w:val="clear" w:pos="567"/>
        <w:tab w:val="clear" w:pos="1134"/>
        <w:tab w:val="clear" w:pos="1701"/>
        <w:tab w:val="clear" w:pos="2268"/>
        <w:tab w:val="clear" w:pos="2835"/>
      </w:tabs>
      <w:overflowPunct/>
      <w:autoSpaceDE/>
      <w:autoSpaceDN/>
      <w:adjustRightInd/>
      <w:spacing w:before="0"/>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C0F36"/>
    <w:rPr>
      <w:rFonts w:ascii="Segoe UI" w:eastAsiaTheme="minorHAnsi" w:hAnsi="Segoe UI" w:cs="Segoe UI"/>
      <w:sz w:val="18"/>
      <w:szCs w:val="18"/>
      <w:lang w:val="en-GB" w:eastAsia="en-US"/>
    </w:rPr>
  </w:style>
  <w:style w:type="character" w:styleId="CommentReference">
    <w:name w:val="annotation reference"/>
    <w:uiPriority w:val="99"/>
    <w:rsid w:val="003C0F36"/>
    <w:rPr>
      <w:sz w:val="16"/>
      <w:szCs w:val="16"/>
    </w:rPr>
  </w:style>
  <w:style w:type="paragraph" w:styleId="CommentText">
    <w:name w:val="annotation text"/>
    <w:basedOn w:val="Normal"/>
    <w:link w:val="CommentTextChar"/>
    <w:uiPriority w:val="99"/>
    <w:rsid w:val="003C0F36"/>
    <w:pPr>
      <w:tabs>
        <w:tab w:val="clear" w:pos="567"/>
        <w:tab w:val="clear" w:pos="1134"/>
        <w:tab w:val="clear" w:pos="1701"/>
        <w:tab w:val="clear" w:pos="2268"/>
        <w:tab w:val="clear" w:pos="2835"/>
      </w:tabs>
      <w:overflowPunct/>
      <w:autoSpaceDE/>
      <w:autoSpaceDN/>
      <w:adjustRightInd/>
      <w:textAlignment w:val="auto"/>
    </w:pPr>
    <w:rPr>
      <w:sz w:val="20"/>
      <w:szCs w:val="22"/>
      <w:lang w:val="en-US" w:eastAsia="fr-FR"/>
    </w:rPr>
  </w:style>
  <w:style w:type="character" w:customStyle="1" w:styleId="CommentTextChar">
    <w:name w:val="Comment Text Char"/>
    <w:basedOn w:val="DefaultParagraphFont"/>
    <w:link w:val="CommentText"/>
    <w:uiPriority w:val="99"/>
    <w:rsid w:val="003C0F36"/>
    <w:rPr>
      <w:rFonts w:ascii="Calibri" w:eastAsiaTheme="minorEastAsia" w:hAnsi="Calibri"/>
      <w:szCs w:val="22"/>
      <w:lang w:eastAsia="fr-FR"/>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Recommendation,O5"/>
    <w:basedOn w:val="Normal"/>
    <w:link w:val="ListParagraphChar"/>
    <w:uiPriority w:val="34"/>
    <w:qFormat/>
    <w:rsid w:val="003C0F36"/>
    <w:pPr>
      <w:tabs>
        <w:tab w:val="clear" w:pos="567"/>
        <w:tab w:val="clear" w:pos="1134"/>
        <w:tab w:val="clear" w:pos="1701"/>
        <w:tab w:val="clear" w:pos="2268"/>
        <w:tab w:val="clear" w:pos="2835"/>
      </w:tabs>
      <w:overflowPunct/>
      <w:autoSpaceDE/>
      <w:autoSpaceDN/>
      <w:adjustRightInd/>
      <w:ind w:left="510"/>
      <w:textAlignment w:val="auto"/>
    </w:pPr>
    <w:rPr>
      <w:rFonts w:eastAsia="PMingLiU"/>
      <w:sz w:val="22"/>
      <w:szCs w:val="22"/>
      <w:lang w:val="en-US" w:eastAsia="zh-TW"/>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O5 Char"/>
    <w:basedOn w:val="DefaultParagraphFont"/>
    <w:link w:val="ListParagraph"/>
    <w:uiPriority w:val="34"/>
    <w:qFormat/>
    <w:locked/>
    <w:rsid w:val="003C0F36"/>
    <w:rPr>
      <w:rFonts w:ascii="Calibri" w:eastAsia="PMingLiU" w:hAnsi="Calibri"/>
      <w:sz w:val="22"/>
      <w:szCs w:val="22"/>
      <w:lang w:eastAsia="zh-TW"/>
    </w:rPr>
  </w:style>
  <w:style w:type="table" w:styleId="ListTable3-Accent1">
    <w:name w:val="List Table 3 Accent 1"/>
    <w:basedOn w:val="TableNormal"/>
    <w:uiPriority w:val="48"/>
    <w:rsid w:val="003C0F36"/>
    <w:rPr>
      <w:rFonts w:asciiTheme="minorHAnsi" w:eastAsiaTheme="minorHAnsi" w:hAnsiTheme="minorHAnsi" w:cstheme="minorBidi"/>
      <w:sz w:val="22"/>
      <w:szCs w:val="22"/>
      <w:lang w:val="en-GB"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rmalWeb">
    <w:name w:val="Normal (Web)"/>
    <w:basedOn w:val="Normal"/>
    <w:link w:val="NormalWebChar"/>
    <w:uiPriority w:val="99"/>
    <w:rsid w:val="003C0F36"/>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 w:val="21"/>
      <w:szCs w:val="24"/>
      <w:lang w:val="en-US" w:eastAsia="zh-CN"/>
    </w:rPr>
  </w:style>
  <w:style w:type="character" w:customStyle="1" w:styleId="NormalWebChar">
    <w:name w:val="Normal (Web) Char"/>
    <w:link w:val="NormalWeb"/>
    <w:uiPriority w:val="99"/>
    <w:locked/>
    <w:rsid w:val="003C0F36"/>
    <w:rPr>
      <w:rFonts w:ascii="Calibri" w:eastAsia="SimSun" w:hAnsi="Calibri"/>
      <w:sz w:val="21"/>
      <w:szCs w:val="24"/>
    </w:rPr>
  </w:style>
  <w:style w:type="paragraph" w:styleId="PlainText">
    <w:name w:val="Plain Text"/>
    <w:basedOn w:val="Normal"/>
    <w:link w:val="PlainTextChar"/>
    <w:uiPriority w:val="99"/>
    <w:unhideWhenUsed/>
    <w:rsid w:val="003C0F36"/>
    <w:pPr>
      <w:tabs>
        <w:tab w:val="clear" w:pos="567"/>
        <w:tab w:val="clear" w:pos="1134"/>
        <w:tab w:val="clear" w:pos="1701"/>
        <w:tab w:val="clear" w:pos="2268"/>
        <w:tab w:val="clear" w:pos="2835"/>
      </w:tabs>
      <w:overflowPunct/>
      <w:autoSpaceDE/>
      <w:autoSpaceDN/>
      <w:adjustRightInd/>
      <w:spacing w:before="0"/>
      <w:textAlignment w:val="auto"/>
    </w:pPr>
    <w:rPr>
      <w:rFonts w:ascii="Courier New" w:eastAsia="SimSun" w:hAnsi="Courier New" w:cs="Courier New"/>
      <w:sz w:val="20"/>
      <w:szCs w:val="22"/>
      <w:lang w:val="en-US" w:eastAsia="zh-CN"/>
    </w:rPr>
  </w:style>
  <w:style w:type="character" w:customStyle="1" w:styleId="PlainTextChar">
    <w:name w:val="Plain Text Char"/>
    <w:basedOn w:val="DefaultParagraphFont"/>
    <w:link w:val="PlainText"/>
    <w:uiPriority w:val="99"/>
    <w:rsid w:val="003C0F36"/>
    <w:rPr>
      <w:rFonts w:ascii="Courier New" w:eastAsia="SimSun" w:hAnsi="Courier New" w:cs="Courier New"/>
      <w:szCs w:val="22"/>
    </w:rPr>
  </w:style>
  <w:style w:type="character" w:styleId="Emphasis">
    <w:name w:val="Emphasis"/>
    <w:basedOn w:val="DefaultParagraphFont"/>
    <w:uiPriority w:val="20"/>
    <w:qFormat/>
    <w:rsid w:val="003C0F36"/>
    <w:rPr>
      <w:i/>
      <w:iCs/>
    </w:r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WB-Fußnotentext Char,MTFootnote Char"/>
    <w:basedOn w:val="DefaultParagraphFont"/>
    <w:link w:val="FootnoteText"/>
    <w:qFormat/>
    <w:rsid w:val="003C0F36"/>
    <w:rPr>
      <w:rFonts w:ascii="Calibri" w:hAnsi="Calibri"/>
      <w:sz w:val="22"/>
      <w:lang w:val="en-GB" w:eastAsia="en-US"/>
    </w:rPr>
  </w:style>
  <w:style w:type="paragraph" w:styleId="Revision">
    <w:name w:val="Revision"/>
    <w:hidden/>
    <w:uiPriority w:val="99"/>
    <w:semiHidden/>
    <w:rsid w:val="003C0F36"/>
    <w:rPr>
      <w:rFonts w:asciiTheme="minorHAnsi" w:eastAsiaTheme="minorHAnsi" w:hAnsiTheme="minorHAnsi" w:cstheme="minorBidi"/>
      <w:sz w:val="22"/>
      <w:szCs w:val="22"/>
      <w:lang w:val="en-GB" w:eastAsia="en-US"/>
    </w:rPr>
  </w:style>
  <w:style w:type="paragraph" w:styleId="CommentSubject">
    <w:name w:val="annotation subject"/>
    <w:basedOn w:val="CommentText"/>
    <w:next w:val="CommentText"/>
    <w:link w:val="CommentSubjectChar"/>
    <w:uiPriority w:val="99"/>
    <w:semiHidden/>
    <w:unhideWhenUsed/>
    <w:rsid w:val="003C0F36"/>
    <w:pPr>
      <w:spacing w:before="0"/>
    </w:pPr>
    <w:rPr>
      <w:rFonts w:asciiTheme="minorHAnsi" w:eastAsiaTheme="minorHAnsi" w:hAnsiTheme="minorHAnsi" w:cstheme="minorBidi"/>
      <w:b/>
      <w:bCs/>
      <w:szCs w:val="20"/>
      <w:lang w:val="en-GB" w:eastAsia="en-US"/>
    </w:rPr>
  </w:style>
  <w:style w:type="character" w:customStyle="1" w:styleId="CommentSubjectChar">
    <w:name w:val="Comment Subject Char"/>
    <w:basedOn w:val="CommentTextChar"/>
    <w:link w:val="CommentSubject"/>
    <w:uiPriority w:val="99"/>
    <w:semiHidden/>
    <w:rsid w:val="003C0F36"/>
    <w:rPr>
      <w:rFonts w:asciiTheme="minorHAnsi" w:eastAsiaTheme="minorHAnsi" w:hAnsiTheme="minorHAnsi" w:cstheme="minorBidi"/>
      <w:b/>
      <w:bCs/>
      <w:szCs w:val="22"/>
      <w:lang w:val="en-GB" w:eastAsia="en-US"/>
    </w:rPr>
  </w:style>
  <w:style w:type="character" w:customStyle="1" w:styleId="Heading5Char">
    <w:name w:val="Heading 5 Char"/>
    <w:basedOn w:val="DefaultParagraphFont"/>
    <w:link w:val="Heading5"/>
    <w:uiPriority w:val="9"/>
    <w:rsid w:val="003C0F36"/>
    <w:rPr>
      <w:rFonts w:ascii="Calibri" w:hAnsi="Calibri"/>
      <w:b/>
      <w:sz w:val="24"/>
      <w:lang w:val="en-GB" w:eastAsia="en-US"/>
    </w:rPr>
  </w:style>
  <w:style w:type="character" w:customStyle="1" w:styleId="Heading3Char">
    <w:name w:val="Heading 3 Char"/>
    <w:basedOn w:val="DefaultParagraphFont"/>
    <w:link w:val="Heading3"/>
    <w:uiPriority w:val="9"/>
    <w:rsid w:val="003C0F36"/>
    <w:rPr>
      <w:rFonts w:ascii="Calibri" w:hAnsi="Calibri"/>
      <w:b/>
      <w:sz w:val="24"/>
      <w:lang w:val="en-GB" w:eastAsia="en-US"/>
    </w:rPr>
  </w:style>
  <w:style w:type="paragraph" w:styleId="TOCHeading">
    <w:name w:val="TOC Heading"/>
    <w:basedOn w:val="Heading1"/>
    <w:next w:val="Normal"/>
    <w:uiPriority w:val="39"/>
    <w:unhideWhenUsed/>
    <w:qFormat/>
    <w:rsid w:val="003C0F36"/>
    <w:pPr>
      <w:tabs>
        <w:tab w:val="clear" w:pos="567"/>
        <w:tab w:val="clear" w:pos="1134"/>
        <w:tab w:val="clear" w:pos="1701"/>
        <w:tab w:val="clear" w:pos="2268"/>
        <w:tab w:val="clear" w:pos="2835"/>
      </w:tabs>
      <w:overflowPunct/>
      <w:autoSpaceDE/>
      <w:autoSpaceDN/>
      <w:adjustRightInd/>
      <w:spacing w:before="240" w:line="259" w:lineRule="auto"/>
      <w:textAlignment w:val="auto"/>
      <w:outlineLvl w:val="9"/>
    </w:pPr>
    <w:rPr>
      <w:rFonts w:eastAsiaTheme="majorEastAsia" w:cs="Calibri"/>
      <w:b w:val="0"/>
      <w:color w:val="365F91" w:themeColor="accent1" w:themeShade="BF"/>
      <w:sz w:val="32"/>
      <w:szCs w:val="32"/>
      <w:lang w:val="en-US"/>
    </w:rPr>
  </w:style>
  <w:style w:type="character" w:styleId="Strong">
    <w:name w:val="Strong"/>
    <w:basedOn w:val="DefaultParagraphFont"/>
    <w:uiPriority w:val="22"/>
    <w:qFormat/>
    <w:rsid w:val="003C0F36"/>
    <w:rPr>
      <w:b/>
      <w:bCs/>
    </w:rPr>
  </w:style>
  <w:style w:type="character" w:styleId="SubtleEmphasis">
    <w:name w:val="Subtle Emphasis"/>
    <w:basedOn w:val="DefaultParagraphFont"/>
    <w:uiPriority w:val="19"/>
    <w:qFormat/>
    <w:rsid w:val="003C0F36"/>
    <w:rPr>
      <w:i/>
      <w:iCs/>
      <w:color w:val="404040" w:themeColor="text1" w:themeTint="BF"/>
    </w:rPr>
  </w:style>
  <w:style w:type="character" w:customStyle="1" w:styleId="Heading9Char">
    <w:name w:val="Heading 9 Char"/>
    <w:basedOn w:val="DefaultParagraphFont"/>
    <w:link w:val="Heading9"/>
    <w:uiPriority w:val="9"/>
    <w:rsid w:val="003C0F36"/>
    <w:rPr>
      <w:rFonts w:ascii="Calibri" w:hAnsi="Calibri"/>
      <w:b/>
      <w:sz w:val="24"/>
      <w:lang w:val="en-GB" w:eastAsia="en-US"/>
    </w:rPr>
  </w:style>
  <w:style w:type="table" w:styleId="ListTable4-Accent1">
    <w:name w:val="List Table 4 Accent 1"/>
    <w:basedOn w:val="TableNormal"/>
    <w:uiPriority w:val="49"/>
    <w:rsid w:val="003C0F36"/>
    <w:rPr>
      <w:rFonts w:asciiTheme="minorHAnsi" w:eastAsiaTheme="minorHAnsi" w:hAnsiTheme="minorHAnsi" w:cstheme="minorBidi"/>
      <w:sz w:val="22"/>
      <w:szCs w:val="22"/>
      <w:lang w:val="en-GB"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4Char">
    <w:name w:val="Heading 4 Char"/>
    <w:basedOn w:val="DefaultParagraphFont"/>
    <w:link w:val="Heading4"/>
    <w:uiPriority w:val="9"/>
    <w:rsid w:val="003C0F36"/>
    <w:rPr>
      <w:rFonts w:ascii="Calibri" w:hAnsi="Calibri"/>
      <w:b/>
      <w:sz w:val="24"/>
      <w:lang w:val="en-GB" w:eastAsia="en-US"/>
    </w:rPr>
  </w:style>
  <w:style w:type="paragraph" w:styleId="EndnoteText">
    <w:name w:val="endnote text"/>
    <w:basedOn w:val="Normal"/>
    <w:link w:val="EndnoteTextChar"/>
    <w:uiPriority w:val="99"/>
    <w:semiHidden/>
    <w:unhideWhenUsed/>
    <w:rsid w:val="003C0F36"/>
    <w:pPr>
      <w:tabs>
        <w:tab w:val="clear" w:pos="567"/>
        <w:tab w:val="clear" w:pos="1134"/>
        <w:tab w:val="clear" w:pos="1701"/>
        <w:tab w:val="clear" w:pos="2268"/>
        <w:tab w:val="clear" w:pos="2835"/>
      </w:tabs>
      <w:overflowPunct/>
      <w:autoSpaceDE/>
      <w:autoSpaceDN/>
      <w:adjustRightInd/>
      <w:spacing w:before="0"/>
      <w:textAlignment w:val="auto"/>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3C0F36"/>
    <w:rPr>
      <w:rFonts w:asciiTheme="minorHAnsi" w:eastAsiaTheme="minorHAnsi" w:hAnsiTheme="minorHAnsi" w:cstheme="minorBidi"/>
      <w:lang w:val="en-GB" w:eastAsia="en-US"/>
    </w:rPr>
  </w:style>
  <w:style w:type="character" w:styleId="EndnoteReference">
    <w:name w:val="endnote reference"/>
    <w:basedOn w:val="DefaultParagraphFont"/>
    <w:uiPriority w:val="99"/>
    <w:semiHidden/>
    <w:unhideWhenUsed/>
    <w:rsid w:val="003C0F36"/>
    <w:rPr>
      <w:vertAlign w:val="superscript"/>
    </w:rPr>
  </w:style>
  <w:style w:type="character" w:customStyle="1" w:styleId="enumlev1Char">
    <w:name w:val="enumlev1 Char"/>
    <w:basedOn w:val="DefaultParagraphFont"/>
    <w:link w:val="enumlev1"/>
    <w:uiPriority w:val="99"/>
    <w:rsid w:val="003C0F36"/>
    <w:rPr>
      <w:rFonts w:ascii="Calibri" w:hAnsi="Calibri"/>
      <w:sz w:val="24"/>
      <w:lang w:val="en-GB" w:eastAsia="en-US"/>
    </w:rPr>
  </w:style>
  <w:style w:type="paragraph" w:styleId="NoSpacing">
    <w:name w:val="No Spacing"/>
    <w:uiPriority w:val="1"/>
    <w:qFormat/>
    <w:rsid w:val="003C0F36"/>
    <w:rPr>
      <w:rFonts w:asciiTheme="minorHAnsi" w:hAnsiTheme="minorHAnsi" w:cstheme="minorBidi"/>
      <w:kern w:val="2"/>
      <w:sz w:val="22"/>
      <w:szCs w:val="22"/>
      <w:lang w:val="en-GB"/>
      <w14:ligatures w14:val="standardContextual"/>
    </w:rPr>
  </w:style>
  <w:style w:type="character" w:styleId="Mention">
    <w:name w:val="Mention"/>
    <w:basedOn w:val="DefaultParagraphFont"/>
    <w:uiPriority w:val="99"/>
    <w:unhideWhenUsed/>
    <w:rsid w:val="003C0F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en/council/Documents/basic-texts-2023/RES-048-E.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071-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Props1.xml><?xml version="1.0" encoding="utf-8"?>
<ds:datastoreItem xmlns:ds="http://schemas.openxmlformats.org/officeDocument/2006/customXml" ds:itemID="{9551521F-85A5-4111-9885-151301D90E1A}">
  <ds:schemaRefs>
    <ds:schemaRef ds:uri="http://schemas.microsoft.com/sharepoint/v3/contenttype/forms"/>
  </ds:schemaRefs>
</ds:datastoreItem>
</file>

<file path=customXml/itemProps2.xml><?xml version="1.0" encoding="utf-8"?>
<ds:datastoreItem xmlns:ds="http://schemas.openxmlformats.org/officeDocument/2006/customXml" ds:itemID="{BA68208D-FB49-4191-AA64-00BA10FDD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E58664F2-8F16-42F1-90A3-418788CCEF1A}">
  <ds:schemaRefs>
    <ds:schemaRef ds:uri="http://purl.org/dc/elements/1.1/"/>
    <ds:schemaRef ds:uri="a4c22657-7647-457b-a399-8471255bb166"/>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PE_Council26</Template>
  <TotalTime>6</TotalTime>
  <Pages>14</Pages>
  <Words>4281</Words>
  <Characters>29085</Characters>
  <Application>Microsoft Office Word</Application>
  <DocSecurity>0</DocSecurity>
  <Lines>570</Lines>
  <Paragraphs>258</Paragraphs>
  <ScaleCrop>false</ScaleCrop>
  <HeadingPairs>
    <vt:vector size="2" baseType="variant">
      <vt:variant>
        <vt:lpstr>Title</vt:lpstr>
      </vt:variant>
      <vt:variant>
        <vt:i4>1</vt:i4>
      </vt:variant>
    </vt:vector>
  </HeadingPairs>
  <TitlesOfParts>
    <vt:vector size="1" baseType="lpstr">
      <vt:lpstr>ITU Human Resources Strategic Plan 2026–2027</vt:lpstr>
    </vt:vector>
  </TitlesOfParts>
  <Manager>General Secretariat</Manager>
  <Company>International Telecommunication Union (ITU)</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Human Resources Strategic Plan 2026–2027</dc:title>
  <dc:subject>ITU Council 2026</dc:subject>
  <dc:creator/>
  <cp:keywords>C26; C2026; Council 2026; PP26</cp:keywords>
  <dc:description/>
  <cp:lastModifiedBy>GBS</cp:lastModifiedBy>
  <cp:revision>3</cp:revision>
  <cp:lastPrinted>2000-07-18T22:30:00Z</cp:lastPrinted>
  <dcterms:created xsi:type="dcterms:W3CDTF">2026-03-30T17:32:00Z</dcterms:created>
  <dcterms:modified xsi:type="dcterms:W3CDTF">2026-03-30T17:47:00Z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