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rsidRPr="00507A6A" w14:paraId="0B4CBE01" w14:textId="77777777" w:rsidTr="00F363FE">
        <w:tc>
          <w:tcPr>
            <w:tcW w:w="6512" w:type="dxa"/>
          </w:tcPr>
          <w:p w14:paraId="70ADED85" w14:textId="51535FB2" w:rsidR="007B0AA0" w:rsidRPr="00507A6A" w:rsidRDefault="007B0AA0" w:rsidP="00F363FE">
            <w:pPr>
              <w:spacing w:before="60" w:after="60" w:line="260" w:lineRule="exact"/>
              <w:rPr>
                <w:b/>
                <w:bCs/>
                <w:lang w:bidi="ar-EG"/>
              </w:rPr>
            </w:pPr>
            <w:r w:rsidRPr="00507A6A">
              <w:rPr>
                <w:rFonts w:hint="cs"/>
                <w:b/>
                <w:bCs/>
                <w:rtl/>
                <w:lang w:bidi="ar-EG"/>
              </w:rPr>
              <w:t>بند جدول الأعمال:</w:t>
            </w:r>
            <w:r w:rsidR="000A446D" w:rsidRPr="00507A6A">
              <w:rPr>
                <w:rFonts w:hint="cs"/>
                <w:b/>
                <w:bCs/>
                <w:rtl/>
                <w:lang w:bidi="ar-EG"/>
              </w:rPr>
              <w:t xml:space="preserve"> </w:t>
            </w:r>
            <w:r w:rsidR="000A446D" w:rsidRPr="00507A6A">
              <w:rPr>
                <w:b/>
                <w:bCs/>
                <w:lang w:bidi="ar-EG"/>
              </w:rPr>
              <w:t>ADM 3</w:t>
            </w:r>
          </w:p>
        </w:tc>
        <w:tc>
          <w:tcPr>
            <w:tcW w:w="3117" w:type="dxa"/>
          </w:tcPr>
          <w:p w14:paraId="5B7DFC81" w14:textId="74FA8603" w:rsidR="007B0AA0" w:rsidRPr="00507A6A" w:rsidRDefault="007B0AA0" w:rsidP="00F363FE">
            <w:pPr>
              <w:spacing w:before="60" w:after="60" w:line="260" w:lineRule="exact"/>
              <w:rPr>
                <w:b/>
                <w:bCs/>
                <w:lang w:bidi="ar-EG"/>
              </w:rPr>
            </w:pPr>
            <w:r w:rsidRPr="00507A6A">
              <w:rPr>
                <w:rFonts w:hint="cs"/>
                <w:b/>
                <w:bCs/>
                <w:rtl/>
                <w:lang w:bidi="ar-EG"/>
              </w:rPr>
              <w:t xml:space="preserve">الوثيقة </w:t>
            </w:r>
            <w:r w:rsidRPr="00507A6A">
              <w:rPr>
                <w:b/>
                <w:bCs/>
                <w:lang w:bidi="ar-EG"/>
              </w:rPr>
              <w:t>C2</w:t>
            </w:r>
            <w:r w:rsidR="000116AF" w:rsidRPr="00507A6A">
              <w:rPr>
                <w:b/>
                <w:bCs/>
                <w:lang w:bidi="ar-EG"/>
              </w:rPr>
              <w:t>6</w:t>
            </w:r>
            <w:r w:rsidRPr="00507A6A">
              <w:rPr>
                <w:b/>
                <w:bCs/>
                <w:lang w:bidi="ar-EG"/>
              </w:rPr>
              <w:t>/</w:t>
            </w:r>
            <w:r w:rsidR="000A446D" w:rsidRPr="00507A6A">
              <w:rPr>
                <w:b/>
                <w:bCs/>
                <w:lang w:bidi="ar-EG"/>
              </w:rPr>
              <w:t>67</w:t>
            </w:r>
            <w:r w:rsidRPr="00507A6A">
              <w:rPr>
                <w:b/>
                <w:bCs/>
                <w:lang w:bidi="ar-EG"/>
              </w:rPr>
              <w:t>-A</w:t>
            </w:r>
          </w:p>
        </w:tc>
      </w:tr>
      <w:tr w:rsidR="007B0AA0" w:rsidRPr="00507A6A" w14:paraId="64034A09" w14:textId="77777777" w:rsidTr="00F363FE">
        <w:tc>
          <w:tcPr>
            <w:tcW w:w="6512" w:type="dxa"/>
          </w:tcPr>
          <w:p w14:paraId="1A21D760" w14:textId="77777777" w:rsidR="007B0AA0" w:rsidRPr="00507A6A" w:rsidRDefault="007B0AA0" w:rsidP="00F363FE">
            <w:pPr>
              <w:spacing w:before="60" w:after="60" w:line="260" w:lineRule="exact"/>
              <w:rPr>
                <w:b/>
                <w:bCs/>
                <w:rtl/>
                <w:lang w:bidi="ar-EG"/>
              </w:rPr>
            </w:pPr>
          </w:p>
        </w:tc>
        <w:tc>
          <w:tcPr>
            <w:tcW w:w="3117" w:type="dxa"/>
          </w:tcPr>
          <w:p w14:paraId="1F503B65" w14:textId="03F55EF7" w:rsidR="007B0AA0" w:rsidRPr="00507A6A" w:rsidRDefault="000A446D" w:rsidP="00F363FE">
            <w:pPr>
              <w:spacing w:before="60" w:after="60" w:line="260" w:lineRule="exact"/>
              <w:rPr>
                <w:b/>
                <w:bCs/>
                <w:rtl/>
                <w:lang w:bidi="ar-EG"/>
              </w:rPr>
            </w:pPr>
            <w:r w:rsidRPr="00507A6A">
              <w:rPr>
                <w:rFonts w:hint="cs"/>
                <w:b/>
                <w:bCs/>
                <w:rtl/>
              </w:rPr>
              <w:t>‏30‏ مارس‏ 2026</w:t>
            </w:r>
          </w:p>
        </w:tc>
      </w:tr>
      <w:tr w:rsidR="007B0AA0" w:rsidRPr="00507A6A" w14:paraId="35188AC5" w14:textId="77777777" w:rsidTr="00F363FE">
        <w:tc>
          <w:tcPr>
            <w:tcW w:w="6512" w:type="dxa"/>
          </w:tcPr>
          <w:p w14:paraId="6D3C2BE2" w14:textId="77777777" w:rsidR="007B0AA0" w:rsidRPr="00507A6A" w:rsidRDefault="007B0AA0" w:rsidP="00F363FE">
            <w:pPr>
              <w:spacing w:before="60" w:after="60" w:line="260" w:lineRule="exact"/>
              <w:rPr>
                <w:b/>
                <w:bCs/>
                <w:rtl/>
                <w:lang w:bidi="ar-EG"/>
              </w:rPr>
            </w:pPr>
          </w:p>
        </w:tc>
        <w:tc>
          <w:tcPr>
            <w:tcW w:w="3117" w:type="dxa"/>
          </w:tcPr>
          <w:p w14:paraId="386C7D88" w14:textId="77777777" w:rsidR="007B0AA0" w:rsidRPr="00507A6A" w:rsidRDefault="001D64C7" w:rsidP="00F363FE">
            <w:pPr>
              <w:spacing w:before="60" w:after="60" w:line="260" w:lineRule="exact"/>
              <w:rPr>
                <w:b/>
                <w:bCs/>
                <w:rtl/>
                <w:lang w:bidi="ar-EG"/>
              </w:rPr>
            </w:pPr>
            <w:r w:rsidRPr="00507A6A">
              <w:rPr>
                <w:rFonts w:hint="cs"/>
                <w:b/>
                <w:bCs/>
                <w:rtl/>
                <w:lang w:bidi="ar-EG"/>
              </w:rPr>
              <w:t>الأصل: بالإنكليزية</w:t>
            </w:r>
          </w:p>
        </w:tc>
      </w:tr>
      <w:tr w:rsidR="007B0AA0" w:rsidRPr="00507A6A" w14:paraId="128C23E5" w14:textId="77777777" w:rsidTr="00F363FE">
        <w:tc>
          <w:tcPr>
            <w:tcW w:w="6512" w:type="dxa"/>
          </w:tcPr>
          <w:p w14:paraId="09908288" w14:textId="77777777" w:rsidR="007B0AA0" w:rsidRPr="00507A6A" w:rsidRDefault="007B0AA0" w:rsidP="00F363FE">
            <w:pPr>
              <w:spacing w:before="60" w:after="60" w:line="260" w:lineRule="exact"/>
              <w:rPr>
                <w:lang w:bidi="ar-EG"/>
              </w:rPr>
            </w:pPr>
          </w:p>
        </w:tc>
        <w:tc>
          <w:tcPr>
            <w:tcW w:w="3117" w:type="dxa"/>
          </w:tcPr>
          <w:p w14:paraId="07EC6284" w14:textId="77777777" w:rsidR="007B0AA0" w:rsidRPr="00507A6A" w:rsidRDefault="007B0AA0" w:rsidP="00F363FE">
            <w:pPr>
              <w:spacing w:before="60" w:after="60" w:line="260" w:lineRule="exact"/>
              <w:rPr>
                <w:rtl/>
                <w:lang w:bidi="ar-EG"/>
              </w:rPr>
            </w:pPr>
          </w:p>
        </w:tc>
      </w:tr>
      <w:tr w:rsidR="007B0AA0" w:rsidRPr="00507A6A" w14:paraId="17CB6B24" w14:textId="77777777" w:rsidTr="00EE7446">
        <w:tc>
          <w:tcPr>
            <w:tcW w:w="9629" w:type="dxa"/>
            <w:gridSpan w:val="2"/>
          </w:tcPr>
          <w:p w14:paraId="2549B5AD" w14:textId="77777777" w:rsidR="007B0AA0" w:rsidRPr="00507A6A" w:rsidRDefault="001D64C7" w:rsidP="007B0AA0">
            <w:pPr>
              <w:pStyle w:val="Source"/>
              <w:jc w:val="left"/>
              <w:rPr>
                <w:lang w:bidi="ar-EG"/>
              </w:rPr>
            </w:pPr>
            <w:r w:rsidRPr="00507A6A">
              <w:rPr>
                <w:rFonts w:hint="cs"/>
                <w:rtl/>
                <w:lang w:bidi="ar-EG"/>
              </w:rPr>
              <w:t>تقرير من الأمينة العامة</w:t>
            </w:r>
          </w:p>
        </w:tc>
      </w:tr>
      <w:tr w:rsidR="007B0AA0" w:rsidRPr="00507A6A" w14:paraId="55536DB8" w14:textId="77777777" w:rsidTr="007B0AA0">
        <w:tc>
          <w:tcPr>
            <w:tcW w:w="9629" w:type="dxa"/>
            <w:gridSpan w:val="2"/>
            <w:tcBorders>
              <w:bottom w:val="single" w:sz="4" w:space="0" w:color="auto"/>
            </w:tcBorders>
          </w:tcPr>
          <w:p w14:paraId="71DA0DE1" w14:textId="1AF36EF6" w:rsidR="007B0AA0" w:rsidRPr="00507A6A" w:rsidRDefault="000A446D" w:rsidP="000A446D">
            <w:pPr>
              <w:pStyle w:val="Subtitle0"/>
              <w:rPr>
                <w:spacing w:val="-2"/>
                <w:sz w:val="32"/>
                <w:szCs w:val="32"/>
              </w:rPr>
            </w:pPr>
            <w:r w:rsidRPr="00507A6A">
              <w:rPr>
                <w:spacing w:val="-2"/>
                <w:sz w:val="32"/>
                <w:szCs w:val="32"/>
                <w:rtl/>
                <w:lang w:bidi="ar-SA"/>
              </w:rPr>
              <w:t xml:space="preserve">الخطة الاستراتيجية للموارد البشرية </w:t>
            </w:r>
            <w:r w:rsidRPr="00507A6A">
              <w:rPr>
                <w:spacing w:val="-2"/>
                <w:sz w:val="32"/>
                <w:szCs w:val="32"/>
                <w:rtl/>
                <w:lang w:bidi="ar-SY"/>
              </w:rPr>
              <w:t>ل</w:t>
            </w:r>
            <w:r w:rsidRPr="00507A6A">
              <w:rPr>
                <w:spacing w:val="-2"/>
                <w:sz w:val="32"/>
                <w:szCs w:val="32"/>
                <w:rtl/>
                <w:lang w:bidi="ar-SA"/>
              </w:rPr>
              <w:t>لاتحاد الدولي للاتصالات للفترة 2026-2027</w:t>
            </w:r>
          </w:p>
        </w:tc>
      </w:tr>
      <w:tr w:rsidR="007B0AA0" w:rsidRPr="00507A6A" w14:paraId="087D3BF2" w14:textId="77777777" w:rsidTr="007B0AA0">
        <w:tc>
          <w:tcPr>
            <w:tcW w:w="9629" w:type="dxa"/>
            <w:gridSpan w:val="2"/>
            <w:tcBorders>
              <w:top w:val="single" w:sz="4" w:space="0" w:color="auto"/>
              <w:bottom w:val="single" w:sz="4" w:space="0" w:color="auto"/>
            </w:tcBorders>
          </w:tcPr>
          <w:p w14:paraId="7CA504C8" w14:textId="77777777" w:rsidR="007B0AA0" w:rsidRPr="00507A6A" w:rsidRDefault="007B0AA0" w:rsidP="007B0AA0">
            <w:pPr>
              <w:rPr>
                <w:b/>
                <w:bCs/>
                <w:rtl/>
              </w:rPr>
            </w:pPr>
            <w:r w:rsidRPr="00507A6A">
              <w:rPr>
                <w:rFonts w:hint="cs"/>
                <w:b/>
                <w:bCs/>
                <w:rtl/>
              </w:rPr>
              <w:t>الغرض</w:t>
            </w:r>
          </w:p>
          <w:p w14:paraId="61B55DCC" w14:textId="28FC3545" w:rsidR="007B0AA0" w:rsidRPr="00507A6A" w:rsidRDefault="000A446D" w:rsidP="000A446D">
            <w:pPr>
              <w:rPr>
                <w:rtl/>
              </w:rPr>
            </w:pPr>
            <w:r w:rsidRPr="00507A6A">
              <w:rPr>
                <w:rtl/>
              </w:rPr>
              <w:t>عرض الخطة الاستراتيجية للموارد البشرية (</w:t>
            </w:r>
            <w:r w:rsidRPr="00507A6A">
              <w:t>HRSP</w:t>
            </w:r>
            <w:r w:rsidRPr="00507A6A">
              <w:rPr>
                <w:rtl/>
              </w:rPr>
              <w:t>) للاتحاد للفترة 2026-2027، بما يتماشى مع الخطة الاستراتيجية للاتحاد للفترة 2024-2027 والقرار 48 (المراجَع في بوخارست، 2022)، والتي صُممت لتلبية احتياجات الاتحاد وأعضائه وموظفيه.</w:t>
            </w:r>
          </w:p>
          <w:p w14:paraId="05DC3FBE" w14:textId="77777777" w:rsidR="007B0AA0" w:rsidRPr="00507A6A" w:rsidRDefault="007B0AA0" w:rsidP="007B0AA0">
            <w:pPr>
              <w:rPr>
                <w:b/>
                <w:bCs/>
                <w:rtl/>
              </w:rPr>
            </w:pPr>
            <w:r w:rsidRPr="00507A6A">
              <w:rPr>
                <w:rFonts w:hint="cs"/>
                <w:b/>
                <w:bCs/>
                <w:rtl/>
              </w:rPr>
              <w:t>الإجراء المطلوب من المجلس</w:t>
            </w:r>
          </w:p>
          <w:p w14:paraId="6D860D53" w14:textId="1AA27D89" w:rsidR="007B0AA0" w:rsidRPr="00507A6A" w:rsidRDefault="000A446D" w:rsidP="000A446D">
            <w:pPr>
              <w:rPr>
                <w:rtl/>
              </w:rPr>
            </w:pPr>
            <w:r w:rsidRPr="00507A6A">
              <w:rPr>
                <w:rtl/>
              </w:rPr>
              <w:t xml:space="preserve">يُدعى المجلس إلى </w:t>
            </w:r>
            <w:r w:rsidRPr="00507A6A">
              <w:rPr>
                <w:b/>
                <w:bCs/>
                <w:rtl/>
              </w:rPr>
              <w:t xml:space="preserve">النظر </w:t>
            </w:r>
            <w:r w:rsidRPr="00507A6A">
              <w:rPr>
                <w:rtl/>
              </w:rPr>
              <w:t>في</w:t>
            </w:r>
            <w:r w:rsidRPr="00507A6A">
              <w:rPr>
                <w:b/>
                <w:bCs/>
                <w:rtl/>
              </w:rPr>
              <w:t xml:space="preserve"> </w:t>
            </w:r>
            <w:r w:rsidRPr="00507A6A">
              <w:rPr>
                <w:rtl/>
              </w:rPr>
              <w:t>الخطة الاستراتيجية للموارد البشرية للاتحاد للفترة 2026-2027 و</w:t>
            </w:r>
            <w:r w:rsidRPr="00507A6A">
              <w:rPr>
                <w:b/>
                <w:bCs/>
                <w:rtl/>
              </w:rPr>
              <w:t>الموافقة</w:t>
            </w:r>
            <w:r w:rsidRPr="00507A6A">
              <w:rPr>
                <w:rtl/>
              </w:rPr>
              <w:t xml:space="preserve"> عليها.</w:t>
            </w:r>
          </w:p>
          <w:p w14:paraId="4ABA16EC" w14:textId="77777777" w:rsidR="007B0AA0" w:rsidRPr="00507A6A" w:rsidRDefault="00494119" w:rsidP="007B0AA0">
            <w:pPr>
              <w:rPr>
                <w:b/>
                <w:bCs/>
                <w:rtl/>
              </w:rPr>
            </w:pPr>
            <w:r w:rsidRPr="00507A6A">
              <w:rPr>
                <w:rFonts w:hint="cs"/>
                <w:b/>
                <w:bCs/>
                <w:rtl/>
                <w:lang w:bidi="ar-EG"/>
              </w:rPr>
              <w:t>الصلة</w:t>
            </w:r>
            <w:r w:rsidR="007B0AA0" w:rsidRPr="00507A6A">
              <w:rPr>
                <w:b/>
                <w:bCs/>
                <w:rtl/>
              </w:rPr>
              <w:t xml:space="preserve"> بالخطة ال</w:t>
            </w:r>
            <w:r w:rsidR="007B0AA0" w:rsidRPr="00507A6A">
              <w:rPr>
                <w:rFonts w:hint="cs"/>
                <w:b/>
                <w:bCs/>
                <w:rtl/>
              </w:rPr>
              <w:t>ا</w:t>
            </w:r>
            <w:r w:rsidR="007B0AA0" w:rsidRPr="00507A6A">
              <w:rPr>
                <w:b/>
                <w:bCs/>
                <w:rtl/>
              </w:rPr>
              <w:t>ستراتيجية</w:t>
            </w:r>
          </w:p>
          <w:p w14:paraId="600E399E" w14:textId="0C509E68" w:rsidR="007B0AA0" w:rsidRPr="00507A6A" w:rsidRDefault="000A446D" w:rsidP="000A446D">
            <w:pPr>
              <w:rPr>
                <w:rtl/>
              </w:rPr>
            </w:pPr>
            <w:r w:rsidRPr="00507A6A">
              <w:rPr>
                <w:rtl/>
              </w:rPr>
              <w:t>التميز في الموارد البشرية والابتكار التنظيمي.</w:t>
            </w:r>
          </w:p>
          <w:p w14:paraId="1CC55318" w14:textId="77777777" w:rsidR="007B0AA0" w:rsidRPr="00507A6A" w:rsidRDefault="007B0AA0" w:rsidP="00B97F32">
            <w:pPr>
              <w:rPr>
                <w:b/>
                <w:bCs/>
              </w:rPr>
            </w:pPr>
            <w:r w:rsidRPr="00507A6A">
              <w:rPr>
                <w:rFonts w:hint="cs"/>
                <w:b/>
                <w:bCs/>
                <w:rtl/>
              </w:rPr>
              <w:t>الآثار المالية</w:t>
            </w:r>
          </w:p>
          <w:p w14:paraId="59117A63" w14:textId="69EAEA86" w:rsidR="006F363C" w:rsidRPr="00507A6A" w:rsidRDefault="000A446D" w:rsidP="000A446D">
            <w:pPr>
              <w:rPr>
                <w:rtl/>
              </w:rPr>
            </w:pPr>
            <w:r w:rsidRPr="00507A6A">
              <w:rPr>
                <w:rtl/>
              </w:rPr>
              <w:t>في حدود الميزانية المخصصة للفترة 2026-2027.</w:t>
            </w:r>
          </w:p>
          <w:p w14:paraId="0E910A6D" w14:textId="77777777" w:rsidR="007B0AA0" w:rsidRPr="00507A6A" w:rsidRDefault="007B0AA0" w:rsidP="007B0AA0">
            <w:pPr>
              <w:rPr>
                <w:rFonts w:ascii="Traditional Arabic" w:hAnsi="Traditional Arabic" w:cs="Traditional Arabic"/>
                <w:sz w:val="30"/>
                <w:szCs w:val="30"/>
                <w:rtl/>
              </w:rPr>
            </w:pPr>
            <w:r w:rsidRPr="00507A6A">
              <w:rPr>
                <w:rFonts w:ascii="Traditional Arabic" w:hAnsi="Traditional Arabic" w:cs="Traditional Arabic"/>
                <w:sz w:val="30"/>
                <w:szCs w:val="30"/>
                <w:rtl/>
              </w:rPr>
              <w:t>___________</w:t>
            </w:r>
          </w:p>
          <w:p w14:paraId="6D499EA2" w14:textId="77777777" w:rsidR="007B0AA0" w:rsidRPr="00507A6A" w:rsidRDefault="007B0AA0" w:rsidP="007B0AA0">
            <w:pPr>
              <w:rPr>
                <w:b/>
                <w:bCs/>
                <w:rtl/>
              </w:rPr>
            </w:pPr>
            <w:r w:rsidRPr="00507A6A">
              <w:rPr>
                <w:rFonts w:hint="cs"/>
                <w:b/>
                <w:bCs/>
                <w:rtl/>
              </w:rPr>
              <w:t>المراجع</w:t>
            </w:r>
          </w:p>
          <w:p w14:paraId="3C579F0B" w14:textId="620C1B79" w:rsidR="007B0AA0" w:rsidRPr="00507A6A" w:rsidRDefault="000A446D" w:rsidP="000A446D">
            <w:pPr>
              <w:rPr>
                <w:i/>
                <w:iCs/>
                <w:rtl/>
              </w:rPr>
            </w:pPr>
            <w:r w:rsidRPr="00507A6A">
              <w:rPr>
                <w:i/>
                <w:iCs/>
                <w:rtl/>
              </w:rPr>
              <w:t xml:space="preserve">القرارين </w:t>
            </w:r>
            <w:hyperlink r:id="rId8" w:history="1">
              <w:r w:rsidRPr="00507A6A">
                <w:rPr>
                  <w:rStyle w:val="Hyperlink"/>
                  <w:i/>
                  <w:iCs/>
                  <w:noProof w:val="0"/>
                  <w:rtl/>
                  <w:lang w:val="en-US" w:eastAsia="zh-CN"/>
                </w:rPr>
                <w:t>71 (المراجَع في بوخارست، 2022)</w:t>
              </w:r>
            </w:hyperlink>
            <w:r w:rsidRPr="00507A6A">
              <w:rPr>
                <w:i/>
                <w:iCs/>
                <w:rtl/>
              </w:rPr>
              <w:t xml:space="preserve"> </w:t>
            </w:r>
            <w:hyperlink r:id="rId9" w:history="1">
              <w:r w:rsidRPr="00507A6A">
                <w:rPr>
                  <w:rStyle w:val="Hyperlink"/>
                  <w:i/>
                  <w:iCs/>
                  <w:noProof w:val="0"/>
                  <w:color w:val="auto"/>
                  <w:u w:val="none"/>
                  <w:rtl/>
                  <w:lang w:val="en-US" w:eastAsia="zh-CN"/>
                </w:rPr>
                <w:t>و</w:t>
              </w:r>
              <w:r w:rsidRPr="00507A6A">
                <w:rPr>
                  <w:rStyle w:val="Hyperlink"/>
                  <w:i/>
                  <w:iCs/>
                  <w:noProof w:val="0"/>
                  <w:rtl/>
                  <w:lang w:val="en-US" w:eastAsia="zh-CN"/>
                </w:rPr>
                <w:t>48 (المراجَع في بوخارست، 2022)</w:t>
              </w:r>
            </w:hyperlink>
            <w:r w:rsidRPr="00507A6A">
              <w:rPr>
                <w:i/>
                <w:iCs/>
                <w:rtl/>
              </w:rPr>
              <w:t xml:space="preserve"> لمؤتمر مؤتمر المندوبين المفوضين.</w:t>
            </w:r>
          </w:p>
        </w:tc>
      </w:tr>
    </w:tbl>
    <w:p w14:paraId="47716950" w14:textId="77777777" w:rsidR="00E61BE8" w:rsidRPr="00507A6A" w:rsidRDefault="00E61BE8" w:rsidP="00E61BE8">
      <w:pPr>
        <w:rPr>
          <w:rtl/>
          <w:lang w:bidi="ar-EG"/>
        </w:rPr>
      </w:pPr>
    </w:p>
    <w:p w14:paraId="64E1F6F4" w14:textId="77777777" w:rsidR="00F50E3F" w:rsidRPr="00507A6A" w:rsidRDefault="00F50E3F" w:rsidP="0043260A">
      <w:pPr>
        <w:rPr>
          <w:rtl/>
          <w:lang w:bidi="ar-EG"/>
        </w:rPr>
      </w:pPr>
      <w:r w:rsidRPr="00507A6A">
        <w:rPr>
          <w:rtl/>
          <w:lang w:bidi="ar-EG"/>
        </w:rPr>
        <w:br w:type="page"/>
      </w:r>
    </w:p>
    <w:p w14:paraId="2431DBD5" w14:textId="171BF158" w:rsidR="000A446D" w:rsidRPr="00507A6A" w:rsidRDefault="00C700E6" w:rsidP="00C700E6">
      <w:pPr>
        <w:pStyle w:val="Heading1"/>
        <w:rPr>
          <w:lang w:val="fr-CH" w:bidi="ar-EG"/>
        </w:rPr>
      </w:pPr>
      <w:r w:rsidRPr="00507A6A">
        <w:lastRenderedPageBreak/>
        <w:t>1</w:t>
      </w:r>
      <w:r w:rsidR="000A446D" w:rsidRPr="00507A6A">
        <w:rPr>
          <w:rtl/>
        </w:rPr>
        <w:tab/>
      </w:r>
      <w:r w:rsidR="000A446D" w:rsidRPr="00507A6A">
        <w:rPr>
          <w:rtl/>
          <w:lang w:bidi="ar-SY"/>
        </w:rPr>
        <w:t>السياق الاستراتيجي</w:t>
      </w:r>
    </w:p>
    <w:p w14:paraId="27CB368C" w14:textId="5D7831EA" w:rsidR="000A446D" w:rsidRPr="00507A6A" w:rsidRDefault="000A446D" w:rsidP="000A446D">
      <w:pPr>
        <w:rPr>
          <w:spacing w:val="2"/>
          <w:lang w:val="en-GB" w:bidi="ar-EG"/>
        </w:rPr>
      </w:pPr>
      <w:r w:rsidRPr="00507A6A">
        <w:rPr>
          <w:spacing w:val="2"/>
          <w:rtl/>
        </w:rPr>
        <w:t>تستند الخطة الاستراتيجية للموارد البشرية (</w:t>
      </w:r>
      <w:r w:rsidRPr="00507A6A">
        <w:rPr>
          <w:spacing w:val="2"/>
          <w:lang w:val="en-GB" w:bidi="ar-EG"/>
        </w:rPr>
        <w:t>HRSP</w:t>
      </w:r>
      <w:r w:rsidRPr="00507A6A">
        <w:rPr>
          <w:spacing w:val="2"/>
          <w:rtl/>
        </w:rPr>
        <w:t xml:space="preserve">) للفترة </w:t>
      </w:r>
      <w:r w:rsidRPr="00507A6A">
        <w:rPr>
          <w:spacing w:val="2"/>
          <w:lang w:bidi="ar-EG"/>
        </w:rPr>
        <w:t>2027-2026</w:t>
      </w:r>
      <w:r w:rsidRPr="00507A6A">
        <w:rPr>
          <w:spacing w:val="2"/>
          <w:rtl/>
        </w:rPr>
        <w:t xml:space="preserve"> إلى الخطة الاستراتيجية للاتحاد للفترة </w:t>
      </w:r>
      <w:r w:rsidRPr="00507A6A">
        <w:rPr>
          <w:spacing w:val="2"/>
          <w:rtl/>
          <w:lang w:bidi="ar-SY"/>
        </w:rPr>
        <w:t>2024-2027</w:t>
      </w:r>
      <w:r w:rsidRPr="00507A6A">
        <w:rPr>
          <w:spacing w:val="2"/>
          <w:rtl/>
        </w:rPr>
        <w:t xml:space="preserve"> والقرار 48 (المراجَع في بوخارست، 2022). وتحدد هذه الخطة التوجه الاستراتيجي للسنتين الأخيرتين من الدورة الاستراتيجية للاتحاد التي تمتد لأربع سنوات، وتستند إلى خارطة طريق التحول وخطة تحول الموارد البشرية في الاتحاد، مع مراعاة مبادرات منظومة الأمم المتحدة</w:t>
      </w:r>
      <w:r w:rsidR="00A64D61" w:rsidRPr="00507A6A">
        <w:rPr>
          <w:rFonts w:hint="cs"/>
          <w:spacing w:val="2"/>
          <w:rtl/>
          <w:lang w:bidi="ar-EG"/>
        </w:rPr>
        <w:t xml:space="preserve"> </w:t>
      </w:r>
      <w:r w:rsidR="00A64D61" w:rsidRPr="00507A6A">
        <w:rPr>
          <w:spacing w:val="2"/>
          <w:lang w:bidi="ar-EG"/>
        </w:rPr>
        <w:t>(UN)</w:t>
      </w:r>
      <w:r w:rsidRPr="00507A6A">
        <w:rPr>
          <w:spacing w:val="2"/>
          <w:rtl/>
        </w:rPr>
        <w:t xml:space="preserve"> ذات الصلة، بما في ذلك مبادرة "الأمم المتحدة 2.0". وستوضع خطة استراتيجية جديدة للموارد البشرية مدتها أربع سنوات، بما يتماشى مع الخطة الاستراتيجية للاتحاد للفترة 2028-2031، وستُعرض على المجلس في دورته لعام 2027 من أجل النظر فيها والموافقة عليها.</w:t>
      </w:r>
    </w:p>
    <w:p w14:paraId="39F86D3B" w14:textId="77777777" w:rsidR="000A446D" w:rsidRPr="00507A6A" w:rsidRDefault="000A446D" w:rsidP="000A446D">
      <w:pPr>
        <w:rPr>
          <w:lang w:val="en-GB" w:bidi="ar-EG"/>
        </w:rPr>
      </w:pPr>
      <w:r w:rsidRPr="00507A6A">
        <w:rPr>
          <w:rtl/>
        </w:rPr>
        <w:t>ولا يمكن تحقيق هذه الأهداف دون قوة عاملة مرنة وماهرة وملتزمة، مدعومة بثقافة تتمحور حول الإنسان وبسياسات وخدمات وأنظمة حديثة للموارد البشرية. وتماشياً مع القرار 48 (المراجَع في بوخارست، 2022) ومبادئ النظام الموحد للأمم المتحدة، يظل الاتحاد ملتزماً بضمان أن تستوفي ممارساته في التوظيف وإدارة شؤون الموظفين أعلى معايير الكفاءة والاختصاص والنزاهة، مع إيلاء الاعتبار الواجب لأهمية تعيين الموظفين على أوسع قاعدة جغرافية ممكنة، وتعزيز التكافؤ بين الجنسين وزيادة تنوع القوى العاملة. وبالتالي، فإن الخطة الاستراتيجية للموارد البشرية للفترة 2026-2027 تعزز قدرة الاتحاد على استقطاب المواهب وتنميتها والاحتفاظ بها لتحقيق النتائج المرجوة في بيئة رقمية سريعة التغير.</w:t>
      </w:r>
    </w:p>
    <w:p w14:paraId="0A833825" w14:textId="0922CCEA" w:rsidR="000A446D" w:rsidRPr="00507A6A" w:rsidRDefault="000A446D" w:rsidP="000A446D">
      <w:pPr>
        <w:rPr>
          <w:lang w:val="en-GB" w:bidi="ar-EG"/>
        </w:rPr>
      </w:pPr>
      <w:r w:rsidRPr="00507A6A">
        <w:rPr>
          <w:rtl/>
        </w:rPr>
        <w:t xml:space="preserve">وفي الوقت ذاته، يعمل الاتحاد في سوق عمل شديدة التنافسية، في ظل قيود مالية وفي سياق </w:t>
      </w:r>
      <w:r w:rsidRPr="00507A6A">
        <w:rPr>
          <w:rtl/>
          <w:lang w:bidi="ar-SY"/>
        </w:rPr>
        <w:t>يتسم</w:t>
      </w:r>
      <w:r w:rsidRPr="00507A6A">
        <w:rPr>
          <w:rtl/>
        </w:rPr>
        <w:t xml:space="preserve"> بالتغير التكنولوجي السريع، وتطور السياسات والإصلاحات داخل النظام الموحد للأمم المتحدة، وتزايد التوقعات فيما يتعلق بالرفاه والشمول والمساواة بين الجنسين. وتستدعي هذه الديناميات تحديثاً مستمراً لعمليات الموارد البشرية وأدوات إدارتها، وتخطيطاً أكثر دقة للقوى العاملة، وتعزيز ثقافة تدعم الأداء والتعلم والتعاون في الاتحاد، مع تحسين الكفاءة وجودة الخدمة ضمن الموارد المتاحة.</w:t>
      </w:r>
    </w:p>
    <w:p w14:paraId="670D9065" w14:textId="77777777" w:rsidR="000A446D" w:rsidRPr="00507A6A" w:rsidRDefault="000A446D" w:rsidP="000A446D">
      <w:pPr>
        <w:rPr>
          <w:rtl/>
        </w:rPr>
      </w:pPr>
      <w:r w:rsidRPr="00507A6A">
        <w:rPr>
          <w:rtl/>
        </w:rPr>
        <w:t>ولذلك، تحدد الخطة الاستراتيجية للموارد البشرية للفترة 2026-2027 إطاراً واضحاً لإدارة الموارد البشرية خلال فترة السنتين المقبلة، وتهدف إلى ترسيخ مكانة الاتحاد كجهة عمل مفضلة داخل منظومة الأمم المتحدة والقطاع الأوسع. وتترجم هذه الخطة المقصد الاستراتيجي إلى مجموعة محددة من الأولويات والمبادرات المتعلقة بالموارد البشرية والتي تمكّن الاتحاد من: '1' استباق احتياجات التوظيف المتغيرة والاستجابة لها؛ '2' وتعزيز ممارسات القيادة وإدارة الموارد البشرية؛ '3' وترسيخ بيئة عمل صحية وآمنة وقائمة على القيم؛ '4' وتعزيز حوكمة عمليات الموارد البشرية وشفافيتها وامتثالها من خلال تحسين البيانات والحلول الرقمية. وتُعدّ هذه الخطة بمثابة خطة انتقالية مرحلية لفترة سنتين تهدف إلى ترسيخ نتائج تحول الموارد البشرية - بالانتقال من مرحلة التصميم والتنفيذ إلى مرحلة الاعتماد المستدام وتحقيق أثر قابل للقياس - مع التحضير لانتقال سلس إلى دورة التخطيط الاستراتيجي المقبلة للاتحاد. ومن خلال القيام بذلك، تتيح هذه الخطة الاستراتيجية الاستمرارية والوضوح والمساءلة فيما يتعلق بأنشطة التنفيذ في الفترة 2026-2027، وتعزز جاهزية موظفي الاتحاد لتلبية الاحتياجات المستقبلية.</w:t>
      </w:r>
    </w:p>
    <w:p w14:paraId="0E69724C" w14:textId="77777777" w:rsidR="000A446D" w:rsidRPr="00507A6A" w:rsidRDefault="000A446D" w:rsidP="00C700E6">
      <w:pPr>
        <w:pStyle w:val="Heading1"/>
        <w:rPr>
          <w:rtl/>
        </w:rPr>
      </w:pPr>
      <w:r w:rsidRPr="00507A6A">
        <w:rPr>
          <w:rtl/>
        </w:rPr>
        <w:t>2</w:t>
      </w:r>
      <w:r w:rsidRPr="00507A6A">
        <w:rPr>
          <w:rtl/>
        </w:rPr>
        <w:tab/>
        <w:t>الرؤية</w:t>
      </w:r>
    </w:p>
    <w:p w14:paraId="7E528DE5" w14:textId="77777777" w:rsidR="000A446D" w:rsidRPr="00507A6A" w:rsidRDefault="000A446D" w:rsidP="000A446D">
      <w:pPr>
        <w:rPr>
          <w:lang w:bidi="ar-EG"/>
        </w:rPr>
      </w:pPr>
      <w:r w:rsidRPr="00507A6A">
        <w:rPr>
          <w:rtl/>
        </w:rPr>
        <w:t>تتمثل الرؤية التي تقوم عليها الخطة الاستراتيجية للموارد البشرية للفترة 2026-2027 في تمكين الاتحاد من الاضطلاع بولايته من خلال قوة عاملة مرنة وعالية الأداء وشاملة وجاهزة للمستقبل، ضمن بيئة عمل صحية وآمنة وقائمة على القيم حيث يمكن لجميع الموظفين الازدهار والتعلم والتطوير.</w:t>
      </w:r>
    </w:p>
    <w:p w14:paraId="401A848D" w14:textId="77777777" w:rsidR="000A446D" w:rsidRPr="00507A6A" w:rsidRDefault="000A446D" w:rsidP="000A446D">
      <w:pPr>
        <w:rPr>
          <w:rtl/>
          <w:lang w:bidi="ar-EG"/>
        </w:rPr>
      </w:pPr>
      <w:r w:rsidRPr="00507A6A">
        <w:rPr>
          <w:rtl/>
        </w:rPr>
        <w:t>وخلال الفترة 2026-2027، سيصب الاتحاد تركيزه على ترسيخ ثقافة قائمة على الثقة والمساءلة والقيادة المشتركة، وتمكين المديرين من قيادة فرقهم بفعالية، وتمكين الموظفين من المساهمة والابتكار. وستوفر دائرة إدارة الموارد البشرية خدمات متسقة وشفافة ومتحورة حول المستخدم في كل مرحلة من مراحل الحياة المهنية، وذلك من خلال أدوات رقمية مناسبة وبيانات موثوقة للقوى العاملة. وسيُظهر الاتحاد أيضاً تقدماً ملموساً في بناء فرق عمل متنوعة وضمان تكافؤ الفرص، مع الحفاظ على توفير بيئة عمل قائمة على الاحترام تسهم في تحقيق الرفاه ومعالجة الشواغل على وجه السرعة وعلى نحو محايد</w:t>
      </w:r>
      <w:r w:rsidRPr="00507A6A">
        <w:rPr>
          <w:rtl/>
          <w:lang w:bidi="ar-EG"/>
        </w:rPr>
        <w:t>.</w:t>
      </w:r>
    </w:p>
    <w:p w14:paraId="545BE086" w14:textId="77777777" w:rsidR="000A446D" w:rsidRPr="00507A6A" w:rsidRDefault="000A446D" w:rsidP="00C700E6">
      <w:pPr>
        <w:pStyle w:val="Heading1"/>
        <w:rPr>
          <w:rtl/>
        </w:rPr>
      </w:pPr>
      <w:r w:rsidRPr="00507A6A">
        <w:rPr>
          <w:rtl/>
        </w:rPr>
        <w:t>3</w:t>
      </w:r>
      <w:r w:rsidRPr="00507A6A">
        <w:rPr>
          <w:rtl/>
        </w:rPr>
        <w:tab/>
        <w:t>الركائز الاستراتيجية</w:t>
      </w:r>
    </w:p>
    <w:p w14:paraId="63C16392" w14:textId="77777777" w:rsidR="000A446D" w:rsidRPr="00507A6A" w:rsidRDefault="000A446D" w:rsidP="000A446D">
      <w:pPr>
        <w:rPr>
          <w:lang w:bidi="ar-EG"/>
        </w:rPr>
      </w:pPr>
      <w:r w:rsidRPr="00507A6A">
        <w:rPr>
          <w:rtl/>
        </w:rPr>
        <w:t>لتحقيق رؤية الخطة الاستراتيجية للموارد البشرية للفترة 2026-2027، سيركز الاتحاد على خمس ركائز استراتيجية مترابطة متكاملة تُترجم جدول أعمال الموارد البشرية إلى إجراءات محددة وذات أولوية خلال فترة السنتين.</w:t>
      </w:r>
    </w:p>
    <w:p w14:paraId="0D15D1A7" w14:textId="34DD90FE" w:rsidR="000A446D" w:rsidRPr="00507A6A" w:rsidRDefault="00C700E6" w:rsidP="00507A6A">
      <w:pPr>
        <w:pStyle w:val="enumlev1"/>
        <w:rPr>
          <w:lang w:bidi="ar-EG"/>
        </w:rPr>
      </w:pPr>
      <w:r w:rsidRPr="00507A6A">
        <w:rPr>
          <w:rFonts w:hint="cs"/>
          <w:rtl/>
        </w:rPr>
        <w:lastRenderedPageBreak/>
        <w:t xml:space="preserve"> أ </w:t>
      </w:r>
      <w:r w:rsidR="000A446D" w:rsidRPr="00507A6A">
        <w:rPr>
          <w:rtl/>
        </w:rPr>
        <w:t>)</w:t>
      </w:r>
      <w:r w:rsidR="000A446D" w:rsidRPr="00507A6A">
        <w:rPr>
          <w:rtl/>
        </w:rPr>
        <w:tab/>
        <w:t>إدارة المواهب وتخطيط القوى العاملة - ضمان توفير الاتحاد للقوى العاملة التي تتمتع بالمهارات والكفاءات المناسبة من خلال استقطاب أفضل المرشحين والاحتفاظ بهم، وتوظيفهم حيث تشتد الحاجة إليهم.</w:t>
      </w:r>
    </w:p>
    <w:p w14:paraId="19189F94" w14:textId="77777777" w:rsidR="000A446D" w:rsidRPr="00507A6A" w:rsidRDefault="000A446D" w:rsidP="00507A6A">
      <w:pPr>
        <w:pStyle w:val="enumlev1"/>
        <w:rPr>
          <w:lang w:bidi="ar-EG"/>
        </w:rPr>
      </w:pPr>
      <w:r w:rsidRPr="00507A6A">
        <w:rPr>
          <w:rtl/>
        </w:rPr>
        <w:t>ب)</w:t>
      </w:r>
      <w:r w:rsidRPr="00507A6A">
        <w:rPr>
          <w:rtl/>
        </w:rPr>
        <w:tab/>
        <w:t>القيادة وإدارة الأداء والمكافآت والتقدير - تعزيز القيادة الفعالة للأفراد وترسيخ ثقافة أداء عالية ومتسقة.</w:t>
      </w:r>
    </w:p>
    <w:p w14:paraId="60AEB52C" w14:textId="77777777" w:rsidR="000A446D" w:rsidRPr="00507A6A" w:rsidRDefault="000A446D" w:rsidP="00507A6A">
      <w:pPr>
        <w:pStyle w:val="enumlev1"/>
        <w:rPr>
          <w:spacing w:val="-6"/>
          <w:lang w:bidi="ar-EG"/>
        </w:rPr>
      </w:pPr>
      <w:r w:rsidRPr="00507A6A">
        <w:rPr>
          <w:spacing w:val="-6"/>
          <w:rtl/>
        </w:rPr>
        <w:t>ج)</w:t>
      </w:r>
      <w:r w:rsidRPr="00507A6A">
        <w:rPr>
          <w:spacing w:val="-6"/>
          <w:rtl/>
        </w:rPr>
        <w:tab/>
        <w:t>التعلم والتطوير الوظيفي – بناء مهارات جاهزة للمستقبل ورسم مسارات وظيفية واضحة من خلال التعلم المستمر.</w:t>
      </w:r>
    </w:p>
    <w:p w14:paraId="296952F8" w14:textId="73CF5612" w:rsidR="000A446D" w:rsidRPr="00507A6A" w:rsidRDefault="000A446D" w:rsidP="00507A6A">
      <w:pPr>
        <w:pStyle w:val="enumlev1"/>
        <w:rPr>
          <w:lang w:bidi="ar-EG"/>
        </w:rPr>
      </w:pPr>
      <w:r w:rsidRPr="00507A6A">
        <w:rPr>
          <w:rtl/>
        </w:rPr>
        <w:t>د</w:t>
      </w:r>
      <w:r w:rsidR="00C700E6" w:rsidRPr="00507A6A">
        <w:rPr>
          <w:rFonts w:hint="cs"/>
          <w:rtl/>
        </w:rPr>
        <w:t xml:space="preserve"> </w:t>
      </w:r>
      <w:r w:rsidRPr="00507A6A">
        <w:rPr>
          <w:rtl/>
        </w:rPr>
        <w:t>)</w:t>
      </w:r>
      <w:r w:rsidRPr="00507A6A">
        <w:rPr>
          <w:rtl/>
        </w:rPr>
        <w:tab/>
        <w:t>إشراك الموظفين وشمولهم ورفاههم - تعزيز الاحترام في بيئة العمل تدعم المشاركة والشمول والرفاه.</w:t>
      </w:r>
    </w:p>
    <w:p w14:paraId="48A0C2D8" w14:textId="43BF3785" w:rsidR="000A446D" w:rsidRPr="00507A6A" w:rsidRDefault="000A446D" w:rsidP="00507A6A">
      <w:pPr>
        <w:pStyle w:val="enumlev1"/>
        <w:rPr>
          <w:rtl/>
        </w:rPr>
      </w:pPr>
      <w:r w:rsidRPr="00507A6A">
        <w:rPr>
          <w:rtl/>
        </w:rPr>
        <w:t>ه</w:t>
      </w:r>
      <w:r w:rsidR="00C700E6" w:rsidRPr="00507A6A">
        <w:rPr>
          <w:rFonts w:hint="cs"/>
          <w:rtl/>
        </w:rPr>
        <w:t xml:space="preserve">ـ </w:t>
      </w:r>
      <w:r w:rsidRPr="00507A6A">
        <w:rPr>
          <w:rtl/>
        </w:rPr>
        <w:t>)</w:t>
      </w:r>
      <w:r w:rsidRPr="00507A6A">
        <w:rPr>
          <w:rtl/>
        </w:rPr>
        <w:tab/>
        <w:t>حوكمة الموارد البشرية والبيانات والتحول الرقمي - تعزيز الحوكمة وتمكين خدمات الموارد البشرية الحديثة المستنيرة بالبيانات والمدعومة بالتكنولوجيات الرقمية.</w:t>
      </w:r>
    </w:p>
    <w:p w14:paraId="5A5FAEA3" w14:textId="19206D55" w:rsidR="000A446D" w:rsidRPr="00507A6A" w:rsidRDefault="000A446D" w:rsidP="00C700E6">
      <w:pPr>
        <w:pStyle w:val="FigureNo"/>
        <w:rPr>
          <w:lang w:bidi="ar-EG"/>
        </w:rPr>
      </w:pPr>
      <w:r w:rsidRPr="00507A6A">
        <w:rPr>
          <w:rtl/>
        </w:rPr>
        <w:t>الشكل 1</w:t>
      </w:r>
    </w:p>
    <w:p w14:paraId="440EEE54" w14:textId="77777777" w:rsidR="002A2A4F" w:rsidRPr="00507A6A" w:rsidRDefault="000A446D" w:rsidP="00507A6A">
      <w:pPr>
        <w:pStyle w:val="Figuretitle"/>
        <w:rPr>
          <w:rtl/>
        </w:rPr>
      </w:pPr>
      <w:r w:rsidRPr="00507A6A">
        <w:rPr>
          <w:rtl/>
        </w:rPr>
        <w:t>الركائز الاستراتيجية للخطة الاستراتيجية للموارد البشرية للفترة 2026-2027</w:t>
      </w:r>
    </w:p>
    <w:p w14:paraId="029BB0B8" w14:textId="77777777" w:rsidR="00F3617E" w:rsidRPr="00507A6A" w:rsidRDefault="002A2A4F" w:rsidP="00F3617E">
      <w:pPr>
        <w:pStyle w:val="Figure"/>
        <w:jc w:val="center"/>
        <w:rPr>
          <w:rtl/>
        </w:rPr>
      </w:pPr>
      <w:r w:rsidRPr="00507A6A">
        <w:rPr>
          <w:b/>
          <w:bCs/>
          <w:lang w:bidi="ar-EG"/>
        </w:rPr>
        <w:drawing>
          <wp:inline distT="0" distB="0" distL="0" distR="0" wp14:anchorId="4990966A" wp14:editId="36DA93A0">
            <wp:extent cx="3991186" cy="3884478"/>
            <wp:effectExtent l="0" t="0" r="9525"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1928" cy="3894933"/>
                    </a:xfrm>
                    <a:prstGeom prst="rect">
                      <a:avLst/>
                    </a:prstGeom>
                    <a:noFill/>
                  </pic:spPr>
                </pic:pic>
              </a:graphicData>
            </a:graphic>
          </wp:inline>
        </w:drawing>
      </w:r>
      <w:bookmarkStart w:id="0" w:name="_Hlk213686883"/>
    </w:p>
    <w:bookmarkEnd w:id="0"/>
    <w:p w14:paraId="1CFA4522" w14:textId="77777777" w:rsidR="000A446D" w:rsidRPr="00507A6A" w:rsidRDefault="000A446D" w:rsidP="00A8462B">
      <w:pPr>
        <w:pStyle w:val="Heading2"/>
        <w:rPr>
          <w:rtl/>
        </w:rPr>
      </w:pPr>
      <w:r w:rsidRPr="00507A6A">
        <w:rPr>
          <w:lang w:bidi="ar-EG"/>
        </w:rPr>
        <w:t>1.3</w:t>
      </w:r>
      <w:r w:rsidRPr="00507A6A">
        <w:rPr>
          <w:rtl/>
        </w:rPr>
        <w:tab/>
      </w:r>
      <w:r w:rsidRPr="00507A6A">
        <w:rPr>
          <w:rtl/>
          <w:lang w:bidi="ar-SY"/>
        </w:rPr>
        <w:t>إدارة</w:t>
      </w:r>
      <w:r w:rsidRPr="00507A6A">
        <w:rPr>
          <w:rtl/>
        </w:rPr>
        <w:t xml:space="preserve"> المواهب وتخطيط القوى العاملة</w:t>
      </w:r>
    </w:p>
    <w:p w14:paraId="483AED16" w14:textId="77777777" w:rsidR="000A446D" w:rsidRPr="00507A6A" w:rsidRDefault="000A446D" w:rsidP="00A8462B">
      <w:pPr>
        <w:pStyle w:val="Headingb"/>
        <w:rPr>
          <w:rtl/>
          <w:lang w:bidi="ar-SY"/>
        </w:rPr>
      </w:pPr>
      <w:r w:rsidRPr="00507A6A">
        <w:rPr>
          <w:rtl/>
          <w:lang w:bidi="ar-SY"/>
        </w:rPr>
        <w:t>سبب أهمية هذه الركيزة</w:t>
      </w:r>
    </w:p>
    <w:p w14:paraId="17A646A0" w14:textId="77777777" w:rsidR="000A446D" w:rsidRPr="00507A6A" w:rsidRDefault="000A446D" w:rsidP="000A446D">
      <w:pPr>
        <w:rPr>
          <w:spacing w:val="-2"/>
          <w:lang w:bidi="ar-EG"/>
        </w:rPr>
      </w:pPr>
      <w:r w:rsidRPr="00507A6A">
        <w:rPr>
          <w:spacing w:val="-2"/>
          <w:rtl/>
        </w:rPr>
        <w:t xml:space="preserve">مع تطور ولاية الاتحاد وأولوياته الاستراتيجية والتغير السريع لاحتياجاته من المهارات، يجب أن تكون القرارات المتعلقة بالقوة العاملة استشرافية ومستنيرة ومبنية على الأدلة ومستدامة في حدود الموارد المعتمدة. ويتطلب ذلك </w:t>
      </w:r>
      <w:r w:rsidRPr="00507A6A">
        <w:rPr>
          <w:spacing w:val="-2"/>
          <w:rtl/>
          <w:lang w:bidi="ar-SY"/>
        </w:rPr>
        <w:t>تعزيز التخطيط ل</w:t>
      </w:r>
      <w:r w:rsidRPr="00507A6A">
        <w:rPr>
          <w:spacing w:val="-2"/>
          <w:rtl/>
        </w:rPr>
        <w:t>لقوى العاملة وتبسيط</w:t>
      </w:r>
      <w:r w:rsidRPr="00507A6A">
        <w:rPr>
          <w:spacing w:val="-2"/>
          <w:rtl/>
          <w:lang w:bidi="ar-SY"/>
        </w:rPr>
        <w:t xml:space="preserve"> عمليات</w:t>
      </w:r>
      <w:r w:rsidRPr="00507A6A">
        <w:rPr>
          <w:spacing w:val="-2"/>
          <w:rtl/>
        </w:rPr>
        <w:t xml:space="preserve"> إدارة المواهب لضمان استقطاب الكفاءات ودمجها وتوظيفها لفعالية، لا سيما في المجالات الحاسمة كالذكاء الاصطناعي وتحليل البيانات – وضع الأشخاص المناسبين في المكان المناسب وفي الوقت المناسب.</w:t>
      </w:r>
    </w:p>
    <w:p w14:paraId="60F03599" w14:textId="77777777" w:rsidR="000A446D" w:rsidRPr="00507A6A" w:rsidRDefault="000A446D" w:rsidP="00A8462B">
      <w:pPr>
        <w:pStyle w:val="Headingb"/>
        <w:rPr>
          <w:lang w:bidi="ar-EG"/>
        </w:rPr>
      </w:pPr>
      <w:r w:rsidRPr="00507A6A">
        <w:rPr>
          <w:rtl/>
        </w:rPr>
        <w:t>المبادرات الرئيسية</w:t>
      </w:r>
    </w:p>
    <w:p w14:paraId="7A4527BD" w14:textId="77777777" w:rsidR="000A446D" w:rsidRPr="00507A6A" w:rsidRDefault="000A446D" w:rsidP="00A8462B">
      <w:pPr>
        <w:pStyle w:val="enumlev1"/>
        <w:rPr>
          <w:lang w:bidi="ar-EG"/>
        </w:rPr>
      </w:pPr>
      <w:r w:rsidRPr="00507A6A">
        <w:rPr>
          <w:rtl/>
        </w:rPr>
        <w:t>–</w:t>
      </w:r>
      <w:r w:rsidRPr="00507A6A">
        <w:rPr>
          <w:rtl/>
        </w:rPr>
        <w:tab/>
      </w:r>
      <w:r w:rsidRPr="00507A6A">
        <w:rPr>
          <w:b/>
          <w:bCs/>
          <w:rtl/>
        </w:rPr>
        <w:t>تنفيذ إطار محدّث للكفاءات</w:t>
      </w:r>
      <w:r w:rsidRPr="00507A6A">
        <w:rPr>
          <w:rtl/>
        </w:rPr>
        <w:t>، بما يتماشى مع القيم المشتركة لتوضيح التوقعات من حيث الأدوار وتعزيز نهج متسقة للاختيار والأداء والتطوير.</w:t>
      </w:r>
    </w:p>
    <w:p w14:paraId="4A1272D9" w14:textId="77777777" w:rsidR="000A446D" w:rsidRPr="00507A6A" w:rsidRDefault="000A446D" w:rsidP="00A8462B">
      <w:pPr>
        <w:pStyle w:val="enumlev1"/>
        <w:rPr>
          <w:lang w:bidi="ar-EG"/>
        </w:rPr>
      </w:pPr>
      <w:r w:rsidRPr="00507A6A">
        <w:rPr>
          <w:rtl/>
        </w:rPr>
        <w:lastRenderedPageBreak/>
        <w:t>–</w:t>
      </w:r>
      <w:r w:rsidRPr="00507A6A">
        <w:rPr>
          <w:rtl/>
        </w:rPr>
        <w:tab/>
      </w:r>
      <w:r w:rsidRPr="00507A6A">
        <w:rPr>
          <w:b/>
          <w:bCs/>
          <w:rtl/>
        </w:rPr>
        <w:t xml:space="preserve">تحديث عملية استقطاب المواهب </w:t>
      </w:r>
      <w:r w:rsidRPr="00507A6A">
        <w:rPr>
          <w:rtl/>
        </w:rPr>
        <w:t>من خلال تحسين العمليات الشاملة من البداية إلى النهاية، وتعزيز أساليب التقييم، وتعزيز التوظيف القائم على الجدارة والإنصاف والشفافية، بما يتيح استهداف المرشحين بشكل أدق وبناء قاعدة قوية من المواهب في مجالات الخبرة ذات الأولوية والناشئة، مع تعزيز خبرة المرشحين وزيادة جاذبية الاتحاد بالنسبة للمرشحين المؤهلين.</w:t>
      </w:r>
    </w:p>
    <w:p w14:paraId="40CCCBF8" w14:textId="77777777" w:rsidR="000A446D" w:rsidRPr="00507A6A" w:rsidRDefault="000A446D" w:rsidP="00A8462B">
      <w:pPr>
        <w:pStyle w:val="enumlev1"/>
        <w:rPr>
          <w:lang w:bidi="ar-EG"/>
        </w:rPr>
      </w:pPr>
      <w:r w:rsidRPr="00507A6A">
        <w:rPr>
          <w:rtl/>
        </w:rPr>
        <w:t>–</w:t>
      </w:r>
      <w:r w:rsidRPr="00507A6A">
        <w:rPr>
          <w:rtl/>
        </w:rPr>
        <w:tab/>
      </w:r>
      <w:r w:rsidRPr="00507A6A">
        <w:rPr>
          <w:b/>
          <w:bCs/>
          <w:rtl/>
        </w:rPr>
        <w:t>تعزيز التهيئة والإدماج الوظيفي</w:t>
      </w:r>
      <w:r w:rsidRPr="00507A6A">
        <w:rPr>
          <w:rtl/>
        </w:rPr>
        <w:t xml:space="preserve"> من خلال مسار أكثر شمولاً واتساقاً، وتوفير أدوات عملية للمديرين، لتيسير عملية الإدماج والتنفيذ بشكل أسرع ضمن الفرق وفي شتى ترتيبات العمل.</w:t>
      </w:r>
    </w:p>
    <w:p w14:paraId="0BB9BA78" w14:textId="6BB720D2" w:rsidR="000A446D" w:rsidRPr="00507A6A" w:rsidRDefault="000A446D" w:rsidP="00A8462B">
      <w:pPr>
        <w:pStyle w:val="enumlev1"/>
        <w:rPr>
          <w:lang w:bidi="ar-EG"/>
        </w:rPr>
      </w:pPr>
      <w:r w:rsidRPr="00507A6A">
        <w:rPr>
          <w:rtl/>
        </w:rPr>
        <w:t>–</w:t>
      </w:r>
      <w:r w:rsidRPr="00507A6A">
        <w:rPr>
          <w:rtl/>
        </w:rPr>
        <w:tab/>
      </w:r>
      <w:r w:rsidRPr="00507A6A">
        <w:rPr>
          <w:b/>
          <w:bCs/>
          <w:rtl/>
        </w:rPr>
        <w:t xml:space="preserve">توسيع فرص التطوير والتنقل </w:t>
      </w:r>
      <w:r w:rsidRPr="00507A6A">
        <w:rPr>
          <w:rtl/>
        </w:rPr>
        <w:t>لتوجيه القدرات نحو المجالات التي تشتد الحاجة إليها، ودعم النمو الوظيفي، وتعزيز نقل المعارف، والاستفادة من التنقل الداخلي حيثما أمكن ذلك؛ و</w:t>
      </w:r>
      <w:r w:rsidRPr="00507A6A">
        <w:rPr>
          <w:b/>
          <w:bCs/>
          <w:rtl/>
        </w:rPr>
        <w:t xml:space="preserve">تعزيز الشراكات المستهدفة </w:t>
      </w:r>
      <w:r w:rsidRPr="00507A6A">
        <w:rPr>
          <w:rtl/>
        </w:rPr>
        <w:t>مع الدول الأعضاء والمنظمات والهيئات الأكاديمية لتوسيع مسارات الدخول – لا سيما للمهنيين الشباب والمرشحين من الدول الأعضاء غير الممثلة تمثيلاً كافياً - مع ضمان الحوكمة الشفافة والمنفعة المتبادلة.</w:t>
      </w:r>
    </w:p>
    <w:p w14:paraId="6F334B1B" w14:textId="77777777" w:rsidR="000A446D" w:rsidRPr="00507A6A" w:rsidRDefault="000A446D" w:rsidP="00A8462B">
      <w:pPr>
        <w:pStyle w:val="enumlev1"/>
        <w:rPr>
          <w:lang w:bidi="ar-EG"/>
        </w:rPr>
      </w:pPr>
      <w:r w:rsidRPr="00507A6A">
        <w:rPr>
          <w:rtl/>
        </w:rPr>
        <w:t>–</w:t>
      </w:r>
      <w:r w:rsidRPr="00507A6A">
        <w:rPr>
          <w:rtl/>
        </w:rPr>
        <w:tab/>
      </w:r>
      <w:r w:rsidRPr="00507A6A">
        <w:rPr>
          <w:spacing w:val="-6"/>
          <w:rtl/>
        </w:rPr>
        <w:t xml:space="preserve">وضع إطار تعاقدي واضح </w:t>
      </w:r>
      <w:r w:rsidRPr="00507A6A">
        <w:rPr>
          <w:b/>
          <w:bCs/>
          <w:spacing w:val="-6"/>
          <w:rtl/>
        </w:rPr>
        <w:t xml:space="preserve">بصيغ تعاقدية أكثر مرونة </w:t>
      </w:r>
      <w:r w:rsidRPr="00507A6A">
        <w:rPr>
          <w:spacing w:val="-6"/>
          <w:rtl/>
        </w:rPr>
        <w:t>و</w:t>
      </w:r>
      <w:r w:rsidRPr="00507A6A">
        <w:rPr>
          <w:b/>
          <w:bCs/>
          <w:spacing w:val="-6"/>
          <w:rtl/>
        </w:rPr>
        <w:t>صقل الأدوات المرتبطة بها وأدوات توفير الموارد ذات الصلة</w:t>
      </w:r>
      <w:r w:rsidRPr="00507A6A">
        <w:rPr>
          <w:spacing w:val="-6"/>
          <w:rtl/>
        </w:rPr>
        <w:t xml:space="preserve"> للاستجابة للطفرات القصيرة في العمل والاحتياجات من حيث الخبرات المتخصصة والمبادرات المحددة المدة.</w:t>
      </w:r>
    </w:p>
    <w:p w14:paraId="1DD54FE2" w14:textId="77777777" w:rsidR="000A446D" w:rsidRPr="00507A6A" w:rsidRDefault="000A446D" w:rsidP="00A8462B">
      <w:pPr>
        <w:pStyle w:val="enumlev1"/>
        <w:rPr>
          <w:rtl/>
          <w:lang w:bidi="ar-SA"/>
        </w:rPr>
      </w:pPr>
      <w:r w:rsidRPr="00507A6A">
        <w:rPr>
          <w:rtl/>
          <w:lang w:bidi="ar-SA"/>
        </w:rPr>
        <w:t>–</w:t>
      </w:r>
      <w:r w:rsidRPr="00507A6A">
        <w:rPr>
          <w:rtl/>
          <w:lang w:bidi="ar-SA"/>
        </w:rPr>
        <w:tab/>
      </w:r>
      <w:r w:rsidRPr="00507A6A">
        <w:rPr>
          <w:b/>
          <w:bCs/>
          <w:rtl/>
          <w:lang w:bidi="ar-SA"/>
        </w:rPr>
        <w:t>تعزيز تخطيط القوى العاملة والتعاقب الوظيفي</w:t>
      </w:r>
      <w:r w:rsidRPr="00507A6A">
        <w:rPr>
          <w:rtl/>
          <w:lang w:bidi="ar-SA"/>
        </w:rPr>
        <w:t xml:space="preserve"> لاستباق الاحتياجات من حيث المهارات الأساسية، وإدارة المخاطر المرتبطة بدوران الموظفين والتقاعد، ودعم اتخاذ قرارات التوظيف في الوقت المناسب، بما يتماشى مع أولويات العمل.</w:t>
      </w:r>
    </w:p>
    <w:p w14:paraId="1B665B5C" w14:textId="77777777" w:rsidR="000A446D" w:rsidRPr="00507A6A" w:rsidRDefault="000A446D" w:rsidP="007065D5">
      <w:pPr>
        <w:pStyle w:val="Heading2"/>
        <w:rPr>
          <w:rtl/>
        </w:rPr>
      </w:pPr>
      <w:r w:rsidRPr="00507A6A">
        <w:rPr>
          <w:rtl/>
        </w:rPr>
        <w:t>2.3</w:t>
      </w:r>
      <w:r w:rsidRPr="00507A6A">
        <w:rPr>
          <w:rtl/>
        </w:rPr>
        <w:tab/>
        <w:t>القيادة وإدارة الأداء والمكافأة والتقدير</w:t>
      </w:r>
    </w:p>
    <w:p w14:paraId="40CB8C1F" w14:textId="77777777" w:rsidR="000A446D" w:rsidRPr="00507A6A" w:rsidRDefault="000A446D" w:rsidP="007065D5">
      <w:pPr>
        <w:pStyle w:val="Headingb"/>
        <w:rPr>
          <w:rtl/>
          <w:lang w:bidi="ar-SY"/>
        </w:rPr>
      </w:pPr>
      <w:r w:rsidRPr="00507A6A">
        <w:rPr>
          <w:rtl/>
          <w:lang w:bidi="ar-SY"/>
        </w:rPr>
        <w:t>سبب أهمية هذه الركيزة</w:t>
      </w:r>
    </w:p>
    <w:p w14:paraId="5BCB67D6" w14:textId="77777777" w:rsidR="000A446D" w:rsidRPr="00507A6A" w:rsidRDefault="000A446D" w:rsidP="000A446D">
      <w:pPr>
        <w:rPr>
          <w:lang w:bidi="ar-EG"/>
        </w:rPr>
      </w:pPr>
      <w:r w:rsidRPr="00507A6A">
        <w:rPr>
          <w:rtl/>
        </w:rPr>
        <w:t>تُعدّ القيادة الفعالة والإدارة الرشيدة للموارد البشرية أمرين حاسمين لتحقيق الأهداف وبناء ثقافة تنظيمية قوية وثقة الموظفين. ويسهم اتباع نهج متسق لإدارة الأداء والتقدير العادل في تعزيز المساءلة والمشاركة، بينما تعزز المعالجة الفورية لقضايا بيئة العمل إرساء بيئة قائمة على الاحترام. وتنمية التميز القيادي على جميع المستويات - بما يتماشى مع إطار القيادة في منظومة الأمم المتحدة والمستند إلى القيم المشتركة والمساءلة الواضحة – تتيح للمديرين القيادة الشاملة، وتطوير المواهب، ومعالجة قصور الأداء على نحو مبكر وعادل.</w:t>
      </w:r>
    </w:p>
    <w:p w14:paraId="255B7022" w14:textId="77777777" w:rsidR="000A446D" w:rsidRPr="00507A6A" w:rsidRDefault="000A446D" w:rsidP="007065D5">
      <w:pPr>
        <w:pStyle w:val="Headingb"/>
        <w:rPr>
          <w:lang w:bidi="ar-EG"/>
        </w:rPr>
      </w:pPr>
      <w:r w:rsidRPr="00507A6A">
        <w:rPr>
          <w:rtl/>
        </w:rPr>
        <w:t>المبادرات الرئيسية</w:t>
      </w:r>
    </w:p>
    <w:p w14:paraId="3FE997B3" w14:textId="387CB729" w:rsidR="000A446D" w:rsidRPr="00507A6A" w:rsidRDefault="000A446D" w:rsidP="007065D5">
      <w:pPr>
        <w:pStyle w:val="enumlev1"/>
        <w:rPr>
          <w:lang w:bidi="ar-EG"/>
        </w:rPr>
      </w:pPr>
      <w:r w:rsidRPr="00507A6A">
        <w:rPr>
          <w:rtl/>
        </w:rPr>
        <w:t>–</w:t>
      </w:r>
      <w:r w:rsidRPr="00507A6A">
        <w:rPr>
          <w:rtl/>
        </w:rPr>
        <w:tab/>
      </w:r>
      <w:r w:rsidRPr="00507A6A">
        <w:rPr>
          <w:b/>
          <w:bCs/>
          <w:rtl/>
        </w:rPr>
        <w:t>تعزيز مسار القيادة وتحديد المواهب القيادية مبكراً</w:t>
      </w:r>
      <w:r w:rsidRPr="00507A6A">
        <w:rPr>
          <w:rtl/>
        </w:rPr>
        <w:t>، من خلال توضيح توقعات القادة، وتحديد الإمكانات في</w:t>
      </w:r>
      <w:r w:rsidR="007065D5" w:rsidRPr="00507A6A">
        <w:rPr>
          <w:rFonts w:hint="cs"/>
          <w:rtl/>
        </w:rPr>
        <w:t> </w:t>
      </w:r>
      <w:r w:rsidRPr="00507A6A">
        <w:rPr>
          <w:rtl/>
        </w:rPr>
        <w:t>وقت مبكر وتوفير فرص التنمية المستهدفة.</w:t>
      </w:r>
    </w:p>
    <w:p w14:paraId="7F6D9593" w14:textId="77777777" w:rsidR="000A446D" w:rsidRPr="00507A6A" w:rsidRDefault="000A446D" w:rsidP="007065D5">
      <w:pPr>
        <w:pStyle w:val="enumlev1"/>
        <w:rPr>
          <w:lang w:bidi="ar-EG"/>
        </w:rPr>
      </w:pPr>
      <w:r w:rsidRPr="00507A6A">
        <w:rPr>
          <w:rtl/>
        </w:rPr>
        <w:t>–</w:t>
      </w:r>
      <w:r w:rsidRPr="00507A6A">
        <w:rPr>
          <w:rtl/>
        </w:rPr>
        <w:tab/>
      </w:r>
      <w:r w:rsidRPr="00507A6A">
        <w:rPr>
          <w:b/>
          <w:bCs/>
          <w:rtl/>
        </w:rPr>
        <w:t>توفير تدريب إلزامي للمديرين</w:t>
      </w:r>
      <w:r w:rsidRPr="00507A6A">
        <w:rPr>
          <w:rtl/>
        </w:rPr>
        <w:t xml:space="preserve"> لتعزيز مهاراتهم الأساسية في إدارة الموارد البشرية، ودعمهم من خلال أدوات عملية وإرشادات من أجل التطبيق المتسق للسياسات والإجراءات.</w:t>
      </w:r>
    </w:p>
    <w:p w14:paraId="2A1029A8" w14:textId="77777777" w:rsidR="000A446D" w:rsidRPr="00507A6A" w:rsidRDefault="000A446D" w:rsidP="007065D5">
      <w:pPr>
        <w:pStyle w:val="enumlev1"/>
        <w:rPr>
          <w:lang w:bidi="ar-EG"/>
        </w:rPr>
      </w:pPr>
      <w:r w:rsidRPr="00507A6A">
        <w:rPr>
          <w:rtl/>
        </w:rPr>
        <w:t>–</w:t>
      </w:r>
      <w:r w:rsidRPr="00507A6A">
        <w:rPr>
          <w:rtl/>
        </w:rPr>
        <w:tab/>
      </w:r>
      <w:r w:rsidRPr="00507A6A">
        <w:rPr>
          <w:b/>
          <w:bCs/>
          <w:rtl/>
        </w:rPr>
        <w:t>تنمية قيادة شاملة وتكيفية</w:t>
      </w:r>
      <w:r w:rsidRPr="00507A6A">
        <w:rPr>
          <w:rtl/>
        </w:rPr>
        <w:t xml:space="preserve"> لدفع عجلة الابتكار والمرونة التنظيمية، بدعم من البرامج التعليمية المستهدفة التي تدمج المساءلة والإنصاف في القرارات اليومية المتعلقة بشؤون الموظفين.</w:t>
      </w:r>
    </w:p>
    <w:p w14:paraId="491AD23F" w14:textId="37DE3D93" w:rsidR="000A446D" w:rsidRPr="00507A6A" w:rsidRDefault="000A446D" w:rsidP="007065D5">
      <w:pPr>
        <w:pStyle w:val="enumlev1"/>
        <w:rPr>
          <w:spacing w:val="-2"/>
          <w:lang w:bidi="ar-EG"/>
        </w:rPr>
      </w:pPr>
      <w:r w:rsidRPr="00507A6A">
        <w:rPr>
          <w:spacing w:val="-2"/>
          <w:rtl/>
        </w:rPr>
        <w:t>–</w:t>
      </w:r>
      <w:r w:rsidRPr="00507A6A">
        <w:rPr>
          <w:spacing w:val="-2"/>
          <w:rtl/>
        </w:rPr>
        <w:tab/>
      </w:r>
      <w:r w:rsidRPr="00507A6A">
        <w:rPr>
          <w:b/>
          <w:bCs/>
          <w:spacing w:val="-2"/>
          <w:rtl/>
        </w:rPr>
        <w:t>تعزيز قدرات إدارة النزاعات والعلاقات مع مكان العمل</w:t>
      </w:r>
      <w:r w:rsidRPr="00507A6A">
        <w:rPr>
          <w:spacing w:val="-2"/>
          <w:rtl/>
        </w:rPr>
        <w:t xml:space="preserve"> من خلال تحسين مسارات الوقاية والحلول، بما في</w:t>
      </w:r>
      <w:r w:rsidR="007065D5" w:rsidRPr="00507A6A">
        <w:rPr>
          <w:rFonts w:hint="eastAsia"/>
          <w:spacing w:val="-2"/>
          <w:rtl/>
        </w:rPr>
        <w:t> </w:t>
      </w:r>
      <w:r w:rsidRPr="00507A6A">
        <w:rPr>
          <w:spacing w:val="-2"/>
          <w:rtl/>
        </w:rPr>
        <w:t>ذلك الحصول في الوقت المناسب على المشورة والدعم المستقلين للمديرين والموظفين من خلال أمين المظالم والآليات الأخرى ذات الصلة.</w:t>
      </w:r>
    </w:p>
    <w:p w14:paraId="250087EA" w14:textId="77777777" w:rsidR="000A446D" w:rsidRPr="00507A6A" w:rsidRDefault="000A446D" w:rsidP="007065D5">
      <w:pPr>
        <w:pStyle w:val="enumlev1"/>
        <w:rPr>
          <w:lang w:bidi="ar-EG"/>
        </w:rPr>
      </w:pPr>
      <w:r w:rsidRPr="00507A6A">
        <w:rPr>
          <w:rtl/>
        </w:rPr>
        <w:t>–</w:t>
      </w:r>
      <w:r w:rsidRPr="00507A6A">
        <w:rPr>
          <w:rtl/>
        </w:rPr>
        <w:tab/>
      </w:r>
      <w:r w:rsidRPr="00507A6A">
        <w:rPr>
          <w:b/>
          <w:bCs/>
          <w:rtl/>
        </w:rPr>
        <w:t xml:space="preserve">تطبيق عملية استرشادية لتقييم أداء المديرين </w:t>
      </w:r>
      <w:r w:rsidRPr="00507A6A">
        <w:rPr>
          <w:rtl/>
        </w:rPr>
        <w:t>(مثل التقييم الشامل بزاوية 360 درجة) لتعزيز الوعي الذاتي والسلوكيات القيادية والتحسين المستمر.</w:t>
      </w:r>
    </w:p>
    <w:p w14:paraId="206AEB5C" w14:textId="77777777" w:rsidR="000A446D" w:rsidRPr="00507A6A" w:rsidRDefault="000A446D" w:rsidP="007065D5">
      <w:pPr>
        <w:pStyle w:val="enumlev1"/>
        <w:rPr>
          <w:lang w:bidi="ar-EG"/>
        </w:rPr>
      </w:pPr>
      <w:r w:rsidRPr="00507A6A">
        <w:rPr>
          <w:rtl/>
        </w:rPr>
        <w:t>–</w:t>
      </w:r>
      <w:r w:rsidRPr="00507A6A">
        <w:rPr>
          <w:rtl/>
        </w:rPr>
        <w:tab/>
      </w:r>
      <w:r w:rsidRPr="00507A6A">
        <w:rPr>
          <w:b/>
          <w:bCs/>
          <w:rtl/>
        </w:rPr>
        <w:t>توسيع نطاق التدريب التنفيذي</w:t>
      </w:r>
      <w:r w:rsidRPr="00507A6A">
        <w:rPr>
          <w:rtl/>
        </w:rPr>
        <w:t xml:space="preserve"> لدعم كبار القادة والفئات ذات الأولوية في قيادة التغيير والخوض في المواقف المعقدة لإدارة الموارد البشرية.</w:t>
      </w:r>
    </w:p>
    <w:p w14:paraId="40D3E99C" w14:textId="77777777" w:rsidR="000A446D" w:rsidRPr="00507A6A" w:rsidRDefault="000A446D" w:rsidP="007065D5">
      <w:pPr>
        <w:pStyle w:val="enumlev1"/>
        <w:rPr>
          <w:lang w:bidi="ar-EG"/>
        </w:rPr>
      </w:pPr>
      <w:r w:rsidRPr="00507A6A">
        <w:rPr>
          <w:rtl/>
        </w:rPr>
        <w:t>–</w:t>
      </w:r>
      <w:r w:rsidRPr="00507A6A">
        <w:rPr>
          <w:rtl/>
        </w:rPr>
        <w:tab/>
      </w:r>
      <w:r w:rsidRPr="00507A6A">
        <w:rPr>
          <w:b/>
          <w:bCs/>
          <w:rtl/>
        </w:rPr>
        <w:t xml:space="preserve">تعزيز إدارة الأداء، </w:t>
      </w:r>
      <w:r w:rsidRPr="00507A6A">
        <w:rPr>
          <w:rtl/>
        </w:rPr>
        <w:t>بما في ذلك معالجة حالات ضعف الأداء من خلال معايير أوضح، وممارسات أقوى للتوثيق، وبناء قدرات المديرين بشكل هادف.</w:t>
      </w:r>
    </w:p>
    <w:p w14:paraId="1CB5E090" w14:textId="77777777" w:rsidR="000A446D" w:rsidRPr="00507A6A" w:rsidRDefault="000A446D" w:rsidP="007065D5">
      <w:pPr>
        <w:pStyle w:val="enumlev1"/>
        <w:rPr>
          <w:lang w:bidi="ar-EG"/>
        </w:rPr>
      </w:pPr>
      <w:r w:rsidRPr="00507A6A">
        <w:rPr>
          <w:rtl/>
          <w:lang w:bidi="ar-SA"/>
        </w:rPr>
        <w:t>–</w:t>
      </w:r>
      <w:r w:rsidRPr="00507A6A">
        <w:rPr>
          <w:rtl/>
          <w:lang w:bidi="ar-SA"/>
        </w:rPr>
        <w:tab/>
      </w:r>
      <w:r w:rsidRPr="00507A6A">
        <w:rPr>
          <w:b/>
          <w:bCs/>
          <w:rtl/>
          <w:lang w:bidi="ar-SA"/>
        </w:rPr>
        <w:t>تنفيذ إطار المكافأة والتقدير</w:t>
      </w:r>
      <w:r w:rsidRPr="00507A6A">
        <w:rPr>
          <w:rtl/>
          <w:lang w:bidi="ar-SA"/>
        </w:rPr>
        <w:t xml:space="preserve"> لتعزيز ثقافة التقدير الشفاف والشامل في الوقت المناسب، بما يتماشى مع الأداء والقيم المشتركة.</w:t>
      </w:r>
    </w:p>
    <w:p w14:paraId="0874B474" w14:textId="77777777" w:rsidR="000A446D" w:rsidRPr="00507A6A" w:rsidRDefault="000A446D" w:rsidP="007065D5">
      <w:pPr>
        <w:pStyle w:val="Heading2"/>
        <w:rPr>
          <w:rtl/>
        </w:rPr>
      </w:pPr>
      <w:r w:rsidRPr="00507A6A">
        <w:rPr>
          <w:rtl/>
        </w:rPr>
        <w:lastRenderedPageBreak/>
        <w:t>3.3</w:t>
      </w:r>
      <w:r w:rsidRPr="00507A6A">
        <w:rPr>
          <w:rtl/>
        </w:rPr>
        <w:tab/>
        <w:t>التعلم والتطوير الوظيفي</w:t>
      </w:r>
    </w:p>
    <w:p w14:paraId="003B8C34" w14:textId="77777777" w:rsidR="000A446D" w:rsidRPr="00507A6A" w:rsidRDefault="000A446D" w:rsidP="007065D5">
      <w:pPr>
        <w:pStyle w:val="Headingb"/>
        <w:rPr>
          <w:rtl/>
          <w:lang w:bidi="ar-SY"/>
        </w:rPr>
      </w:pPr>
      <w:r w:rsidRPr="00507A6A">
        <w:rPr>
          <w:rtl/>
          <w:lang w:bidi="ar-SY"/>
        </w:rPr>
        <w:t>سبب أهمية هذه الركيزة</w:t>
      </w:r>
    </w:p>
    <w:p w14:paraId="077E5400" w14:textId="77777777" w:rsidR="000A446D" w:rsidRPr="00507A6A" w:rsidRDefault="000A446D" w:rsidP="000A446D">
      <w:pPr>
        <w:rPr>
          <w:lang w:bidi="ar-EG"/>
        </w:rPr>
      </w:pPr>
      <w:r w:rsidRPr="00507A6A">
        <w:rPr>
          <w:rtl/>
        </w:rPr>
        <w:t>مع التطور السريع للمتطلبات من المهارات، يلتزم الاتحاد بترسيخ ثقافة التعلم المستمر لتعزيز الأداء والاستعداد للمستقبل. ومن شأن المسارات الوظيفية الواضحة والشفافة وفرص التطوير المستهدفة، أن تدعم مشاركة الموظفين واستبقائهم، مع تعزيز القدرات التنظيمية. وستساعد عمليات تحليل بيانات التعلّم على ضمان أن تكون الاستثمارات قائمة على الأدلة ومتماشية مع الأولويات الاستراتيجية للاتحاد.</w:t>
      </w:r>
    </w:p>
    <w:p w14:paraId="146944D1" w14:textId="77777777" w:rsidR="000A446D" w:rsidRPr="00507A6A" w:rsidRDefault="000A446D" w:rsidP="007065D5">
      <w:pPr>
        <w:pStyle w:val="Headingb"/>
        <w:rPr>
          <w:lang w:bidi="ar-EG"/>
        </w:rPr>
      </w:pPr>
      <w:r w:rsidRPr="00507A6A">
        <w:rPr>
          <w:rtl/>
        </w:rPr>
        <w:t>المبادرات الرئيسية</w:t>
      </w:r>
    </w:p>
    <w:p w14:paraId="2581CC5A" w14:textId="77777777" w:rsidR="000A446D" w:rsidRPr="00507A6A" w:rsidRDefault="000A446D" w:rsidP="007065D5">
      <w:pPr>
        <w:pStyle w:val="enumlev1"/>
        <w:rPr>
          <w:lang w:val="de-CH" w:bidi="ar-EG"/>
        </w:rPr>
      </w:pPr>
      <w:r w:rsidRPr="00507A6A">
        <w:rPr>
          <w:rtl/>
        </w:rPr>
        <w:t>–</w:t>
      </w:r>
      <w:r w:rsidRPr="00507A6A">
        <w:rPr>
          <w:rtl/>
        </w:rPr>
        <w:tab/>
      </w:r>
      <w:r w:rsidRPr="00507A6A">
        <w:rPr>
          <w:b/>
          <w:bCs/>
          <w:rtl/>
        </w:rPr>
        <w:t>تعزيز أطر التطوير الوظيفي</w:t>
      </w:r>
      <w:r w:rsidRPr="00507A6A">
        <w:rPr>
          <w:rtl/>
        </w:rPr>
        <w:t xml:space="preserve"> لتقديم توقعات واضحة وخيارات للتطوير عبر مختلف المجالات والرتب الوظيفية.</w:t>
      </w:r>
    </w:p>
    <w:p w14:paraId="7F895964" w14:textId="77777777" w:rsidR="000A446D" w:rsidRPr="00507A6A" w:rsidRDefault="000A446D" w:rsidP="007065D5">
      <w:pPr>
        <w:pStyle w:val="enumlev1"/>
        <w:rPr>
          <w:spacing w:val="-2"/>
          <w:lang w:bidi="ar-EG"/>
        </w:rPr>
      </w:pPr>
      <w:r w:rsidRPr="00507A6A">
        <w:rPr>
          <w:spacing w:val="-2"/>
          <w:rtl/>
        </w:rPr>
        <w:t>–</w:t>
      </w:r>
      <w:r w:rsidRPr="00507A6A">
        <w:rPr>
          <w:spacing w:val="-2"/>
          <w:rtl/>
        </w:rPr>
        <w:tab/>
      </w:r>
      <w:r w:rsidRPr="00507A6A">
        <w:rPr>
          <w:b/>
          <w:bCs/>
          <w:spacing w:val="-2"/>
          <w:rtl/>
        </w:rPr>
        <w:t>ترسيخ ثقافة التعلم المستمر</w:t>
      </w:r>
      <w:r w:rsidRPr="00507A6A">
        <w:rPr>
          <w:spacing w:val="-2"/>
          <w:rtl/>
        </w:rPr>
        <w:t xml:space="preserve"> من خلال تعزيز المسؤولية المشتركة عن التعلمّ في صفوف الموظفين والمديرين والمنظمة، ومن خلال توفير فرص تعلّم يمكن للجميع النفاذ إليها.</w:t>
      </w:r>
    </w:p>
    <w:p w14:paraId="53375ED4" w14:textId="77777777" w:rsidR="000A446D" w:rsidRPr="00507A6A" w:rsidRDefault="000A446D" w:rsidP="007065D5">
      <w:pPr>
        <w:pStyle w:val="enumlev1"/>
        <w:rPr>
          <w:spacing w:val="-2"/>
          <w:lang w:bidi="ar-EG"/>
        </w:rPr>
      </w:pPr>
      <w:r w:rsidRPr="00507A6A">
        <w:rPr>
          <w:spacing w:val="-2"/>
          <w:rtl/>
        </w:rPr>
        <w:t>–</w:t>
      </w:r>
      <w:r w:rsidRPr="00507A6A">
        <w:rPr>
          <w:spacing w:val="-2"/>
          <w:rtl/>
        </w:rPr>
        <w:tab/>
      </w:r>
      <w:r w:rsidRPr="00507A6A">
        <w:rPr>
          <w:b/>
          <w:bCs/>
          <w:spacing w:val="-2"/>
          <w:rtl/>
        </w:rPr>
        <w:t>تنفيذ خطة سنوية للتعلّم تتماشى مع الخطة الاستراتيجية للاتحاد</w:t>
      </w:r>
      <w:r w:rsidRPr="00507A6A">
        <w:rPr>
          <w:spacing w:val="-2"/>
          <w:rtl/>
        </w:rPr>
        <w:t xml:space="preserve"> لإيلاء الأولوية للاستثمار في التعلّم وضمان ملاءمتها للأولويات الاستراتيجية.</w:t>
      </w:r>
    </w:p>
    <w:p w14:paraId="0E3DD93D" w14:textId="77777777" w:rsidR="000A446D" w:rsidRPr="00507A6A" w:rsidRDefault="000A446D" w:rsidP="007065D5">
      <w:pPr>
        <w:pStyle w:val="enumlev1"/>
        <w:rPr>
          <w:spacing w:val="-2"/>
          <w:lang w:bidi="ar-EG"/>
        </w:rPr>
      </w:pPr>
      <w:r w:rsidRPr="00507A6A">
        <w:rPr>
          <w:spacing w:val="-2"/>
          <w:rtl/>
        </w:rPr>
        <w:t>–</w:t>
      </w:r>
      <w:r w:rsidRPr="00507A6A">
        <w:rPr>
          <w:spacing w:val="-2"/>
          <w:rtl/>
        </w:rPr>
        <w:tab/>
      </w:r>
      <w:r w:rsidRPr="00507A6A">
        <w:rPr>
          <w:b/>
          <w:bCs/>
          <w:spacing w:val="-2"/>
          <w:rtl/>
        </w:rPr>
        <w:t xml:space="preserve">تعزيز تنمية المهارات المستقبلية </w:t>
      </w:r>
      <w:r w:rsidRPr="00507A6A">
        <w:rPr>
          <w:spacing w:val="-2"/>
          <w:rtl/>
        </w:rPr>
        <w:t>من خلال مواءمة التعلّم مع التكنولوجيات الناشئة والاحتياجات من القدرات ذات الأولوية والأدوار الحيوية، بدعم من برامج موجهة والتعلم أثماء العمل.</w:t>
      </w:r>
    </w:p>
    <w:p w14:paraId="75C3B40D" w14:textId="77777777" w:rsidR="000A446D" w:rsidRPr="00507A6A" w:rsidRDefault="000A446D" w:rsidP="007065D5">
      <w:pPr>
        <w:pStyle w:val="enumlev1"/>
        <w:rPr>
          <w:lang w:bidi="ar-EG"/>
        </w:rPr>
      </w:pPr>
      <w:r w:rsidRPr="00507A6A">
        <w:rPr>
          <w:rtl/>
        </w:rPr>
        <w:t>–</w:t>
      </w:r>
      <w:r w:rsidRPr="00507A6A">
        <w:rPr>
          <w:rtl/>
        </w:rPr>
        <w:tab/>
      </w:r>
      <w:r w:rsidRPr="00507A6A">
        <w:rPr>
          <w:b/>
          <w:bCs/>
          <w:rtl/>
        </w:rPr>
        <w:t>تطوير أدوات تحليل التعلّم وتقييم المهارات</w:t>
      </w:r>
      <w:r w:rsidRPr="00507A6A">
        <w:rPr>
          <w:rtl/>
        </w:rPr>
        <w:t xml:space="preserve"> لفهم فجوات القدرات بشكل أفضل، وتصميم برامج تعليمية مخصصة، وتتبع الإقبال على التعلم وفعاليته.</w:t>
      </w:r>
    </w:p>
    <w:p w14:paraId="6FDF4E15" w14:textId="77777777" w:rsidR="000A446D" w:rsidRPr="00507A6A" w:rsidRDefault="000A446D" w:rsidP="007065D5">
      <w:pPr>
        <w:pStyle w:val="enumlev1"/>
        <w:rPr>
          <w:lang w:val="de-CH" w:bidi="ar-EG"/>
        </w:rPr>
      </w:pPr>
      <w:r w:rsidRPr="00507A6A">
        <w:rPr>
          <w:rtl/>
          <w:lang w:bidi="ar-SA"/>
        </w:rPr>
        <w:t>–</w:t>
      </w:r>
      <w:r w:rsidRPr="00507A6A">
        <w:rPr>
          <w:rtl/>
          <w:lang w:bidi="ar-SA"/>
        </w:rPr>
        <w:tab/>
      </w:r>
      <w:r w:rsidRPr="00507A6A">
        <w:rPr>
          <w:b/>
          <w:bCs/>
          <w:rtl/>
          <w:lang w:bidi="ar-SA"/>
        </w:rPr>
        <w:t>تعزيز تبادل المعارف والتعلم بين الأقران</w:t>
      </w:r>
      <w:r w:rsidRPr="00507A6A">
        <w:rPr>
          <w:rtl/>
          <w:lang w:bidi="ar-SA"/>
        </w:rPr>
        <w:t xml:space="preserve"> عبر مجتمعات </w:t>
      </w:r>
      <w:r w:rsidRPr="00507A6A">
        <w:rPr>
          <w:rtl/>
        </w:rPr>
        <w:t>الممارسة</w:t>
      </w:r>
      <w:r w:rsidRPr="00507A6A">
        <w:rPr>
          <w:rtl/>
          <w:lang w:bidi="ar-SA"/>
        </w:rPr>
        <w:t xml:space="preserve"> والتوجيه وتوفير فرص منظمة لتبادل الخبرات بين الفرق والإدارات.</w:t>
      </w:r>
    </w:p>
    <w:p w14:paraId="64C3631A" w14:textId="0C7062C0" w:rsidR="000A446D" w:rsidRPr="00507A6A" w:rsidRDefault="000A446D" w:rsidP="007065D5">
      <w:pPr>
        <w:pStyle w:val="Heading2"/>
        <w:rPr>
          <w:rtl/>
        </w:rPr>
      </w:pPr>
      <w:r w:rsidRPr="00507A6A">
        <w:rPr>
          <w:rtl/>
        </w:rPr>
        <w:t>4.3</w:t>
      </w:r>
      <w:r w:rsidRPr="00507A6A">
        <w:rPr>
          <w:rtl/>
        </w:rPr>
        <w:tab/>
        <w:t>إشراك الموظفين وشمولهم ورفاههم</w:t>
      </w:r>
    </w:p>
    <w:p w14:paraId="36BDD6CE" w14:textId="77777777" w:rsidR="000A446D" w:rsidRPr="00507A6A" w:rsidRDefault="000A446D" w:rsidP="007065D5">
      <w:pPr>
        <w:pStyle w:val="Headingb"/>
        <w:rPr>
          <w:rtl/>
          <w:lang w:bidi="ar-SY"/>
        </w:rPr>
      </w:pPr>
      <w:r w:rsidRPr="00507A6A">
        <w:rPr>
          <w:rtl/>
          <w:lang w:bidi="ar-SY"/>
        </w:rPr>
        <w:t>سبب أهمية هذه الركيزة</w:t>
      </w:r>
    </w:p>
    <w:p w14:paraId="2BE66811" w14:textId="77777777" w:rsidR="000A446D" w:rsidRPr="00507A6A" w:rsidRDefault="000A446D" w:rsidP="000A446D">
      <w:pPr>
        <w:rPr>
          <w:lang w:bidi="ar-EG"/>
        </w:rPr>
      </w:pPr>
      <w:r w:rsidRPr="00507A6A">
        <w:rPr>
          <w:rtl/>
          <w:lang w:bidi="ar-SY"/>
        </w:rPr>
        <w:t>يُ</w:t>
      </w:r>
      <w:r w:rsidRPr="00507A6A">
        <w:rPr>
          <w:rtl/>
        </w:rPr>
        <w:t>عدّ إشراك الموظفين وشمولهم ورفاههم عناصر أساسية للأداء المستدام وإرساء ثقافة تنظيمية سليمة. ومن خلال إعطاء الأولوية لواجب الرعاية وتشجيع الممارسات الداعمة، يمكن الاتحاد الموظفين من الازدهار مع الحد من المخاطر المؤسسية. ومن شأن الاستماع الاستباقي إلى الموظفين وإغلاق حلقة التعليقات والملاحظات أن يسهم في بناء الثقة وبالتالي تعزيز بيئة عمل قائمة على الاحترام داخل الاتحاد.</w:t>
      </w:r>
    </w:p>
    <w:p w14:paraId="413315BD" w14:textId="77777777" w:rsidR="000A446D" w:rsidRPr="00507A6A" w:rsidRDefault="000A446D" w:rsidP="007065D5">
      <w:pPr>
        <w:pStyle w:val="Headingb"/>
        <w:rPr>
          <w:lang w:bidi="ar-EG"/>
        </w:rPr>
      </w:pPr>
      <w:r w:rsidRPr="00507A6A">
        <w:rPr>
          <w:rtl/>
        </w:rPr>
        <w:t>المبادرات الرئيسية</w:t>
      </w:r>
    </w:p>
    <w:p w14:paraId="5FD5CB06" w14:textId="77777777" w:rsidR="000A446D" w:rsidRPr="00507A6A" w:rsidRDefault="000A446D" w:rsidP="007065D5">
      <w:pPr>
        <w:pStyle w:val="enumlev1"/>
        <w:rPr>
          <w:b/>
          <w:bCs/>
          <w:lang w:bidi="ar-EG"/>
        </w:rPr>
      </w:pPr>
      <w:r w:rsidRPr="00507A6A">
        <w:rPr>
          <w:rtl/>
        </w:rPr>
        <w:t>–</w:t>
      </w:r>
      <w:r w:rsidRPr="00507A6A">
        <w:rPr>
          <w:rtl/>
        </w:rPr>
        <w:tab/>
      </w:r>
      <w:r w:rsidRPr="00507A6A">
        <w:rPr>
          <w:b/>
          <w:bCs/>
          <w:rtl/>
        </w:rPr>
        <w:t>دعم الانتقال نحو نهج أكثر تكاملاً في مجال الصحة والسلامة المهنيتين (OHS)</w:t>
      </w:r>
      <w:r w:rsidRPr="00507A6A">
        <w:rPr>
          <w:rtl/>
        </w:rPr>
        <w:t>، من خلال الاستفادة من الخدمات الطبية القائمة والروابط بين الوكالات وتعزيز الوقاية، وإدارة المخاطر والتوعية.</w:t>
      </w:r>
    </w:p>
    <w:p w14:paraId="27DA9D71" w14:textId="63ED0272" w:rsidR="000A446D" w:rsidRPr="00507A6A" w:rsidRDefault="000A446D" w:rsidP="007065D5">
      <w:pPr>
        <w:pStyle w:val="enumlev1"/>
        <w:rPr>
          <w:b/>
          <w:bCs/>
          <w:lang w:bidi="ar-EG"/>
        </w:rPr>
      </w:pPr>
      <w:r w:rsidRPr="00507A6A">
        <w:rPr>
          <w:rtl/>
        </w:rPr>
        <w:t>–</w:t>
      </w:r>
      <w:r w:rsidRPr="00507A6A">
        <w:rPr>
          <w:rtl/>
        </w:rPr>
        <w:tab/>
      </w:r>
      <w:r w:rsidRPr="00507A6A">
        <w:rPr>
          <w:b/>
          <w:bCs/>
          <w:rtl/>
        </w:rPr>
        <w:t xml:space="preserve">تعزيز برامج العودة إلى العمل </w:t>
      </w:r>
      <w:r w:rsidRPr="00507A6A">
        <w:rPr>
          <w:rtl/>
        </w:rPr>
        <w:t>لتسهيل إعادة إدماج الموظفين بعد المرض أو الإجازة، من خلال إجراءات واضحة، والتنسيق في الوقت المناسب، والتعديلات المناسبة في مكان العمل، عند الحاجة.</w:t>
      </w:r>
    </w:p>
    <w:p w14:paraId="08D6BFFC" w14:textId="77777777" w:rsidR="000A446D" w:rsidRPr="00507A6A" w:rsidRDefault="000A446D" w:rsidP="007065D5">
      <w:pPr>
        <w:pStyle w:val="enumlev1"/>
        <w:rPr>
          <w:b/>
          <w:bCs/>
          <w:lang w:bidi="ar-EG"/>
        </w:rPr>
      </w:pPr>
      <w:r w:rsidRPr="00507A6A">
        <w:rPr>
          <w:rtl/>
        </w:rPr>
        <w:t>–</w:t>
      </w:r>
      <w:r w:rsidRPr="00507A6A">
        <w:rPr>
          <w:rtl/>
        </w:rPr>
        <w:tab/>
      </w:r>
      <w:r w:rsidRPr="00507A6A">
        <w:rPr>
          <w:b/>
          <w:bCs/>
          <w:spacing w:val="-4"/>
          <w:rtl/>
        </w:rPr>
        <w:t xml:space="preserve">تنفيذ خطة عمل الصحة النفسية والرفاه </w:t>
      </w:r>
      <w:r w:rsidRPr="00507A6A">
        <w:rPr>
          <w:spacing w:val="-4"/>
          <w:rtl/>
        </w:rPr>
        <w:t>لتعزيز الوقاية، وتوفير الدعم والتوعية، وتهيئة بيئة داعمة للصحة العقلية.</w:t>
      </w:r>
    </w:p>
    <w:p w14:paraId="318FE869" w14:textId="77777777" w:rsidR="000A446D" w:rsidRPr="00507A6A" w:rsidRDefault="000A446D" w:rsidP="007065D5">
      <w:pPr>
        <w:pStyle w:val="enumlev1"/>
        <w:rPr>
          <w:b/>
          <w:bCs/>
          <w:lang w:bidi="ar-EG"/>
        </w:rPr>
      </w:pPr>
      <w:r w:rsidRPr="00507A6A">
        <w:rPr>
          <w:rtl/>
        </w:rPr>
        <w:t>–</w:t>
      </w:r>
      <w:r w:rsidRPr="00507A6A">
        <w:rPr>
          <w:rtl/>
        </w:rPr>
        <w:tab/>
      </w:r>
      <w:r w:rsidRPr="00507A6A">
        <w:rPr>
          <w:b/>
          <w:bCs/>
          <w:rtl/>
        </w:rPr>
        <w:t xml:space="preserve">التخفيف من الضغوطات في مكان العمل وتعزيز المرونة </w:t>
      </w:r>
      <w:r w:rsidRPr="00507A6A">
        <w:rPr>
          <w:rtl/>
        </w:rPr>
        <w:t>من خلال تدخلات هادفة، وتوفير موارد عملية للموظفين والمديرين، ووضع مبادرات تعزز أساليب العمل الصحية.</w:t>
      </w:r>
    </w:p>
    <w:p w14:paraId="78D3D105" w14:textId="77777777" w:rsidR="000A446D" w:rsidRPr="00507A6A" w:rsidRDefault="000A446D" w:rsidP="007065D5">
      <w:pPr>
        <w:pStyle w:val="enumlev1"/>
        <w:rPr>
          <w:b/>
          <w:bCs/>
          <w:lang w:bidi="ar-EG"/>
        </w:rPr>
      </w:pPr>
      <w:r w:rsidRPr="00507A6A">
        <w:rPr>
          <w:rtl/>
        </w:rPr>
        <w:t>–</w:t>
      </w:r>
      <w:r w:rsidRPr="00507A6A">
        <w:rPr>
          <w:rtl/>
        </w:rPr>
        <w:tab/>
      </w:r>
      <w:r w:rsidRPr="00507A6A">
        <w:rPr>
          <w:b/>
          <w:bCs/>
          <w:rtl/>
        </w:rPr>
        <w:t>تطبيق ترتيبات عمل مرنة</w:t>
      </w:r>
      <w:r w:rsidRPr="00507A6A">
        <w:rPr>
          <w:rtl/>
        </w:rPr>
        <w:t xml:space="preserve"> مصممة خصيصاً لتلبية الاحتياجات التشغيلية، بما يعزز التوازن بين العمل والحياة الخاصة، من خلال سياسة وإرشادات واضحة، وتطبيقها بشكل موحد على جميع الفرق.</w:t>
      </w:r>
    </w:p>
    <w:p w14:paraId="71069497" w14:textId="77777777" w:rsidR="000A446D" w:rsidRPr="00507A6A" w:rsidRDefault="000A446D" w:rsidP="007065D5">
      <w:pPr>
        <w:pStyle w:val="enumlev1"/>
        <w:rPr>
          <w:b/>
          <w:bCs/>
          <w:lang w:bidi="ar-EG"/>
        </w:rPr>
      </w:pPr>
      <w:r w:rsidRPr="00507A6A">
        <w:rPr>
          <w:rtl/>
        </w:rPr>
        <w:t>–</w:t>
      </w:r>
      <w:r w:rsidRPr="00507A6A">
        <w:rPr>
          <w:rtl/>
        </w:rPr>
        <w:tab/>
      </w:r>
      <w:r w:rsidRPr="00507A6A">
        <w:rPr>
          <w:b/>
          <w:bCs/>
          <w:rtl/>
        </w:rPr>
        <w:t xml:space="preserve">خلق بيئة عمل شاملة للجميع </w:t>
      </w:r>
      <w:r w:rsidRPr="00507A6A">
        <w:rPr>
          <w:rtl/>
        </w:rPr>
        <w:t>من خلال تعزيز ثقافة الاحترام والدعم، والاستفادة من التنوع، ومنع السلوكيات غير المقبولة، وتعزيز إدماج الأشخاص ذوي الإعاقة، من خلال توفير التسهيلات المناسبة، إلى جانب تكافؤ الفرص للجميع.</w:t>
      </w:r>
    </w:p>
    <w:p w14:paraId="247F54BA" w14:textId="77777777" w:rsidR="000A446D" w:rsidRPr="00507A6A" w:rsidRDefault="000A446D" w:rsidP="007065D5">
      <w:pPr>
        <w:pStyle w:val="enumlev1"/>
        <w:rPr>
          <w:lang w:bidi="ar-EG"/>
        </w:rPr>
      </w:pPr>
      <w:r w:rsidRPr="00507A6A">
        <w:rPr>
          <w:rtl/>
          <w:lang w:bidi="ar-SA"/>
        </w:rPr>
        <w:lastRenderedPageBreak/>
        <w:t>–</w:t>
      </w:r>
      <w:r w:rsidRPr="00507A6A">
        <w:rPr>
          <w:rtl/>
          <w:lang w:bidi="ar-SA"/>
        </w:rPr>
        <w:tab/>
      </w:r>
      <w:r w:rsidRPr="00507A6A">
        <w:rPr>
          <w:b/>
          <w:bCs/>
          <w:rtl/>
          <w:lang w:bidi="ar-SA"/>
        </w:rPr>
        <w:t xml:space="preserve">الاستفادة من </w:t>
      </w:r>
      <w:r w:rsidRPr="00507A6A">
        <w:rPr>
          <w:b/>
          <w:bCs/>
          <w:rtl/>
        </w:rPr>
        <w:t>استقصاء</w:t>
      </w:r>
      <w:r w:rsidRPr="00507A6A">
        <w:rPr>
          <w:b/>
          <w:bCs/>
          <w:rtl/>
          <w:lang w:bidi="ar-SA"/>
        </w:rPr>
        <w:t xml:space="preserve"> مشاركة الموظفين (EES) وخطط العمل </w:t>
      </w:r>
      <w:r w:rsidRPr="00507A6A">
        <w:rPr>
          <w:rtl/>
          <w:lang w:bidi="ar-SA"/>
        </w:rPr>
        <w:t>إضفاء الطابع المؤسسي على آليات تقييم أداء الموظفين، وإيلاء الأولوية للتدخلات القائمة على الأدلة ومتابعة التقدم المحرز من خلال التواصل الشفاف والمساءلة المتبادلة.</w:t>
      </w:r>
    </w:p>
    <w:p w14:paraId="43E21E64" w14:textId="77777777" w:rsidR="000A446D" w:rsidRPr="00507A6A" w:rsidRDefault="000A446D" w:rsidP="007065D5">
      <w:pPr>
        <w:pStyle w:val="Heading2"/>
        <w:rPr>
          <w:rtl/>
        </w:rPr>
      </w:pPr>
      <w:r w:rsidRPr="00507A6A">
        <w:rPr>
          <w:rtl/>
        </w:rPr>
        <w:t>5.3</w:t>
      </w:r>
      <w:r w:rsidRPr="00507A6A">
        <w:rPr>
          <w:rtl/>
        </w:rPr>
        <w:tab/>
        <w:t>حوكمة الموارد البشرية والبيانات والتحول الرقمي</w:t>
      </w:r>
    </w:p>
    <w:p w14:paraId="54B4AC5B" w14:textId="77777777" w:rsidR="000A446D" w:rsidRPr="00507A6A" w:rsidRDefault="000A446D" w:rsidP="007065D5">
      <w:pPr>
        <w:pStyle w:val="Headingb"/>
        <w:rPr>
          <w:rtl/>
          <w:lang w:bidi="ar-SY"/>
        </w:rPr>
      </w:pPr>
      <w:r w:rsidRPr="00507A6A">
        <w:rPr>
          <w:rtl/>
          <w:lang w:bidi="ar-SY"/>
        </w:rPr>
        <w:t>سبب أهمية هذه الركيزة</w:t>
      </w:r>
    </w:p>
    <w:p w14:paraId="32450A95" w14:textId="1683CBA6" w:rsidR="000A446D" w:rsidRPr="00507A6A" w:rsidRDefault="000A446D" w:rsidP="000A446D">
      <w:pPr>
        <w:rPr>
          <w:lang w:bidi="ar-EG"/>
        </w:rPr>
      </w:pPr>
      <w:r w:rsidRPr="00507A6A">
        <w:rPr>
          <w:rtl/>
        </w:rPr>
        <w:t>تدعم الحوكمة الرشيدة للموارد البشرية والأنظمة التمكينية الحديثة إدارة متسقة ومتوافقة وفعالة للموظفين. وستساهم الاستثمارات الهادفة في التكنولوجيا وتعزيز قدرات تحليل البيانات في ترسيخ ثقافة محورها العملاء، وتمكين اتخاذ القرارات بناء على الأدلة، وتخفيف الأعباء الإدارية من خلال الأتمتة والتبسيط.</w:t>
      </w:r>
    </w:p>
    <w:p w14:paraId="1DB3C2B5" w14:textId="77777777" w:rsidR="000A446D" w:rsidRPr="00507A6A" w:rsidRDefault="000A446D" w:rsidP="007065D5">
      <w:pPr>
        <w:pStyle w:val="Headingb"/>
        <w:rPr>
          <w:lang w:bidi="ar-EG"/>
        </w:rPr>
      </w:pPr>
      <w:r w:rsidRPr="00507A6A">
        <w:rPr>
          <w:rtl/>
        </w:rPr>
        <w:t>المبادرات الرئيسية</w:t>
      </w:r>
    </w:p>
    <w:p w14:paraId="144165A9" w14:textId="77777777" w:rsidR="000A446D" w:rsidRPr="00507A6A" w:rsidRDefault="000A446D" w:rsidP="007065D5">
      <w:pPr>
        <w:pStyle w:val="enumlev1"/>
        <w:rPr>
          <w:lang w:bidi="ar-EG"/>
        </w:rPr>
      </w:pPr>
      <w:r w:rsidRPr="00507A6A">
        <w:rPr>
          <w:rtl/>
        </w:rPr>
        <w:t>–</w:t>
      </w:r>
      <w:r w:rsidRPr="00507A6A">
        <w:rPr>
          <w:rtl/>
        </w:rPr>
        <w:tab/>
      </w:r>
      <w:r w:rsidRPr="00507A6A">
        <w:rPr>
          <w:b/>
          <w:bCs/>
          <w:rtl/>
        </w:rPr>
        <w:t>تعزيز الإطار التنظيمي للموارد البشرية</w:t>
      </w:r>
      <w:r w:rsidRPr="00507A6A">
        <w:rPr>
          <w:rtl/>
        </w:rPr>
        <w:t xml:space="preserve"> من خلال استعراض وتحديث السياسات والقواعد والإرشادات من أجل سد الفجوات وتحسين الاتساق، ودعم التطبيق المتسق.</w:t>
      </w:r>
    </w:p>
    <w:p w14:paraId="2BE5B7F2" w14:textId="77777777" w:rsidR="000A446D" w:rsidRPr="00507A6A" w:rsidRDefault="000A446D" w:rsidP="007065D5">
      <w:pPr>
        <w:pStyle w:val="enumlev1"/>
        <w:rPr>
          <w:lang w:bidi="ar-EG"/>
        </w:rPr>
      </w:pPr>
      <w:r w:rsidRPr="00507A6A">
        <w:rPr>
          <w:rtl/>
        </w:rPr>
        <w:t>–</w:t>
      </w:r>
      <w:r w:rsidRPr="00507A6A">
        <w:rPr>
          <w:rtl/>
        </w:rPr>
        <w:tab/>
      </w:r>
      <w:r w:rsidRPr="00507A6A">
        <w:rPr>
          <w:b/>
          <w:bCs/>
          <w:rtl/>
        </w:rPr>
        <w:t>وضع جدول بيانات للقوى العاملة والحفاظ عليه</w:t>
      </w:r>
      <w:r w:rsidRPr="00507A6A">
        <w:rPr>
          <w:rtl/>
        </w:rPr>
        <w:t xml:space="preserve"> لتحسين شفافية القوى العاملة وتيسير التخطيط الاستراتيجي لها، وتحسين استخدام الموارد وإعادة تنظيم الهيكل التنظيمي، بما يضمن الشفافية في الوقت الفعلي فيما يتعلق باتجاهات التوظيف.</w:t>
      </w:r>
    </w:p>
    <w:p w14:paraId="26CE978E" w14:textId="77777777" w:rsidR="000A446D" w:rsidRPr="00507A6A" w:rsidRDefault="000A446D" w:rsidP="007065D5">
      <w:pPr>
        <w:pStyle w:val="enumlev1"/>
        <w:rPr>
          <w:lang w:bidi="ar-EG"/>
        </w:rPr>
      </w:pPr>
      <w:r w:rsidRPr="00507A6A">
        <w:rPr>
          <w:rtl/>
        </w:rPr>
        <w:t>–</w:t>
      </w:r>
      <w:r w:rsidRPr="00507A6A">
        <w:rPr>
          <w:rtl/>
        </w:rPr>
        <w:tab/>
      </w:r>
      <w:r w:rsidRPr="00507A6A">
        <w:rPr>
          <w:b/>
          <w:bCs/>
          <w:rtl/>
        </w:rPr>
        <w:t>وضع إطار تعاقدي متين</w:t>
      </w:r>
      <w:r w:rsidRPr="00507A6A">
        <w:rPr>
          <w:rtl/>
        </w:rPr>
        <w:t xml:space="preserve"> لتوضيح الترتيبات التعاقدية والحوكمة ذات الصلة، بما يُمكّن من استخدامها بشكل متسق وفعّال وفقًا للقواعد المعمول بها.</w:t>
      </w:r>
    </w:p>
    <w:p w14:paraId="5E98F7DA" w14:textId="2F3212E7" w:rsidR="000A446D" w:rsidRPr="00507A6A" w:rsidRDefault="000A446D" w:rsidP="007065D5">
      <w:pPr>
        <w:pStyle w:val="enumlev1"/>
        <w:rPr>
          <w:lang w:bidi="ar-EG"/>
        </w:rPr>
      </w:pPr>
      <w:r w:rsidRPr="00507A6A">
        <w:rPr>
          <w:rtl/>
        </w:rPr>
        <w:t>–</w:t>
      </w:r>
      <w:r w:rsidRPr="00507A6A">
        <w:rPr>
          <w:rtl/>
        </w:rPr>
        <w:tab/>
      </w:r>
      <w:r w:rsidRPr="00507A6A">
        <w:rPr>
          <w:b/>
          <w:bCs/>
          <w:rtl/>
        </w:rPr>
        <w:t xml:space="preserve">وضع إطار تفويض الصلاحيات (DoA) </w:t>
      </w:r>
      <w:r w:rsidRPr="00507A6A">
        <w:rPr>
          <w:rtl/>
        </w:rPr>
        <w:t xml:space="preserve">لزيادة الكفاءة التشغيلية وتعزيز المساءلة، وتبسيط اتخاذ القرارات </w:t>
      </w:r>
      <w:r w:rsidR="009F77E3" w:rsidRPr="00507A6A">
        <w:rPr>
          <w:rtl/>
        </w:rPr>
        <w:t>في</w:t>
      </w:r>
      <w:r w:rsidR="009F77E3" w:rsidRPr="00507A6A">
        <w:rPr>
          <w:rFonts w:hint="cs"/>
          <w:rtl/>
        </w:rPr>
        <w:t> </w:t>
      </w:r>
      <w:r w:rsidRPr="00507A6A">
        <w:rPr>
          <w:rtl/>
        </w:rPr>
        <w:t>الاتحاد ككل.</w:t>
      </w:r>
    </w:p>
    <w:p w14:paraId="2D695B29" w14:textId="77777777" w:rsidR="000A446D" w:rsidRPr="00507A6A" w:rsidRDefault="000A446D" w:rsidP="007065D5">
      <w:pPr>
        <w:pStyle w:val="enumlev1"/>
        <w:rPr>
          <w:lang w:bidi="ar-EG"/>
        </w:rPr>
      </w:pPr>
      <w:r w:rsidRPr="00507A6A">
        <w:rPr>
          <w:rtl/>
        </w:rPr>
        <w:t>–</w:t>
      </w:r>
      <w:r w:rsidRPr="00507A6A">
        <w:rPr>
          <w:rtl/>
        </w:rPr>
        <w:tab/>
      </w:r>
      <w:r w:rsidRPr="00507A6A">
        <w:rPr>
          <w:b/>
          <w:bCs/>
          <w:rtl/>
        </w:rPr>
        <w:t>تبسيط عمليات الموارد البشرية وأتمتتها</w:t>
      </w:r>
      <w:r w:rsidRPr="00507A6A">
        <w:rPr>
          <w:rtl/>
        </w:rPr>
        <w:t xml:space="preserve"> من خلال إجراءات التشغيل الموحدة (SOP) للعمليات الرئيسية، وتحسينات وحدة الموارد البشرية في نظام SAP، والاستثمارات المستهدفة في تكنولوجيا الموارد البشرية من أجل تحسين الكفاءة وتقديم الخدمات.</w:t>
      </w:r>
    </w:p>
    <w:p w14:paraId="3DDAFC20" w14:textId="2F0BF6E5" w:rsidR="000A446D" w:rsidRPr="00507A6A" w:rsidRDefault="000A446D" w:rsidP="007065D5">
      <w:pPr>
        <w:pStyle w:val="enumlev1"/>
        <w:rPr>
          <w:lang w:bidi="ar-EG"/>
        </w:rPr>
      </w:pPr>
      <w:r w:rsidRPr="00507A6A">
        <w:rPr>
          <w:rtl/>
        </w:rPr>
        <w:t>–</w:t>
      </w:r>
      <w:r w:rsidRPr="00507A6A">
        <w:rPr>
          <w:rtl/>
        </w:rPr>
        <w:tab/>
      </w:r>
      <w:r w:rsidRPr="00507A6A">
        <w:rPr>
          <w:b/>
          <w:bCs/>
          <w:rtl/>
        </w:rPr>
        <w:t xml:space="preserve">تعزيز وظيفة العلاقات مع الموظفين </w:t>
      </w:r>
      <w:r w:rsidRPr="00507A6A">
        <w:rPr>
          <w:rtl/>
        </w:rPr>
        <w:t xml:space="preserve">من خلال مواصلة الحوار المتنظم مع مجلس الموظفين وتعزيز التنسيق مع المكاتب الإقليمية، لزيادة تحسين عدالة الإجراءات والتخفيف من المخاطر المتعلقة بالموارد البشرية </w:t>
      </w:r>
      <w:r w:rsidR="009F77E3" w:rsidRPr="00507A6A">
        <w:rPr>
          <w:rtl/>
        </w:rPr>
        <w:t>في</w:t>
      </w:r>
      <w:r w:rsidR="009F77E3" w:rsidRPr="00507A6A">
        <w:rPr>
          <w:rFonts w:hint="cs"/>
          <w:rtl/>
        </w:rPr>
        <w:t> </w:t>
      </w:r>
      <w:r w:rsidRPr="00507A6A">
        <w:rPr>
          <w:rtl/>
        </w:rPr>
        <w:t>الاتحاد ككل.</w:t>
      </w:r>
    </w:p>
    <w:p w14:paraId="1507355D" w14:textId="438662AA" w:rsidR="000A446D" w:rsidRPr="00507A6A" w:rsidRDefault="000A446D" w:rsidP="007065D5">
      <w:pPr>
        <w:pStyle w:val="enumlev1"/>
        <w:rPr>
          <w:lang w:bidi="ar-EG"/>
        </w:rPr>
      </w:pPr>
      <w:r w:rsidRPr="00507A6A">
        <w:rPr>
          <w:rtl/>
        </w:rPr>
        <w:t>–</w:t>
      </w:r>
      <w:r w:rsidRPr="00507A6A">
        <w:rPr>
          <w:rtl/>
        </w:rPr>
        <w:tab/>
      </w:r>
      <w:r w:rsidRPr="00507A6A">
        <w:rPr>
          <w:b/>
          <w:bCs/>
          <w:rtl/>
        </w:rPr>
        <w:t>ضمان توفير خدمات التأمين الصحي والمعاشات التقاعدية والخدمات الإدارية ذات الصلة</w:t>
      </w:r>
      <w:r w:rsidRPr="00507A6A">
        <w:rPr>
          <w:rtl/>
        </w:rPr>
        <w:t xml:space="preserve"> على نطاق المنظمة - بما في ذلك المكاتب الإقليمية - بموجب قواعد وعمليات ومعايير خدمة موحدة. وعلاوة</w:t>
      </w:r>
      <w:r w:rsidR="000B1567" w:rsidRPr="00507A6A">
        <w:rPr>
          <w:rFonts w:hint="cs"/>
          <w:rtl/>
        </w:rPr>
        <w:t>ً</w:t>
      </w:r>
      <w:r w:rsidRPr="00507A6A">
        <w:rPr>
          <w:rtl/>
        </w:rPr>
        <w:t xml:space="preserve"> على ذلك، تقديم دعم مخصص للمكاتب الإقليمية من خلال جلسات الطوارئ الطبية، وتقديم إرشادات عملية بشأن الإجراءات وقنوات الدعم.</w:t>
      </w:r>
    </w:p>
    <w:p w14:paraId="5096ED2D" w14:textId="77777777" w:rsidR="000A446D" w:rsidRPr="00507A6A" w:rsidRDefault="000A446D" w:rsidP="007065D5">
      <w:pPr>
        <w:pStyle w:val="enumlev1"/>
        <w:rPr>
          <w:lang w:bidi="ar-EG"/>
        </w:rPr>
      </w:pPr>
      <w:r w:rsidRPr="00507A6A">
        <w:rPr>
          <w:rtl/>
          <w:lang w:bidi="ar-SA"/>
        </w:rPr>
        <w:t>–</w:t>
      </w:r>
      <w:r w:rsidRPr="00507A6A">
        <w:rPr>
          <w:rtl/>
          <w:lang w:bidi="ar-SA"/>
        </w:rPr>
        <w:tab/>
      </w:r>
      <w:r w:rsidRPr="00507A6A">
        <w:rPr>
          <w:b/>
          <w:bCs/>
          <w:rtl/>
          <w:lang w:bidi="ar-SA"/>
        </w:rPr>
        <w:t>تعزيز القدرات في مجال بيانات الموارد البشرية وتحليلاتها</w:t>
      </w:r>
      <w:r w:rsidRPr="00507A6A">
        <w:rPr>
          <w:rtl/>
          <w:lang w:bidi="ar-SA"/>
        </w:rPr>
        <w:t xml:space="preserve"> من خلال إنشاء مصادر بيانات موثوقة ومجمعة، وتطوير القدرات التحليلية، والمضي قدما نحو التحليلات التنبؤية لتسهيل التخطيط وإعداد التقارير واتخاذ القرارات. و</w:t>
      </w:r>
      <w:r w:rsidRPr="00507A6A">
        <w:rPr>
          <w:b/>
          <w:bCs/>
          <w:rtl/>
          <w:lang w:bidi="ar-SA"/>
        </w:rPr>
        <w:t>تقييم واختبار حلول الموارد البشرية القائمة على الذكاء الاصطناعي</w:t>
      </w:r>
      <w:r w:rsidRPr="00507A6A">
        <w:rPr>
          <w:rtl/>
          <w:lang w:bidi="ar-SA"/>
        </w:rPr>
        <w:t>، وإجراء حوارات داخلية وعلى مستوى المنظمات للتحقق من فعاليتها، وتبادل أفضل الممارسات ومعالجة المخاطر المحتملة.</w:t>
      </w:r>
    </w:p>
    <w:p w14:paraId="4915C09F" w14:textId="77777777" w:rsidR="000A446D" w:rsidRPr="00507A6A" w:rsidRDefault="000A446D" w:rsidP="007065D5">
      <w:pPr>
        <w:pStyle w:val="Heading1"/>
        <w:rPr>
          <w:rtl/>
        </w:rPr>
      </w:pPr>
      <w:r w:rsidRPr="00507A6A">
        <w:rPr>
          <w:rtl/>
        </w:rPr>
        <w:t>4</w:t>
      </w:r>
      <w:r w:rsidRPr="00507A6A">
        <w:rPr>
          <w:rtl/>
        </w:rPr>
        <w:tab/>
        <w:t>التنفيذ والإدارة</w:t>
      </w:r>
    </w:p>
    <w:p w14:paraId="628B7577" w14:textId="77777777" w:rsidR="000A446D" w:rsidRPr="00507A6A" w:rsidRDefault="000A446D" w:rsidP="000A446D">
      <w:pPr>
        <w:rPr>
          <w:lang w:bidi="ar-EG"/>
        </w:rPr>
      </w:pPr>
      <w:r w:rsidRPr="00507A6A">
        <w:rPr>
          <w:rtl/>
        </w:rPr>
        <w:t>سيتم تفعيل الخطة الاستراتيجية للموارد البشرية للفترة 2026-2027 من خلال خطة عمل سنوية تعدّها دائرة إدارة الموارد البشرية. وستحدد هذه الخطة النواتج والفرق المسؤولة والجداول الزمنية، وستنفذ بالتعاون الوثيق والحوار المستمر مع الإدارة والمديرين والموظفين في الاتحاد ككل. ومن شأن إطار مساءلة معزز أن يوضح الأدوار والمسؤوليات والقرارات، ويدعم التنفيذ المتسق واتخاذ القرارات في الوقت المناسب. وسيسهم التنفيذ في ترسيخ ثقافة خدمة عملاء متميزة، من خلال معايير خدمة واضحة، وإرشادات عملية للمديرين، وتعليقات مستمرة لتحسين تجربة المستخدم.</w:t>
      </w:r>
    </w:p>
    <w:p w14:paraId="1B26510A" w14:textId="44F7DEA4" w:rsidR="000A446D" w:rsidRPr="00507A6A" w:rsidRDefault="000A446D" w:rsidP="000A446D">
      <w:pPr>
        <w:rPr>
          <w:lang w:bidi="ar-EG"/>
        </w:rPr>
      </w:pPr>
      <w:r w:rsidRPr="00507A6A">
        <w:rPr>
          <w:rtl/>
        </w:rPr>
        <w:lastRenderedPageBreak/>
        <w:t xml:space="preserve">وستوفر خارطة طريق التنفيذ (انظر </w:t>
      </w:r>
      <w:hyperlink w:anchor="الملحق" w:history="1">
        <w:r w:rsidRPr="00507A6A">
          <w:rPr>
            <w:rStyle w:val="Hyperlink"/>
            <w:noProof w:val="0"/>
            <w:rtl/>
            <w:lang w:val="en-US" w:eastAsia="zh-CN"/>
          </w:rPr>
          <w:t>الملحق</w:t>
        </w:r>
      </w:hyperlink>
      <w:r w:rsidRPr="00507A6A">
        <w:rPr>
          <w:rtl/>
        </w:rPr>
        <w:t>) مزيداً من التفاصيل، بما في ذلك المعالم الرئيسية والمؤشرات وجدول زمني إرشادي، وستُستخدم هذه العناصر لإدارة تسلسل الإجراءات والترابطات والمخاطر الرئيسية فيما يتعلق بالمبادرات. وستكون النتائج والبيانات المجمعة بمثابة خط أساس يُسترشد به في دورة التخطيط الاستراتيجي التالية، ولتمكين وضع مؤشرات أداء ومقاصد محدثة.</w:t>
      </w:r>
    </w:p>
    <w:p w14:paraId="27FFBB4F" w14:textId="77777777" w:rsidR="000A446D" w:rsidRPr="00507A6A" w:rsidRDefault="000A446D" w:rsidP="000A446D">
      <w:pPr>
        <w:rPr>
          <w:lang w:bidi="ar-EG"/>
        </w:rPr>
      </w:pPr>
      <w:r w:rsidRPr="00507A6A">
        <w:rPr>
          <w:rtl/>
        </w:rPr>
        <w:t>وسيُبلغ عن التقدم المحرز والقضايا الرئيسية من خلال قنوات الحوكمة المعتمدة، بما في ذلك تقديم تقارير منتظمة إلى المجلس واللجنة الاستشارية المستقلة للإدارة (</w:t>
      </w:r>
      <w:r w:rsidRPr="00507A6A">
        <w:rPr>
          <w:lang w:val="de-CH" w:bidi="ar-EG"/>
        </w:rPr>
        <w:t>IMAC</w:t>
      </w:r>
      <w:r w:rsidRPr="00507A6A">
        <w:rPr>
          <w:rtl/>
        </w:rPr>
        <w:t>)، ومن خلال الاجتماعات المفتوحة مع جميع الموظفين. وسيجري تعديل أولويات التنفيذ، عند الاقتضاء، بناءً على التقدم المحرز في التنفيذ والمخاطر الناشئة والملاحظات الواردة من المديرين والموظفين.</w:t>
      </w:r>
    </w:p>
    <w:p w14:paraId="18C194E7" w14:textId="77777777" w:rsidR="000A446D" w:rsidRPr="00507A6A" w:rsidRDefault="000A446D" w:rsidP="007065D5">
      <w:pPr>
        <w:pStyle w:val="Heading1"/>
        <w:rPr>
          <w:rtl/>
        </w:rPr>
      </w:pPr>
      <w:r w:rsidRPr="00507A6A">
        <w:rPr>
          <w:rtl/>
        </w:rPr>
        <w:t>5</w:t>
      </w:r>
      <w:r w:rsidRPr="00507A6A">
        <w:rPr>
          <w:rtl/>
        </w:rPr>
        <w:tab/>
        <w:t>الرصد والمؤشرات</w:t>
      </w:r>
    </w:p>
    <w:p w14:paraId="557A152B" w14:textId="7BE849B8" w:rsidR="000A446D" w:rsidRPr="00507A6A" w:rsidRDefault="000A446D" w:rsidP="000A446D">
      <w:pPr>
        <w:rPr>
          <w:lang w:bidi="ar-EG"/>
        </w:rPr>
      </w:pPr>
      <w:r w:rsidRPr="00507A6A">
        <w:rPr>
          <w:rtl/>
        </w:rPr>
        <w:t>سيُرصد التقدم المحرز في تنفيذ الخطة الاستراتيجية للموارد البشرية للفترة 2026-2027 من خلال الجداول الواردة في</w:t>
      </w:r>
      <w:r w:rsidR="007065D5" w:rsidRPr="00507A6A">
        <w:rPr>
          <w:rFonts w:hint="cs"/>
          <w:rtl/>
        </w:rPr>
        <w:t> </w:t>
      </w:r>
      <w:r w:rsidRPr="00507A6A">
        <w:rPr>
          <w:rtl/>
        </w:rPr>
        <w:t>خطة العمل السنوية لدائرة إدارة الموارد البشرية، والتي تلخص الأنشطة الرئيسية والفرق المسؤولة عن تنفيذها والمواعيد النهائية. وستراجع حالة التقدم المحرز بانتظام لضمان الالتزام بالمواعيد النهائية، وتحديد المخاطر واتخاذ الإجراءات التصحيحية عند الاقتضاء.</w:t>
      </w:r>
    </w:p>
    <w:p w14:paraId="478AF5C0" w14:textId="77777777" w:rsidR="000A446D" w:rsidRPr="00507A6A" w:rsidRDefault="000A446D" w:rsidP="000A446D">
      <w:pPr>
        <w:rPr>
          <w:lang w:bidi="ar-EG"/>
        </w:rPr>
      </w:pPr>
      <w:r w:rsidRPr="00507A6A">
        <w:rPr>
          <w:rtl/>
        </w:rPr>
        <w:t>وسيشمل الرصد أيضاً عمليات تدقيق مستهدفة للتأكد من الامتثال تشمل عمليات إدارة الأداء والتزامات التدريب الإلزامية. وعند الاقتضاء، يمكن تعزيز رصد التنفيذ باستخدام لوحات المعلومات تفاعلية لتقديم رؤى في الوقت الفعلي حول اتجاهات التوظيف (مثل التكافؤ بين الجنسين والتوزيع الجغرافي). وستستخدم النتائج المستقاة من الرصد لتوجيه دورة التخطيط التالية، بما يضمن التحسين المستمر.</w:t>
      </w:r>
    </w:p>
    <w:p w14:paraId="3902AC81" w14:textId="77777777" w:rsidR="000A446D" w:rsidRPr="00507A6A" w:rsidRDefault="000A446D" w:rsidP="000A446D">
      <w:pPr>
        <w:rPr>
          <w:lang w:bidi="ar-EG"/>
        </w:rPr>
      </w:pPr>
      <w:r w:rsidRPr="00507A6A">
        <w:rPr>
          <w:rtl/>
        </w:rPr>
        <w:t>وستُرصد تجربة الموظفين ورفاههم من خلال استقصاءات مشاركة الموظفين وخطط عمل المتابعة، ووسوف تُستكمل بإحصاءات حول الإجازات المرضية والغيابات، بالإضافة إلى أي بيانات أخرى متاحة تساعد على تحديد الاتجاهات.</w:t>
      </w:r>
    </w:p>
    <w:p w14:paraId="45FB85A6" w14:textId="4E891805" w:rsidR="000A446D" w:rsidRPr="00507A6A" w:rsidRDefault="000A446D" w:rsidP="007065D5">
      <w:pPr>
        <w:spacing w:before="2640"/>
        <w:rPr>
          <w:i/>
          <w:iCs/>
          <w:rtl/>
        </w:rPr>
      </w:pPr>
      <w:r w:rsidRPr="00507A6A">
        <w:rPr>
          <w:b/>
          <w:bCs/>
          <w:i/>
          <w:iCs/>
          <w:rtl/>
        </w:rPr>
        <w:t>الملحق</w:t>
      </w:r>
      <w:r w:rsidRPr="00507A6A">
        <w:rPr>
          <w:i/>
          <w:iCs/>
          <w:rtl/>
        </w:rPr>
        <w:t>: 1</w:t>
      </w:r>
    </w:p>
    <w:p w14:paraId="5F0E5761" w14:textId="77777777" w:rsidR="000A446D" w:rsidRPr="00507A6A" w:rsidRDefault="000A446D" w:rsidP="000A446D">
      <w:pPr>
        <w:rPr>
          <w:i/>
          <w:iCs/>
          <w:rtl/>
          <w:lang w:bidi="ar-EG"/>
        </w:rPr>
        <w:sectPr w:rsidR="000A446D" w:rsidRPr="00507A6A" w:rsidSect="006F363C">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pPr>
    </w:p>
    <w:p w14:paraId="69BA0AFA" w14:textId="77777777" w:rsidR="000A446D" w:rsidRPr="00507A6A" w:rsidRDefault="000A446D" w:rsidP="007065D5">
      <w:pPr>
        <w:pStyle w:val="AnnexNo"/>
        <w:rPr>
          <w:lang w:bidi="ar-EG"/>
        </w:rPr>
      </w:pPr>
      <w:bookmarkStart w:id="1" w:name="الملحق"/>
      <w:r w:rsidRPr="00507A6A">
        <w:rPr>
          <w:rtl/>
        </w:rPr>
        <w:lastRenderedPageBreak/>
        <w:t>الملحق</w:t>
      </w:r>
    </w:p>
    <w:bookmarkEnd w:id="1"/>
    <w:p w14:paraId="21441787" w14:textId="77777777" w:rsidR="000A446D" w:rsidRPr="00507A6A" w:rsidRDefault="000A446D" w:rsidP="007065D5">
      <w:pPr>
        <w:pStyle w:val="Annextitle"/>
        <w:rPr>
          <w:lang w:bidi="ar-EG"/>
        </w:rPr>
      </w:pPr>
      <w:r w:rsidRPr="00507A6A">
        <w:rPr>
          <w:rtl/>
        </w:rPr>
        <w:t>خارطة طريق تنفيذ الخطة الاستراتيجية للموارد البشرية للاتحاد للفترة 2026-2027</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769"/>
        <w:gridCol w:w="3023"/>
        <w:gridCol w:w="4962"/>
        <w:gridCol w:w="2695"/>
        <w:gridCol w:w="988"/>
      </w:tblGrid>
      <w:tr w:rsidR="000A446D" w:rsidRPr="00507A6A" w14:paraId="34059270" w14:textId="77777777" w:rsidTr="00507A6A">
        <w:trPr>
          <w:cantSplit/>
          <w:tblHeader/>
          <w:jc w:val="center"/>
        </w:trPr>
        <w:tc>
          <w:tcPr>
            <w:tcW w:w="831" w:type="pct"/>
            <w:gridSpan w:val="2"/>
            <w:shd w:val="clear" w:color="auto" w:fill="D9D9D9" w:themeFill="background1" w:themeFillShade="D9"/>
            <w:vAlign w:val="center"/>
          </w:tcPr>
          <w:p w14:paraId="4C474F70" w14:textId="77777777" w:rsidR="000A446D" w:rsidRPr="00507A6A" w:rsidRDefault="000A446D" w:rsidP="007065D5">
            <w:pPr>
              <w:pStyle w:val="Tablehead"/>
              <w:rPr>
                <w:lang w:bidi="ar-EG"/>
              </w:rPr>
            </w:pPr>
            <w:r w:rsidRPr="00507A6A">
              <w:rPr>
                <w:rtl/>
              </w:rPr>
              <w:t>أ</w:t>
            </w:r>
            <w:r w:rsidRPr="00507A6A">
              <w:rPr>
                <w:rtl/>
                <w:lang w:bidi="ar-SY"/>
              </w:rPr>
              <w:t>لف.</w:t>
            </w:r>
            <w:r w:rsidRPr="00507A6A">
              <w:rPr>
                <w:rtl/>
              </w:rPr>
              <w:t xml:space="preserve"> </w:t>
            </w:r>
            <w:r w:rsidRPr="00507A6A">
              <w:rPr>
                <w:rtl/>
              </w:rPr>
              <w:br/>
              <w:t>رقم الركيزة والبند</w:t>
            </w:r>
          </w:p>
        </w:tc>
        <w:tc>
          <w:tcPr>
            <w:tcW w:w="1080" w:type="pct"/>
            <w:shd w:val="clear" w:color="auto" w:fill="D9D9D9" w:themeFill="background1" w:themeFillShade="D9"/>
            <w:vAlign w:val="center"/>
          </w:tcPr>
          <w:p w14:paraId="560A24A9" w14:textId="790B73E6" w:rsidR="000A446D" w:rsidRPr="00507A6A" w:rsidRDefault="000A446D" w:rsidP="007065D5">
            <w:pPr>
              <w:pStyle w:val="Tablehead"/>
              <w:rPr>
                <w:lang w:bidi="ar-EG"/>
              </w:rPr>
            </w:pPr>
            <w:r w:rsidRPr="00507A6A">
              <w:rPr>
                <w:rtl/>
              </w:rPr>
              <w:t xml:space="preserve">باء. </w:t>
            </w:r>
            <w:r w:rsidR="004F766B" w:rsidRPr="00507A6A">
              <w:rPr>
                <w:rtl/>
              </w:rPr>
              <w:br/>
            </w:r>
            <w:r w:rsidRPr="00507A6A">
              <w:rPr>
                <w:rtl/>
              </w:rPr>
              <w:t>المبادرات الرئيسية</w:t>
            </w:r>
          </w:p>
        </w:tc>
        <w:tc>
          <w:tcPr>
            <w:tcW w:w="1773" w:type="pct"/>
            <w:shd w:val="clear" w:color="auto" w:fill="D9D9D9" w:themeFill="background1" w:themeFillShade="D9"/>
            <w:vAlign w:val="center"/>
          </w:tcPr>
          <w:p w14:paraId="5E2D5337" w14:textId="77777777" w:rsidR="000A446D" w:rsidRPr="00507A6A" w:rsidRDefault="000A446D" w:rsidP="007065D5">
            <w:pPr>
              <w:pStyle w:val="Tablehead"/>
              <w:rPr>
                <w:lang w:bidi="ar-EG"/>
              </w:rPr>
            </w:pPr>
            <w:r w:rsidRPr="00507A6A">
              <w:rPr>
                <w:rtl/>
              </w:rPr>
              <w:t xml:space="preserve">جيم. </w:t>
            </w:r>
            <w:r w:rsidRPr="00507A6A">
              <w:rPr>
                <w:rtl/>
              </w:rPr>
              <w:br/>
              <w:t>مؤشرات الأداء الرئيسية</w:t>
            </w:r>
          </w:p>
        </w:tc>
        <w:tc>
          <w:tcPr>
            <w:tcW w:w="963" w:type="pct"/>
            <w:shd w:val="clear" w:color="auto" w:fill="D9D9D9" w:themeFill="background1" w:themeFillShade="D9"/>
            <w:vAlign w:val="center"/>
          </w:tcPr>
          <w:p w14:paraId="0BDE4D6F" w14:textId="77777777" w:rsidR="000A446D" w:rsidRPr="00507A6A" w:rsidRDefault="000A446D" w:rsidP="00C33C60">
            <w:pPr>
              <w:pStyle w:val="Tablehead"/>
              <w:rPr>
                <w:lang w:bidi="ar-EG"/>
              </w:rPr>
            </w:pPr>
            <w:r w:rsidRPr="00507A6A">
              <w:rPr>
                <w:rtl/>
              </w:rPr>
              <w:t xml:space="preserve">دال. </w:t>
            </w:r>
            <w:r w:rsidRPr="00507A6A">
              <w:rPr>
                <w:rtl/>
              </w:rPr>
              <w:br/>
              <w:t>الجداول الزمنية</w:t>
            </w:r>
          </w:p>
        </w:tc>
        <w:tc>
          <w:tcPr>
            <w:tcW w:w="354" w:type="pct"/>
            <w:shd w:val="clear" w:color="auto" w:fill="D9D9D9" w:themeFill="background1" w:themeFillShade="D9"/>
            <w:vAlign w:val="center"/>
          </w:tcPr>
          <w:p w14:paraId="6A4D56BD" w14:textId="77777777" w:rsidR="000A446D" w:rsidRPr="00507A6A" w:rsidRDefault="000A446D" w:rsidP="00C33C60">
            <w:pPr>
              <w:pStyle w:val="Tablehead"/>
              <w:rPr>
                <w:lang w:bidi="ar-EG"/>
              </w:rPr>
            </w:pPr>
            <w:r w:rsidRPr="00507A6A">
              <w:rPr>
                <w:rtl/>
              </w:rPr>
              <w:t xml:space="preserve">هاء. </w:t>
            </w:r>
            <w:r w:rsidRPr="00507A6A">
              <w:rPr>
                <w:rtl/>
              </w:rPr>
              <w:br/>
              <w:t>الحالة</w:t>
            </w:r>
          </w:p>
        </w:tc>
      </w:tr>
      <w:tr w:rsidR="000A446D" w:rsidRPr="00507A6A" w14:paraId="681CE42D" w14:textId="77777777" w:rsidTr="00507A6A">
        <w:trPr>
          <w:cantSplit/>
          <w:jc w:val="center"/>
        </w:trPr>
        <w:tc>
          <w:tcPr>
            <w:tcW w:w="199" w:type="pct"/>
            <w:shd w:val="clear" w:color="auto" w:fill="C1E4F5"/>
            <w:vAlign w:val="center"/>
          </w:tcPr>
          <w:p w14:paraId="54CF9D3D" w14:textId="77777777" w:rsidR="000A446D" w:rsidRPr="00507A6A" w:rsidRDefault="000A446D" w:rsidP="00E21717">
            <w:pPr>
              <w:pStyle w:val="Tabletexte"/>
              <w:jc w:val="center"/>
              <w:rPr>
                <w:lang w:val="en-GB" w:bidi="ar-EG"/>
              </w:rPr>
            </w:pPr>
            <w:r w:rsidRPr="00507A6A">
              <w:rPr>
                <w:rtl/>
              </w:rPr>
              <w:t>1.1</w:t>
            </w:r>
          </w:p>
        </w:tc>
        <w:tc>
          <w:tcPr>
            <w:tcW w:w="632" w:type="pct"/>
            <w:shd w:val="clear" w:color="auto" w:fill="DEEAF6"/>
            <w:vAlign w:val="center"/>
          </w:tcPr>
          <w:p w14:paraId="3BD02319" w14:textId="77777777" w:rsidR="000A446D" w:rsidRPr="00507A6A" w:rsidRDefault="000A446D" w:rsidP="00E21717">
            <w:pPr>
              <w:pStyle w:val="Tabletexte"/>
              <w:jc w:val="center"/>
              <w:rPr>
                <w:lang w:val="en-GB" w:bidi="ar-EG"/>
              </w:rPr>
            </w:pPr>
            <w:r w:rsidRPr="00507A6A">
              <w:rPr>
                <w:rtl/>
              </w:rPr>
              <w:t>إطار الكفاءات</w:t>
            </w:r>
          </w:p>
        </w:tc>
        <w:tc>
          <w:tcPr>
            <w:tcW w:w="1080" w:type="pct"/>
            <w:shd w:val="clear" w:color="auto" w:fill="DEEAF6"/>
            <w:vAlign w:val="center"/>
          </w:tcPr>
          <w:p w14:paraId="3ADF4C2D" w14:textId="77777777" w:rsidR="000A446D" w:rsidRPr="00507A6A" w:rsidRDefault="000A446D" w:rsidP="00C33C60">
            <w:pPr>
              <w:pStyle w:val="Tabletexte"/>
              <w:rPr>
                <w:lang w:val="en-GB" w:bidi="ar-EG"/>
              </w:rPr>
            </w:pPr>
            <w:r w:rsidRPr="00507A6A">
              <w:rPr>
                <w:rtl/>
              </w:rPr>
              <w:t>تنفيذ إطار محدث للكفاءات يتماشى مع القيم المشتركة، لتوضيح التوقعات من الأدوار ودعم اتباع نُهج متسقة للاختيار والأداء والتطوير.</w:t>
            </w:r>
          </w:p>
        </w:tc>
        <w:tc>
          <w:tcPr>
            <w:tcW w:w="1773" w:type="pct"/>
            <w:shd w:val="clear" w:color="auto" w:fill="DEEAF6"/>
            <w:vAlign w:val="center"/>
          </w:tcPr>
          <w:p w14:paraId="237A28E0" w14:textId="1A80A0DA" w:rsidR="000A446D" w:rsidRPr="00507A6A" w:rsidRDefault="00C33C60" w:rsidP="00507A6A">
            <w:pPr>
              <w:pStyle w:val="enumlev1"/>
              <w:tabs>
                <w:tab w:val="clear" w:pos="794"/>
                <w:tab w:val="left" w:pos="486"/>
              </w:tabs>
              <w:jc w:val="left"/>
              <w:rPr>
                <w:sz w:val="20"/>
                <w:szCs w:val="20"/>
                <w:lang w:val="en-GB" w:bidi="ar-EG"/>
              </w:rPr>
            </w:pPr>
            <w:r w:rsidRPr="00507A6A">
              <w:rPr>
                <w:sz w:val="20"/>
                <w:szCs w:val="20"/>
              </w:rPr>
              <w:sym w:font="Symbol" w:char="F0B7"/>
            </w:r>
            <w:r w:rsidRPr="00507A6A">
              <w:rPr>
                <w:sz w:val="20"/>
                <w:szCs w:val="20"/>
                <w:rtl/>
              </w:rPr>
              <w:tab/>
            </w:r>
            <w:r w:rsidR="000A446D" w:rsidRPr="00507A6A">
              <w:rPr>
                <w:sz w:val="20"/>
                <w:szCs w:val="20"/>
                <w:rtl/>
              </w:rPr>
              <w:t>إقرار الإطار وتشغيله (معيار نوعي)</w:t>
            </w:r>
          </w:p>
          <w:p w14:paraId="51E271EB" w14:textId="6039CA09" w:rsidR="000A446D" w:rsidRPr="00507A6A" w:rsidRDefault="00C33C60" w:rsidP="00507A6A">
            <w:pPr>
              <w:pStyle w:val="enumlev1"/>
              <w:tabs>
                <w:tab w:val="clear" w:pos="794"/>
                <w:tab w:val="left" w:pos="486"/>
              </w:tabs>
              <w:rPr>
                <w:spacing w:val="-2"/>
                <w:sz w:val="20"/>
                <w:szCs w:val="20"/>
                <w:lang w:val="en-GB" w:bidi="ar-EG"/>
              </w:rPr>
            </w:pPr>
            <w:r w:rsidRPr="00507A6A">
              <w:rPr>
                <w:spacing w:val="-2"/>
                <w:sz w:val="20"/>
                <w:szCs w:val="20"/>
              </w:rPr>
              <w:sym w:font="Symbol" w:char="F0B7"/>
            </w:r>
            <w:r w:rsidR="007065D5" w:rsidRPr="00507A6A">
              <w:rPr>
                <w:spacing w:val="-2"/>
                <w:sz w:val="20"/>
                <w:szCs w:val="20"/>
                <w:rtl/>
              </w:rPr>
              <w:tab/>
            </w:r>
            <w:r w:rsidR="000A446D" w:rsidRPr="00507A6A">
              <w:rPr>
                <w:spacing w:val="-2"/>
                <w:sz w:val="20"/>
                <w:szCs w:val="20"/>
                <w:rtl/>
              </w:rPr>
              <w:t>نسبة الملفات الوظائف/الأدوار المدرجة ضمن إطار</w:t>
            </w:r>
            <w:r w:rsidRPr="00507A6A">
              <w:rPr>
                <w:rFonts w:hint="eastAsia"/>
                <w:spacing w:val="-2"/>
                <w:sz w:val="20"/>
                <w:szCs w:val="20"/>
                <w:rtl/>
              </w:rPr>
              <w:t> </w:t>
            </w:r>
            <w:r w:rsidR="000A446D" w:rsidRPr="00507A6A">
              <w:rPr>
                <w:spacing w:val="-2"/>
                <w:sz w:val="20"/>
                <w:szCs w:val="20"/>
                <w:rtl/>
              </w:rPr>
              <w:t>الكفاءات</w:t>
            </w:r>
          </w:p>
          <w:p w14:paraId="7739312A" w14:textId="22093A1E" w:rsidR="000A446D" w:rsidRPr="00507A6A" w:rsidRDefault="00C33C60" w:rsidP="00507A6A">
            <w:pPr>
              <w:pStyle w:val="enumlev1"/>
              <w:tabs>
                <w:tab w:val="clear" w:pos="794"/>
                <w:tab w:val="left" w:pos="486"/>
              </w:tabs>
              <w:jc w:val="left"/>
              <w:rPr>
                <w:sz w:val="20"/>
                <w:szCs w:val="20"/>
                <w:lang w:val="en-GB" w:bidi="ar-EG"/>
              </w:rPr>
            </w:pPr>
            <w:r w:rsidRPr="00507A6A">
              <w:rPr>
                <w:sz w:val="20"/>
                <w:szCs w:val="20"/>
              </w:rPr>
              <w:sym w:font="Symbol" w:char="F0B7"/>
            </w:r>
            <w:r w:rsidR="007065D5" w:rsidRPr="00507A6A">
              <w:rPr>
                <w:sz w:val="20"/>
                <w:szCs w:val="20"/>
                <w:rtl/>
              </w:rPr>
              <w:tab/>
            </w:r>
            <w:r w:rsidR="000A446D" w:rsidRPr="00507A6A">
              <w:rPr>
                <w:sz w:val="20"/>
                <w:szCs w:val="20"/>
                <w:rtl/>
              </w:rPr>
              <w:t>نسبة نماذج الاختيار المحدثة استناداً إلى إطار الكفاءات</w:t>
            </w:r>
          </w:p>
          <w:p w14:paraId="68200E91" w14:textId="7C4F56AC" w:rsidR="000A446D" w:rsidRPr="00507A6A" w:rsidRDefault="00C33C60" w:rsidP="00507A6A">
            <w:pPr>
              <w:pStyle w:val="enumlev1"/>
              <w:tabs>
                <w:tab w:val="clear" w:pos="794"/>
                <w:tab w:val="left" w:pos="486"/>
              </w:tabs>
              <w:jc w:val="left"/>
              <w:rPr>
                <w:sz w:val="20"/>
                <w:szCs w:val="20"/>
                <w:lang w:val="en-GB" w:bidi="ar-EG"/>
              </w:rPr>
            </w:pPr>
            <w:r w:rsidRPr="00507A6A">
              <w:rPr>
                <w:sz w:val="20"/>
                <w:szCs w:val="20"/>
              </w:rPr>
              <w:sym w:font="Symbol" w:char="F0B7"/>
            </w:r>
            <w:r w:rsidR="007065D5" w:rsidRPr="00507A6A">
              <w:rPr>
                <w:sz w:val="20"/>
                <w:szCs w:val="20"/>
                <w:rtl/>
              </w:rPr>
              <w:tab/>
            </w:r>
            <w:r w:rsidR="000A446D" w:rsidRPr="00507A6A">
              <w:rPr>
                <w:sz w:val="20"/>
                <w:szCs w:val="20"/>
                <w:rtl/>
              </w:rPr>
              <w:t>نسبة نماذج تقييم الأداء المحدثة استناداً إلى إطار</w:t>
            </w:r>
            <w:r w:rsidRPr="00507A6A">
              <w:rPr>
                <w:rFonts w:hint="eastAsia"/>
                <w:sz w:val="20"/>
                <w:szCs w:val="20"/>
                <w:rtl/>
              </w:rPr>
              <w:t> </w:t>
            </w:r>
            <w:r w:rsidR="000A446D" w:rsidRPr="00507A6A">
              <w:rPr>
                <w:sz w:val="20"/>
                <w:szCs w:val="20"/>
                <w:rtl/>
              </w:rPr>
              <w:t>الكفاءات</w:t>
            </w:r>
          </w:p>
        </w:tc>
        <w:tc>
          <w:tcPr>
            <w:tcW w:w="963" w:type="pct"/>
            <w:shd w:val="clear" w:color="auto" w:fill="DEEAF6"/>
          </w:tcPr>
          <w:p w14:paraId="30DBC9B0" w14:textId="77777777" w:rsidR="000A446D" w:rsidRPr="00507A6A" w:rsidRDefault="000A446D" w:rsidP="00C33C60">
            <w:pPr>
              <w:pStyle w:val="Tabletexte"/>
              <w:jc w:val="left"/>
              <w:rPr>
                <w:lang w:val="en-GB" w:bidi="ar-EG"/>
              </w:rPr>
            </w:pPr>
            <w:r w:rsidRPr="00507A6A">
              <w:rPr>
                <w:rtl/>
              </w:rPr>
              <w:t>الربع الثالث من عام 2026 (موافق عليه)، وسيجري التنفيذ اعتباراً من الربع الأول من عام 2027</w:t>
            </w:r>
          </w:p>
          <w:p w14:paraId="7AD525D2" w14:textId="77777777" w:rsidR="000A446D" w:rsidRPr="00507A6A" w:rsidRDefault="000A446D" w:rsidP="00C33C60">
            <w:pPr>
              <w:pStyle w:val="Tabletexte"/>
              <w:jc w:val="left"/>
              <w:rPr>
                <w:lang w:val="en-GB" w:bidi="ar-EG"/>
              </w:rPr>
            </w:pPr>
            <w:r w:rsidRPr="00507A6A">
              <w:rPr>
                <w:rtl/>
              </w:rPr>
              <w:t>الربع الرابع من عام 2026</w:t>
            </w:r>
          </w:p>
          <w:p w14:paraId="5E18F507" w14:textId="77777777" w:rsidR="000A446D" w:rsidRPr="00507A6A" w:rsidRDefault="000A446D" w:rsidP="00C33C60">
            <w:pPr>
              <w:pStyle w:val="Tabletexte"/>
              <w:jc w:val="left"/>
              <w:rPr>
                <w:lang w:val="en-GB" w:bidi="ar-EG"/>
              </w:rPr>
            </w:pPr>
            <w:r w:rsidRPr="00507A6A">
              <w:rPr>
                <w:rtl/>
              </w:rPr>
              <w:t>الربع الرابع من عام 2027</w:t>
            </w:r>
          </w:p>
          <w:p w14:paraId="7E7D049A" w14:textId="77777777" w:rsidR="000A446D" w:rsidRPr="00507A6A" w:rsidRDefault="000A446D" w:rsidP="00C33C60">
            <w:pPr>
              <w:pStyle w:val="Tabletexte"/>
              <w:jc w:val="left"/>
              <w:rPr>
                <w:lang w:val="en-GB" w:bidi="ar-EG"/>
              </w:rPr>
            </w:pPr>
            <w:r w:rsidRPr="00507A6A">
              <w:rPr>
                <w:rtl/>
              </w:rPr>
              <w:t>الربع الرابع من عام 2027</w:t>
            </w:r>
          </w:p>
        </w:tc>
        <w:tc>
          <w:tcPr>
            <w:tcW w:w="354" w:type="pct"/>
            <w:shd w:val="clear" w:color="auto" w:fill="DEEAF6"/>
            <w:vAlign w:val="center"/>
          </w:tcPr>
          <w:p w14:paraId="1D2679D7" w14:textId="77777777" w:rsidR="000A446D" w:rsidRPr="00507A6A" w:rsidRDefault="000A446D" w:rsidP="000A446D">
            <w:pPr>
              <w:rPr>
                <w:sz w:val="20"/>
                <w:szCs w:val="20"/>
                <w:lang w:val="en-GB" w:bidi="ar-EG"/>
              </w:rPr>
            </w:pPr>
          </w:p>
        </w:tc>
      </w:tr>
      <w:tr w:rsidR="000A446D" w:rsidRPr="00507A6A" w14:paraId="1853D329" w14:textId="77777777" w:rsidTr="00507A6A">
        <w:trPr>
          <w:cantSplit/>
          <w:jc w:val="center"/>
        </w:trPr>
        <w:tc>
          <w:tcPr>
            <w:tcW w:w="199" w:type="pct"/>
            <w:shd w:val="clear" w:color="auto" w:fill="C1E4F5"/>
            <w:vAlign w:val="center"/>
          </w:tcPr>
          <w:p w14:paraId="376A7F98" w14:textId="77777777" w:rsidR="000A446D" w:rsidRPr="00507A6A" w:rsidRDefault="000A446D" w:rsidP="00E21717">
            <w:pPr>
              <w:pStyle w:val="Tabletexte"/>
              <w:jc w:val="center"/>
              <w:rPr>
                <w:lang w:val="en-GB" w:bidi="ar-EG"/>
              </w:rPr>
            </w:pPr>
            <w:r w:rsidRPr="00507A6A">
              <w:rPr>
                <w:rtl/>
              </w:rPr>
              <w:t>2.1</w:t>
            </w:r>
          </w:p>
        </w:tc>
        <w:tc>
          <w:tcPr>
            <w:tcW w:w="632" w:type="pct"/>
            <w:shd w:val="clear" w:color="auto" w:fill="DEEAF6"/>
            <w:vAlign w:val="center"/>
          </w:tcPr>
          <w:p w14:paraId="0BADBD9E" w14:textId="77777777" w:rsidR="000A446D" w:rsidRPr="00507A6A" w:rsidRDefault="000A446D" w:rsidP="00E21717">
            <w:pPr>
              <w:pStyle w:val="Tabletexte"/>
              <w:jc w:val="center"/>
              <w:rPr>
                <w:lang w:val="en-GB" w:bidi="ar-EG"/>
              </w:rPr>
            </w:pPr>
            <w:r w:rsidRPr="00507A6A">
              <w:rPr>
                <w:rtl/>
              </w:rPr>
              <w:t>استقطاب المواهب وتحديث عمليات التوظيف</w:t>
            </w:r>
          </w:p>
        </w:tc>
        <w:tc>
          <w:tcPr>
            <w:tcW w:w="1080" w:type="pct"/>
            <w:shd w:val="clear" w:color="auto" w:fill="DEEAF6"/>
            <w:vAlign w:val="center"/>
          </w:tcPr>
          <w:p w14:paraId="2350103F" w14:textId="7B97D17F" w:rsidR="000A446D" w:rsidRPr="00507A6A" w:rsidRDefault="000A446D" w:rsidP="00C33C60">
            <w:pPr>
              <w:pStyle w:val="Tabletexte"/>
              <w:rPr>
                <w:spacing w:val="-2"/>
                <w:lang w:val="en-GB" w:bidi="ar-EG"/>
              </w:rPr>
            </w:pPr>
            <w:r w:rsidRPr="00507A6A">
              <w:rPr>
                <w:spacing w:val="-2"/>
                <w:rtl/>
              </w:rPr>
              <w:t>تحديث استقطاب المواهب من خلال تحسين العمليات الشاملة، وتعزيز أساليب التقييم، وترسيخ التوظيف القائم على الجدارة والإنصاف والشفافية، وتمكين التواصل المستهدف ومجموعة قوية من المواهب في</w:t>
            </w:r>
            <w:r w:rsidR="00C33C60" w:rsidRPr="00507A6A">
              <w:rPr>
                <w:rFonts w:hint="eastAsia"/>
                <w:spacing w:val="-2"/>
                <w:rtl/>
              </w:rPr>
              <w:t> </w:t>
            </w:r>
            <w:r w:rsidRPr="00507A6A">
              <w:rPr>
                <w:spacing w:val="-2"/>
                <w:rtl/>
              </w:rPr>
              <w:t>مجالات المهارات ذات الأولوية والناشئة، مع تحسين تجربة المرشحين وتعزيز جاذبية الاتحاد بالنسبة للمرشحين المؤهلين.</w:t>
            </w:r>
          </w:p>
        </w:tc>
        <w:tc>
          <w:tcPr>
            <w:tcW w:w="1773" w:type="pct"/>
            <w:shd w:val="clear" w:color="auto" w:fill="DEEAF6"/>
            <w:vAlign w:val="center"/>
          </w:tcPr>
          <w:p w14:paraId="518BFD0E" w14:textId="1A5526AD" w:rsidR="000A446D" w:rsidRPr="00507A6A" w:rsidRDefault="00C33C60" w:rsidP="00507A6A">
            <w:pPr>
              <w:pStyle w:val="enumlev1"/>
              <w:tabs>
                <w:tab w:val="clear" w:pos="794"/>
                <w:tab w:val="left" w:pos="486"/>
              </w:tabs>
              <w:jc w:val="left"/>
            </w:pPr>
            <w:r w:rsidRPr="00507A6A">
              <w:rPr>
                <w:sz w:val="20"/>
                <w:szCs w:val="20"/>
              </w:rPr>
              <w:sym w:font="Symbol" w:char="F0B7"/>
            </w:r>
            <w:r w:rsidRPr="00507A6A">
              <w:rPr>
                <w:sz w:val="20"/>
                <w:szCs w:val="20"/>
                <w:rtl/>
              </w:rPr>
              <w:tab/>
            </w:r>
            <w:r w:rsidR="000A446D" w:rsidRPr="00507A6A">
              <w:rPr>
                <w:sz w:val="20"/>
                <w:szCs w:val="20"/>
                <w:rtl/>
              </w:rPr>
              <w:t xml:space="preserve">متوسط عدد الطلبات التي تستوفي الشروط لكل وظيفة </w:t>
            </w:r>
          </w:p>
          <w:p w14:paraId="0277D676" w14:textId="170C805D" w:rsidR="000A446D" w:rsidRPr="00507A6A" w:rsidRDefault="00C33C60" w:rsidP="00507A6A">
            <w:pPr>
              <w:pStyle w:val="enumlev1"/>
              <w:tabs>
                <w:tab w:val="clear" w:pos="794"/>
                <w:tab w:val="left" w:pos="486"/>
              </w:tabs>
              <w:jc w:val="left"/>
            </w:pPr>
            <w:r w:rsidRPr="00507A6A">
              <w:rPr>
                <w:sz w:val="20"/>
                <w:szCs w:val="20"/>
              </w:rPr>
              <w:sym w:font="Symbol" w:char="F0B7"/>
            </w:r>
            <w:r w:rsidRPr="00507A6A">
              <w:rPr>
                <w:sz w:val="20"/>
                <w:szCs w:val="20"/>
                <w:rtl/>
              </w:rPr>
              <w:tab/>
            </w:r>
            <w:r w:rsidR="000A446D" w:rsidRPr="00507A6A">
              <w:rPr>
                <w:sz w:val="20"/>
                <w:szCs w:val="20"/>
                <w:rtl/>
              </w:rPr>
              <w:t xml:space="preserve">مدة دورة التوظيف (وقت التعيين) </w:t>
            </w:r>
          </w:p>
          <w:p w14:paraId="4A6B0E36" w14:textId="3BB98DD7" w:rsidR="000A446D" w:rsidRPr="00507A6A" w:rsidRDefault="00C33C60" w:rsidP="00507A6A">
            <w:pPr>
              <w:pStyle w:val="enumlev1"/>
              <w:tabs>
                <w:tab w:val="clear" w:pos="794"/>
                <w:tab w:val="left" w:pos="486"/>
              </w:tabs>
              <w:jc w:val="left"/>
            </w:pPr>
            <w:r w:rsidRPr="00507A6A">
              <w:rPr>
                <w:sz w:val="20"/>
                <w:szCs w:val="20"/>
              </w:rPr>
              <w:sym w:font="Symbol" w:char="F0B7"/>
            </w:r>
            <w:r w:rsidRPr="00507A6A">
              <w:rPr>
                <w:sz w:val="20"/>
                <w:szCs w:val="20"/>
                <w:rtl/>
              </w:rPr>
              <w:tab/>
            </w:r>
            <w:r w:rsidR="000A446D" w:rsidRPr="00507A6A">
              <w:rPr>
                <w:sz w:val="20"/>
                <w:szCs w:val="20"/>
                <w:rtl/>
              </w:rPr>
              <w:t xml:space="preserve">التعليقات فيما يخص تجربة المرشحين (النوعية/الكمية) </w:t>
            </w:r>
          </w:p>
          <w:p w14:paraId="080D00F2" w14:textId="3E18CC05" w:rsidR="000A446D" w:rsidRPr="00507A6A" w:rsidRDefault="00C33C60" w:rsidP="00507A6A">
            <w:pPr>
              <w:pStyle w:val="enumlev1"/>
              <w:tabs>
                <w:tab w:val="clear" w:pos="794"/>
                <w:tab w:val="left" w:pos="486"/>
              </w:tabs>
              <w:jc w:val="left"/>
            </w:pPr>
            <w:r w:rsidRPr="00507A6A">
              <w:rPr>
                <w:sz w:val="20"/>
                <w:szCs w:val="20"/>
              </w:rPr>
              <w:sym w:font="Symbol" w:char="F0B7"/>
            </w:r>
            <w:r w:rsidRPr="00507A6A">
              <w:rPr>
                <w:sz w:val="20"/>
                <w:szCs w:val="20"/>
                <w:rtl/>
              </w:rPr>
              <w:tab/>
            </w:r>
            <w:r w:rsidR="000A446D" w:rsidRPr="00507A6A">
              <w:rPr>
                <w:sz w:val="20"/>
                <w:szCs w:val="20"/>
                <w:rtl/>
              </w:rPr>
              <w:t>نسبة عمليات التوظيف التي تستخدم أدوات تقييم حديثة</w:t>
            </w:r>
          </w:p>
          <w:p w14:paraId="75E9E76D" w14:textId="37A7424A" w:rsidR="000A446D" w:rsidRPr="00507A6A" w:rsidRDefault="00C33C60" w:rsidP="00507A6A">
            <w:pPr>
              <w:pStyle w:val="enumlev1"/>
              <w:tabs>
                <w:tab w:val="clear" w:pos="794"/>
                <w:tab w:val="left" w:pos="486"/>
              </w:tabs>
              <w:jc w:val="left"/>
            </w:pPr>
            <w:r w:rsidRPr="00507A6A">
              <w:rPr>
                <w:sz w:val="20"/>
                <w:szCs w:val="20"/>
              </w:rPr>
              <w:sym w:font="Symbol" w:char="F0B7"/>
            </w:r>
            <w:r w:rsidRPr="00507A6A">
              <w:rPr>
                <w:sz w:val="20"/>
                <w:szCs w:val="20"/>
                <w:rtl/>
              </w:rPr>
              <w:tab/>
            </w:r>
            <w:r w:rsidR="000A446D" w:rsidRPr="00507A6A">
              <w:rPr>
                <w:sz w:val="20"/>
                <w:szCs w:val="20"/>
                <w:rtl/>
              </w:rPr>
              <w:t>اعتماد استراتيجية التواصل والتوعية وتنفيذها (معيار نوعي)</w:t>
            </w:r>
          </w:p>
          <w:p w14:paraId="2960448C" w14:textId="6D50C3D3" w:rsidR="000A446D" w:rsidRPr="00507A6A" w:rsidRDefault="00C33C60" w:rsidP="00507A6A">
            <w:pPr>
              <w:pStyle w:val="enumlev1"/>
              <w:tabs>
                <w:tab w:val="clear" w:pos="794"/>
                <w:tab w:val="left" w:pos="486"/>
              </w:tabs>
              <w:jc w:val="left"/>
            </w:pPr>
            <w:r w:rsidRPr="00507A6A">
              <w:rPr>
                <w:sz w:val="20"/>
                <w:szCs w:val="20"/>
              </w:rPr>
              <w:sym w:font="Symbol" w:char="F0B7"/>
            </w:r>
            <w:r w:rsidRPr="00507A6A">
              <w:rPr>
                <w:sz w:val="20"/>
                <w:szCs w:val="20"/>
                <w:rtl/>
              </w:rPr>
              <w:tab/>
            </w:r>
            <w:r w:rsidR="000A446D" w:rsidRPr="00507A6A">
              <w:rPr>
                <w:sz w:val="20"/>
                <w:szCs w:val="20"/>
                <w:rtl/>
              </w:rPr>
              <w:t>عدد الوظائف الشاغرة المعلن عنها داخلياً وخارجياً (سنوياً)</w:t>
            </w:r>
          </w:p>
          <w:p w14:paraId="6D3283C0" w14:textId="0829477C" w:rsidR="000A446D" w:rsidRPr="00507A6A" w:rsidRDefault="00C33C60" w:rsidP="00507A6A">
            <w:pPr>
              <w:pStyle w:val="enumlev1"/>
              <w:tabs>
                <w:tab w:val="clear" w:pos="794"/>
                <w:tab w:val="left" w:pos="486"/>
              </w:tabs>
              <w:ind w:left="486" w:hanging="486"/>
              <w:jc w:val="left"/>
            </w:pPr>
            <w:r w:rsidRPr="00507A6A">
              <w:rPr>
                <w:sz w:val="20"/>
                <w:szCs w:val="20"/>
              </w:rPr>
              <w:sym w:font="Symbol" w:char="F0B7"/>
            </w:r>
            <w:r w:rsidRPr="00507A6A">
              <w:rPr>
                <w:sz w:val="20"/>
                <w:szCs w:val="20"/>
                <w:rtl/>
              </w:rPr>
              <w:tab/>
            </w:r>
            <w:r w:rsidR="000A446D" w:rsidRPr="00507A6A">
              <w:rPr>
                <w:sz w:val="20"/>
                <w:szCs w:val="20"/>
                <w:rtl/>
              </w:rPr>
              <w:t>عدد الوظائف التي شغلها المرشحون الداخليون مقارنة بالتي شغلها المرشحون الخارجيون (سنوياً)</w:t>
            </w:r>
          </w:p>
        </w:tc>
        <w:tc>
          <w:tcPr>
            <w:tcW w:w="963" w:type="pct"/>
            <w:shd w:val="clear" w:color="auto" w:fill="DEEAF6"/>
            <w:vAlign w:val="center"/>
          </w:tcPr>
          <w:p w14:paraId="1DFE67A2" w14:textId="77777777" w:rsidR="000A446D" w:rsidRPr="00507A6A" w:rsidRDefault="000A446D" w:rsidP="00C33C60">
            <w:pPr>
              <w:pStyle w:val="Tabletexte"/>
              <w:rPr>
                <w:lang w:val="en-GB"/>
              </w:rPr>
            </w:pPr>
            <w:r w:rsidRPr="00507A6A">
              <w:rPr>
                <w:rtl/>
                <w:lang w:bidi="ar-SA"/>
              </w:rPr>
              <w:t>الربع الثاني من عام 2027</w:t>
            </w:r>
          </w:p>
          <w:p w14:paraId="36B33515" w14:textId="52BDE743" w:rsidR="000A446D" w:rsidRPr="00507A6A" w:rsidRDefault="000A446D" w:rsidP="00507A6A">
            <w:pPr>
              <w:pStyle w:val="Tabletexte"/>
              <w:rPr>
                <w:lang w:val="en-GB"/>
              </w:rPr>
            </w:pPr>
            <w:r w:rsidRPr="00507A6A">
              <w:rPr>
                <w:rtl/>
                <w:lang w:bidi="ar-SA"/>
              </w:rPr>
              <w:t>الربع الرابع من عام 2026</w:t>
            </w:r>
            <w:r w:rsidR="00507A6A">
              <w:rPr>
                <w:rtl/>
                <w:lang w:bidi="ar-SA"/>
              </w:rPr>
              <w:t>/</w:t>
            </w:r>
            <w:r w:rsidRPr="00507A6A">
              <w:rPr>
                <w:rtl/>
                <w:lang w:bidi="ar-SA"/>
              </w:rPr>
              <w:t>الربع الرابع من عام 2027</w:t>
            </w:r>
          </w:p>
        </w:tc>
        <w:tc>
          <w:tcPr>
            <w:tcW w:w="354" w:type="pct"/>
            <w:shd w:val="clear" w:color="auto" w:fill="DEEAF6"/>
            <w:vAlign w:val="center"/>
          </w:tcPr>
          <w:p w14:paraId="14082A84" w14:textId="77777777" w:rsidR="000A446D" w:rsidRPr="00507A6A" w:rsidRDefault="000A446D" w:rsidP="000A446D">
            <w:pPr>
              <w:rPr>
                <w:sz w:val="20"/>
                <w:szCs w:val="20"/>
                <w:lang w:val="en-GB" w:bidi="ar-EG"/>
              </w:rPr>
            </w:pPr>
          </w:p>
        </w:tc>
      </w:tr>
      <w:tr w:rsidR="000A446D" w:rsidRPr="00507A6A" w14:paraId="3C481C42" w14:textId="77777777" w:rsidTr="00507A6A">
        <w:trPr>
          <w:cantSplit/>
          <w:jc w:val="center"/>
        </w:trPr>
        <w:tc>
          <w:tcPr>
            <w:tcW w:w="199" w:type="pct"/>
            <w:shd w:val="clear" w:color="auto" w:fill="C1E4F5"/>
            <w:vAlign w:val="center"/>
          </w:tcPr>
          <w:p w14:paraId="62D89120" w14:textId="77777777" w:rsidR="000A446D" w:rsidRPr="00507A6A" w:rsidRDefault="000A446D" w:rsidP="00E21717">
            <w:pPr>
              <w:pStyle w:val="Tabletexte"/>
              <w:jc w:val="center"/>
              <w:rPr>
                <w:lang w:val="en-GB" w:bidi="ar-EG"/>
              </w:rPr>
            </w:pPr>
            <w:r w:rsidRPr="00507A6A">
              <w:rPr>
                <w:rtl/>
              </w:rPr>
              <w:t>3.1</w:t>
            </w:r>
          </w:p>
        </w:tc>
        <w:tc>
          <w:tcPr>
            <w:tcW w:w="632" w:type="pct"/>
            <w:shd w:val="clear" w:color="auto" w:fill="DEEAF6"/>
            <w:vAlign w:val="center"/>
          </w:tcPr>
          <w:p w14:paraId="29447289" w14:textId="77777777" w:rsidR="000A446D" w:rsidRPr="00507A6A" w:rsidRDefault="000A446D" w:rsidP="00E21717">
            <w:pPr>
              <w:pStyle w:val="Tabletexte"/>
              <w:jc w:val="center"/>
              <w:rPr>
                <w:lang w:val="de-CH" w:bidi="ar-EG"/>
              </w:rPr>
            </w:pPr>
            <w:r w:rsidRPr="00507A6A">
              <w:rPr>
                <w:rtl/>
              </w:rPr>
              <w:t>التهيئة والإدماج الوظيفي</w:t>
            </w:r>
          </w:p>
        </w:tc>
        <w:tc>
          <w:tcPr>
            <w:tcW w:w="1080" w:type="pct"/>
            <w:shd w:val="clear" w:color="auto" w:fill="DEEAF6"/>
            <w:vAlign w:val="center"/>
          </w:tcPr>
          <w:p w14:paraId="41EAB98D" w14:textId="77777777" w:rsidR="000A446D" w:rsidRPr="00507A6A" w:rsidRDefault="000A446D" w:rsidP="00C33C60">
            <w:pPr>
              <w:pStyle w:val="Tabletexte"/>
              <w:rPr>
                <w:spacing w:val="-6"/>
                <w:lang w:val="en-GB" w:bidi="ar-EG"/>
              </w:rPr>
            </w:pPr>
            <w:r w:rsidRPr="00507A6A">
              <w:rPr>
                <w:spacing w:val="-6"/>
                <w:rtl/>
              </w:rPr>
              <w:t>توفير مسار متكامل ومتسق للتهيئة والإدماج الوظيفي، إلى جانب مجموعات أدوات عملية للمديرين، مما يدعم الإدماج بشكل أسرع وتحقيق الإنتاجية عبر مختلف الفرق وأنماط العمل.</w:t>
            </w:r>
          </w:p>
        </w:tc>
        <w:tc>
          <w:tcPr>
            <w:tcW w:w="1773" w:type="pct"/>
            <w:shd w:val="clear" w:color="auto" w:fill="DEEAF6"/>
            <w:vAlign w:val="center"/>
          </w:tcPr>
          <w:p w14:paraId="64DD3082" w14:textId="2E42E657" w:rsidR="000A446D" w:rsidRPr="00507A6A" w:rsidRDefault="00E21717" w:rsidP="00507A6A">
            <w:pPr>
              <w:pStyle w:val="enumlev1"/>
              <w:tabs>
                <w:tab w:val="clear" w:pos="794"/>
                <w:tab w:val="left" w:pos="486"/>
              </w:tabs>
              <w:ind w:left="486" w:hanging="486"/>
            </w:pPr>
            <w:r w:rsidRPr="00507A6A">
              <w:rPr>
                <w:sz w:val="20"/>
                <w:szCs w:val="20"/>
              </w:rPr>
              <w:sym w:font="Symbol" w:char="F0B7"/>
            </w:r>
            <w:r w:rsidRPr="00507A6A">
              <w:rPr>
                <w:sz w:val="20"/>
                <w:szCs w:val="20"/>
                <w:rtl/>
              </w:rPr>
              <w:tab/>
            </w:r>
            <w:r w:rsidR="000A446D" w:rsidRPr="00507A6A">
              <w:rPr>
                <w:sz w:val="20"/>
                <w:szCs w:val="20"/>
                <w:rtl/>
              </w:rPr>
              <w:t>عدد جلسات التهيئة الوظيفية المنعقدة؛ ونسبة الموظفين الجدد الذين شاركوا فيها.</w:t>
            </w:r>
          </w:p>
          <w:p w14:paraId="149AE6B6" w14:textId="3DB33896" w:rsidR="000A446D" w:rsidRPr="00507A6A" w:rsidRDefault="00E21717" w:rsidP="00507A6A">
            <w:pPr>
              <w:pStyle w:val="enumlev1"/>
              <w:tabs>
                <w:tab w:val="clear" w:pos="794"/>
                <w:tab w:val="left" w:pos="486"/>
              </w:tabs>
              <w:ind w:left="486" w:hanging="486"/>
            </w:pPr>
            <w:r w:rsidRPr="00507A6A">
              <w:rPr>
                <w:sz w:val="20"/>
                <w:szCs w:val="20"/>
              </w:rPr>
              <w:sym w:font="Symbol" w:char="F0B7"/>
            </w:r>
            <w:r w:rsidRPr="00507A6A">
              <w:rPr>
                <w:sz w:val="20"/>
                <w:szCs w:val="20"/>
                <w:rtl/>
              </w:rPr>
              <w:tab/>
            </w:r>
            <w:r w:rsidR="000A446D" w:rsidRPr="00507A6A">
              <w:rPr>
                <w:sz w:val="20"/>
                <w:szCs w:val="20"/>
                <w:rtl/>
              </w:rPr>
              <w:t>معدل استكمال عملية الإدماج الوظيفي (على سبيل المثال، بعد 30/60/90 يوماً)</w:t>
            </w:r>
          </w:p>
          <w:p w14:paraId="159194C9" w14:textId="0C762B5D" w:rsidR="000A446D" w:rsidRPr="00507A6A" w:rsidRDefault="00E21717" w:rsidP="00507A6A">
            <w:pPr>
              <w:pStyle w:val="enumlev1"/>
              <w:tabs>
                <w:tab w:val="clear" w:pos="794"/>
                <w:tab w:val="left" w:pos="486"/>
              </w:tabs>
              <w:rPr>
                <w:spacing w:val="-2"/>
              </w:rPr>
            </w:pPr>
            <w:r w:rsidRPr="00507A6A">
              <w:rPr>
                <w:spacing w:val="-2"/>
                <w:sz w:val="20"/>
                <w:szCs w:val="20"/>
              </w:rPr>
              <w:sym w:font="Symbol" w:char="F0B7"/>
            </w:r>
            <w:r w:rsidRPr="00507A6A">
              <w:rPr>
                <w:spacing w:val="-2"/>
                <w:sz w:val="20"/>
                <w:szCs w:val="20"/>
                <w:rtl/>
              </w:rPr>
              <w:tab/>
            </w:r>
            <w:r w:rsidR="000A446D" w:rsidRPr="00507A6A">
              <w:rPr>
                <w:spacing w:val="-2"/>
                <w:sz w:val="20"/>
                <w:szCs w:val="20"/>
                <w:rtl/>
              </w:rPr>
              <w:t>نشر مجموعة أدوات لفائدة المديرين (نعم/لا) وآراء مستخدميها</w:t>
            </w:r>
          </w:p>
        </w:tc>
        <w:tc>
          <w:tcPr>
            <w:tcW w:w="963" w:type="pct"/>
            <w:shd w:val="clear" w:color="auto" w:fill="DEEAF6"/>
            <w:vAlign w:val="center"/>
          </w:tcPr>
          <w:p w14:paraId="0D058D22" w14:textId="77777777" w:rsidR="000A446D" w:rsidRPr="00507A6A" w:rsidRDefault="000A446D" w:rsidP="00E21717">
            <w:pPr>
              <w:pStyle w:val="Tabletexte"/>
              <w:jc w:val="left"/>
              <w:rPr>
                <w:rtl/>
              </w:rPr>
            </w:pPr>
            <w:r w:rsidRPr="00507A6A">
              <w:rPr>
                <w:rtl/>
                <w:lang w:bidi="ar-SA"/>
              </w:rPr>
              <w:t>سنوي/</w:t>
            </w:r>
            <w:r w:rsidRPr="00507A6A">
              <w:rPr>
                <w:rtl/>
              </w:rPr>
              <w:t xml:space="preserve"> جارٍ</w:t>
            </w:r>
          </w:p>
          <w:p w14:paraId="290407FA" w14:textId="77777777" w:rsidR="000A446D" w:rsidRPr="00507A6A" w:rsidRDefault="000A446D" w:rsidP="00E21717">
            <w:pPr>
              <w:pStyle w:val="Tabletexte"/>
              <w:jc w:val="left"/>
              <w:rPr>
                <w:lang w:val="en-GB" w:bidi="ar-EG"/>
              </w:rPr>
            </w:pPr>
            <w:r w:rsidRPr="00507A6A">
              <w:rPr>
                <w:rtl/>
                <w:lang w:bidi="ar-SA"/>
              </w:rPr>
              <w:t xml:space="preserve">الربع الأول من عام </w:t>
            </w:r>
            <w:r w:rsidRPr="00507A6A">
              <w:rPr>
                <w:rtl/>
              </w:rPr>
              <w:t>2027</w:t>
            </w:r>
          </w:p>
          <w:p w14:paraId="1AB2C542" w14:textId="77777777" w:rsidR="000A446D" w:rsidRPr="00507A6A" w:rsidRDefault="000A446D" w:rsidP="00E21717">
            <w:pPr>
              <w:pStyle w:val="Tabletexte"/>
              <w:jc w:val="left"/>
              <w:rPr>
                <w:lang w:val="en-GB" w:bidi="ar-EG"/>
              </w:rPr>
            </w:pPr>
            <w:r w:rsidRPr="00507A6A">
              <w:rPr>
                <w:rtl/>
                <w:lang w:bidi="ar-SA"/>
              </w:rPr>
              <w:t>الربع الأول من عام 2027</w:t>
            </w:r>
          </w:p>
        </w:tc>
        <w:tc>
          <w:tcPr>
            <w:tcW w:w="354" w:type="pct"/>
            <w:shd w:val="clear" w:color="auto" w:fill="DEEAF6"/>
            <w:vAlign w:val="center"/>
          </w:tcPr>
          <w:p w14:paraId="57463ABC" w14:textId="77777777" w:rsidR="000A446D" w:rsidRPr="00507A6A" w:rsidRDefault="000A446D" w:rsidP="000A446D">
            <w:pPr>
              <w:rPr>
                <w:sz w:val="20"/>
                <w:szCs w:val="20"/>
                <w:lang w:val="en-GB" w:bidi="ar-EG"/>
              </w:rPr>
            </w:pPr>
          </w:p>
        </w:tc>
      </w:tr>
      <w:tr w:rsidR="000A446D" w:rsidRPr="00507A6A" w14:paraId="0EA0EAEB" w14:textId="77777777" w:rsidTr="00507A6A">
        <w:trPr>
          <w:cantSplit/>
          <w:jc w:val="center"/>
        </w:trPr>
        <w:tc>
          <w:tcPr>
            <w:tcW w:w="199" w:type="pct"/>
            <w:shd w:val="clear" w:color="auto" w:fill="C1E4F5"/>
            <w:vAlign w:val="center"/>
          </w:tcPr>
          <w:p w14:paraId="3570E146" w14:textId="77777777" w:rsidR="000A446D" w:rsidRPr="00507A6A" w:rsidRDefault="000A446D" w:rsidP="00E21717">
            <w:pPr>
              <w:pStyle w:val="Tabletexte"/>
              <w:jc w:val="center"/>
              <w:rPr>
                <w:lang w:val="en-GB" w:bidi="ar-EG"/>
              </w:rPr>
            </w:pPr>
            <w:r w:rsidRPr="00507A6A">
              <w:rPr>
                <w:rtl/>
              </w:rPr>
              <w:lastRenderedPageBreak/>
              <w:t>4.1</w:t>
            </w:r>
          </w:p>
        </w:tc>
        <w:tc>
          <w:tcPr>
            <w:tcW w:w="632" w:type="pct"/>
            <w:shd w:val="clear" w:color="auto" w:fill="DEEAF6"/>
            <w:vAlign w:val="center"/>
          </w:tcPr>
          <w:p w14:paraId="467F1757" w14:textId="77777777" w:rsidR="000A446D" w:rsidRPr="00507A6A" w:rsidRDefault="000A446D" w:rsidP="00E21717">
            <w:pPr>
              <w:pStyle w:val="Tabletexte"/>
              <w:jc w:val="center"/>
              <w:rPr>
                <w:lang w:val="en-GB" w:bidi="ar-EG"/>
              </w:rPr>
            </w:pPr>
            <w:r w:rsidRPr="00507A6A">
              <w:rPr>
                <w:rtl/>
              </w:rPr>
              <w:t>تنقل الموظفين وتناوبهم</w:t>
            </w:r>
          </w:p>
        </w:tc>
        <w:tc>
          <w:tcPr>
            <w:tcW w:w="1080" w:type="pct"/>
            <w:shd w:val="clear" w:color="auto" w:fill="DEEAF6"/>
            <w:vAlign w:val="center"/>
          </w:tcPr>
          <w:p w14:paraId="14AF4770" w14:textId="77777777" w:rsidR="000A446D" w:rsidRPr="00507A6A" w:rsidRDefault="000A446D" w:rsidP="00C33C60">
            <w:pPr>
              <w:pStyle w:val="Tabletexte"/>
              <w:rPr>
                <w:lang w:val="en-GB" w:bidi="ar-EG"/>
              </w:rPr>
            </w:pPr>
            <w:r w:rsidRPr="00507A6A">
              <w:rPr>
                <w:rtl/>
              </w:rPr>
              <w:t>توسيع نطاق المهام التطويرية وفرص التنقل الوظيفي لتوجيه القدرات إلى المجالات الأكثر احتياجاً، ودعم النمو الوظيفي وتعزيز نقل المعارف، مع الاستفادة من التنقل الداخلي حيثما أمكن ذلك.</w:t>
            </w:r>
          </w:p>
        </w:tc>
        <w:tc>
          <w:tcPr>
            <w:tcW w:w="1773" w:type="pct"/>
            <w:shd w:val="clear" w:color="auto" w:fill="DEEAF6"/>
            <w:vAlign w:val="center"/>
          </w:tcPr>
          <w:p w14:paraId="23545D92" w14:textId="14B597B0" w:rsidR="000A446D" w:rsidRPr="00507A6A" w:rsidRDefault="00E21717" w:rsidP="00507A6A">
            <w:pPr>
              <w:pStyle w:val="enumlev1"/>
              <w:tabs>
                <w:tab w:val="clear" w:pos="794"/>
                <w:tab w:val="left" w:pos="486"/>
              </w:tabs>
              <w:jc w:val="left"/>
            </w:pPr>
            <w:r w:rsidRPr="00507A6A">
              <w:rPr>
                <w:sz w:val="20"/>
                <w:szCs w:val="20"/>
              </w:rPr>
              <w:sym w:font="Symbol" w:char="F0B7"/>
            </w:r>
            <w:r w:rsidRPr="00507A6A">
              <w:rPr>
                <w:sz w:val="20"/>
                <w:szCs w:val="20"/>
                <w:rtl/>
              </w:rPr>
              <w:tab/>
            </w:r>
            <w:r w:rsidR="000A446D" w:rsidRPr="00507A6A">
              <w:rPr>
                <w:sz w:val="20"/>
                <w:szCs w:val="20"/>
                <w:rtl/>
              </w:rPr>
              <w:t>عدد الفرص المهنية الناتجة عن التنقل الداخلي</w:t>
            </w:r>
          </w:p>
          <w:p w14:paraId="76966142" w14:textId="3EBF6C5F"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الاتجاهات السنوية للتنقل حسب الرتبة/المجال الوظيفي/الإدارة (لوحة معلومات) </w:t>
            </w:r>
          </w:p>
        </w:tc>
        <w:tc>
          <w:tcPr>
            <w:tcW w:w="963" w:type="pct"/>
            <w:shd w:val="clear" w:color="auto" w:fill="DEEAF6"/>
            <w:vAlign w:val="center"/>
          </w:tcPr>
          <w:p w14:paraId="021E1C2A" w14:textId="77777777" w:rsidR="000A446D" w:rsidRPr="00507A6A" w:rsidRDefault="000A446D" w:rsidP="00E21717">
            <w:pPr>
              <w:pStyle w:val="Tabletexte"/>
              <w:jc w:val="left"/>
              <w:rPr>
                <w:lang w:val="en-GB" w:bidi="ar-EG"/>
              </w:rPr>
            </w:pPr>
            <w:r w:rsidRPr="00507A6A">
              <w:rPr>
                <w:rtl/>
                <w:lang w:bidi="ar-SA"/>
              </w:rPr>
              <w:t>الربع الأول من عام 2027</w:t>
            </w:r>
          </w:p>
          <w:p w14:paraId="582B1C0C" w14:textId="77777777" w:rsidR="000A446D" w:rsidRPr="00507A6A" w:rsidRDefault="000A446D" w:rsidP="00E21717">
            <w:pPr>
              <w:pStyle w:val="Tabletexte"/>
              <w:jc w:val="left"/>
              <w:rPr>
                <w:lang w:val="en-GB" w:bidi="ar-EG"/>
              </w:rPr>
            </w:pPr>
            <w:r w:rsidRPr="00507A6A">
              <w:rPr>
                <w:rtl/>
                <w:lang w:bidi="ar-SA"/>
              </w:rPr>
              <w:t>الربع الرابع من عام 2027</w:t>
            </w:r>
          </w:p>
        </w:tc>
        <w:tc>
          <w:tcPr>
            <w:tcW w:w="354" w:type="pct"/>
            <w:shd w:val="clear" w:color="auto" w:fill="DEEAF6"/>
            <w:vAlign w:val="center"/>
          </w:tcPr>
          <w:p w14:paraId="08DFD953" w14:textId="77777777" w:rsidR="000A446D" w:rsidRPr="00507A6A" w:rsidRDefault="000A446D" w:rsidP="000A446D">
            <w:pPr>
              <w:rPr>
                <w:sz w:val="20"/>
                <w:szCs w:val="20"/>
                <w:lang w:val="en-GB" w:bidi="ar-EG"/>
              </w:rPr>
            </w:pPr>
          </w:p>
        </w:tc>
      </w:tr>
      <w:tr w:rsidR="000A446D" w:rsidRPr="00507A6A" w14:paraId="13EA4291" w14:textId="77777777" w:rsidTr="00507A6A">
        <w:trPr>
          <w:cantSplit/>
          <w:jc w:val="center"/>
        </w:trPr>
        <w:tc>
          <w:tcPr>
            <w:tcW w:w="199" w:type="pct"/>
            <w:shd w:val="clear" w:color="auto" w:fill="C1E4F5"/>
            <w:vAlign w:val="center"/>
          </w:tcPr>
          <w:p w14:paraId="4E6101D4" w14:textId="77777777" w:rsidR="000A446D" w:rsidRPr="00507A6A" w:rsidRDefault="000A446D" w:rsidP="00E21717">
            <w:pPr>
              <w:pStyle w:val="Tabletexte"/>
              <w:jc w:val="center"/>
              <w:rPr>
                <w:lang w:val="en-GB" w:bidi="ar-EG"/>
              </w:rPr>
            </w:pPr>
            <w:r w:rsidRPr="00507A6A">
              <w:rPr>
                <w:rtl/>
              </w:rPr>
              <w:t>5.1</w:t>
            </w:r>
          </w:p>
        </w:tc>
        <w:tc>
          <w:tcPr>
            <w:tcW w:w="632" w:type="pct"/>
            <w:shd w:val="clear" w:color="auto" w:fill="DEEAF6"/>
            <w:vAlign w:val="center"/>
          </w:tcPr>
          <w:p w14:paraId="7A8FEE4A" w14:textId="77777777" w:rsidR="000A446D" w:rsidRPr="00507A6A" w:rsidRDefault="000A446D" w:rsidP="00E21717">
            <w:pPr>
              <w:pStyle w:val="Tabletexte"/>
              <w:jc w:val="center"/>
              <w:rPr>
                <w:lang w:val="en-GB" w:bidi="ar-EG"/>
              </w:rPr>
            </w:pPr>
            <w:r w:rsidRPr="00507A6A">
              <w:rPr>
                <w:rtl/>
              </w:rPr>
              <w:t>الشراكات المستهدفة</w:t>
            </w:r>
          </w:p>
        </w:tc>
        <w:tc>
          <w:tcPr>
            <w:tcW w:w="1080" w:type="pct"/>
            <w:shd w:val="clear" w:color="auto" w:fill="DEEAF6"/>
            <w:vAlign w:val="center"/>
          </w:tcPr>
          <w:p w14:paraId="7EB589A3" w14:textId="77777777" w:rsidR="000A446D" w:rsidRPr="00507A6A" w:rsidRDefault="000A446D" w:rsidP="00C33C60">
            <w:pPr>
              <w:pStyle w:val="Tabletexte"/>
              <w:rPr>
                <w:lang w:val="en-GB" w:bidi="ar-EG"/>
              </w:rPr>
            </w:pPr>
            <w:r w:rsidRPr="00507A6A">
              <w:rPr>
                <w:rtl/>
              </w:rPr>
              <w:t>تعزيز الشراكات المستهدفة مع الدول الأعضاء والمنظمات والهيئات الأكاديمية لتوسيع مسارات الدخول – لا سيما لفائدة المهنيين الشباب والمرشحين من الدول الأعضاء غير الممثلة تمثيلاً كافياً - مع ضمان حوكمة شفافة وتحقيق منفعة متبادلة.</w:t>
            </w:r>
          </w:p>
        </w:tc>
        <w:tc>
          <w:tcPr>
            <w:tcW w:w="1773" w:type="pct"/>
            <w:shd w:val="clear" w:color="auto" w:fill="DEEAF6"/>
            <w:vAlign w:val="center"/>
          </w:tcPr>
          <w:p w14:paraId="156E1CB1" w14:textId="008A20E0" w:rsidR="000A446D" w:rsidRPr="00507A6A" w:rsidRDefault="00E21717" w:rsidP="00507A6A">
            <w:pPr>
              <w:pStyle w:val="enumlev1"/>
              <w:tabs>
                <w:tab w:val="clear" w:pos="794"/>
              </w:tabs>
              <w:ind w:left="486" w:hanging="486"/>
              <w:rPr>
                <w:spacing w:val="-4"/>
              </w:rPr>
            </w:pPr>
            <w:r w:rsidRPr="00507A6A">
              <w:rPr>
                <w:spacing w:val="-4"/>
                <w:sz w:val="20"/>
                <w:szCs w:val="20"/>
              </w:rPr>
              <w:sym w:font="Symbol" w:char="F0B7"/>
            </w:r>
            <w:r w:rsidRPr="00507A6A">
              <w:rPr>
                <w:spacing w:val="-4"/>
                <w:sz w:val="20"/>
                <w:szCs w:val="20"/>
                <w:rtl/>
              </w:rPr>
              <w:tab/>
            </w:r>
            <w:r w:rsidR="000A446D" w:rsidRPr="00507A6A">
              <w:rPr>
                <w:spacing w:val="-4"/>
                <w:sz w:val="20"/>
                <w:szCs w:val="20"/>
                <w:rtl/>
              </w:rPr>
              <w:t xml:space="preserve">عدد الشراكات القائمة (الصناديق الاستئمانية، الموظفون المهنيون المبتدئون، الموظفون المعارون/المبتدؤون) </w:t>
            </w:r>
          </w:p>
          <w:p w14:paraId="3C4F6A1F" w14:textId="2B53E377"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المتدربين/المهنيين في بداية حياتهم المهنية</w:t>
            </w:r>
          </w:p>
          <w:p w14:paraId="4DA70D77" w14:textId="72B40B3F" w:rsidR="000A446D" w:rsidRPr="00507A6A" w:rsidRDefault="00E21717" w:rsidP="00507A6A">
            <w:pPr>
              <w:pStyle w:val="enumlev1"/>
              <w:tabs>
                <w:tab w:val="clear" w:pos="794"/>
              </w:tabs>
              <w:ind w:left="486" w:hanging="486"/>
              <w:rPr>
                <w:spacing w:val="-2"/>
              </w:rPr>
            </w:pPr>
            <w:r w:rsidRPr="00507A6A">
              <w:rPr>
                <w:spacing w:val="-2"/>
                <w:sz w:val="20"/>
                <w:szCs w:val="20"/>
              </w:rPr>
              <w:sym w:font="Symbol" w:char="F0B7"/>
            </w:r>
            <w:r w:rsidRPr="00507A6A">
              <w:rPr>
                <w:spacing w:val="-2"/>
                <w:sz w:val="20"/>
                <w:szCs w:val="20"/>
                <w:rtl/>
              </w:rPr>
              <w:tab/>
            </w:r>
            <w:r w:rsidR="000A446D" w:rsidRPr="00507A6A">
              <w:rPr>
                <w:spacing w:val="-2"/>
                <w:sz w:val="20"/>
                <w:szCs w:val="20"/>
                <w:rtl/>
              </w:rPr>
              <w:t>عدد المرشحين من أقل البلدان نمواً والبلدان النامية غير الساحلية والدول الجزرية الصغيرة النامية</w:t>
            </w:r>
            <w:r w:rsidR="00171549" w:rsidRPr="00507A6A">
              <w:rPr>
                <w:rStyle w:val="FootnoteReference"/>
                <w:rtl/>
              </w:rPr>
              <w:footnoteReference w:id="1"/>
            </w:r>
          </w:p>
        </w:tc>
        <w:tc>
          <w:tcPr>
            <w:tcW w:w="963" w:type="pct"/>
            <w:shd w:val="clear" w:color="auto" w:fill="DEEAF6"/>
            <w:vAlign w:val="center"/>
          </w:tcPr>
          <w:p w14:paraId="1CBC5EC8" w14:textId="77777777" w:rsidR="000A446D" w:rsidRPr="00507A6A" w:rsidRDefault="000A446D" w:rsidP="00E21717">
            <w:pPr>
              <w:pStyle w:val="Tabletexte"/>
              <w:jc w:val="left"/>
              <w:rPr>
                <w:lang w:val="en-GB" w:bidi="ar-EG"/>
              </w:rPr>
            </w:pPr>
            <w:r w:rsidRPr="00507A6A">
              <w:rPr>
                <w:rtl/>
                <w:lang w:bidi="ar-SA"/>
              </w:rPr>
              <w:t>جارٍ طوال الفترة 2026-2027</w:t>
            </w:r>
          </w:p>
        </w:tc>
        <w:tc>
          <w:tcPr>
            <w:tcW w:w="354" w:type="pct"/>
            <w:shd w:val="clear" w:color="auto" w:fill="DEEAF6"/>
            <w:vAlign w:val="center"/>
          </w:tcPr>
          <w:p w14:paraId="018CDC40" w14:textId="77777777" w:rsidR="000A446D" w:rsidRPr="00507A6A" w:rsidRDefault="000A446D" w:rsidP="000A446D">
            <w:pPr>
              <w:rPr>
                <w:sz w:val="20"/>
                <w:szCs w:val="20"/>
                <w:lang w:val="en-GB" w:bidi="ar-EG"/>
              </w:rPr>
            </w:pPr>
          </w:p>
        </w:tc>
      </w:tr>
      <w:tr w:rsidR="000A446D" w:rsidRPr="00507A6A" w14:paraId="0A1F0F0F" w14:textId="77777777" w:rsidTr="00507A6A">
        <w:trPr>
          <w:cantSplit/>
          <w:jc w:val="center"/>
        </w:trPr>
        <w:tc>
          <w:tcPr>
            <w:tcW w:w="199" w:type="pct"/>
            <w:shd w:val="clear" w:color="auto" w:fill="C1E4F5"/>
            <w:vAlign w:val="center"/>
          </w:tcPr>
          <w:p w14:paraId="1D087AD0" w14:textId="77777777" w:rsidR="000A446D" w:rsidRPr="00507A6A" w:rsidRDefault="000A446D" w:rsidP="00E21717">
            <w:pPr>
              <w:pStyle w:val="Tabletexte"/>
              <w:jc w:val="center"/>
              <w:rPr>
                <w:lang w:val="en-GB" w:bidi="ar-EG"/>
              </w:rPr>
            </w:pPr>
            <w:r w:rsidRPr="00507A6A">
              <w:rPr>
                <w:rtl/>
              </w:rPr>
              <w:t>6.1</w:t>
            </w:r>
          </w:p>
        </w:tc>
        <w:tc>
          <w:tcPr>
            <w:tcW w:w="632" w:type="pct"/>
            <w:shd w:val="clear" w:color="auto" w:fill="DEEAF6"/>
            <w:vAlign w:val="center"/>
          </w:tcPr>
          <w:p w14:paraId="695C3D23" w14:textId="77777777" w:rsidR="000A446D" w:rsidRPr="00507A6A" w:rsidRDefault="000A446D" w:rsidP="00E21717">
            <w:pPr>
              <w:pStyle w:val="Tabletexte"/>
              <w:jc w:val="center"/>
              <w:rPr>
                <w:lang w:val="en-GB" w:bidi="ar-EG"/>
              </w:rPr>
            </w:pPr>
            <w:r w:rsidRPr="00507A6A">
              <w:rPr>
                <w:rtl/>
              </w:rPr>
              <w:t>الترتيبات التعاقدية وأدوات إدارة الموارد البشرية</w:t>
            </w:r>
          </w:p>
        </w:tc>
        <w:tc>
          <w:tcPr>
            <w:tcW w:w="1080" w:type="pct"/>
            <w:shd w:val="clear" w:color="auto" w:fill="DEEAF6"/>
            <w:vAlign w:val="center"/>
          </w:tcPr>
          <w:p w14:paraId="12A2596C" w14:textId="77777777" w:rsidR="000A446D" w:rsidRPr="00507A6A" w:rsidRDefault="000A446D" w:rsidP="00C33C60">
            <w:pPr>
              <w:pStyle w:val="Tabletexte"/>
              <w:rPr>
                <w:lang w:val="en-GB" w:bidi="ar-EG"/>
              </w:rPr>
            </w:pPr>
            <w:r w:rsidRPr="00507A6A">
              <w:rPr>
                <w:rtl/>
              </w:rPr>
              <w:t>وضع إطار تعاقدي يتضمن ترتيبات تعاقدية أكثر مرونة وتحسين الأدوات التعاقدية وتوفير الموارد المرتبطة بها للاستجابة للطفرات قصيرة الأجل في العمل، والحاجة إلى الخبرات المتخصصة والمبادرات المحددة زمنياً.</w:t>
            </w:r>
          </w:p>
        </w:tc>
        <w:tc>
          <w:tcPr>
            <w:tcW w:w="1773" w:type="pct"/>
            <w:shd w:val="clear" w:color="auto" w:fill="DEEAF6"/>
            <w:vAlign w:val="center"/>
          </w:tcPr>
          <w:p w14:paraId="794D3D07" w14:textId="720FDE9C"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الصيغ التعاقدية الجديدة المنشأة</w:t>
            </w:r>
          </w:p>
          <w:p w14:paraId="232B299C" w14:textId="01820BDA"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تصميم وتنفيذ مجموعة أدوات مخصصة للمديرين</w:t>
            </w:r>
          </w:p>
          <w:p w14:paraId="49E80716" w14:textId="4F7566FD" w:rsidR="000A446D" w:rsidRPr="00507A6A" w:rsidRDefault="00E21717" w:rsidP="00507A6A">
            <w:pPr>
              <w:pStyle w:val="enumlev1"/>
              <w:tabs>
                <w:tab w:val="clear" w:pos="794"/>
              </w:tabs>
              <w:ind w:left="486" w:hanging="486"/>
              <w:rPr>
                <w:spacing w:val="-4"/>
              </w:rPr>
            </w:pPr>
            <w:r w:rsidRPr="00507A6A">
              <w:rPr>
                <w:spacing w:val="-4"/>
                <w:sz w:val="20"/>
                <w:szCs w:val="20"/>
              </w:rPr>
              <w:sym w:font="Symbol" w:char="F0B7"/>
            </w:r>
            <w:r w:rsidRPr="00507A6A">
              <w:rPr>
                <w:spacing w:val="-4"/>
                <w:sz w:val="20"/>
                <w:szCs w:val="20"/>
                <w:rtl/>
              </w:rPr>
              <w:tab/>
            </w:r>
            <w:r w:rsidR="000A446D" w:rsidRPr="00507A6A">
              <w:rPr>
                <w:spacing w:val="-4"/>
                <w:sz w:val="20"/>
                <w:szCs w:val="20"/>
                <w:rtl/>
              </w:rPr>
              <w:t>متوسط الوقت اللازم لشغل الوظائف غير الثابتة (حسب المشروع)</w:t>
            </w:r>
          </w:p>
        </w:tc>
        <w:tc>
          <w:tcPr>
            <w:tcW w:w="963" w:type="pct"/>
            <w:shd w:val="clear" w:color="auto" w:fill="DEEAF6"/>
            <w:vAlign w:val="center"/>
          </w:tcPr>
          <w:p w14:paraId="6564A06C" w14:textId="77777777" w:rsidR="000A446D" w:rsidRPr="00507A6A" w:rsidRDefault="000A446D" w:rsidP="00E21717">
            <w:pPr>
              <w:pStyle w:val="Tabletexte"/>
              <w:jc w:val="left"/>
              <w:rPr>
                <w:lang w:val="en-GB" w:bidi="ar-EG"/>
              </w:rPr>
            </w:pPr>
            <w:r w:rsidRPr="00507A6A">
              <w:rPr>
                <w:rtl/>
                <w:lang w:bidi="ar-SA"/>
              </w:rPr>
              <w:t>الربع الرابع من عام 2026</w:t>
            </w:r>
          </w:p>
        </w:tc>
        <w:tc>
          <w:tcPr>
            <w:tcW w:w="354" w:type="pct"/>
            <w:shd w:val="clear" w:color="auto" w:fill="DEEAF6"/>
            <w:vAlign w:val="center"/>
          </w:tcPr>
          <w:p w14:paraId="606B295F" w14:textId="77777777" w:rsidR="000A446D" w:rsidRPr="00507A6A" w:rsidRDefault="000A446D" w:rsidP="000A446D">
            <w:pPr>
              <w:rPr>
                <w:sz w:val="20"/>
                <w:szCs w:val="20"/>
                <w:lang w:val="en-GB" w:bidi="ar-EG"/>
              </w:rPr>
            </w:pPr>
          </w:p>
        </w:tc>
      </w:tr>
      <w:tr w:rsidR="000A446D" w:rsidRPr="00507A6A" w14:paraId="35A990CE" w14:textId="77777777" w:rsidTr="00507A6A">
        <w:trPr>
          <w:cantSplit/>
          <w:jc w:val="center"/>
        </w:trPr>
        <w:tc>
          <w:tcPr>
            <w:tcW w:w="199" w:type="pct"/>
            <w:shd w:val="clear" w:color="auto" w:fill="C1E4F5"/>
            <w:vAlign w:val="center"/>
          </w:tcPr>
          <w:p w14:paraId="64917B5A" w14:textId="77777777" w:rsidR="000A446D" w:rsidRPr="00507A6A" w:rsidRDefault="000A446D" w:rsidP="00E21717">
            <w:pPr>
              <w:pStyle w:val="Tabletexte"/>
              <w:jc w:val="center"/>
              <w:rPr>
                <w:lang w:val="en-GB" w:bidi="ar-EG"/>
              </w:rPr>
            </w:pPr>
            <w:r w:rsidRPr="00507A6A">
              <w:rPr>
                <w:rtl/>
              </w:rPr>
              <w:t>7.1</w:t>
            </w:r>
          </w:p>
        </w:tc>
        <w:tc>
          <w:tcPr>
            <w:tcW w:w="632" w:type="pct"/>
            <w:shd w:val="clear" w:color="auto" w:fill="DEEAF6"/>
            <w:vAlign w:val="center"/>
          </w:tcPr>
          <w:p w14:paraId="3C3621C8" w14:textId="77777777" w:rsidR="000A446D" w:rsidRPr="00507A6A" w:rsidRDefault="000A446D" w:rsidP="00E21717">
            <w:pPr>
              <w:pStyle w:val="Tabletexte"/>
              <w:jc w:val="center"/>
              <w:rPr>
                <w:lang w:val="en-GB" w:bidi="ar-EG"/>
              </w:rPr>
            </w:pPr>
            <w:r w:rsidRPr="00507A6A">
              <w:rPr>
                <w:rtl/>
              </w:rPr>
              <w:t>تخطيط القوى العاملة والتعاقب الوظيفي</w:t>
            </w:r>
          </w:p>
        </w:tc>
        <w:tc>
          <w:tcPr>
            <w:tcW w:w="1080" w:type="pct"/>
            <w:shd w:val="clear" w:color="auto" w:fill="DEEAF6"/>
            <w:vAlign w:val="center"/>
          </w:tcPr>
          <w:p w14:paraId="03BAD9B1" w14:textId="77777777" w:rsidR="000A446D" w:rsidRPr="00507A6A" w:rsidRDefault="000A446D" w:rsidP="00E21717">
            <w:pPr>
              <w:pStyle w:val="Tabletexte"/>
              <w:rPr>
                <w:lang w:val="en-GB" w:bidi="ar-EG"/>
              </w:rPr>
            </w:pPr>
            <w:r w:rsidRPr="00507A6A">
              <w:rPr>
                <w:rtl/>
              </w:rPr>
              <w:t>تعزيز تخطيط القوى العاملة والتعاقب الوظيفي لاستباق الاحتياجات من حيث القدرات، وإدارة المخاطر المرتبطة بالدوران والتقاعد، ودعم قرارات التوظيف في الوقت المناسب بما يتماشى مع أولويات العمل.</w:t>
            </w:r>
          </w:p>
        </w:tc>
        <w:tc>
          <w:tcPr>
            <w:tcW w:w="1773" w:type="pct"/>
            <w:shd w:val="clear" w:color="auto" w:fill="DEEAF6"/>
            <w:vAlign w:val="center"/>
          </w:tcPr>
          <w:p w14:paraId="323DFB39" w14:textId="5FF0BC0C"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اعتماد إطار تخطيط القوى العاملة وتنفيذه (معيار نوعي)</w:t>
            </w:r>
          </w:p>
          <w:p w14:paraId="0EDB7BB9" w14:textId="48589BAA" w:rsidR="000A446D" w:rsidRPr="00507A6A" w:rsidRDefault="00E21717" w:rsidP="00507A6A">
            <w:pPr>
              <w:pStyle w:val="enumlev1"/>
              <w:tabs>
                <w:tab w:val="clear" w:pos="794"/>
              </w:tabs>
              <w:ind w:left="486" w:hanging="486"/>
              <w:rPr>
                <w:spacing w:val="-4"/>
              </w:rPr>
            </w:pPr>
            <w:r w:rsidRPr="00507A6A">
              <w:rPr>
                <w:spacing w:val="-4"/>
                <w:sz w:val="20"/>
                <w:szCs w:val="20"/>
              </w:rPr>
              <w:sym w:font="Symbol" w:char="F0B7"/>
            </w:r>
            <w:r w:rsidRPr="00507A6A">
              <w:rPr>
                <w:spacing w:val="-4"/>
                <w:sz w:val="20"/>
                <w:szCs w:val="20"/>
                <w:rtl/>
              </w:rPr>
              <w:tab/>
            </w:r>
            <w:r w:rsidR="000A446D" w:rsidRPr="00507A6A">
              <w:rPr>
                <w:spacing w:val="-4"/>
                <w:sz w:val="20"/>
                <w:szCs w:val="20"/>
                <w:rtl/>
              </w:rPr>
              <w:t xml:space="preserve">تخطيط التعاقب الوظيفي للمناصب الحاسمة (معيار كمي ونوعي) </w:t>
            </w:r>
          </w:p>
          <w:p w14:paraId="15261CA9" w14:textId="65FCCF93"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اتجاهات الوظائف الشاغرة وإتاحة رؤية التعاقب الوظيفي (</w:t>
            </w:r>
            <w:r w:rsidR="00C26622" w:rsidRPr="00507A6A">
              <w:rPr>
                <w:sz w:val="20"/>
                <w:szCs w:val="20"/>
                <w:rtl/>
              </w:rPr>
              <w:t>لوحة</w:t>
            </w:r>
            <w:r w:rsidR="00C26622" w:rsidRPr="00507A6A">
              <w:rPr>
                <w:rFonts w:hint="cs"/>
                <w:sz w:val="20"/>
                <w:szCs w:val="20"/>
                <w:rtl/>
              </w:rPr>
              <w:t> </w:t>
            </w:r>
            <w:r w:rsidR="000A446D" w:rsidRPr="00507A6A">
              <w:rPr>
                <w:sz w:val="20"/>
                <w:szCs w:val="20"/>
                <w:rtl/>
              </w:rPr>
              <w:t>معلومات)</w:t>
            </w:r>
          </w:p>
        </w:tc>
        <w:tc>
          <w:tcPr>
            <w:tcW w:w="963" w:type="pct"/>
            <w:shd w:val="clear" w:color="auto" w:fill="DEEAF6"/>
            <w:vAlign w:val="center"/>
          </w:tcPr>
          <w:p w14:paraId="72263890" w14:textId="77777777" w:rsidR="000A446D" w:rsidRPr="00507A6A" w:rsidRDefault="000A446D" w:rsidP="00E21717">
            <w:pPr>
              <w:jc w:val="left"/>
              <w:rPr>
                <w:sz w:val="20"/>
                <w:szCs w:val="20"/>
                <w:lang w:val="en-GB" w:bidi="ar-EG"/>
              </w:rPr>
            </w:pPr>
            <w:r w:rsidRPr="00507A6A">
              <w:rPr>
                <w:sz w:val="20"/>
                <w:szCs w:val="20"/>
                <w:rtl/>
              </w:rPr>
              <w:t>الربع الرابع من عام 2026</w:t>
            </w:r>
          </w:p>
        </w:tc>
        <w:tc>
          <w:tcPr>
            <w:tcW w:w="354" w:type="pct"/>
            <w:shd w:val="clear" w:color="auto" w:fill="DEEAF6"/>
            <w:vAlign w:val="center"/>
          </w:tcPr>
          <w:p w14:paraId="3F54DCDB" w14:textId="77777777" w:rsidR="000A446D" w:rsidRPr="00507A6A" w:rsidRDefault="000A446D" w:rsidP="000A446D">
            <w:pPr>
              <w:rPr>
                <w:sz w:val="20"/>
                <w:szCs w:val="20"/>
                <w:lang w:val="en-GB" w:bidi="ar-EG"/>
              </w:rPr>
            </w:pPr>
          </w:p>
        </w:tc>
      </w:tr>
      <w:tr w:rsidR="000A446D" w:rsidRPr="00507A6A" w14:paraId="61F818D3" w14:textId="77777777" w:rsidTr="00507A6A">
        <w:trPr>
          <w:cantSplit/>
          <w:jc w:val="center"/>
        </w:trPr>
        <w:tc>
          <w:tcPr>
            <w:tcW w:w="199" w:type="pct"/>
            <w:shd w:val="clear" w:color="auto" w:fill="C1E4F5"/>
            <w:vAlign w:val="center"/>
          </w:tcPr>
          <w:p w14:paraId="4525011B" w14:textId="77777777" w:rsidR="000A446D" w:rsidRPr="00507A6A" w:rsidRDefault="000A446D" w:rsidP="00E21717">
            <w:pPr>
              <w:pStyle w:val="Tabletexte"/>
              <w:jc w:val="center"/>
              <w:rPr>
                <w:lang w:val="en-GB" w:bidi="ar-EG"/>
              </w:rPr>
            </w:pPr>
            <w:r w:rsidRPr="00507A6A">
              <w:rPr>
                <w:rtl/>
              </w:rPr>
              <w:lastRenderedPageBreak/>
              <w:t>1.2</w:t>
            </w:r>
          </w:p>
        </w:tc>
        <w:tc>
          <w:tcPr>
            <w:tcW w:w="632" w:type="pct"/>
            <w:shd w:val="clear" w:color="auto" w:fill="DEEAF6"/>
            <w:vAlign w:val="center"/>
          </w:tcPr>
          <w:p w14:paraId="37A85395" w14:textId="77777777" w:rsidR="000A446D" w:rsidRPr="00507A6A" w:rsidRDefault="000A446D" w:rsidP="00E21717">
            <w:pPr>
              <w:pStyle w:val="Tabletexte"/>
              <w:jc w:val="center"/>
              <w:rPr>
                <w:lang w:val="en-GB" w:bidi="ar-EG"/>
              </w:rPr>
            </w:pPr>
            <w:r w:rsidRPr="00507A6A">
              <w:rPr>
                <w:rtl/>
              </w:rPr>
              <w:t>مسارات إعداد القيادات والكشف المبكر عن المواهب</w:t>
            </w:r>
          </w:p>
        </w:tc>
        <w:tc>
          <w:tcPr>
            <w:tcW w:w="1080" w:type="pct"/>
            <w:shd w:val="clear" w:color="auto" w:fill="DEEAF6"/>
            <w:vAlign w:val="center"/>
          </w:tcPr>
          <w:p w14:paraId="4F9B4EC0" w14:textId="77777777" w:rsidR="000A446D" w:rsidRPr="00507A6A" w:rsidRDefault="000A446D" w:rsidP="00E21717">
            <w:pPr>
              <w:pStyle w:val="Tabletexte"/>
              <w:rPr>
                <w:lang w:val="en-GB" w:bidi="ar-EG"/>
              </w:rPr>
            </w:pPr>
            <w:r w:rsidRPr="00507A6A">
              <w:rPr>
                <w:rtl/>
              </w:rPr>
              <w:t>تعزيز مسارات إعداد القيادات واعتماد نهج استباقي من خلال تحديد المواهب القيادية، من خلال توضيح توقعات القيادة، وتحديد الإمكانات المحتملة في وقت مبكر وتمكين فرص التطوير المستهدفة.</w:t>
            </w:r>
          </w:p>
        </w:tc>
        <w:tc>
          <w:tcPr>
            <w:tcW w:w="1773" w:type="pct"/>
            <w:shd w:val="clear" w:color="auto" w:fill="DEEAF6"/>
            <w:vAlign w:val="center"/>
          </w:tcPr>
          <w:p w14:paraId="1428EA81" w14:textId="3FDB4329"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عدد البرامج المقدمة لتطوير المهارات القيادية </w:t>
            </w:r>
          </w:p>
          <w:p w14:paraId="00B906AC" w14:textId="371BEB13"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معدل المشاركة واستكمال برامج تنمية المهارات القيادية</w:t>
            </w:r>
          </w:p>
        </w:tc>
        <w:tc>
          <w:tcPr>
            <w:tcW w:w="963" w:type="pct"/>
            <w:shd w:val="clear" w:color="auto" w:fill="DEEAF6"/>
            <w:vAlign w:val="center"/>
          </w:tcPr>
          <w:p w14:paraId="5541A39D" w14:textId="77777777" w:rsidR="000A446D" w:rsidRPr="00507A6A" w:rsidRDefault="000A446D" w:rsidP="00E21717">
            <w:pPr>
              <w:jc w:val="left"/>
              <w:rPr>
                <w:sz w:val="20"/>
                <w:szCs w:val="20"/>
                <w:lang w:val="en-GB" w:bidi="ar-EG"/>
              </w:rPr>
            </w:pPr>
            <w:r w:rsidRPr="00507A6A">
              <w:rPr>
                <w:sz w:val="20"/>
                <w:szCs w:val="20"/>
                <w:rtl/>
              </w:rPr>
              <w:t>يُقدم في عامي 2026 و2027</w:t>
            </w:r>
          </w:p>
        </w:tc>
        <w:tc>
          <w:tcPr>
            <w:tcW w:w="354" w:type="pct"/>
            <w:shd w:val="clear" w:color="auto" w:fill="DEEAF6"/>
            <w:vAlign w:val="center"/>
          </w:tcPr>
          <w:p w14:paraId="522EA18A" w14:textId="77777777" w:rsidR="000A446D" w:rsidRPr="00507A6A" w:rsidRDefault="000A446D" w:rsidP="000A446D">
            <w:pPr>
              <w:rPr>
                <w:sz w:val="20"/>
                <w:szCs w:val="20"/>
                <w:lang w:val="en-GB" w:bidi="ar-EG"/>
              </w:rPr>
            </w:pPr>
          </w:p>
        </w:tc>
      </w:tr>
      <w:tr w:rsidR="000A446D" w:rsidRPr="00507A6A" w14:paraId="68F2DD72" w14:textId="77777777" w:rsidTr="00507A6A">
        <w:trPr>
          <w:cantSplit/>
          <w:jc w:val="center"/>
        </w:trPr>
        <w:tc>
          <w:tcPr>
            <w:tcW w:w="199" w:type="pct"/>
            <w:shd w:val="clear" w:color="auto" w:fill="C1E4F5"/>
            <w:vAlign w:val="center"/>
          </w:tcPr>
          <w:p w14:paraId="05DD53DD" w14:textId="77777777" w:rsidR="000A446D" w:rsidRPr="00507A6A" w:rsidRDefault="000A446D" w:rsidP="00E21717">
            <w:pPr>
              <w:pStyle w:val="Tabletexte"/>
              <w:jc w:val="center"/>
              <w:rPr>
                <w:lang w:val="en-GB" w:bidi="ar-EG"/>
              </w:rPr>
            </w:pPr>
            <w:r w:rsidRPr="00507A6A">
              <w:rPr>
                <w:rtl/>
              </w:rPr>
              <w:t>2.2</w:t>
            </w:r>
          </w:p>
        </w:tc>
        <w:tc>
          <w:tcPr>
            <w:tcW w:w="632" w:type="pct"/>
            <w:shd w:val="clear" w:color="auto" w:fill="DEEAF6"/>
            <w:vAlign w:val="center"/>
          </w:tcPr>
          <w:p w14:paraId="16E6E668" w14:textId="77777777" w:rsidR="000A446D" w:rsidRPr="00507A6A" w:rsidRDefault="000A446D" w:rsidP="00E21717">
            <w:pPr>
              <w:pStyle w:val="Tabletexte"/>
              <w:jc w:val="center"/>
              <w:rPr>
                <w:lang w:val="en-GB" w:bidi="ar-EG"/>
              </w:rPr>
            </w:pPr>
            <w:r w:rsidRPr="00507A6A">
              <w:rPr>
                <w:rtl/>
              </w:rPr>
              <w:t>التدريب الإلزامي للمديرين</w:t>
            </w:r>
          </w:p>
        </w:tc>
        <w:tc>
          <w:tcPr>
            <w:tcW w:w="1080" w:type="pct"/>
            <w:shd w:val="clear" w:color="auto" w:fill="DEEAF6"/>
            <w:vAlign w:val="center"/>
          </w:tcPr>
          <w:p w14:paraId="3321E233" w14:textId="77777777" w:rsidR="000A446D" w:rsidRPr="00507A6A" w:rsidRDefault="000A446D" w:rsidP="00E21717">
            <w:pPr>
              <w:pStyle w:val="Tabletexte"/>
              <w:rPr>
                <w:lang w:val="en-GB" w:bidi="ar-EG"/>
              </w:rPr>
            </w:pPr>
            <w:r w:rsidRPr="00507A6A">
              <w:rPr>
                <w:rtl/>
              </w:rPr>
              <w:t>إدخال تدريب إلزامي للمديرين من أجل بناء/تعزيز القدرات الأساسية في إدارة الأفراد، مدعوماً بأدوات عملية وإرشادات لضمان التطبيق المتسق للسياسات والإجراءات.</w:t>
            </w:r>
          </w:p>
        </w:tc>
        <w:tc>
          <w:tcPr>
            <w:tcW w:w="1773" w:type="pct"/>
            <w:shd w:val="clear" w:color="auto" w:fill="DEEAF6"/>
            <w:vAlign w:val="center"/>
          </w:tcPr>
          <w:p w14:paraId="35EF7DC5" w14:textId="7921C063"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معدل إتمام الدورات التدريبية الإلزامية (حسب فئات المديرين)</w:t>
            </w:r>
          </w:p>
          <w:p w14:paraId="3FB8ADBB" w14:textId="3D610B97"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المديرين الذين استكملوا التدريب الإلزامي ضمن الآجال المحددة</w:t>
            </w:r>
          </w:p>
        </w:tc>
        <w:tc>
          <w:tcPr>
            <w:tcW w:w="963" w:type="pct"/>
            <w:shd w:val="clear" w:color="auto" w:fill="DEEAF6"/>
            <w:vAlign w:val="center"/>
          </w:tcPr>
          <w:p w14:paraId="2AEDBD7F" w14:textId="77777777" w:rsidR="000A446D" w:rsidRPr="00507A6A" w:rsidRDefault="000A446D" w:rsidP="00E21717">
            <w:pPr>
              <w:jc w:val="left"/>
              <w:rPr>
                <w:sz w:val="20"/>
                <w:szCs w:val="20"/>
                <w:lang w:val="en-GB" w:bidi="ar-EG"/>
              </w:rPr>
            </w:pPr>
            <w:r w:rsidRPr="00507A6A">
              <w:rPr>
                <w:sz w:val="20"/>
                <w:szCs w:val="20"/>
                <w:rtl/>
              </w:rPr>
              <w:t>الربع الرابع من عام 2026</w:t>
            </w:r>
          </w:p>
        </w:tc>
        <w:tc>
          <w:tcPr>
            <w:tcW w:w="354" w:type="pct"/>
            <w:shd w:val="clear" w:color="auto" w:fill="DEEAF6"/>
            <w:vAlign w:val="center"/>
          </w:tcPr>
          <w:p w14:paraId="7D8B6D73" w14:textId="77777777" w:rsidR="000A446D" w:rsidRPr="00507A6A" w:rsidRDefault="000A446D" w:rsidP="000A446D">
            <w:pPr>
              <w:rPr>
                <w:sz w:val="20"/>
                <w:szCs w:val="20"/>
                <w:lang w:val="en-GB" w:bidi="ar-EG"/>
              </w:rPr>
            </w:pPr>
          </w:p>
        </w:tc>
      </w:tr>
      <w:tr w:rsidR="000A446D" w:rsidRPr="00507A6A" w14:paraId="0A5BC4CF" w14:textId="77777777" w:rsidTr="00507A6A">
        <w:trPr>
          <w:cantSplit/>
          <w:jc w:val="center"/>
        </w:trPr>
        <w:tc>
          <w:tcPr>
            <w:tcW w:w="199" w:type="pct"/>
            <w:shd w:val="clear" w:color="auto" w:fill="C1E4F5"/>
            <w:vAlign w:val="center"/>
          </w:tcPr>
          <w:p w14:paraId="4826443E" w14:textId="77777777" w:rsidR="000A446D" w:rsidRPr="00507A6A" w:rsidRDefault="000A446D" w:rsidP="00E21717">
            <w:pPr>
              <w:pStyle w:val="Tabletexte"/>
              <w:jc w:val="center"/>
              <w:rPr>
                <w:lang w:val="en-GB" w:bidi="ar-EG"/>
              </w:rPr>
            </w:pPr>
            <w:r w:rsidRPr="00507A6A">
              <w:rPr>
                <w:rtl/>
              </w:rPr>
              <w:t>3.2</w:t>
            </w:r>
          </w:p>
        </w:tc>
        <w:tc>
          <w:tcPr>
            <w:tcW w:w="632" w:type="pct"/>
            <w:shd w:val="clear" w:color="auto" w:fill="DEEAF6"/>
            <w:vAlign w:val="center"/>
          </w:tcPr>
          <w:p w14:paraId="7F14D297" w14:textId="77777777" w:rsidR="000A446D" w:rsidRPr="00507A6A" w:rsidRDefault="000A446D" w:rsidP="00E21717">
            <w:pPr>
              <w:pStyle w:val="Tabletexte"/>
              <w:jc w:val="center"/>
              <w:rPr>
                <w:lang w:val="en-GB" w:bidi="ar-EG"/>
              </w:rPr>
            </w:pPr>
            <w:r w:rsidRPr="00507A6A">
              <w:rPr>
                <w:rtl/>
              </w:rPr>
              <w:t>القيادة الشاملة والقادرة على التكيف</w:t>
            </w:r>
          </w:p>
        </w:tc>
        <w:tc>
          <w:tcPr>
            <w:tcW w:w="1080" w:type="pct"/>
            <w:shd w:val="clear" w:color="auto" w:fill="DEEAF6"/>
            <w:vAlign w:val="center"/>
          </w:tcPr>
          <w:p w14:paraId="5CDFE36A" w14:textId="77777777" w:rsidR="000A446D" w:rsidRPr="00507A6A" w:rsidRDefault="000A446D" w:rsidP="00E21717">
            <w:pPr>
              <w:pStyle w:val="Tabletexte"/>
              <w:rPr>
                <w:spacing w:val="-6"/>
                <w:lang w:val="en-GB" w:bidi="ar-EG"/>
              </w:rPr>
            </w:pPr>
            <w:r w:rsidRPr="00507A6A">
              <w:rPr>
                <w:spacing w:val="-6"/>
                <w:rtl/>
              </w:rPr>
              <w:t>تعزيز القيادة الشاملة والقادرة على التكيّف لدفع عجلة الابتكار والمرونة التنظيمية، من خلال برامج التعلم المستهدفة التي تدمج المساءلة والإنصاف في القرارات اليومية المتعلقة بالموارد البشرية.</w:t>
            </w:r>
          </w:p>
        </w:tc>
        <w:tc>
          <w:tcPr>
            <w:tcW w:w="1773" w:type="pct"/>
            <w:shd w:val="clear" w:color="auto" w:fill="DEEAF6"/>
            <w:vAlign w:val="center"/>
          </w:tcPr>
          <w:p w14:paraId="14243D64" w14:textId="3AFE5637" w:rsidR="000A446D" w:rsidRPr="00507A6A" w:rsidRDefault="00E21717" w:rsidP="00507A6A">
            <w:pPr>
              <w:pStyle w:val="enumlev1"/>
              <w:tabs>
                <w:tab w:val="clear" w:pos="794"/>
              </w:tabs>
              <w:ind w:left="486" w:hanging="486"/>
              <w:rPr>
                <w:spacing w:val="-2"/>
              </w:rPr>
            </w:pPr>
            <w:r w:rsidRPr="00507A6A">
              <w:rPr>
                <w:spacing w:val="-2"/>
                <w:sz w:val="20"/>
                <w:szCs w:val="20"/>
              </w:rPr>
              <w:sym w:font="Symbol" w:char="F0B7"/>
            </w:r>
            <w:r w:rsidRPr="00507A6A">
              <w:rPr>
                <w:spacing w:val="-2"/>
                <w:sz w:val="20"/>
                <w:szCs w:val="20"/>
                <w:rtl/>
              </w:rPr>
              <w:tab/>
            </w:r>
            <w:r w:rsidR="000A446D" w:rsidRPr="00507A6A">
              <w:rPr>
                <w:spacing w:val="-2"/>
                <w:sz w:val="20"/>
                <w:szCs w:val="20"/>
                <w:rtl/>
              </w:rPr>
              <w:t>معدل المشاركة واستكمال برامج تعلّم المهارات القيادية (لا سيما في مجالات التكيف مع التغيير والمساواة بين الجنسيين)</w:t>
            </w:r>
          </w:p>
          <w:p w14:paraId="4D53DDAC" w14:textId="5FAE7D91"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نتائج بُعد بالشمول في استقصاء مشاركة الموظفين (</w:t>
            </w:r>
            <w:r w:rsidR="000A446D" w:rsidRPr="00507A6A">
              <w:rPr>
                <w:sz w:val="20"/>
                <w:szCs w:val="20"/>
              </w:rPr>
              <w:t>EES</w:t>
            </w:r>
            <w:r w:rsidR="000A446D" w:rsidRPr="00507A6A">
              <w:rPr>
                <w:sz w:val="20"/>
                <w:szCs w:val="20"/>
                <w:rtl/>
              </w:rPr>
              <w:t>) (الاتجاهات)</w:t>
            </w:r>
          </w:p>
        </w:tc>
        <w:tc>
          <w:tcPr>
            <w:tcW w:w="963" w:type="pct"/>
            <w:shd w:val="clear" w:color="auto" w:fill="DEEAF6"/>
            <w:vAlign w:val="center"/>
          </w:tcPr>
          <w:p w14:paraId="256C001B" w14:textId="77777777" w:rsidR="000A446D" w:rsidRPr="00507A6A" w:rsidRDefault="000A446D" w:rsidP="00E21717">
            <w:pPr>
              <w:jc w:val="left"/>
              <w:rPr>
                <w:sz w:val="20"/>
                <w:szCs w:val="20"/>
                <w:lang w:val="en-GB" w:bidi="ar-EG"/>
              </w:rPr>
            </w:pPr>
            <w:r w:rsidRPr="00507A6A">
              <w:rPr>
                <w:sz w:val="20"/>
                <w:szCs w:val="20"/>
                <w:rtl/>
              </w:rPr>
              <w:t>الربع الثالث من عام 2026</w:t>
            </w:r>
          </w:p>
        </w:tc>
        <w:tc>
          <w:tcPr>
            <w:tcW w:w="354" w:type="pct"/>
            <w:shd w:val="clear" w:color="auto" w:fill="DEEAF6"/>
            <w:vAlign w:val="center"/>
          </w:tcPr>
          <w:p w14:paraId="3B4CBF82" w14:textId="77777777" w:rsidR="000A446D" w:rsidRPr="00507A6A" w:rsidRDefault="000A446D" w:rsidP="000A446D">
            <w:pPr>
              <w:rPr>
                <w:sz w:val="20"/>
                <w:szCs w:val="20"/>
                <w:lang w:val="en-GB" w:bidi="ar-EG"/>
              </w:rPr>
            </w:pPr>
          </w:p>
        </w:tc>
      </w:tr>
      <w:tr w:rsidR="000A446D" w:rsidRPr="00507A6A" w14:paraId="5807BBA7" w14:textId="77777777" w:rsidTr="00507A6A">
        <w:trPr>
          <w:cantSplit/>
          <w:jc w:val="center"/>
        </w:trPr>
        <w:tc>
          <w:tcPr>
            <w:tcW w:w="199" w:type="pct"/>
            <w:shd w:val="clear" w:color="auto" w:fill="C1E4F5"/>
            <w:vAlign w:val="center"/>
          </w:tcPr>
          <w:p w14:paraId="7D99DFDC" w14:textId="77777777" w:rsidR="000A446D" w:rsidRPr="00507A6A" w:rsidRDefault="000A446D" w:rsidP="00E21717">
            <w:pPr>
              <w:pStyle w:val="Tabletexte"/>
              <w:jc w:val="center"/>
              <w:rPr>
                <w:lang w:val="en-GB" w:bidi="ar-EG"/>
              </w:rPr>
            </w:pPr>
            <w:r w:rsidRPr="00507A6A">
              <w:rPr>
                <w:rtl/>
              </w:rPr>
              <w:t>4.2</w:t>
            </w:r>
          </w:p>
        </w:tc>
        <w:tc>
          <w:tcPr>
            <w:tcW w:w="632" w:type="pct"/>
            <w:shd w:val="clear" w:color="auto" w:fill="DEEAF6"/>
            <w:vAlign w:val="center"/>
          </w:tcPr>
          <w:p w14:paraId="132DF0A3" w14:textId="77777777" w:rsidR="000A446D" w:rsidRPr="00507A6A" w:rsidRDefault="000A446D" w:rsidP="00E21717">
            <w:pPr>
              <w:pStyle w:val="Tabletexte"/>
              <w:jc w:val="center"/>
              <w:rPr>
                <w:lang w:val="en-GB" w:bidi="ar-EG"/>
              </w:rPr>
            </w:pPr>
            <w:r w:rsidRPr="00507A6A">
              <w:rPr>
                <w:rtl/>
              </w:rPr>
              <w:t>القدرة على إدارة المنازعات ومهارات العلاقات المهنية</w:t>
            </w:r>
          </w:p>
        </w:tc>
        <w:tc>
          <w:tcPr>
            <w:tcW w:w="1080" w:type="pct"/>
            <w:shd w:val="clear" w:color="auto" w:fill="DEEAF6"/>
            <w:vAlign w:val="center"/>
          </w:tcPr>
          <w:p w14:paraId="64755E7A" w14:textId="77777777" w:rsidR="000A446D" w:rsidRPr="00507A6A" w:rsidRDefault="000A446D" w:rsidP="00E21717">
            <w:pPr>
              <w:pStyle w:val="Tabletexte"/>
              <w:rPr>
                <w:spacing w:val="-2"/>
                <w:lang w:val="en-GB" w:bidi="ar-EG"/>
              </w:rPr>
            </w:pPr>
            <w:r w:rsidRPr="00507A6A">
              <w:rPr>
                <w:spacing w:val="-2"/>
                <w:rtl/>
              </w:rPr>
              <w:t>تعزيز القدرة على إدارة المنازعات والعلاقات مع مكان العمل من خلال تحسين مسارات الوقاية والتسوية، بما في ذلك الوصول في الوقت المناسب إلى المشورة والدعم المستقلين للمديرين والموظفين من خلال مكتب أمين المظالم والآليات الأخرى ذات الصلة.</w:t>
            </w:r>
          </w:p>
        </w:tc>
        <w:tc>
          <w:tcPr>
            <w:tcW w:w="1773" w:type="pct"/>
            <w:shd w:val="clear" w:color="auto" w:fill="DEEAF6"/>
            <w:vAlign w:val="center"/>
          </w:tcPr>
          <w:p w14:paraId="05B6502E" w14:textId="0BDEFD6A"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المديرين والموظفين الذين تلقوا تدريباً على منع نشوب المنازعات وتسويتها بشكل غير الرسمي</w:t>
            </w:r>
          </w:p>
          <w:p w14:paraId="3E2EB0BB" w14:textId="76C4CA81"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اتجاهات استخدام آليات التسوية غير الرسمية (من قبيل، أمين المظالم والوساطة)</w:t>
            </w:r>
          </w:p>
        </w:tc>
        <w:tc>
          <w:tcPr>
            <w:tcW w:w="963" w:type="pct"/>
            <w:shd w:val="clear" w:color="auto" w:fill="DEEAF6"/>
            <w:vAlign w:val="center"/>
          </w:tcPr>
          <w:p w14:paraId="203EBC5E" w14:textId="77777777" w:rsidR="000A446D" w:rsidRPr="00507A6A" w:rsidRDefault="000A446D" w:rsidP="00E21717">
            <w:pPr>
              <w:pStyle w:val="Tabletexte"/>
              <w:jc w:val="left"/>
              <w:rPr>
                <w:lang w:val="en-GB" w:bidi="ar-EG"/>
              </w:rPr>
            </w:pPr>
            <w:r w:rsidRPr="00507A6A">
              <w:rPr>
                <w:rtl/>
              </w:rPr>
              <w:t>الربع الثالث من عام 2026</w:t>
            </w:r>
          </w:p>
        </w:tc>
        <w:tc>
          <w:tcPr>
            <w:tcW w:w="354" w:type="pct"/>
            <w:shd w:val="clear" w:color="auto" w:fill="DEEAF6"/>
            <w:vAlign w:val="center"/>
          </w:tcPr>
          <w:p w14:paraId="21CD3219" w14:textId="77777777" w:rsidR="000A446D" w:rsidRPr="00507A6A" w:rsidRDefault="000A446D" w:rsidP="000A446D">
            <w:pPr>
              <w:rPr>
                <w:sz w:val="20"/>
                <w:szCs w:val="20"/>
                <w:lang w:val="en-GB" w:bidi="ar-EG"/>
              </w:rPr>
            </w:pPr>
          </w:p>
        </w:tc>
      </w:tr>
      <w:tr w:rsidR="000A446D" w:rsidRPr="00507A6A" w14:paraId="7ADD3FD3" w14:textId="77777777" w:rsidTr="00507A6A">
        <w:trPr>
          <w:cantSplit/>
          <w:jc w:val="center"/>
        </w:trPr>
        <w:tc>
          <w:tcPr>
            <w:tcW w:w="199" w:type="pct"/>
            <w:shd w:val="clear" w:color="auto" w:fill="C1E4F5"/>
            <w:vAlign w:val="center"/>
          </w:tcPr>
          <w:p w14:paraId="3BB6D5F4" w14:textId="77777777" w:rsidR="000A446D" w:rsidRPr="00507A6A" w:rsidRDefault="000A446D" w:rsidP="00E21717">
            <w:pPr>
              <w:pStyle w:val="Tabletexte"/>
              <w:jc w:val="center"/>
              <w:rPr>
                <w:lang w:val="de-CH" w:bidi="ar-EG"/>
              </w:rPr>
            </w:pPr>
            <w:r w:rsidRPr="00507A6A">
              <w:rPr>
                <w:rtl/>
              </w:rPr>
              <w:t>5.2</w:t>
            </w:r>
          </w:p>
        </w:tc>
        <w:tc>
          <w:tcPr>
            <w:tcW w:w="632" w:type="pct"/>
            <w:shd w:val="clear" w:color="auto" w:fill="DEEAF6"/>
            <w:vAlign w:val="center"/>
          </w:tcPr>
          <w:p w14:paraId="703AB4C6" w14:textId="0F3F496F" w:rsidR="000A446D" w:rsidRPr="00507A6A" w:rsidRDefault="000A446D" w:rsidP="00E21717">
            <w:pPr>
              <w:pStyle w:val="Tabletexte"/>
              <w:jc w:val="center"/>
              <w:rPr>
                <w:lang w:val="fr-FR" w:bidi="ar-EG"/>
              </w:rPr>
            </w:pPr>
            <w:r w:rsidRPr="00507A6A">
              <w:rPr>
                <w:rtl/>
              </w:rPr>
              <w:t>مشروع تجريبي لاستخلاص رؤى من الملاحظات التقييمية</w:t>
            </w:r>
          </w:p>
        </w:tc>
        <w:tc>
          <w:tcPr>
            <w:tcW w:w="1080" w:type="pct"/>
            <w:shd w:val="clear" w:color="auto" w:fill="DEEAF6"/>
            <w:vAlign w:val="center"/>
          </w:tcPr>
          <w:p w14:paraId="1736068B" w14:textId="77777777" w:rsidR="000A446D" w:rsidRPr="00507A6A" w:rsidRDefault="000A446D" w:rsidP="00E21717">
            <w:pPr>
              <w:pStyle w:val="Tabletexte"/>
              <w:rPr>
                <w:lang w:val="en-GB" w:bidi="ar-EG"/>
              </w:rPr>
            </w:pPr>
            <w:bookmarkStart w:id="2" w:name="_Hlk220430719"/>
            <w:r w:rsidRPr="00507A6A">
              <w:rPr>
                <w:rtl/>
              </w:rPr>
              <w:t>إطلاق مشروع تجريبي لآليات الملاحظات التقييمية لفائدة المديرين (مثل التقييم بزاوية 360 درجة) لتعزيز الوعي الذاتي والسلوكيات القيادية ودعم التحسين المستمر.</w:t>
            </w:r>
            <w:bookmarkEnd w:id="2"/>
          </w:p>
        </w:tc>
        <w:tc>
          <w:tcPr>
            <w:tcW w:w="1773" w:type="pct"/>
            <w:shd w:val="clear" w:color="auto" w:fill="DEEAF6"/>
            <w:vAlign w:val="center"/>
          </w:tcPr>
          <w:p w14:paraId="0EA5CAA8" w14:textId="6796FFB4"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إطلاق المشروع التجريبي (نعم/لا) </w:t>
            </w:r>
          </w:p>
          <w:p w14:paraId="095C3F70" w14:textId="2A137311"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معدل المشاركة</w:t>
            </w:r>
          </w:p>
        </w:tc>
        <w:tc>
          <w:tcPr>
            <w:tcW w:w="963" w:type="pct"/>
            <w:shd w:val="clear" w:color="auto" w:fill="DEEAF6"/>
            <w:vAlign w:val="center"/>
          </w:tcPr>
          <w:p w14:paraId="32FA6C34" w14:textId="77777777" w:rsidR="000A446D" w:rsidRPr="00507A6A" w:rsidRDefault="000A446D" w:rsidP="00E21717">
            <w:pPr>
              <w:pStyle w:val="Tabletexte"/>
              <w:jc w:val="left"/>
              <w:rPr>
                <w:lang w:val="en-GB" w:bidi="ar-EG"/>
              </w:rPr>
            </w:pPr>
            <w:r w:rsidRPr="00507A6A">
              <w:rPr>
                <w:rtl/>
              </w:rPr>
              <w:t>الربع الثاني من عام 2026</w:t>
            </w:r>
          </w:p>
        </w:tc>
        <w:tc>
          <w:tcPr>
            <w:tcW w:w="354" w:type="pct"/>
            <w:shd w:val="clear" w:color="auto" w:fill="DEEAF6"/>
            <w:vAlign w:val="center"/>
          </w:tcPr>
          <w:p w14:paraId="4C15C96D" w14:textId="77777777" w:rsidR="000A446D" w:rsidRPr="00507A6A" w:rsidRDefault="000A446D" w:rsidP="000A446D">
            <w:pPr>
              <w:rPr>
                <w:sz w:val="20"/>
                <w:szCs w:val="20"/>
                <w:lang w:val="en-GB" w:bidi="ar-EG"/>
              </w:rPr>
            </w:pPr>
          </w:p>
        </w:tc>
      </w:tr>
      <w:tr w:rsidR="000A446D" w:rsidRPr="00507A6A" w14:paraId="69A5B21C" w14:textId="77777777" w:rsidTr="00507A6A">
        <w:trPr>
          <w:cantSplit/>
          <w:jc w:val="center"/>
        </w:trPr>
        <w:tc>
          <w:tcPr>
            <w:tcW w:w="199" w:type="pct"/>
            <w:shd w:val="clear" w:color="auto" w:fill="C1E4F5"/>
            <w:vAlign w:val="center"/>
          </w:tcPr>
          <w:p w14:paraId="14E66AB4" w14:textId="77777777" w:rsidR="000A446D" w:rsidRPr="00507A6A" w:rsidRDefault="000A446D" w:rsidP="00E21717">
            <w:pPr>
              <w:pStyle w:val="Tabletexte"/>
              <w:jc w:val="center"/>
              <w:rPr>
                <w:rtl/>
              </w:rPr>
            </w:pPr>
            <w:r w:rsidRPr="00507A6A">
              <w:rPr>
                <w:rtl/>
              </w:rPr>
              <w:lastRenderedPageBreak/>
              <w:t>6.2</w:t>
            </w:r>
          </w:p>
        </w:tc>
        <w:tc>
          <w:tcPr>
            <w:tcW w:w="632" w:type="pct"/>
            <w:shd w:val="clear" w:color="auto" w:fill="DEEAF6"/>
            <w:vAlign w:val="center"/>
          </w:tcPr>
          <w:p w14:paraId="66984857" w14:textId="77777777" w:rsidR="000A446D" w:rsidRPr="00507A6A" w:rsidRDefault="000A446D" w:rsidP="00E21717">
            <w:pPr>
              <w:pStyle w:val="Tabletexte"/>
              <w:jc w:val="center"/>
              <w:rPr>
                <w:lang w:val="en-GB" w:bidi="ar-EG"/>
              </w:rPr>
            </w:pPr>
            <w:r w:rsidRPr="00507A6A">
              <w:rPr>
                <w:rtl/>
              </w:rPr>
              <w:t>تدريب الموظفين الإداريين</w:t>
            </w:r>
          </w:p>
        </w:tc>
        <w:tc>
          <w:tcPr>
            <w:tcW w:w="1080" w:type="pct"/>
            <w:shd w:val="clear" w:color="auto" w:fill="DEEAF6"/>
            <w:vAlign w:val="center"/>
          </w:tcPr>
          <w:p w14:paraId="7B1C2059" w14:textId="77777777" w:rsidR="000A446D" w:rsidRPr="00507A6A" w:rsidRDefault="000A446D" w:rsidP="00E21717">
            <w:pPr>
              <w:pStyle w:val="Tabletexte"/>
              <w:rPr>
                <w:spacing w:val="-2"/>
                <w:lang w:val="en-GB" w:bidi="ar-EG"/>
              </w:rPr>
            </w:pPr>
            <w:r w:rsidRPr="00507A6A">
              <w:rPr>
                <w:spacing w:val="-2"/>
                <w:rtl/>
              </w:rPr>
              <w:t>توسيع نطاق التدريب التنفيذي لدعم كبار القادة والفئات ذات الأولوية في قيادة التغيير والتعامل مع المواقف المعقدة لإدارة الموارد البشرية.</w:t>
            </w:r>
          </w:p>
        </w:tc>
        <w:tc>
          <w:tcPr>
            <w:tcW w:w="1773" w:type="pct"/>
            <w:shd w:val="clear" w:color="auto" w:fill="DEEAF6"/>
            <w:vAlign w:val="center"/>
          </w:tcPr>
          <w:p w14:paraId="0111E202" w14:textId="6406198A"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كبار المسؤولين الذين يتلقون التدريب</w:t>
            </w:r>
          </w:p>
        </w:tc>
        <w:tc>
          <w:tcPr>
            <w:tcW w:w="963" w:type="pct"/>
            <w:shd w:val="clear" w:color="auto" w:fill="DEEAF6"/>
            <w:vAlign w:val="center"/>
          </w:tcPr>
          <w:p w14:paraId="26181AF4" w14:textId="77777777" w:rsidR="000A446D" w:rsidRPr="00507A6A" w:rsidRDefault="000A446D" w:rsidP="00E21717">
            <w:pPr>
              <w:pStyle w:val="Tabletexte"/>
              <w:jc w:val="left"/>
              <w:rPr>
                <w:lang w:val="en-GB" w:bidi="ar-EG"/>
              </w:rPr>
            </w:pPr>
            <w:r w:rsidRPr="00507A6A">
              <w:rPr>
                <w:rtl/>
              </w:rPr>
              <w:t>الربع الرابع من عام 2026</w:t>
            </w:r>
          </w:p>
        </w:tc>
        <w:tc>
          <w:tcPr>
            <w:tcW w:w="354" w:type="pct"/>
            <w:shd w:val="clear" w:color="auto" w:fill="DEEAF6"/>
            <w:vAlign w:val="center"/>
          </w:tcPr>
          <w:p w14:paraId="05CECD46" w14:textId="77777777" w:rsidR="000A446D" w:rsidRPr="00507A6A" w:rsidRDefault="000A446D" w:rsidP="000A446D">
            <w:pPr>
              <w:rPr>
                <w:sz w:val="20"/>
                <w:szCs w:val="20"/>
                <w:lang w:val="en-GB" w:bidi="ar-EG"/>
              </w:rPr>
            </w:pPr>
          </w:p>
        </w:tc>
      </w:tr>
      <w:tr w:rsidR="000A446D" w:rsidRPr="00507A6A" w14:paraId="7E7609DA" w14:textId="77777777" w:rsidTr="00507A6A">
        <w:trPr>
          <w:cantSplit/>
          <w:jc w:val="center"/>
        </w:trPr>
        <w:tc>
          <w:tcPr>
            <w:tcW w:w="199" w:type="pct"/>
            <w:shd w:val="clear" w:color="auto" w:fill="C1E4F5"/>
            <w:vAlign w:val="center"/>
          </w:tcPr>
          <w:p w14:paraId="14AEBCCB" w14:textId="77777777" w:rsidR="000A446D" w:rsidRPr="00507A6A" w:rsidRDefault="000A446D" w:rsidP="00E21717">
            <w:pPr>
              <w:pStyle w:val="Tabletexte"/>
              <w:jc w:val="center"/>
              <w:rPr>
                <w:lang w:val="en-GB" w:bidi="ar-EG"/>
              </w:rPr>
            </w:pPr>
            <w:r w:rsidRPr="00507A6A">
              <w:rPr>
                <w:rtl/>
              </w:rPr>
              <w:t>7.2</w:t>
            </w:r>
          </w:p>
        </w:tc>
        <w:tc>
          <w:tcPr>
            <w:tcW w:w="632" w:type="pct"/>
            <w:shd w:val="clear" w:color="auto" w:fill="DEEAF6"/>
            <w:vAlign w:val="center"/>
          </w:tcPr>
          <w:p w14:paraId="0E8D8706" w14:textId="77777777" w:rsidR="000A446D" w:rsidRPr="00507A6A" w:rsidRDefault="000A446D" w:rsidP="00E21717">
            <w:pPr>
              <w:pStyle w:val="Tabletexte"/>
              <w:jc w:val="center"/>
              <w:rPr>
                <w:lang w:val="en-GB" w:bidi="ar-EG"/>
              </w:rPr>
            </w:pPr>
            <w:r w:rsidRPr="00507A6A">
              <w:rPr>
                <w:rtl/>
              </w:rPr>
              <w:t>إدارة الأداء والمحادثات الصعبة</w:t>
            </w:r>
          </w:p>
        </w:tc>
        <w:tc>
          <w:tcPr>
            <w:tcW w:w="1080" w:type="pct"/>
            <w:shd w:val="clear" w:color="auto" w:fill="DEEAF6"/>
            <w:vAlign w:val="center"/>
          </w:tcPr>
          <w:p w14:paraId="6681AB66" w14:textId="77777777" w:rsidR="000A446D" w:rsidRPr="00507A6A" w:rsidRDefault="000A446D" w:rsidP="00E21717">
            <w:pPr>
              <w:pStyle w:val="Tabletexte"/>
              <w:rPr>
                <w:lang w:val="en-GB" w:bidi="ar-EG"/>
              </w:rPr>
            </w:pPr>
            <w:r w:rsidRPr="00507A6A">
              <w:rPr>
                <w:rtl/>
              </w:rPr>
              <w:t>تعزيز إدارة الأداء، بما في ذلك معالجة ضعف الأداء، من خلال وضع معايير أوضح، وتحسين ممارسات التوثيق، وبناء قدرات المديرين بشكل مستهدف.</w:t>
            </w:r>
          </w:p>
        </w:tc>
        <w:tc>
          <w:tcPr>
            <w:tcW w:w="1773" w:type="pct"/>
            <w:shd w:val="clear" w:color="auto" w:fill="DEEAF6"/>
            <w:vAlign w:val="center"/>
          </w:tcPr>
          <w:p w14:paraId="17994711" w14:textId="6917EFB8"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معدلات الامتثال (إدارة الأداء) </w:t>
            </w:r>
          </w:p>
          <w:p w14:paraId="6E4816F0" w14:textId="38DD3C95" w:rsidR="000A446D" w:rsidRPr="00507A6A" w:rsidRDefault="00E21717"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المديرين المدربين على إدارة الأداء ومعالجة ضعف الأداء وإدارة الحوارات الصعبة</w:t>
            </w:r>
          </w:p>
        </w:tc>
        <w:tc>
          <w:tcPr>
            <w:tcW w:w="963" w:type="pct"/>
            <w:shd w:val="clear" w:color="auto" w:fill="DEEAF6"/>
            <w:vAlign w:val="center"/>
          </w:tcPr>
          <w:p w14:paraId="5EA4E521" w14:textId="77777777" w:rsidR="000A446D" w:rsidRPr="00507A6A" w:rsidRDefault="000A446D" w:rsidP="00E21717">
            <w:pPr>
              <w:pStyle w:val="Tabletexte"/>
              <w:jc w:val="left"/>
              <w:rPr>
                <w:lang w:val="en-GB" w:bidi="ar-EG"/>
              </w:rPr>
            </w:pPr>
            <w:r w:rsidRPr="00507A6A">
              <w:rPr>
                <w:rtl/>
              </w:rPr>
              <w:t>الربع الرابع من عام 2026 والربع الرابع من عام 2027 (تتم على أساس سنوي)</w:t>
            </w:r>
          </w:p>
        </w:tc>
        <w:tc>
          <w:tcPr>
            <w:tcW w:w="354" w:type="pct"/>
            <w:shd w:val="clear" w:color="auto" w:fill="DEEAF6"/>
            <w:vAlign w:val="center"/>
          </w:tcPr>
          <w:p w14:paraId="76F70B36" w14:textId="77777777" w:rsidR="000A446D" w:rsidRPr="00507A6A" w:rsidRDefault="000A446D" w:rsidP="000A446D">
            <w:pPr>
              <w:rPr>
                <w:sz w:val="20"/>
                <w:szCs w:val="20"/>
                <w:lang w:val="en-GB" w:bidi="ar-EG"/>
              </w:rPr>
            </w:pPr>
          </w:p>
        </w:tc>
      </w:tr>
      <w:tr w:rsidR="000A446D" w:rsidRPr="00507A6A" w14:paraId="261A737D" w14:textId="77777777" w:rsidTr="00507A6A">
        <w:trPr>
          <w:cantSplit/>
          <w:jc w:val="center"/>
        </w:trPr>
        <w:tc>
          <w:tcPr>
            <w:tcW w:w="199" w:type="pct"/>
            <w:shd w:val="clear" w:color="auto" w:fill="C1E4F5"/>
            <w:vAlign w:val="center"/>
          </w:tcPr>
          <w:p w14:paraId="1164FE7D" w14:textId="77777777" w:rsidR="000A446D" w:rsidRPr="00507A6A" w:rsidRDefault="000A446D" w:rsidP="00E21717">
            <w:pPr>
              <w:pStyle w:val="Tabletexte"/>
              <w:jc w:val="center"/>
              <w:rPr>
                <w:lang w:val="en-GB" w:bidi="ar-EG"/>
              </w:rPr>
            </w:pPr>
            <w:r w:rsidRPr="00507A6A">
              <w:rPr>
                <w:rtl/>
              </w:rPr>
              <w:t>8.2</w:t>
            </w:r>
          </w:p>
        </w:tc>
        <w:tc>
          <w:tcPr>
            <w:tcW w:w="632" w:type="pct"/>
            <w:shd w:val="clear" w:color="auto" w:fill="DEEAF6"/>
            <w:vAlign w:val="center"/>
          </w:tcPr>
          <w:p w14:paraId="6A83B27C" w14:textId="77777777" w:rsidR="000A446D" w:rsidRPr="00507A6A" w:rsidRDefault="000A446D" w:rsidP="00E21717">
            <w:pPr>
              <w:pStyle w:val="Tabletexte"/>
              <w:jc w:val="center"/>
              <w:rPr>
                <w:lang w:val="en-GB" w:bidi="ar-EG"/>
              </w:rPr>
            </w:pPr>
            <w:r w:rsidRPr="00507A6A">
              <w:rPr>
                <w:rtl/>
              </w:rPr>
              <w:t>إطار المكافآت والتقدير</w:t>
            </w:r>
          </w:p>
        </w:tc>
        <w:tc>
          <w:tcPr>
            <w:tcW w:w="1080" w:type="pct"/>
            <w:shd w:val="clear" w:color="auto" w:fill="DEEAF6"/>
            <w:vAlign w:val="center"/>
          </w:tcPr>
          <w:p w14:paraId="59633E46" w14:textId="2EB4282C" w:rsidR="000A446D" w:rsidRPr="00507A6A" w:rsidRDefault="000A446D" w:rsidP="00E21717">
            <w:pPr>
              <w:pStyle w:val="Tabletexte"/>
              <w:rPr>
                <w:spacing w:val="-6"/>
                <w:lang w:val="en-GB" w:bidi="ar-EG"/>
              </w:rPr>
            </w:pPr>
            <w:r w:rsidRPr="00507A6A">
              <w:rPr>
                <w:spacing w:val="-6"/>
                <w:rtl/>
              </w:rPr>
              <w:t xml:space="preserve">تنفيذ إطار المكافآت والتقدير لتعزيز ثقافة الاعتراف بالشفافية والشمول في الوقت المناسب، </w:t>
            </w:r>
            <w:r w:rsidR="00DE24D9" w:rsidRPr="00507A6A">
              <w:rPr>
                <w:spacing w:val="-6"/>
                <w:rtl/>
              </w:rPr>
              <w:t>بما</w:t>
            </w:r>
            <w:r w:rsidR="00DE24D9" w:rsidRPr="00507A6A">
              <w:rPr>
                <w:rFonts w:hint="cs"/>
                <w:spacing w:val="-6"/>
                <w:rtl/>
              </w:rPr>
              <w:t> </w:t>
            </w:r>
            <w:r w:rsidRPr="00507A6A">
              <w:rPr>
                <w:spacing w:val="-6"/>
                <w:rtl/>
              </w:rPr>
              <w:t>يتماشى مع الأداء والقيم المشتركة.</w:t>
            </w:r>
          </w:p>
        </w:tc>
        <w:tc>
          <w:tcPr>
            <w:tcW w:w="1773" w:type="pct"/>
            <w:shd w:val="clear" w:color="auto" w:fill="DEEAF6"/>
            <w:vAlign w:val="center"/>
          </w:tcPr>
          <w:p w14:paraId="4F58ED9A" w14:textId="059C6740"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اعتماد الإطار وتنفيذه (معيار نوعي) </w:t>
            </w:r>
          </w:p>
          <w:p w14:paraId="21A0158C" w14:textId="5A529DED"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اعتماد آليات التقدير (عدد/نسبة) </w:t>
            </w:r>
          </w:p>
          <w:p w14:paraId="15676538" w14:textId="0FE7BCBA" w:rsidR="000A446D" w:rsidRPr="00507A6A" w:rsidRDefault="00143E30" w:rsidP="00507A6A">
            <w:pPr>
              <w:pStyle w:val="enumlev1"/>
              <w:tabs>
                <w:tab w:val="clear" w:pos="794"/>
              </w:tabs>
              <w:ind w:left="486" w:hanging="486"/>
              <w:rPr>
                <w:spacing w:val="-4"/>
              </w:rPr>
            </w:pPr>
            <w:r w:rsidRPr="00507A6A">
              <w:rPr>
                <w:spacing w:val="-4"/>
                <w:sz w:val="20"/>
                <w:szCs w:val="20"/>
              </w:rPr>
              <w:sym w:font="Symbol" w:char="F0B7"/>
            </w:r>
            <w:r w:rsidRPr="00507A6A">
              <w:rPr>
                <w:spacing w:val="-4"/>
                <w:sz w:val="20"/>
                <w:szCs w:val="20"/>
                <w:rtl/>
              </w:rPr>
              <w:tab/>
            </w:r>
            <w:r w:rsidR="000A446D" w:rsidRPr="00507A6A">
              <w:rPr>
                <w:spacing w:val="-4"/>
                <w:sz w:val="20"/>
                <w:szCs w:val="20"/>
                <w:rtl/>
              </w:rPr>
              <w:t>إدراك الموظفين للتقدير/الإنصاف (استقصاء مشاركة الموظفين</w:t>
            </w:r>
            <w:r w:rsidR="00507A6A">
              <w:rPr>
                <w:spacing w:val="-4"/>
                <w:sz w:val="20"/>
                <w:szCs w:val="20"/>
                <w:rtl/>
              </w:rPr>
              <w:t>/</w:t>
            </w:r>
            <w:r w:rsidR="000A446D" w:rsidRPr="00507A6A">
              <w:rPr>
                <w:spacing w:val="-4"/>
                <w:sz w:val="20"/>
                <w:szCs w:val="20"/>
                <w:rtl/>
              </w:rPr>
              <w:t>معيار نوعي)</w:t>
            </w:r>
          </w:p>
        </w:tc>
        <w:tc>
          <w:tcPr>
            <w:tcW w:w="963" w:type="pct"/>
            <w:shd w:val="clear" w:color="auto" w:fill="DEEAF6"/>
            <w:vAlign w:val="center"/>
          </w:tcPr>
          <w:p w14:paraId="3AA2C227" w14:textId="001ECA6D" w:rsidR="000A446D" w:rsidRPr="00507A6A" w:rsidRDefault="000A446D" w:rsidP="00E21717">
            <w:pPr>
              <w:pStyle w:val="Tabletexte"/>
              <w:jc w:val="left"/>
              <w:rPr>
                <w:lang w:val="en-GB" w:bidi="ar-EG"/>
              </w:rPr>
            </w:pPr>
            <w:r w:rsidRPr="00507A6A">
              <w:rPr>
                <w:rtl/>
              </w:rPr>
              <w:t xml:space="preserve">الربع الرابع من عام 2026 </w:t>
            </w:r>
            <w:r w:rsidR="00143E30" w:rsidRPr="00507A6A">
              <w:rPr>
                <w:rtl/>
              </w:rPr>
              <w:br/>
            </w:r>
            <w:r w:rsidRPr="00507A6A">
              <w:rPr>
                <w:rtl/>
              </w:rPr>
              <w:t>(ثم سنوياً)</w:t>
            </w:r>
          </w:p>
        </w:tc>
        <w:tc>
          <w:tcPr>
            <w:tcW w:w="354" w:type="pct"/>
            <w:shd w:val="clear" w:color="auto" w:fill="DEEAF6"/>
            <w:vAlign w:val="center"/>
          </w:tcPr>
          <w:p w14:paraId="10FF1D79" w14:textId="77777777" w:rsidR="000A446D" w:rsidRPr="00507A6A" w:rsidRDefault="000A446D" w:rsidP="000A446D">
            <w:pPr>
              <w:rPr>
                <w:sz w:val="20"/>
                <w:szCs w:val="20"/>
                <w:lang w:val="en-GB" w:bidi="ar-EG"/>
              </w:rPr>
            </w:pPr>
          </w:p>
        </w:tc>
      </w:tr>
      <w:tr w:rsidR="000A446D" w:rsidRPr="00507A6A" w14:paraId="27DD0D80" w14:textId="77777777" w:rsidTr="00507A6A">
        <w:trPr>
          <w:cantSplit/>
          <w:jc w:val="center"/>
        </w:trPr>
        <w:tc>
          <w:tcPr>
            <w:tcW w:w="199" w:type="pct"/>
            <w:shd w:val="clear" w:color="auto" w:fill="C1E4F5"/>
            <w:vAlign w:val="center"/>
          </w:tcPr>
          <w:p w14:paraId="5FCD55A7" w14:textId="77777777" w:rsidR="000A446D" w:rsidRPr="00507A6A" w:rsidRDefault="000A446D" w:rsidP="00E21717">
            <w:pPr>
              <w:pStyle w:val="Tabletexte"/>
              <w:jc w:val="center"/>
              <w:rPr>
                <w:lang w:val="en-GB" w:bidi="ar-EG"/>
              </w:rPr>
            </w:pPr>
            <w:r w:rsidRPr="00507A6A">
              <w:rPr>
                <w:rtl/>
              </w:rPr>
              <w:t>1.3</w:t>
            </w:r>
          </w:p>
        </w:tc>
        <w:tc>
          <w:tcPr>
            <w:tcW w:w="632" w:type="pct"/>
            <w:shd w:val="clear" w:color="auto" w:fill="DEEAF6"/>
            <w:vAlign w:val="center"/>
          </w:tcPr>
          <w:p w14:paraId="635BE04D" w14:textId="77777777" w:rsidR="000A446D" w:rsidRPr="00507A6A" w:rsidRDefault="000A446D" w:rsidP="00E21717">
            <w:pPr>
              <w:pStyle w:val="Tabletexte"/>
              <w:jc w:val="center"/>
              <w:rPr>
                <w:lang w:val="en-GB" w:bidi="ar-EG"/>
              </w:rPr>
            </w:pPr>
            <w:r w:rsidRPr="00507A6A">
              <w:rPr>
                <w:rtl/>
              </w:rPr>
              <w:t>التطوير الوظيفي</w:t>
            </w:r>
          </w:p>
        </w:tc>
        <w:tc>
          <w:tcPr>
            <w:tcW w:w="1080" w:type="pct"/>
            <w:shd w:val="clear" w:color="auto" w:fill="DEEAF6"/>
            <w:vAlign w:val="center"/>
          </w:tcPr>
          <w:p w14:paraId="56B8D4BF" w14:textId="77777777" w:rsidR="000A446D" w:rsidRPr="00507A6A" w:rsidRDefault="000A446D" w:rsidP="00E21717">
            <w:pPr>
              <w:pStyle w:val="Tabletexte"/>
              <w:rPr>
                <w:spacing w:val="-6"/>
                <w:lang w:val="en-GB" w:bidi="ar-EG"/>
              </w:rPr>
            </w:pPr>
            <w:r w:rsidRPr="00507A6A">
              <w:rPr>
                <w:spacing w:val="-6"/>
                <w:rtl/>
              </w:rPr>
              <w:t>تعزيز أطر التطوير الوظيفي لتوفير توقعات واضحة وخيارات تطوير عبر المجالات والدرجات الوظيفية.</w:t>
            </w:r>
          </w:p>
        </w:tc>
        <w:tc>
          <w:tcPr>
            <w:tcW w:w="1773" w:type="pct"/>
            <w:shd w:val="clear" w:color="auto" w:fill="DEEAF6"/>
            <w:vAlign w:val="center"/>
          </w:tcPr>
          <w:p w14:paraId="0BC67703" w14:textId="53BEB3A7"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الموظفين الذين شاركوا في برامج مخصصة للتطوير الوظيفي</w:t>
            </w:r>
            <w:r w:rsidR="00507A6A">
              <w:rPr>
                <w:sz w:val="20"/>
                <w:szCs w:val="20"/>
                <w:rtl/>
              </w:rPr>
              <w:t>/</w:t>
            </w:r>
            <w:r w:rsidR="000A446D" w:rsidRPr="00507A6A">
              <w:rPr>
                <w:sz w:val="20"/>
                <w:szCs w:val="20"/>
                <w:rtl/>
              </w:rPr>
              <w:t xml:space="preserve">تحسين المهارات </w:t>
            </w:r>
          </w:p>
          <w:p w14:paraId="57D0567A" w14:textId="59963E78"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توفير برامج مخصصة للتطوير الوظيفي بما في ذلك إعداد السيرة الذاتية والتدريب على المقابلات القائمة على الكفاءات</w:t>
            </w:r>
            <w:r w:rsidR="00A14CDB" w:rsidRPr="00507A6A">
              <w:rPr>
                <w:rFonts w:hint="cs"/>
                <w:sz w:val="20"/>
                <w:szCs w:val="20"/>
                <w:rtl/>
              </w:rPr>
              <w:t> </w:t>
            </w:r>
            <w:r w:rsidR="00A14CDB" w:rsidRPr="00507A6A">
              <w:rPr>
                <w:sz w:val="20"/>
                <w:szCs w:val="20"/>
              </w:rPr>
              <w:t>(CBI)</w:t>
            </w:r>
            <w:r w:rsidR="000A446D" w:rsidRPr="00507A6A">
              <w:rPr>
                <w:sz w:val="20"/>
                <w:szCs w:val="20"/>
                <w:rtl/>
              </w:rPr>
              <w:t xml:space="preserve"> (استقصاء مشاركة الموظفين/ معيار نوعي)</w:t>
            </w:r>
          </w:p>
        </w:tc>
        <w:tc>
          <w:tcPr>
            <w:tcW w:w="963" w:type="pct"/>
            <w:shd w:val="clear" w:color="auto" w:fill="DEEAF6"/>
            <w:vAlign w:val="center"/>
          </w:tcPr>
          <w:p w14:paraId="6E925C7C" w14:textId="31A4D9A3" w:rsidR="000A446D" w:rsidRPr="00507A6A" w:rsidRDefault="000A446D" w:rsidP="00E21717">
            <w:pPr>
              <w:pStyle w:val="Tabletexte"/>
              <w:jc w:val="left"/>
              <w:rPr>
                <w:lang w:val="en-GB" w:bidi="ar-EG"/>
              </w:rPr>
            </w:pPr>
            <w:r w:rsidRPr="00507A6A">
              <w:rPr>
                <w:rtl/>
              </w:rPr>
              <w:t>الربع الثالث من عام 2026</w:t>
            </w:r>
            <w:r w:rsidR="00507A6A">
              <w:rPr>
                <w:rtl/>
              </w:rPr>
              <w:t>/</w:t>
            </w:r>
            <w:r w:rsidRPr="00507A6A">
              <w:rPr>
                <w:rtl/>
              </w:rPr>
              <w:t>الربع الثالث من عام 2027 (يُقدم سنوياَ)</w:t>
            </w:r>
          </w:p>
        </w:tc>
        <w:tc>
          <w:tcPr>
            <w:tcW w:w="354" w:type="pct"/>
            <w:shd w:val="clear" w:color="auto" w:fill="DEEAF6"/>
          </w:tcPr>
          <w:p w14:paraId="7FF2FCE6" w14:textId="77777777" w:rsidR="000A446D" w:rsidRPr="00507A6A" w:rsidRDefault="000A446D" w:rsidP="000A446D">
            <w:pPr>
              <w:rPr>
                <w:sz w:val="20"/>
                <w:szCs w:val="20"/>
                <w:lang w:val="en-GB" w:bidi="ar-EG"/>
              </w:rPr>
            </w:pPr>
          </w:p>
        </w:tc>
      </w:tr>
      <w:tr w:rsidR="000A446D" w:rsidRPr="00507A6A" w14:paraId="5F45017B" w14:textId="77777777" w:rsidTr="00507A6A">
        <w:trPr>
          <w:cantSplit/>
          <w:jc w:val="center"/>
        </w:trPr>
        <w:tc>
          <w:tcPr>
            <w:tcW w:w="199" w:type="pct"/>
            <w:shd w:val="clear" w:color="auto" w:fill="C1E4F5"/>
            <w:vAlign w:val="center"/>
          </w:tcPr>
          <w:p w14:paraId="665BAA69" w14:textId="77777777" w:rsidR="000A446D" w:rsidRPr="00507A6A" w:rsidRDefault="000A446D" w:rsidP="00E21717">
            <w:pPr>
              <w:pStyle w:val="Tabletexte"/>
              <w:jc w:val="center"/>
              <w:rPr>
                <w:lang w:val="en-GB" w:bidi="ar-EG"/>
              </w:rPr>
            </w:pPr>
            <w:r w:rsidRPr="00507A6A">
              <w:rPr>
                <w:rtl/>
              </w:rPr>
              <w:t>2.3</w:t>
            </w:r>
          </w:p>
        </w:tc>
        <w:tc>
          <w:tcPr>
            <w:tcW w:w="632" w:type="pct"/>
            <w:shd w:val="clear" w:color="auto" w:fill="DEEAF6"/>
            <w:vAlign w:val="center"/>
          </w:tcPr>
          <w:p w14:paraId="65A55FD9" w14:textId="77777777" w:rsidR="000A446D" w:rsidRPr="00507A6A" w:rsidRDefault="000A446D" w:rsidP="00E21717">
            <w:pPr>
              <w:pStyle w:val="Tabletexte"/>
              <w:jc w:val="center"/>
              <w:rPr>
                <w:lang w:val="en-GB" w:bidi="ar-EG"/>
              </w:rPr>
            </w:pPr>
            <w:r w:rsidRPr="00507A6A">
              <w:rPr>
                <w:rtl/>
              </w:rPr>
              <w:t>التعلم المستمر</w:t>
            </w:r>
          </w:p>
        </w:tc>
        <w:tc>
          <w:tcPr>
            <w:tcW w:w="1080" w:type="pct"/>
            <w:shd w:val="clear" w:color="auto" w:fill="DEEAF6"/>
            <w:vAlign w:val="center"/>
          </w:tcPr>
          <w:p w14:paraId="145B02A4" w14:textId="77777777" w:rsidR="000A446D" w:rsidRPr="00507A6A" w:rsidRDefault="000A446D" w:rsidP="00E21717">
            <w:pPr>
              <w:pStyle w:val="Tabletexte"/>
              <w:rPr>
                <w:spacing w:val="-2"/>
                <w:lang w:val="en-GB" w:bidi="ar-EG"/>
              </w:rPr>
            </w:pPr>
            <w:r w:rsidRPr="00507A6A">
              <w:rPr>
                <w:spacing w:val="-2"/>
                <w:rtl/>
              </w:rPr>
              <w:t>تعزيز ثقافة التعلم المستمر من خلال تعزيز المساءلة المشتركة بشأن التعلم بين الموظفين والمديرين والمنظمة، ومن خلال تعزيز فرص التعلم التي يمكن النفاذ إليها.</w:t>
            </w:r>
          </w:p>
        </w:tc>
        <w:tc>
          <w:tcPr>
            <w:tcW w:w="1773" w:type="pct"/>
            <w:shd w:val="clear" w:color="auto" w:fill="DEEAF6"/>
            <w:vAlign w:val="center"/>
          </w:tcPr>
          <w:p w14:paraId="02811C42" w14:textId="77179A25"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الموظفين الذين استكملوا تدريباً مستهدفاً واحداً على الأقل ضمن التدريب أثناء الخدمة</w:t>
            </w:r>
          </w:p>
        </w:tc>
        <w:tc>
          <w:tcPr>
            <w:tcW w:w="963" w:type="pct"/>
            <w:shd w:val="clear" w:color="auto" w:fill="DEEAF6"/>
            <w:vAlign w:val="center"/>
          </w:tcPr>
          <w:p w14:paraId="2E25B8D0" w14:textId="14ECA097" w:rsidR="000A446D" w:rsidRPr="00507A6A" w:rsidRDefault="000A446D" w:rsidP="00E21717">
            <w:pPr>
              <w:pStyle w:val="Tabletexte"/>
              <w:jc w:val="left"/>
              <w:rPr>
                <w:lang w:val="en-GB" w:bidi="ar-EG"/>
              </w:rPr>
            </w:pPr>
            <w:r w:rsidRPr="00507A6A">
              <w:rPr>
                <w:rtl/>
              </w:rPr>
              <w:t>كل عام (بحلول الربع الرابع من عام 2026</w:t>
            </w:r>
            <w:r w:rsidR="00507A6A">
              <w:rPr>
                <w:rtl/>
              </w:rPr>
              <w:t>/</w:t>
            </w:r>
            <w:r w:rsidRPr="00507A6A">
              <w:rPr>
                <w:rtl/>
              </w:rPr>
              <w:t>الربع الرابع من عام 2027)</w:t>
            </w:r>
          </w:p>
        </w:tc>
        <w:tc>
          <w:tcPr>
            <w:tcW w:w="354" w:type="pct"/>
            <w:shd w:val="clear" w:color="auto" w:fill="DEEAF6"/>
          </w:tcPr>
          <w:p w14:paraId="782FDD2D" w14:textId="77777777" w:rsidR="000A446D" w:rsidRPr="00507A6A" w:rsidRDefault="000A446D" w:rsidP="000A446D">
            <w:pPr>
              <w:rPr>
                <w:sz w:val="20"/>
                <w:szCs w:val="20"/>
                <w:lang w:val="en-GB" w:bidi="ar-EG"/>
              </w:rPr>
            </w:pPr>
          </w:p>
        </w:tc>
      </w:tr>
      <w:tr w:rsidR="000A446D" w:rsidRPr="00507A6A" w14:paraId="3B5FA636" w14:textId="77777777" w:rsidTr="00507A6A">
        <w:trPr>
          <w:cantSplit/>
          <w:jc w:val="center"/>
        </w:trPr>
        <w:tc>
          <w:tcPr>
            <w:tcW w:w="199" w:type="pct"/>
            <w:shd w:val="clear" w:color="auto" w:fill="C1E4F5"/>
            <w:vAlign w:val="center"/>
          </w:tcPr>
          <w:p w14:paraId="7556A884" w14:textId="77777777" w:rsidR="000A446D" w:rsidRPr="00507A6A" w:rsidRDefault="000A446D" w:rsidP="00E21717">
            <w:pPr>
              <w:pStyle w:val="Tabletexte"/>
              <w:jc w:val="center"/>
              <w:rPr>
                <w:lang w:val="en-GB" w:bidi="ar-EG"/>
              </w:rPr>
            </w:pPr>
            <w:r w:rsidRPr="00507A6A">
              <w:rPr>
                <w:rtl/>
              </w:rPr>
              <w:t>3.3</w:t>
            </w:r>
          </w:p>
        </w:tc>
        <w:tc>
          <w:tcPr>
            <w:tcW w:w="632" w:type="pct"/>
            <w:shd w:val="clear" w:color="auto" w:fill="DEEAF6"/>
            <w:vAlign w:val="center"/>
          </w:tcPr>
          <w:p w14:paraId="188BD22E" w14:textId="77777777" w:rsidR="000A446D" w:rsidRPr="00507A6A" w:rsidRDefault="000A446D" w:rsidP="00E21717">
            <w:pPr>
              <w:pStyle w:val="Tabletexte"/>
              <w:jc w:val="center"/>
              <w:rPr>
                <w:lang w:val="en-GB" w:bidi="ar-EG"/>
              </w:rPr>
            </w:pPr>
            <w:r w:rsidRPr="00507A6A">
              <w:rPr>
                <w:rtl/>
              </w:rPr>
              <w:t>خطة التعلم السنوية</w:t>
            </w:r>
          </w:p>
        </w:tc>
        <w:tc>
          <w:tcPr>
            <w:tcW w:w="1080" w:type="pct"/>
            <w:shd w:val="clear" w:color="auto" w:fill="DEEAF6"/>
            <w:vAlign w:val="center"/>
          </w:tcPr>
          <w:p w14:paraId="470AFCDC" w14:textId="77777777" w:rsidR="000A446D" w:rsidRPr="00507A6A" w:rsidRDefault="000A446D" w:rsidP="00E21717">
            <w:pPr>
              <w:pStyle w:val="Tabletexte"/>
              <w:rPr>
                <w:spacing w:val="-4"/>
                <w:lang w:val="en-GB" w:bidi="ar-EG"/>
              </w:rPr>
            </w:pPr>
            <w:r w:rsidRPr="00507A6A">
              <w:rPr>
                <w:spacing w:val="-4"/>
                <w:rtl/>
              </w:rPr>
              <w:t>تنفيذ خطة سنوية للتعلم تتماشى مع الخطة الاستراتيجية للاتحاد لإعطاء الأولوية للاستثمار في التعلم وضمان ارتباطه بالأولويات الاستراتيجية.</w:t>
            </w:r>
          </w:p>
        </w:tc>
        <w:tc>
          <w:tcPr>
            <w:tcW w:w="1773" w:type="pct"/>
            <w:shd w:val="clear" w:color="auto" w:fill="DEEAF6"/>
            <w:vAlign w:val="center"/>
          </w:tcPr>
          <w:p w14:paraId="0B936F13" w14:textId="0243E95A"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نشر الخطة وتنفيذها (نوعيا)</w:t>
            </w:r>
          </w:p>
          <w:p w14:paraId="3218D5A3" w14:textId="73E766BE"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الاستثمار في التدريب كنسبة مئوية من تكلفة الموظفين (المقصد = 3</w:t>
            </w:r>
            <w:r w:rsidR="00FF3F4C" w:rsidRPr="00507A6A">
              <w:rPr>
                <w:rFonts w:hint="cs"/>
                <w:sz w:val="20"/>
                <w:szCs w:val="20"/>
                <w:rtl/>
              </w:rPr>
              <w:t>%</w:t>
            </w:r>
            <w:r w:rsidR="00FF3F4C" w:rsidRPr="00507A6A">
              <w:rPr>
                <w:sz w:val="20"/>
                <w:szCs w:val="20"/>
                <w:rtl/>
              </w:rPr>
              <w:t>)</w:t>
            </w:r>
          </w:p>
        </w:tc>
        <w:tc>
          <w:tcPr>
            <w:tcW w:w="963" w:type="pct"/>
            <w:shd w:val="clear" w:color="auto" w:fill="DEEAF6"/>
            <w:vAlign w:val="center"/>
          </w:tcPr>
          <w:p w14:paraId="7DC8AEB8" w14:textId="3630E877" w:rsidR="000A446D" w:rsidRPr="00507A6A" w:rsidRDefault="000A446D" w:rsidP="00E21717">
            <w:pPr>
              <w:pStyle w:val="Tabletexte"/>
              <w:jc w:val="left"/>
              <w:rPr>
                <w:lang w:val="en-GB" w:bidi="ar-EG"/>
              </w:rPr>
            </w:pPr>
            <w:r w:rsidRPr="00507A6A">
              <w:rPr>
                <w:rtl/>
              </w:rPr>
              <w:t>الربع الأول من عام 2026</w:t>
            </w:r>
            <w:r w:rsidR="00507A6A">
              <w:rPr>
                <w:rtl/>
              </w:rPr>
              <w:t>/</w:t>
            </w:r>
            <w:r w:rsidRPr="00507A6A">
              <w:rPr>
                <w:rtl/>
              </w:rPr>
              <w:t>الربع الأول من عام 2027 (سنوياً)</w:t>
            </w:r>
          </w:p>
        </w:tc>
        <w:tc>
          <w:tcPr>
            <w:tcW w:w="354" w:type="pct"/>
            <w:shd w:val="clear" w:color="auto" w:fill="DEEAF6"/>
            <w:vAlign w:val="center"/>
          </w:tcPr>
          <w:p w14:paraId="16E3C740" w14:textId="77777777" w:rsidR="000A446D" w:rsidRPr="00507A6A" w:rsidRDefault="000A446D" w:rsidP="000A446D">
            <w:pPr>
              <w:rPr>
                <w:sz w:val="20"/>
                <w:szCs w:val="20"/>
                <w:lang w:val="en-GB" w:bidi="ar-EG"/>
              </w:rPr>
            </w:pPr>
          </w:p>
        </w:tc>
      </w:tr>
      <w:tr w:rsidR="000A446D" w:rsidRPr="00507A6A" w14:paraId="6EFC59EC" w14:textId="77777777" w:rsidTr="00507A6A">
        <w:trPr>
          <w:cantSplit/>
          <w:jc w:val="center"/>
        </w:trPr>
        <w:tc>
          <w:tcPr>
            <w:tcW w:w="199" w:type="pct"/>
            <w:shd w:val="clear" w:color="auto" w:fill="C1E4F5"/>
            <w:vAlign w:val="center"/>
          </w:tcPr>
          <w:p w14:paraId="5F7835CA" w14:textId="77777777" w:rsidR="000A446D" w:rsidRPr="00507A6A" w:rsidRDefault="000A446D" w:rsidP="00E21717">
            <w:pPr>
              <w:pStyle w:val="Tabletexte"/>
              <w:jc w:val="center"/>
              <w:rPr>
                <w:lang w:val="en-GB" w:bidi="ar-EG"/>
              </w:rPr>
            </w:pPr>
            <w:r w:rsidRPr="00507A6A">
              <w:rPr>
                <w:rtl/>
              </w:rPr>
              <w:lastRenderedPageBreak/>
              <w:t>4.3</w:t>
            </w:r>
          </w:p>
        </w:tc>
        <w:tc>
          <w:tcPr>
            <w:tcW w:w="632" w:type="pct"/>
            <w:shd w:val="clear" w:color="auto" w:fill="DEEAF6"/>
            <w:vAlign w:val="center"/>
          </w:tcPr>
          <w:p w14:paraId="21B46DDC" w14:textId="77777777" w:rsidR="000A446D" w:rsidRPr="00507A6A" w:rsidRDefault="000A446D" w:rsidP="00E21717">
            <w:pPr>
              <w:pStyle w:val="Tabletexte"/>
              <w:jc w:val="center"/>
              <w:rPr>
                <w:lang w:val="en-GB" w:bidi="ar-EG"/>
              </w:rPr>
            </w:pPr>
            <w:r w:rsidRPr="00507A6A">
              <w:rPr>
                <w:rtl/>
              </w:rPr>
              <w:t>تطوير المهارات المستقبلية</w:t>
            </w:r>
          </w:p>
        </w:tc>
        <w:tc>
          <w:tcPr>
            <w:tcW w:w="1080" w:type="pct"/>
            <w:shd w:val="clear" w:color="auto" w:fill="DEEAF6"/>
            <w:vAlign w:val="center"/>
          </w:tcPr>
          <w:p w14:paraId="21E764D8" w14:textId="77777777" w:rsidR="000A446D" w:rsidRPr="00507A6A" w:rsidRDefault="000A446D" w:rsidP="00E21717">
            <w:pPr>
              <w:pStyle w:val="Tabletexte"/>
              <w:rPr>
                <w:lang w:val="en-GB" w:bidi="ar-EG"/>
              </w:rPr>
            </w:pPr>
            <w:r w:rsidRPr="00507A6A">
              <w:rPr>
                <w:rtl/>
              </w:rPr>
              <w:t>تعزيز تنمية المهارات المستقبلية من خلال مواءمة التعلم مع التكنولوجيات الناشئة والاحتياجات ذات الأولوية من حيث القدرات والأدوار الحيوية، بدعم من برامج مستهدفة والتعلم أثناء العمل.</w:t>
            </w:r>
          </w:p>
        </w:tc>
        <w:tc>
          <w:tcPr>
            <w:tcW w:w="1773" w:type="pct"/>
            <w:shd w:val="clear" w:color="auto" w:fill="DEEAF6"/>
            <w:vAlign w:val="center"/>
          </w:tcPr>
          <w:p w14:paraId="451476BA" w14:textId="4C7BA6E7"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البرامج المقدمة</w:t>
            </w:r>
          </w:p>
          <w:p w14:paraId="3D1BA99E" w14:textId="4E5B424E"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المشاركة في برامج تنمية المهارات (العدد/النسبة)</w:t>
            </w:r>
          </w:p>
        </w:tc>
        <w:tc>
          <w:tcPr>
            <w:tcW w:w="963" w:type="pct"/>
            <w:shd w:val="clear" w:color="auto" w:fill="DEEAF6"/>
            <w:vAlign w:val="center"/>
          </w:tcPr>
          <w:p w14:paraId="6946E963" w14:textId="77777777" w:rsidR="000A446D" w:rsidRPr="00507A6A" w:rsidRDefault="000A446D" w:rsidP="00E21717">
            <w:pPr>
              <w:pStyle w:val="Tabletexte"/>
              <w:jc w:val="left"/>
              <w:rPr>
                <w:lang w:val="en-GB" w:bidi="ar-EG"/>
              </w:rPr>
            </w:pPr>
            <w:r w:rsidRPr="00507A6A">
              <w:rPr>
                <w:rtl/>
              </w:rPr>
              <w:t>الربع الرابع من عام 2026</w:t>
            </w:r>
          </w:p>
        </w:tc>
        <w:tc>
          <w:tcPr>
            <w:tcW w:w="354" w:type="pct"/>
            <w:shd w:val="clear" w:color="auto" w:fill="DEEAF6"/>
            <w:vAlign w:val="center"/>
          </w:tcPr>
          <w:p w14:paraId="607476BF" w14:textId="77777777" w:rsidR="000A446D" w:rsidRPr="00507A6A" w:rsidRDefault="000A446D" w:rsidP="000A446D">
            <w:pPr>
              <w:rPr>
                <w:sz w:val="20"/>
                <w:szCs w:val="20"/>
                <w:lang w:val="en-GB" w:bidi="ar-EG"/>
              </w:rPr>
            </w:pPr>
          </w:p>
        </w:tc>
      </w:tr>
      <w:tr w:rsidR="000A446D" w:rsidRPr="00507A6A" w14:paraId="3862F934" w14:textId="77777777" w:rsidTr="00507A6A">
        <w:trPr>
          <w:cantSplit/>
          <w:jc w:val="center"/>
        </w:trPr>
        <w:tc>
          <w:tcPr>
            <w:tcW w:w="199" w:type="pct"/>
            <w:shd w:val="clear" w:color="auto" w:fill="C1E4F5"/>
            <w:vAlign w:val="center"/>
          </w:tcPr>
          <w:p w14:paraId="62129916" w14:textId="77777777" w:rsidR="000A446D" w:rsidRPr="00507A6A" w:rsidRDefault="000A446D" w:rsidP="00E21717">
            <w:pPr>
              <w:pStyle w:val="Tabletexte"/>
              <w:jc w:val="center"/>
              <w:rPr>
                <w:lang w:val="en-GB" w:bidi="ar-EG"/>
              </w:rPr>
            </w:pPr>
            <w:r w:rsidRPr="00507A6A">
              <w:rPr>
                <w:rtl/>
              </w:rPr>
              <w:t>5.3</w:t>
            </w:r>
          </w:p>
        </w:tc>
        <w:tc>
          <w:tcPr>
            <w:tcW w:w="632" w:type="pct"/>
            <w:shd w:val="clear" w:color="auto" w:fill="DEEAF6"/>
            <w:vAlign w:val="center"/>
          </w:tcPr>
          <w:p w14:paraId="7E87BFA0" w14:textId="77777777" w:rsidR="000A446D" w:rsidRPr="00507A6A" w:rsidRDefault="000A446D" w:rsidP="00E21717">
            <w:pPr>
              <w:pStyle w:val="Tabletexte"/>
              <w:jc w:val="center"/>
              <w:rPr>
                <w:lang w:val="en-GB" w:bidi="ar-EG"/>
              </w:rPr>
            </w:pPr>
            <w:r w:rsidRPr="00507A6A">
              <w:rPr>
                <w:rtl/>
              </w:rPr>
              <w:t>تحليل بيانات التعلم وتقييم المهارات</w:t>
            </w:r>
          </w:p>
        </w:tc>
        <w:tc>
          <w:tcPr>
            <w:tcW w:w="1080" w:type="pct"/>
            <w:shd w:val="clear" w:color="auto" w:fill="DEEAF6"/>
            <w:vAlign w:val="center"/>
          </w:tcPr>
          <w:p w14:paraId="38CF46C6" w14:textId="77777777" w:rsidR="000A446D" w:rsidRPr="00507A6A" w:rsidRDefault="000A446D" w:rsidP="00E21717">
            <w:pPr>
              <w:pStyle w:val="Tabletexte"/>
              <w:rPr>
                <w:spacing w:val="-6"/>
                <w:lang w:val="en-GB" w:bidi="ar-EG"/>
              </w:rPr>
            </w:pPr>
            <w:r w:rsidRPr="00507A6A">
              <w:rPr>
                <w:spacing w:val="-6"/>
                <w:rtl/>
              </w:rPr>
              <w:t>تطوير تحليل بيانات التعلم وتقييم المهارات لفهم فجوات القدرات بشكل أفضل، وتكييف عروض التعلم، وتتبع الإقبال على التعلم وفعاليته.</w:t>
            </w:r>
          </w:p>
        </w:tc>
        <w:tc>
          <w:tcPr>
            <w:tcW w:w="1773" w:type="pct"/>
            <w:shd w:val="clear" w:color="auto" w:fill="DEEAF6"/>
            <w:vAlign w:val="center"/>
          </w:tcPr>
          <w:p w14:paraId="02DAF845" w14:textId="05C700A1"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الاستخدام الفعال للوحة المعلومات الخاصة بالتعلّم</w:t>
            </w:r>
          </w:p>
          <w:p w14:paraId="2573167B" w14:textId="384BA6DF"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برامج التدريب المصممة خصيصاً لسد فجوات المهارات المحددة.</w:t>
            </w:r>
          </w:p>
          <w:p w14:paraId="4B3234FE" w14:textId="2259D9AD"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متوسط تقييم فعالية التعلم (بناءً على التقييم اللاحق)</w:t>
            </w:r>
          </w:p>
        </w:tc>
        <w:tc>
          <w:tcPr>
            <w:tcW w:w="963" w:type="pct"/>
            <w:shd w:val="clear" w:color="auto" w:fill="DEEAF6"/>
            <w:vAlign w:val="center"/>
          </w:tcPr>
          <w:p w14:paraId="6027C99D" w14:textId="77777777" w:rsidR="000A446D" w:rsidRPr="00507A6A" w:rsidRDefault="000A446D" w:rsidP="00E21717">
            <w:pPr>
              <w:pStyle w:val="Tabletexte"/>
              <w:jc w:val="left"/>
              <w:rPr>
                <w:lang w:val="en-GB" w:bidi="ar-EG"/>
              </w:rPr>
            </w:pPr>
            <w:r w:rsidRPr="00507A6A">
              <w:rPr>
                <w:rtl/>
              </w:rPr>
              <w:t>الربع الثالث من عام 2026</w:t>
            </w:r>
          </w:p>
        </w:tc>
        <w:tc>
          <w:tcPr>
            <w:tcW w:w="354" w:type="pct"/>
            <w:shd w:val="clear" w:color="auto" w:fill="DEEAF6"/>
            <w:vAlign w:val="center"/>
          </w:tcPr>
          <w:p w14:paraId="716E87F7" w14:textId="77777777" w:rsidR="000A446D" w:rsidRPr="00507A6A" w:rsidRDefault="000A446D" w:rsidP="000A446D">
            <w:pPr>
              <w:rPr>
                <w:sz w:val="20"/>
                <w:szCs w:val="20"/>
                <w:lang w:val="en-GB" w:bidi="ar-EG"/>
              </w:rPr>
            </w:pPr>
          </w:p>
        </w:tc>
      </w:tr>
      <w:tr w:rsidR="000A446D" w:rsidRPr="00507A6A" w14:paraId="3D7F0477" w14:textId="77777777" w:rsidTr="00507A6A">
        <w:trPr>
          <w:cantSplit/>
          <w:jc w:val="center"/>
        </w:trPr>
        <w:tc>
          <w:tcPr>
            <w:tcW w:w="199" w:type="pct"/>
            <w:shd w:val="clear" w:color="auto" w:fill="C1E4F5"/>
            <w:vAlign w:val="center"/>
          </w:tcPr>
          <w:p w14:paraId="47FF1E13" w14:textId="77777777" w:rsidR="000A446D" w:rsidRPr="00507A6A" w:rsidRDefault="000A446D" w:rsidP="00E21717">
            <w:pPr>
              <w:pStyle w:val="Tabletexte"/>
              <w:jc w:val="center"/>
              <w:rPr>
                <w:lang w:val="en-GB" w:bidi="ar-EG"/>
              </w:rPr>
            </w:pPr>
            <w:r w:rsidRPr="00507A6A">
              <w:rPr>
                <w:rtl/>
              </w:rPr>
              <w:t>6.3</w:t>
            </w:r>
          </w:p>
        </w:tc>
        <w:tc>
          <w:tcPr>
            <w:tcW w:w="632" w:type="pct"/>
            <w:shd w:val="clear" w:color="auto" w:fill="DEEAF6"/>
            <w:vAlign w:val="center"/>
          </w:tcPr>
          <w:p w14:paraId="2131A51B" w14:textId="77777777" w:rsidR="000A446D" w:rsidRPr="00507A6A" w:rsidRDefault="000A446D" w:rsidP="00E21717">
            <w:pPr>
              <w:pStyle w:val="Tabletexte"/>
              <w:jc w:val="center"/>
              <w:rPr>
                <w:lang w:val="en-GB" w:bidi="ar-EG"/>
              </w:rPr>
            </w:pPr>
            <w:r w:rsidRPr="00507A6A">
              <w:rPr>
                <w:rtl/>
              </w:rPr>
              <w:t>تبادل المعارف والتعلم بين الأقران</w:t>
            </w:r>
          </w:p>
        </w:tc>
        <w:tc>
          <w:tcPr>
            <w:tcW w:w="1080" w:type="pct"/>
            <w:shd w:val="clear" w:color="auto" w:fill="DEEAF6"/>
            <w:vAlign w:val="center"/>
          </w:tcPr>
          <w:p w14:paraId="0897CD5C" w14:textId="77777777" w:rsidR="000A446D" w:rsidRPr="00507A6A" w:rsidRDefault="000A446D" w:rsidP="00E21717">
            <w:pPr>
              <w:pStyle w:val="Tabletexte"/>
              <w:rPr>
                <w:lang w:val="en-GB" w:bidi="ar-EG"/>
              </w:rPr>
            </w:pPr>
            <w:r w:rsidRPr="00507A6A">
              <w:rPr>
                <w:rtl/>
              </w:rPr>
              <w:t>تعزيز تبادل المعارف والتعلم بين الأقران من خلال مجتمعات الممارسة والتوجيه والفرص المنظمة لتبادل الخبرات عبر الفرق والإدارات.</w:t>
            </w:r>
          </w:p>
        </w:tc>
        <w:tc>
          <w:tcPr>
            <w:tcW w:w="1773" w:type="pct"/>
            <w:shd w:val="clear" w:color="auto" w:fill="DEEAF6"/>
            <w:vAlign w:val="center"/>
          </w:tcPr>
          <w:p w14:paraId="42AE0003" w14:textId="455A190F"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الموظفين الذين استفادوا من برامج الإرشاد</w:t>
            </w:r>
          </w:p>
        </w:tc>
        <w:tc>
          <w:tcPr>
            <w:tcW w:w="963" w:type="pct"/>
            <w:shd w:val="clear" w:color="auto" w:fill="DEEAF6"/>
            <w:vAlign w:val="center"/>
          </w:tcPr>
          <w:p w14:paraId="284358C5" w14:textId="56E6E93D" w:rsidR="000A446D" w:rsidRPr="00507A6A" w:rsidRDefault="000A446D" w:rsidP="00E21717">
            <w:pPr>
              <w:pStyle w:val="Tabletexte"/>
              <w:jc w:val="left"/>
              <w:rPr>
                <w:lang w:val="en-GB" w:bidi="ar-EG"/>
              </w:rPr>
            </w:pPr>
            <w:r w:rsidRPr="00507A6A">
              <w:rPr>
                <w:rtl/>
              </w:rPr>
              <w:t xml:space="preserve">الربع الرابع من عام 2026 </w:t>
            </w:r>
            <w:r w:rsidR="00143E30" w:rsidRPr="00507A6A">
              <w:rPr>
                <w:rtl/>
              </w:rPr>
              <w:br/>
            </w:r>
            <w:r w:rsidRPr="00507A6A">
              <w:rPr>
                <w:rtl/>
              </w:rPr>
              <w:t>(ثم بصورة منتظمة)</w:t>
            </w:r>
          </w:p>
        </w:tc>
        <w:tc>
          <w:tcPr>
            <w:tcW w:w="354" w:type="pct"/>
            <w:shd w:val="clear" w:color="auto" w:fill="DEEAF6"/>
            <w:vAlign w:val="center"/>
          </w:tcPr>
          <w:p w14:paraId="3AB143B3" w14:textId="77777777" w:rsidR="000A446D" w:rsidRPr="00507A6A" w:rsidRDefault="000A446D" w:rsidP="000A446D">
            <w:pPr>
              <w:rPr>
                <w:sz w:val="20"/>
                <w:szCs w:val="20"/>
                <w:lang w:val="en-GB" w:bidi="ar-EG"/>
              </w:rPr>
            </w:pPr>
          </w:p>
        </w:tc>
      </w:tr>
      <w:tr w:rsidR="000A446D" w:rsidRPr="00507A6A" w14:paraId="663F4721" w14:textId="77777777" w:rsidTr="00507A6A">
        <w:trPr>
          <w:cantSplit/>
          <w:jc w:val="center"/>
        </w:trPr>
        <w:tc>
          <w:tcPr>
            <w:tcW w:w="199" w:type="pct"/>
            <w:shd w:val="clear" w:color="auto" w:fill="C1E4F5"/>
            <w:vAlign w:val="center"/>
          </w:tcPr>
          <w:p w14:paraId="4CDB2C49" w14:textId="77777777" w:rsidR="000A446D" w:rsidRPr="00507A6A" w:rsidRDefault="000A446D" w:rsidP="00E21717">
            <w:pPr>
              <w:pStyle w:val="Tabletexte"/>
              <w:jc w:val="center"/>
              <w:rPr>
                <w:lang w:val="en-GB" w:bidi="ar-EG"/>
              </w:rPr>
            </w:pPr>
            <w:r w:rsidRPr="00507A6A">
              <w:rPr>
                <w:rtl/>
              </w:rPr>
              <w:t>1.4</w:t>
            </w:r>
          </w:p>
        </w:tc>
        <w:tc>
          <w:tcPr>
            <w:tcW w:w="632" w:type="pct"/>
            <w:shd w:val="clear" w:color="auto" w:fill="DEEAF6"/>
            <w:vAlign w:val="center"/>
          </w:tcPr>
          <w:p w14:paraId="0F3ECB4F" w14:textId="77777777" w:rsidR="000A446D" w:rsidRPr="00507A6A" w:rsidRDefault="000A446D" w:rsidP="00E21717">
            <w:pPr>
              <w:pStyle w:val="Tabletexte"/>
              <w:jc w:val="center"/>
              <w:rPr>
                <w:lang w:val="en-GB" w:bidi="ar-EG"/>
              </w:rPr>
            </w:pPr>
            <w:r w:rsidRPr="00507A6A">
              <w:rPr>
                <w:rtl/>
              </w:rPr>
              <w:t>الصحة والسلامة المهنيتان (OHS)</w:t>
            </w:r>
          </w:p>
        </w:tc>
        <w:tc>
          <w:tcPr>
            <w:tcW w:w="1080" w:type="pct"/>
            <w:shd w:val="clear" w:color="auto" w:fill="DEEAF6"/>
            <w:vAlign w:val="center"/>
          </w:tcPr>
          <w:p w14:paraId="770A408E" w14:textId="77777777" w:rsidR="000A446D" w:rsidRPr="00507A6A" w:rsidRDefault="000A446D" w:rsidP="00E21717">
            <w:pPr>
              <w:pStyle w:val="Tabletexte"/>
              <w:rPr>
                <w:lang w:val="en-GB" w:bidi="ar-EG"/>
              </w:rPr>
            </w:pPr>
            <w:r w:rsidRPr="00507A6A">
              <w:rPr>
                <w:rtl/>
              </w:rPr>
              <w:t>دعم الانتقال نحو نهج أكثر تكاملاً للصحة والسلامة المهنيتين (OHS)، بالاستفادة من الخدمات الطبية الحالية وتعزيز الوقاية وإدارة المخاطر والتوعية.</w:t>
            </w:r>
          </w:p>
        </w:tc>
        <w:tc>
          <w:tcPr>
            <w:tcW w:w="1773" w:type="pct"/>
            <w:shd w:val="clear" w:color="auto" w:fill="DEEAF6"/>
            <w:vAlign w:val="center"/>
          </w:tcPr>
          <w:p w14:paraId="5F5B83E4" w14:textId="3AD6AC65"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إجراء دراسة للصحة المهنية على مستوى المنظمة</w:t>
            </w:r>
          </w:p>
          <w:p w14:paraId="54DFA8DB" w14:textId="4E5A281E"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المخاطر الصحية والمهنية ضمن سجل المخاطر الخاص بالاتحاد </w:t>
            </w:r>
          </w:p>
          <w:p w14:paraId="235DAA09" w14:textId="2788B6AB"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الموظفين الذين تلقوا تدريباً بشأن التوعية بمخاطر الصحة والسلامة المهنيتين والوقاية منها</w:t>
            </w:r>
          </w:p>
        </w:tc>
        <w:tc>
          <w:tcPr>
            <w:tcW w:w="963" w:type="pct"/>
            <w:shd w:val="clear" w:color="auto" w:fill="DEEAF6"/>
            <w:vAlign w:val="center"/>
          </w:tcPr>
          <w:p w14:paraId="5B50D1E4" w14:textId="77777777" w:rsidR="000A446D" w:rsidRPr="00507A6A" w:rsidRDefault="000A446D" w:rsidP="00E21717">
            <w:pPr>
              <w:pStyle w:val="Tabletexte"/>
              <w:jc w:val="left"/>
              <w:rPr>
                <w:lang w:val="en-GB" w:bidi="ar-EG"/>
              </w:rPr>
            </w:pPr>
            <w:r w:rsidRPr="00507A6A">
              <w:rPr>
                <w:rtl/>
              </w:rPr>
              <w:t>الربع الرابع من عام 2027</w:t>
            </w:r>
          </w:p>
          <w:p w14:paraId="469101A0" w14:textId="77777777" w:rsidR="000A446D" w:rsidRPr="00507A6A" w:rsidRDefault="000A446D" w:rsidP="00E21717">
            <w:pPr>
              <w:pStyle w:val="Tabletexte"/>
              <w:jc w:val="left"/>
              <w:rPr>
                <w:lang w:val="en-GB" w:bidi="ar-EG"/>
              </w:rPr>
            </w:pPr>
            <w:r w:rsidRPr="00507A6A">
              <w:rPr>
                <w:rtl/>
              </w:rPr>
              <w:t>الربع الرابع من عام 2027</w:t>
            </w:r>
          </w:p>
          <w:p w14:paraId="43F8433F" w14:textId="4B09CF3D" w:rsidR="000A446D" w:rsidRPr="00507A6A" w:rsidRDefault="000A446D" w:rsidP="00E21717">
            <w:pPr>
              <w:pStyle w:val="Tabletexte"/>
              <w:jc w:val="left"/>
              <w:rPr>
                <w:lang w:val="en-GB" w:bidi="ar-EG"/>
              </w:rPr>
            </w:pPr>
            <w:r w:rsidRPr="00507A6A">
              <w:rPr>
                <w:rtl/>
              </w:rPr>
              <w:t>الربع الرابع من عام 2026/الربع الرابع من عام</w:t>
            </w:r>
            <w:r w:rsidR="00143E30" w:rsidRPr="00507A6A">
              <w:rPr>
                <w:rFonts w:hint="eastAsia"/>
                <w:rtl/>
              </w:rPr>
              <w:t> </w:t>
            </w:r>
            <w:r w:rsidRPr="00507A6A">
              <w:rPr>
                <w:rtl/>
              </w:rPr>
              <w:t>2027</w:t>
            </w:r>
          </w:p>
        </w:tc>
        <w:tc>
          <w:tcPr>
            <w:tcW w:w="354" w:type="pct"/>
            <w:shd w:val="clear" w:color="auto" w:fill="DEEAF6"/>
            <w:vAlign w:val="center"/>
          </w:tcPr>
          <w:p w14:paraId="2638A5D9" w14:textId="77777777" w:rsidR="000A446D" w:rsidRPr="00507A6A" w:rsidRDefault="000A446D" w:rsidP="000A446D">
            <w:pPr>
              <w:rPr>
                <w:sz w:val="20"/>
                <w:szCs w:val="20"/>
                <w:lang w:val="en-GB" w:bidi="ar-EG"/>
              </w:rPr>
            </w:pPr>
          </w:p>
        </w:tc>
      </w:tr>
      <w:tr w:rsidR="000A446D" w:rsidRPr="00507A6A" w14:paraId="33D94D77" w14:textId="77777777" w:rsidTr="00507A6A">
        <w:trPr>
          <w:cantSplit/>
          <w:jc w:val="center"/>
        </w:trPr>
        <w:tc>
          <w:tcPr>
            <w:tcW w:w="199" w:type="pct"/>
            <w:shd w:val="clear" w:color="auto" w:fill="C1E4F5"/>
            <w:vAlign w:val="center"/>
          </w:tcPr>
          <w:p w14:paraId="249899E7" w14:textId="77777777" w:rsidR="000A446D" w:rsidRPr="00507A6A" w:rsidRDefault="000A446D" w:rsidP="00E21717">
            <w:pPr>
              <w:pStyle w:val="Tabletexte"/>
              <w:jc w:val="center"/>
              <w:rPr>
                <w:lang w:val="en-GB" w:bidi="ar-EG"/>
              </w:rPr>
            </w:pPr>
            <w:r w:rsidRPr="00507A6A">
              <w:rPr>
                <w:rtl/>
              </w:rPr>
              <w:t>2.4</w:t>
            </w:r>
          </w:p>
        </w:tc>
        <w:tc>
          <w:tcPr>
            <w:tcW w:w="632" w:type="pct"/>
            <w:shd w:val="clear" w:color="auto" w:fill="DEEAF6"/>
            <w:vAlign w:val="center"/>
          </w:tcPr>
          <w:p w14:paraId="0D54EF63" w14:textId="77777777" w:rsidR="000A446D" w:rsidRPr="00507A6A" w:rsidRDefault="000A446D" w:rsidP="00E21717">
            <w:pPr>
              <w:pStyle w:val="Tabletexte"/>
              <w:jc w:val="center"/>
              <w:rPr>
                <w:lang w:val="en-GB" w:bidi="ar-EG"/>
              </w:rPr>
            </w:pPr>
            <w:r w:rsidRPr="00507A6A">
              <w:rPr>
                <w:rtl/>
              </w:rPr>
              <w:t>برامج العودة إلى العمل (RTW)</w:t>
            </w:r>
          </w:p>
        </w:tc>
        <w:tc>
          <w:tcPr>
            <w:tcW w:w="1080" w:type="pct"/>
            <w:shd w:val="clear" w:color="auto" w:fill="DEEAF6"/>
            <w:vAlign w:val="center"/>
          </w:tcPr>
          <w:p w14:paraId="0E7072D9" w14:textId="77777777" w:rsidR="000A446D" w:rsidRPr="00507A6A" w:rsidRDefault="000A446D" w:rsidP="00E21717">
            <w:pPr>
              <w:pStyle w:val="Tabletexte"/>
              <w:rPr>
                <w:spacing w:val="-4"/>
                <w:lang w:val="en-GB" w:bidi="ar-EG"/>
              </w:rPr>
            </w:pPr>
            <w:r w:rsidRPr="00507A6A">
              <w:rPr>
                <w:spacing w:val="-4"/>
                <w:rtl/>
              </w:rPr>
              <w:t>تعزيز برامج العودة إلى العمل لدعم إعادة إدماج الموظفين بعد المرض أو الإجازات، من خلال اتباع إجراءات واضحة والتنسيق في الوقت المناسب، وتكييف بيئة العمل عند الحاجة.</w:t>
            </w:r>
          </w:p>
        </w:tc>
        <w:tc>
          <w:tcPr>
            <w:tcW w:w="1773" w:type="pct"/>
            <w:shd w:val="clear" w:color="auto" w:fill="DEEAF6"/>
            <w:vAlign w:val="center"/>
          </w:tcPr>
          <w:p w14:paraId="0AF2A60F" w14:textId="15830D8C" w:rsidR="000A446D" w:rsidRPr="00507A6A" w:rsidRDefault="00143E30" w:rsidP="00507A6A">
            <w:pPr>
              <w:pStyle w:val="enumlev1"/>
              <w:tabs>
                <w:tab w:val="clear" w:pos="794"/>
              </w:tabs>
              <w:ind w:left="486" w:hanging="486"/>
              <w:rPr>
                <w:spacing w:val="-2"/>
              </w:rPr>
            </w:pPr>
            <w:r w:rsidRPr="00507A6A">
              <w:rPr>
                <w:spacing w:val="-2"/>
                <w:sz w:val="20"/>
                <w:szCs w:val="20"/>
              </w:rPr>
              <w:sym w:font="Symbol" w:char="F0B7"/>
            </w:r>
            <w:r w:rsidRPr="00507A6A">
              <w:rPr>
                <w:spacing w:val="-2"/>
                <w:sz w:val="20"/>
                <w:szCs w:val="20"/>
                <w:rtl/>
              </w:rPr>
              <w:tab/>
            </w:r>
            <w:r w:rsidR="000A446D" w:rsidRPr="00507A6A">
              <w:rPr>
                <w:spacing w:val="-2"/>
                <w:sz w:val="20"/>
                <w:szCs w:val="20"/>
                <w:rtl/>
              </w:rPr>
              <w:t>تطبيق إجراءات التشغيل الموحدة (</w:t>
            </w:r>
            <w:r w:rsidR="000A446D" w:rsidRPr="00507A6A">
              <w:rPr>
                <w:spacing w:val="-2"/>
                <w:sz w:val="20"/>
                <w:szCs w:val="20"/>
              </w:rPr>
              <w:t>SOP</w:t>
            </w:r>
            <w:r w:rsidR="000A446D" w:rsidRPr="00507A6A">
              <w:rPr>
                <w:spacing w:val="-2"/>
                <w:sz w:val="20"/>
                <w:szCs w:val="20"/>
                <w:rtl/>
              </w:rPr>
              <w:t>) بشأن العودة إلى العمل (معيار نوعي)</w:t>
            </w:r>
          </w:p>
          <w:p w14:paraId="19D93BE8" w14:textId="599CB868"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حالات العودة إلى العمل التي حظيت بالدعم</w:t>
            </w:r>
          </w:p>
        </w:tc>
        <w:tc>
          <w:tcPr>
            <w:tcW w:w="963" w:type="pct"/>
            <w:shd w:val="clear" w:color="auto" w:fill="DEEAF6"/>
            <w:vAlign w:val="center"/>
          </w:tcPr>
          <w:p w14:paraId="3DDBFE6F" w14:textId="77777777" w:rsidR="000A446D" w:rsidRPr="00507A6A" w:rsidRDefault="000A446D" w:rsidP="00E21717">
            <w:pPr>
              <w:pStyle w:val="Tabletexte"/>
              <w:jc w:val="left"/>
              <w:rPr>
                <w:lang w:val="en-GB" w:bidi="ar-EG"/>
              </w:rPr>
            </w:pPr>
            <w:r w:rsidRPr="00507A6A">
              <w:rPr>
                <w:rtl/>
              </w:rPr>
              <w:t>الربع الرابع من عام 2026</w:t>
            </w:r>
          </w:p>
          <w:p w14:paraId="3BBCC948" w14:textId="4E6188E3" w:rsidR="000A446D" w:rsidRPr="00507A6A" w:rsidRDefault="000A446D" w:rsidP="00E21717">
            <w:pPr>
              <w:pStyle w:val="Tabletexte"/>
              <w:jc w:val="left"/>
              <w:rPr>
                <w:lang w:val="en-GB" w:bidi="ar-EG"/>
              </w:rPr>
            </w:pPr>
            <w:r w:rsidRPr="00507A6A">
              <w:rPr>
                <w:rtl/>
              </w:rPr>
              <w:t>الربع الرابع من عام 2026/الربع الرابع من عام</w:t>
            </w:r>
            <w:r w:rsidR="00143E30" w:rsidRPr="00507A6A">
              <w:rPr>
                <w:rFonts w:hint="eastAsia"/>
                <w:rtl/>
              </w:rPr>
              <w:t> </w:t>
            </w:r>
            <w:r w:rsidRPr="00507A6A">
              <w:rPr>
                <w:rtl/>
              </w:rPr>
              <w:t>2027</w:t>
            </w:r>
          </w:p>
        </w:tc>
        <w:tc>
          <w:tcPr>
            <w:tcW w:w="354" w:type="pct"/>
            <w:shd w:val="clear" w:color="auto" w:fill="DEEAF6"/>
            <w:vAlign w:val="center"/>
          </w:tcPr>
          <w:p w14:paraId="5482AAA5" w14:textId="77777777" w:rsidR="000A446D" w:rsidRPr="00507A6A" w:rsidRDefault="000A446D" w:rsidP="000A446D">
            <w:pPr>
              <w:rPr>
                <w:sz w:val="20"/>
                <w:szCs w:val="20"/>
                <w:lang w:val="en-GB" w:bidi="ar-EG"/>
              </w:rPr>
            </w:pPr>
          </w:p>
        </w:tc>
      </w:tr>
      <w:tr w:rsidR="000A446D" w:rsidRPr="00507A6A" w14:paraId="0B764E91" w14:textId="77777777" w:rsidTr="00507A6A">
        <w:trPr>
          <w:cantSplit/>
          <w:jc w:val="center"/>
        </w:trPr>
        <w:tc>
          <w:tcPr>
            <w:tcW w:w="199" w:type="pct"/>
            <w:shd w:val="clear" w:color="auto" w:fill="C1E4F5"/>
            <w:vAlign w:val="center"/>
          </w:tcPr>
          <w:p w14:paraId="327D99AF" w14:textId="77777777" w:rsidR="000A446D" w:rsidRPr="00507A6A" w:rsidRDefault="000A446D" w:rsidP="00E21717">
            <w:pPr>
              <w:pStyle w:val="Tabletexte"/>
              <w:jc w:val="center"/>
              <w:rPr>
                <w:lang w:val="en-GB" w:bidi="ar-EG"/>
              </w:rPr>
            </w:pPr>
            <w:r w:rsidRPr="00507A6A">
              <w:rPr>
                <w:rtl/>
              </w:rPr>
              <w:t>3.4</w:t>
            </w:r>
          </w:p>
        </w:tc>
        <w:tc>
          <w:tcPr>
            <w:tcW w:w="632" w:type="pct"/>
            <w:shd w:val="clear" w:color="auto" w:fill="DEEAF6"/>
            <w:vAlign w:val="center"/>
          </w:tcPr>
          <w:p w14:paraId="177DA50B" w14:textId="77777777" w:rsidR="000A446D" w:rsidRPr="00507A6A" w:rsidRDefault="000A446D" w:rsidP="00E21717">
            <w:pPr>
              <w:pStyle w:val="Tabletexte"/>
              <w:jc w:val="center"/>
              <w:rPr>
                <w:lang w:val="en-GB" w:bidi="ar-EG"/>
              </w:rPr>
            </w:pPr>
            <w:r w:rsidRPr="00507A6A">
              <w:rPr>
                <w:rtl/>
              </w:rPr>
              <w:t>خطة عمل بشأن الصحة العقلية والرفاه</w:t>
            </w:r>
          </w:p>
        </w:tc>
        <w:tc>
          <w:tcPr>
            <w:tcW w:w="1080" w:type="pct"/>
            <w:shd w:val="clear" w:color="auto" w:fill="DEEAF6"/>
            <w:vAlign w:val="center"/>
          </w:tcPr>
          <w:p w14:paraId="4A316200" w14:textId="77777777" w:rsidR="000A446D" w:rsidRPr="00507A6A" w:rsidRDefault="000A446D" w:rsidP="00E21717">
            <w:pPr>
              <w:pStyle w:val="Tabletexte"/>
              <w:rPr>
                <w:spacing w:val="-4"/>
                <w:lang w:val="en-GB" w:bidi="ar-EG"/>
              </w:rPr>
            </w:pPr>
            <w:r w:rsidRPr="00507A6A">
              <w:rPr>
                <w:spacing w:val="-4"/>
                <w:rtl/>
              </w:rPr>
              <w:t>تنفيذ خطة العمل بشأن الصحة العقلية والرفاه لتعزيز الوقاية، وتحسين الوصول إلى الدعم وإذكاء الوعي، وتعزيز بيئة داعمة للصحة العقلية.</w:t>
            </w:r>
          </w:p>
        </w:tc>
        <w:tc>
          <w:tcPr>
            <w:tcW w:w="1773" w:type="pct"/>
            <w:shd w:val="clear" w:color="auto" w:fill="DEEAF6"/>
            <w:vAlign w:val="center"/>
          </w:tcPr>
          <w:p w14:paraId="63896D05" w14:textId="50E8F09C"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نسبة تنفيذ خطة عمل الصحة العقلية </w:t>
            </w:r>
          </w:p>
          <w:p w14:paraId="2A283C8C" w14:textId="1355BF98"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نتائج استبيان إشراك الموظفين فيما يتعلق بالتوازن بين العمل والحياة والثقافة المؤسسية (اتجاهات)</w:t>
            </w:r>
          </w:p>
        </w:tc>
        <w:tc>
          <w:tcPr>
            <w:tcW w:w="963" w:type="pct"/>
            <w:shd w:val="clear" w:color="auto" w:fill="DEEAF6"/>
            <w:vAlign w:val="center"/>
          </w:tcPr>
          <w:p w14:paraId="64A797A1" w14:textId="77777777" w:rsidR="000A446D" w:rsidRPr="00507A6A" w:rsidRDefault="000A446D" w:rsidP="00E21717">
            <w:pPr>
              <w:pStyle w:val="Tabletexte"/>
              <w:jc w:val="left"/>
              <w:rPr>
                <w:spacing w:val="-2"/>
                <w:lang w:val="en-GB" w:bidi="ar-EG"/>
              </w:rPr>
            </w:pPr>
            <w:r w:rsidRPr="00507A6A">
              <w:rPr>
                <w:spacing w:val="-2"/>
                <w:rtl/>
              </w:rPr>
              <w:t>الربع الرابع من عام 2026/الربع الرابع من عام 2027</w:t>
            </w:r>
          </w:p>
          <w:p w14:paraId="0C70F45A" w14:textId="77777777" w:rsidR="000A446D" w:rsidRPr="00507A6A" w:rsidRDefault="000A446D" w:rsidP="00E21717">
            <w:pPr>
              <w:pStyle w:val="Tabletexte"/>
              <w:jc w:val="left"/>
              <w:rPr>
                <w:lang w:val="en-GB" w:bidi="ar-EG"/>
              </w:rPr>
            </w:pPr>
            <w:r w:rsidRPr="00507A6A">
              <w:rPr>
                <w:rtl/>
              </w:rPr>
              <w:t>الربع الرابع من عام 2027</w:t>
            </w:r>
          </w:p>
        </w:tc>
        <w:tc>
          <w:tcPr>
            <w:tcW w:w="354" w:type="pct"/>
            <w:shd w:val="clear" w:color="auto" w:fill="DEEAF6"/>
            <w:vAlign w:val="center"/>
          </w:tcPr>
          <w:p w14:paraId="645AD3A5" w14:textId="77777777" w:rsidR="000A446D" w:rsidRPr="00507A6A" w:rsidRDefault="000A446D" w:rsidP="000A446D">
            <w:pPr>
              <w:rPr>
                <w:sz w:val="20"/>
                <w:szCs w:val="20"/>
                <w:lang w:val="en-GB" w:bidi="ar-EG"/>
              </w:rPr>
            </w:pPr>
          </w:p>
        </w:tc>
      </w:tr>
      <w:tr w:rsidR="000A446D" w:rsidRPr="00507A6A" w14:paraId="1902A5D8" w14:textId="77777777" w:rsidTr="00507A6A">
        <w:trPr>
          <w:cantSplit/>
          <w:jc w:val="center"/>
        </w:trPr>
        <w:tc>
          <w:tcPr>
            <w:tcW w:w="199" w:type="pct"/>
            <w:shd w:val="clear" w:color="auto" w:fill="C1E4F5"/>
            <w:vAlign w:val="center"/>
          </w:tcPr>
          <w:p w14:paraId="54B0BA2F" w14:textId="77777777" w:rsidR="000A446D" w:rsidRPr="00507A6A" w:rsidRDefault="000A446D" w:rsidP="00E21717">
            <w:pPr>
              <w:pStyle w:val="Tabletexte"/>
              <w:jc w:val="center"/>
              <w:rPr>
                <w:lang w:val="en-GB" w:bidi="ar-EG"/>
              </w:rPr>
            </w:pPr>
            <w:r w:rsidRPr="00507A6A">
              <w:rPr>
                <w:rtl/>
              </w:rPr>
              <w:lastRenderedPageBreak/>
              <w:t>4.4</w:t>
            </w:r>
          </w:p>
        </w:tc>
        <w:tc>
          <w:tcPr>
            <w:tcW w:w="632" w:type="pct"/>
            <w:shd w:val="clear" w:color="auto" w:fill="DEEAF6"/>
            <w:vAlign w:val="center"/>
          </w:tcPr>
          <w:p w14:paraId="1AE38F0B" w14:textId="77777777" w:rsidR="000A446D" w:rsidRPr="00507A6A" w:rsidRDefault="000A446D" w:rsidP="00E21717">
            <w:pPr>
              <w:pStyle w:val="Tabletexte"/>
              <w:jc w:val="center"/>
              <w:rPr>
                <w:lang w:val="en-GB" w:bidi="ar-EG"/>
              </w:rPr>
            </w:pPr>
            <w:r w:rsidRPr="00507A6A">
              <w:rPr>
                <w:rtl/>
              </w:rPr>
              <w:t>الضغوطات والمرونة</w:t>
            </w:r>
          </w:p>
        </w:tc>
        <w:tc>
          <w:tcPr>
            <w:tcW w:w="1080" w:type="pct"/>
            <w:shd w:val="clear" w:color="auto" w:fill="DEEAF6"/>
            <w:vAlign w:val="center"/>
          </w:tcPr>
          <w:p w14:paraId="26F3570A" w14:textId="77777777" w:rsidR="000A446D" w:rsidRPr="00507A6A" w:rsidRDefault="000A446D" w:rsidP="00E21717">
            <w:pPr>
              <w:pStyle w:val="Tabletexte"/>
              <w:rPr>
                <w:spacing w:val="-6"/>
                <w:lang w:val="en-GB" w:bidi="ar-EG"/>
              </w:rPr>
            </w:pPr>
            <w:r w:rsidRPr="00507A6A">
              <w:rPr>
                <w:spacing w:val="-6"/>
                <w:rtl/>
              </w:rPr>
              <w:t>التخفيف من الضغوطات في مكان العمل وتعزيز القدرة على الصمود من خلال التدخلات المستهدفة والموارد العملية للموظفين والمديرين والمبادرات التي تعزز أساليب العمل الصحية.</w:t>
            </w:r>
          </w:p>
        </w:tc>
        <w:tc>
          <w:tcPr>
            <w:tcW w:w="1773" w:type="pct"/>
            <w:shd w:val="clear" w:color="auto" w:fill="DEEAF6"/>
            <w:vAlign w:val="center"/>
          </w:tcPr>
          <w:p w14:paraId="605EDD64" w14:textId="5BA3EB41"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نسبة مشاركة الموظفين في جلسات التوعية بالصحة العقلية </w:t>
            </w:r>
            <w:r w:rsidR="004D365F" w:rsidRPr="00507A6A">
              <w:rPr>
                <w:sz w:val="20"/>
                <w:szCs w:val="20"/>
                <w:rtl/>
              </w:rPr>
              <w:t>أو</w:t>
            </w:r>
            <w:r w:rsidR="004D365F" w:rsidRPr="00507A6A">
              <w:rPr>
                <w:rFonts w:hint="cs"/>
                <w:sz w:val="20"/>
                <w:szCs w:val="20"/>
                <w:rtl/>
              </w:rPr>
              <w:t> </w:t>
            </w:r>
            <w:r w:rsidR="000A446D" w:rsidRPr="00507A6A">
              <w:rPr>
                <w:sz w:val="20"/>
                <w:szCs w:val="20"/>
                <w:rtl/>
              </w:rPr>
              <w:t>المرونة</w:t>
            </w:r>
          </w:p>
          <w:p w14:paraId="32603F76" w14:textId="418AE524"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الإحصاءات الإجازات المرضية وغيرها (اتجاهات)</w:t>
            </w:r>
          </w:p>
        </w:tc>
        <w:tc>
          <w:tcPr>
            <w:tcW w:w="963" w:type="pct"/>
            <w:shd w:val="clear" w:color="auto" w:fill="DEEAF6"/>
            <w:vAlign w:val="center"/>
          </w:tcPr>
          <w:p w14:paraId="316F6E8E" w14:textId="3A850FEE" w:rsidR="000A446D" w:rsidRPr="00507A6A" w:rsidRDefault="000A446D" w:rsidP="00E21717">
            <w:pPr>
              <w:pStyle w:val="Tabletexte"/>
              <w:jc w:val="left"/>
              <w:rPr>
                <w:spacing w:val="-2"/>
                <w:lang w:val="en-GB" w:bidi="ar-EG"/>
              </w:rPr>
            </w:pPr>
            <w:r w:rsidRPr="00507A6A">
              <w:rPr>
                <w:spacing w:val="-2"/>
                <w:rtl/>
              </w:rPr>
              <w:t>الربع الرابع من عام 2026/الربع الرابع من عام 2027</w:t>
            </w:r>
          </w:p>
          <w:p w14:paraId="1AF10B84" w14:textId="77777777" w:rsidR="000A446D" w:rsidRPr="00507A6A" w:rsidRDefault="000A446D" w:rsidP="00E21717">
            <w:pPr>
              <w:pStyle w:val="Tabletexte"/>
              <w:jc w:val="left"/>
              <w:rPr>
                <w:lang w:val="en-GB" w:bidi="ar-EG"/>
              </w:rPr>
            </w:pPr>
            <w:r w:rsidRPr="00507A6A">
              <w:rPr>
                <w:rtl/>
              </w:rPr>
              <w:t>الربع الرابع من عام 2027</w:t>
            </w:r>
          </w:p>
        </w:tc>
        <w:tc>
          <w:tcPr>
            <w:tcW w:w="354" w:type="pct"/>
            <w:shd w:val="clear" w:color="auto" w:fill="DEEAF6"/>
            <w:vAlign w:val="center"/>
          </w:tcPr>
          <w:p w14:paraId="2C5376D5" w14:textId="77777777" w:rsidR="000A446D" w:rsidRPr="00507A6A" w:rsidRDefault="000A446D" w:rsidP="000A446D">
            <w:pPr>
              <w:rPr>
                <w:sz w:val="20"/>
                <w:szCs w:val="20"/>
                <w:lang w:val="en-GB" w:bidi="ar-EG"/>
              </w:rPr>
            </w:pPr>
          </w:p>
        </w:tc>
      </w:tr>
      <w:tr w:rsidR="000A446D" w:rsidRPr="00507A6A" w14:paraId="442ECCF8" w14:textId="77777777" w:rsidTr="00507A6A">
        <w:trPr>
          <w:cantSplit/>
          <w:jc w:val="center"/>
        </w:trPr>
        <w:tc>
          <w:tcPr>
            <w:tcW w:w="199" w:type="pct"/>
            <w:shd w:val="clear" w:color="auto" w:fill="C1E4F5"/>
            <w:vAlign w:val="center"/>
          </w:tcPr>
          <w:p w14:paraId="15A1087E" w14:textId="77777777" w:rsidR="000A446D" w:rsidRPr="00507A6A" w:rsidRDefault="000A446D" w:rsidP="00E21717">
            <w:pPr>
              <w:pStyle w:val="Tabletexte"/>
              <w:jc w:val="center"/>
              <w:rPr>
                <w:lang w:val="en-GB" w:bidi="ar-EG"/>
              </w:rPr>
            </w:pPr>
            <w:r w:rsidRPr="00507A6A">
              <w:rPr>
                <w:rtl/>
              </w:rPr>
              <w:t>5.4</w:t>
            </w:r>
          </w:p>
        </w:tc>
        <w:tc>
          <w:tcPr>
            <w:tcW w:w="632" w:type="pct"/>
            <w:shd w:val="clear" w:color="auto" w:fill="DEEAF6"/>
            <w:vAlign w:val="center"/>
          </w:tcPr>
          <w:p w14:paraId="5DCF8604" w14:textId="77777777" w:rsidR="000A446D" w:rsidRPr="00507A6A" w:rsidRDefault="000A446D" w:rsidP="00E21717">
            <w:pPr>
              <w:pStyle w:val="Tabletexte"/>
              <w:jc w:val="center"/>
              <w:rPr>
                <w:lang w:val="en-GB" w:bidi="ar-EG"/>
              </w:rPr>
            </w:pPr>
            <w:r w:rsidRPr="00507A6A">
              <w:rPr>
                <w:rtl/>
              </w:rPr>
              <w:t>ترتيبات العمل المرنة (FWA)</w:t>
            </w:r>
          </w:p>
        </w:tc>
        <w:tc>
          <w:tcPr>
            <w:tcW w:w="1080" w:type="pct"/>
            <w:shd w:val="clear" w:color="auto" w:fill="DEEAF6"/>
            <w:vAlign w:val="center"/>
          </w:tcPr>
          <w:p w14:paraId="7D5522CA" w14:textId="08857983" w:rsidR="000A446D" w:rsidRPr="00507A6A" w:rsidRDefault="000A446D" w:rsidP="00E21717">
            <w:pPr>
              <w:pStyle w:val="Tabletexte"/>
              <w:rPr>
                <w:spacing w:val="-2"/>
                <w:lang w:val="en-GB" w:bidi="ar-EG"/>
              </w:rPr>
            </w:pPr>
            <w:r w:rsidRPr="00507A6A">
              <w:rPr>
                <w:spacing w:val="-2"/>
                <w:rtl/>
              </w:rPr>
              <w:t xml:space="preserve">تنفيذ ترتيبات العمل المرنة بما يتناسب مع الاحتياجات التشغيلية لدعم التوازن بين العمل والحياة الخاصة، من خلال سياسات وإرشادات واضحة، والتطبيق المتسق عبر مختلف الفرق </w:t>
            </w:r>
          </w:p>
        </w:tc>
        <w:tc>
          <w:tcPr>
            <w:tcW w:w="1773" w:type="pct"/>
            <w:shd w:val="clear" w:color="auto" w:fill="DEEAF6"/>
            <w:vAlign w:val="center"/>
          </w:tcPr>
          <w:p w14:paraId="46248955" w14:textId="1097E9CA"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إصدار السياسة المحدثة وتنفيذها (معيار نوعي)</w:t>
            </w:r>
          </w:p>
          <w:p w14:paraId="02B555BA" w14:textId="6C8A5556" w:rsidR="000A446D" w:rsidRPr="00507A6A" w:rsidRDefault="00143E30"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استخدام لوحة معلومات لتتبع ترتيبات العمل المرنة</w:t>
            </w:r>
          </w:p>
        </w:tc>
        <w:tc>
          <w:tcPr>
            <w:tcW w:w="963" w:type="pct"/>
            <w:shd w:val="clear" w:color="auto" w:fill="DEEAF6"/>
            <w:vAlign w:val="center"/>
          </w:tcPr>
          <w:p w14:paraId="01A67DDE" w14:textId="77777777" w:rsidR="000A446D" w:rsidRPr="00507A6A" w:rsidRDefault="000A446D" w:rsidP="00E21717">
            <w:pPr>
              <w:pStyle w:val="Tabletexte"/>
              <w:jc w:val="left"/>
              <w:rPr>
                <w:lang w:val="en-GB" w:bidi="ar-EG"/>
              </w:rPr>
            </w:pPr>
            <w:r w:rsidRPr="00507A6A">
              <w:rPr>
                <w:rtl/>
              </w:rPr>
              <w:t>الربع الأول من عام 2026</w:t>
            </w:r>
          </w:p>
        </w:tc>
        <w:tc>
          <w:tcPr>
            <w:tcW w:w="354" w:type="pct"/>
            <w:shd w:val="clear" w:color="auto" w:fill="DEEAF6"/>
            <w:vAlign w:val="center"/>
          </w:tcPr>
          <w:p w14:paraId="6B375117" w14:textId="77777777" w:rsidR="000A446D" w:rsidRPr="00507A6A" w:rsidRDefault="000A446D" w:rsidP="000A446D">
            <w:pPr>
              <w:rPr>
                <w:sz w:val="20"/>
                <w:szCs w:val="20"/>
                <w:lang w:val="en-GB" w:bidi="ar-EG"/>
              </w:rPr>
            </w:pPr>
          </w:p>
        </w:tc>
      </w:tr>
      <w:tr w:rsidR="000A446D" w:rsidRPr="00507A6A" w14:paraId="3137A088" w14:textId="77777777" w:rsidTr="00507A6A">
        <w:trPr>
          <w:cantSplit/>
          <w:jc w:val="center"/>
        </w:trPr>
        <w:tc>
          <w:tcPr>
            <w:tcW w:w="199" w:type="pct"/>
            <w:shd w:val="clear" w:color="auto" w:fill="C1E4F5"/>
            <w:vAlign w:val="center"/>
          </w:tcPr>
          <w:p w14:paraId="527A2939" w14:textId="77777777" w:rsidR="000A446D" w:rsidRPr="00507A6A" w:rsidRDefault="000A446D" w:rsidP="00E21717">
            <w:pPr>
              <w:pStyle w:val="Tabletexte"/>
              <w:jc w:val="center"/>
              <w:rPr>
                <w:lang w:val="en-GB" w:bidi="ar-EG"/>
              </w:rPr>
            </w:pPr>
            <w:r w:rsidRPr="00507A6A">
              <w:rPr>
                <w:rtl/>
              </w:rPr>
              <w:t>6.4</w:t>
            </w:r>
          </w:p>
        </w:tc>
        <w:tc>
          <w:tcPr>
            <w:tcW w:w="632" w:type="pct"/>
            <w:shd w:val="clear" w:color="auto" w:fill="DEEAF6"/>
            <w:vAlign w:val="center"/>
          </w:tcPr>
          <w:p w14:paraId="338C5576" w14:textId="321B30BD" w:rsidR="000A446D" w:rsidRPr="00507A6A" w:rsidRDefault="000A446D" w:rsidP="00E21717">
            <w:pPr>
              <w:pStyle w:val="Tabletexte"/>
              <w:jc w:val="center"/>
              <w:rPr>
                <w:lang w:val="en-GB" w:bidi="ar-EG"/>
              </w:rPr>
            </w:pPr>
            <w:r w:rsidRPr="00507A6A">
              <w:rPr>
                <w:rtl/>
              </w:rPr>
              <w:t xml:space="preserve">الشمولية والاحترام </w:t>
            </w:r>
            <w:r w:rsidR="007217F4" w:rsidRPr="00507A6A">
              <w:br/>
            </w:r>
            <w:r w:rsidRPr="00507A6A">
              <w:rPr>
                <w:rtl/>
              </w:rPr>
              <w:t>في بيئة العمل</w:t>
            </w:r>
          </w:p>
        </w:tc>
        <w:tc>
          <w:tcPr>
            <w:tcW w:w="1080" w:type="pct"/>
            <w:shd w:val="clear" w:color="auto" w:fill="DEEAF6"/>
            <w:vAlign w:val="center"/>
          </w:tcPr>
          <w:p w14:paraId="29B75CF8" w14:textId="77777777" w:rsidR="000A446D" w:rsidRPr="00507A6A" w:rsidRDefault="000A446D" w:rsidP="00E21717">
            <w:pPr>
              <w:pStyle w:val="Tabletexte"/>
              <w:rPr>
                <w:spacing w:val="-4"/>
                <w:lang w:val="en-GB" w:bidi="ar-EG"/>
              </w:rPr>
            </w:pPr>
            <w:r w:rsidRPr="00507A6A">
              <w:rPr>
                <w:spacing w:val="-4"/>
                <w:rtl/>
              </w:rPr>
              <w:t>تهيئة بيئة عمل شاملة من خلال تعزيز ثقافة قائمة على الاحترام والدعم، والاستفادة من التنوع، ومنع السلوك غير المقبول، وتعزيز إدماج الأشخاص ذوي الإعاقة من خلال ترتيبات تيسيرية معقولة، إلى جانب تكافؤ الفرص للجميع.</w:t>
            </w:r>
          </w:p>
        </w:tc>
        <w:tc>
          <w:tcPr>
            <w:tcW w:w="1773" w:type="pct"/>
            <w:shd w:val="clear" w:color="auto" w:fill="DEEAF6"/>
            <w:vAlign w:val="center"/>
          </w:tcPr>
          <w:p w14:paraId="7A766C68" w14:textId="69D76536"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نسبة الموظفين الذين استكملوا التدريب حول منع التحرش وسوء السلوك.</w:t>
            </w:r>
          </w:p>
          <w:p w14:paraId="2C29DB93" w14:textId="2F304518"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نسبة دعم طلبات الترتيبات التيسيرية المعقولة</w:t>
            </w:r>
          </w:p>
        </w:tc>
        <w:tc>
          <w:tcPr>
            <w:tcW w:w="963" w:type="pct"/>
            <w:shd w:val="clear" w:color="auto" w:fill="DEEAF6"/>
            <w:vAlign w:val="center"/>
          </w:tcPr>
          <w:p w14:paraId="1CED499C" w14:textId="1DC0E5D8" w:rsidR="000A446D" w:rsidRPr="00507A6A" w:rsidRDefault="000A446D" w:rsidP="00E21717">
            <w:pPr>
              <w:pStyle w:val="Tabletexte"/>
              <w:jc w:val="left"/>
              <w:rPr>
                <w:spacing w:val="-4"/>
                <w:lang w:val="en-GB" w:bidi="ar-EG"/>
              </w:rPr>
            </w:pPr>
            <w:r w:rsidRPr="00507A6A">
              <w:rPr>
                <w:spacing w:val="-4"/>
                <w:rtl/>
              </w:rPr>
              <w:t>الربع الرابع من عام 2026/الربع الرابع من عام 2027</w:t>
            </w:r>
          </w:p>
          <w:p w14:paraId="562DB95E" w14:textId="77777777" w:rsidR="000A446D" w:rsidRPr="00507A6A" w:rsidRDefault="000A446D" w:rsidP="00E21717">
            <w:pPr>
              <w:pStyle w:val="Tabletexte"/>
              <w:jc w:val="left"/>
              <w:rPr>
                <w:spacing w:val="-2"/>
                <w:lang w:val="en-GB" w:bidi="ar-EG"/>
              </w:rPr>
            </w:pPr>
            <w:r w:rsidRPr="00507A6A">
              <w:rPr>
                <w:spacing w:val="-2"/>
                <w:rtl/>
              </w:rPr>
              <w:t>الربع الرابع من عام 2026/الربع الرابع من عام 2027</w:t>
            </w:r>
          </w:p>
          <w:p w14:paraId="332D20DE" w14:textId="77777777" w:rsidR="000A446D" w:rsidRPr="00507A6A" w:rsidRDefault="000A446D" w:rsidP="00E21717">
            <w:pPr>
              <w:pStyle w:val="Tabletexte"/>
              <w:jc w:val="left"/>
              <w:rPr>
                <w:lang w:val="en-GB" w:bidi="ar-EG"/>
              </w:rPr>
            </w:pPr>
          </w:p>
        </w:tc>
        <w:tc>
          <w:tcPr>
            <w:tcW w:w="354" w:type="pct"/>
            <w:shd w:val="clear" w:color="auto" w:fill="DEEAF6"/>
            <w:vAlign w:val="center"/>
          </w:tcPr>
          <w:p w14:paraId="6552B6B1" w14:textId="77777777" w:rsidR="000A446D" w:rsidRPr="00507A6A" w:rsidRDefault="000A446D" w:rsidP="000A446D">
            <w:pPr>
              <w:rPr>
                <w:sz w:val="20"/>
                <w:szCs w:val="20"/>
                <w:lang w:val="en-GB" w:bidi="ar-EG"/>
              </w:rPr>
            </w:pPr>
          </w:p>
        </w:tc>
      </w:tr>
      <w:tr w:rsidR="000A446D" w:rsidRPr="00507A6A" w14:paraId="47262D73" w14:textId="77777777" w:rsidTr="00507A6A">
        <w:trPr>
          <w:cantSplit/>
          <w:jc w:val="center"/>
        </w:trPr>
        <w:tc>
          <w:tcPr>
            <w:tcW w:w="199" w:type="pct"/>
            <w:shd w:val="clear" w:color="auto" w:fill="C1E4F5"/>
            <w:vAlign w:val="center"/>
          </w:tcPr>
          <w:p w14:paraId="3E166164" w14:textId="77777777" w:rsidR="000A446D" w:rsidRPr="00507A6A" w:rsidRDefault="000A446D" w:rsidP="00E21717">
            <w:pPr>
              <w:pStyle w:val="Tabletexte"/>
              <w:jc w:val="center"/>
              <w:rPr>
                <w:lang w:val="en-GB" w:bidi="ar-EG"/>
              </w:rPr>
            </w:pPr>
            <w:r w:rsidRPr="00507A6A">
              <w:rPr>
                <w:rtl/>
              </w:rPr>
              <w:t>7.4</w:t>
            </w:r>
          </w:p>
        </w:tc>
        <w:tc>
          <w:tcPr>
            <w:tcW w:w="632" w:type="pct"/>
            <w:shd w:val="clear" w:color="auto" w:fill="DEEAF6"/>
            <w:vAlign w:val="center"/>
          </w:tcPr>
          <w:p w14:paraId="7BA306F3" w14:textId="77777777" w:rsidR="000A446D" w:rsidRPr="00507A6A" w:rsidRDefault="000A446D" w:rsidP="00E21717">
            <w:pPr>
              <w:pStyle w:val="Tabletexte"/>
              <w:jc w:val="center"/>
              <w:rPr>
                <w:lang w:val="en-GB" w:bidi="ar-EG"/>
              </w:rPr>
            </w:pPr>
            <w:r w:rsidRPr="00507A6A">
              <w:rPr>
                <w:rtl/>
              </w:rPr>
              <w:t>استقصاء مشاركة الموظفين وخطط العمل</w:t>
            </w:r>
          </w:p>
        </w:tc>
        <w:tc>
          <w:tcPr>
            <w:tcW w:w="1080" w:type="pct"/>
            <w:shd w:val="clear" w:color="auto" w:fill="DEEAF6"/>
            <w:vAlign w:val="center"/>
          </w:tcPr>
          <w:p w14:paraId="384E9F60" w14:textId="77777777" w:rsidR="000A446D" w:rsidRPr="00507A6A" w:rsidRDefault="000A446D" w:rsidP="00E21717">
            <w:pPr>
              <w:pStyle w:val="Tabletexte"/>
              <w:rPr>
                <w:lang w:val="en-GB" w:bidi="ar-EG"/>
              </w:rPr>
            </w:pPr>
            <w:r w:rsidRPr="00507A6A">
              <w:rPr>
                <w:rtl/>
              </w:rPr>
              <w:t>الاستفادة من استقصاء مشاركة الموظفين (EES) وخطط العمل المرتبطة به لإضفاء الطابع المؤسسي على آليات آراء الموظفين وإيلاء الأولوية للتدخلات القائمة على الأدلة ورصد التقدم المحرز من خلال التواصل الشفاف والمساءلة المتبادلة.</w:t>
            </w:r>
          </w:p>
        </w:tc>
        <w:tc>
          <w:tcPr>
            <w:tcW w:w="1773" w:type="pct"/>
            <w:shd w:val="clear" w:color="auto" w:fill="DEEAF6"/>
            <w:vAlign w:val="center"/>
          </w:tcPr>
          <w:p w14:paraId="3B44EC88" w14:textId="6DD0606C"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معدل المشاركة في استقصاء مشاركة الموظفين</w:t>
            </w:r>
          </w:p>
          <w:p w14:paraId="5E330242" w14:textId="0C3E54C8"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نسبة الإدارات التي نفذت خطة عمل استناداً إلى نتائج الاستقصاء</w:t>
            </w:r>
          </w:p>
          <w:p w14:paraId="65EA8A8C" w14:textId="3FA8B38A"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 xml:space="preserve">تطور النتائج بمرور الوقت في مجالات الاستقصاء الرئيسية </w:t>
            </w:r>
          </w:p>
        </w:tc>
        <w:tc>
          <w:tcPr>
            <w:tcW w:w="963" w:type="pct"/>
            <w:shd w:val="clear" w:color="auto" w:fill="DEEAF6"/>
            <w:vAlign w:val="center"/>
          </w:tcPr>
          <w:p w14:paraId="71D1FE43" w14:textId="77777777" w:rsidR="000A446D" w:rsidRPr="00507A6A" w:rsidRDefault="000A446D" w:rsidP="00E21717">
            <w:pPr>
              <w:pStyle w:val="Tabletexte"/>
              <w:jc w:val="left"/>
              <w:rPr>
                <w:lang w:val="en-GB" w:bidi="ar-EG"/>
              </w:rPr>
            </w:pPr>
            <w:r w:rsidRPr="00507A6A">
              <w:rPr>
                <w:rtl/>
              </w:rPr>
              <w:t>الربع الرابع من عام 2026 (إصدار استقصاء جديد خلال الربع الأول من عام 2027)</w:t>
            </w:r>
          </w:p>
        </w:tc>
        <w:tc>
          <w:tcPr>
            <w:tcW w:w="354" w:type="pct"/>
            <w:shd w:val="clear" w:color="auto" w:fill="DEEAF6"/>
            <w:vAlign w:val="center"/>
          </w:tcPr>
          <w:p w14:paraId="201455A4" w14:textId="77777777" w:rsidR="000A446D" w:rsidRPr="00507A6A" w:rsidRDefault="000A446D" w:rsidP="000A446D">
            <w:pPr>
              <w:rPr>
                <w:sz w:val="20"/>
                <w:szCs w:val="20"/>
                <w:lang w:val="en-GB" w:bidi="ar-EG"/>
              </w:rPr>
            </w:pPr>
          </w:p>
        </w:tc>
      </w:tr>
      <w:tr w:rsidR="000A446D" w:rsidRPr="00507A6A" w14:paraId="0A73B5BF" w14:textId="77777777" w:rsidTr="00507A6A">
        <w:trPr>
          <w:cantSplit/>
          <w:jc w:val="center"/>
        </w:trPr>
        <w:tc>
          <w:tcPr>
            <w:tcW w:w="199" w:type="pct"/>
            <w:shd w:val="clear" w:color="auto" w:fill="C1E4F5"/>
            <w:vAlign w:val="center"/>
          </w:tcPr>
          <w:p w14:paraId="1EAA6973" w14:textId="77777777" w:rsidR="000A446D" w:rsidRPr="00507A6A" w:rsidRDefault="000A446D" w:rsidP="00E21717">
            <w:pPr>
              <w:pStyle w:val="Tabletexte"/>
              <w:jc w:val="center"/>
              <w:rPr>
                <w:lang w:val="de-CH" w:bidi="ar-EG"/>
              </w:rPr>
            </w:pPr>
            <w:r w:rsidRPr="00507A6A">
              <w:rPr>
                <w:rtl/>
              </w:rPr>
              <w:lastRenderedPageBreak/>
              <w:t>1.5</w:t>
            </w:r>
          </w:p>
        </w:tc>
        <w:tc>
          <w:tcPr>
            <w:tcW w:w="632" w:type="pct"/>
            <w:shd w:val="clear" w:color="auto" w:fill="DEEAF6"/>
            <w:vAlign w:val="center"/>
          </w:tcPr>
          <w:p w14:paraId="0A9C1DFF" w14:textId="77777777" w:rsidR="000A446D" w:rsidRPr="00507A6A" w:rsidRDefault="000A446D" w:rsidP="00E21717">
            <w:pPr>
              <w:pStyle w:val="Tabletexte"/>
              <w:jc w:val="center"/>
              <w:rPr>
                <w:lang w:val="en-GB" w:bidi="ar-EG"/>
              </w:rPr>
            </w:pPr>
            <w:r w:rsidRPr="00507A6A">
              <w:rPr>
                <w:rtl/>
              </w:rPr>
              <w:t>الإطار التنظيمي للموارد البشرية</w:t>
            </w:r>
          </w:p>
        </w:tc>
        <w:tc>
          <w:tcPr>
            <w:tcW w:w="1080" w:type="pct"/>
            <w:shd w:val="clear" w:color="auto" w:fill="DEEAF6"/>
            <w:vAlign w:val="center"/>
          </w:tcPr>
          <w:p w14:paraId="2237827A" w14:textId="77777777" w:rsidR="000A446D" w:rsidRPr="00507A6A" w:rsidRDefault="000A446D" w:rsidP="00E21717">
            <w:pPr>
              <w:pStyle w:val="Tabletexte"/>
              <w:rPr>
                <w:lang w:val="en-GB" w:bidi="ar-EG"/>
              </w:rPr>
            </w:pPr>
            <w:r w:rsidRPr="00507A6A">
              <w:rPr>
                <w:rtl/>
              </w:rPr>
              <w:t>تعزيز الإطار التنظيمي للموارد البشرية من خلال استعراض وتحديث السياسات والقواعد والإرشادات لسد الفجوات وتحسين الاتساق ودعم التطبيق الموحد.</w:t>
            </w:r>
          </w:p>
        </w:tc>
        <w:tc>
          <w:tcPr>
            <w:tcW w:w="1773" w:type="pct"/>
            <w:shd w:val="clear" w:color="auto" w:fill="DEEAF6"/>
            <w:vAlign w:val="center"/>
          </w:tcPr>
          <w:p w14:paraId="469536B2" w14:textId="04FB7E87"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عدد السياسات/أوامر الخدمة ذات الأولوية للموارد البشرية التي خضعت للمراجعة والتحديث</w:t>
            </w:r>
          </w:p>
          <w:p w14:paraId="6560233A" w14:textId="4E4730CE"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تحديث النظام الإداري للموظفين/اللوائح والموافقة عليه (</w:t>
            </w:r>
            <w:r w:rsidR="00C40267" w:rsidRPr="00507A6A">
              <w:rPr>
                <w:sz w:val="20"/>
                <w:szCs w:val="20"/>
                <w:rtl/>
              </w:rPr>
              <w:t>معيار</w:t>
            </w:r>
            <w:r w:rsidR="00C40267" w:rsidRPr="00507A6A">
              <w:rPr>
                <w:rFonts w:hint="cs"/>
                <w:sz w:val="20"/>
                <w:szCs w:val="20"/>
                <w:rtl/>
              </w:rPr>
              <w:t> </w:t>
            </w:r>
            <w:r w:rsidR="000A446D" w:rsidRPr="00507A6A">
              <w:rPr>
                <w:sz w:val="20"/>
                <w:szCs w:val="20"/>
                <w:rtl/>
              </w:rPr>
              <w:t>نوعي)</w:t>
            </w:r>
          </w:p>
          <w:p w14:paraId="34345CBC" w14:textId="6E0D1A16" w:rsidR="000A446D" w:rsidRPr="00507A6A" w:rsidRDefault="007217F4" w:rsidP="00507A6A">
            <w:pPr>
              <w:pStyle w:val="enumlev1"/>
              <w:tabs>
                <w:tab w:val="clear" w:pos="794"/>
              </w:tabs>
              <w:ind w:left="486" w:hanging="486"/>
              <w:rPr>
                <w:spacing w:val="-6"/>
              </w:rPr>
            </w:pPr>
            <w:r w:rsidRPr="00507A6A">
              <w:rPr>
                <w:spacing w:val="-6"/>
                <w:sz w:val="20"/>
                <w:szCs w:val="20"/>
              </w:rPr>
              <w:sym w:font="Symbol" w:char="F0B7"/>
            </w:r>
            <w:r w:rsidRPr="00507A6A">
              <w:rPr>
                <w:spacing w:val="-6"/>
                <w:sz w:val="20"/>
                <w:szCs w:val="20"/>
              </w:rPr>
              <w:tab/>
            </w:r>
            <w:r w:rsidR="000A446D" w:rsidRPr="00507A6A">
              <w:rPr>
                <w:spacing w:val="-6"/>
                <w:sz w:val="20"/>
                <w:szCs w:val="20"/>
                <w:rtl/>
              </w:rPr>
              <w:t>نسبة سياسات الموارد البشرية الجديدة/المنقحة المتاحة لجميع الموظفين على منصة موحدة للنفاذ، وعدد الدورات التدريبية/مبادرات الاتصال المنفذة</w:t>
            </w:r>
          </w:p>
        </w:tc>
        <w:tc>
          <w:tcPr>
            <w:tcW w:w="963" w:type="pct"/>
            <w:shd w:val="clear" w:color="auto" w:fill="DEEAF6"/>
            <w:vAlign w:val="center"/>
          </w:tcPr>
          <w:p w14:paraId="57D66B04" w14:textId="77777777" w:rsidR="000A446D" w:rsidRPr="00507A6A" w:rsidRDefault="000A446D" w:rsidP="00E21717">
            <w:pPr>
              <w:pStyle w:val="Tabletexte"/>
              <w:jc w:val="left"/>
              <w:rPr>
                <w:lang w:val="en-GB" w:bidi="ar-EG"/>
              </w:rPr>
            </w:pPr>
            <w:r w:rsidRPr="00507A6A">
              <w:rPr>
                <w:rtl/>
              </w:rPr>
              <w:t>جارٍ طوال الفترة 2026-2027</w:t>
            </w:r>
          </w:p>
        </w:tc>
        <w:tc>
          <w:tcPr>
            <w:tcW w:w="354" w:type="pct"/>
            <w:shd w:val="clear" w:color="auto" w:fill="DEEAF6"/>
            <w:vAlign w:val="center"/>
          </w:tcPr>
          <w:p w14:paraId="57D466AC" w14:textId="77777777" w:rsidR="000A446D" w:rsidRPr="00507A6A" w:rsidRDefault="000A446D" w:rsidP="000A446D">
            <w:pPr>
              <w:rPr>
                <w:sz w:val="20"/>
                <w:szCs w:val="20"/>
                <w:lang w:val="en-GB" w:bidi="ar-EG"/>
              </w:rPr>
            </w:pPr>
          </w:p>
        </w:tc>
      </w:tr>
      <w:tr w:rsidR="000A446D" w:rsidRPr="00507A6A" w14:paraId="570973A9" w14:textId="77777777" w:rsidTr="00507A6A">
        <w:trPr>
          <w:cantSplit/>
          <w:jc w:val="center"/>
        </w:trPr>
        <w:tc>
          <w:tcPr>
            <w:tcW w:w="199" w:type="pct"/>
            <w:shd w:val="clear" w:color="auto" w:fill="C1E4F5"/>
            <w:vAlign w:val="center"/>
          </w:tcPr>
          <w:p w14:paraId="14100B06" w14:textId="77777777" w:rsidR="000A446D" w:rsidRPr="00507A6A" w:rsidRDefault="000A446D" w:rsidP="00E21717">
            <w:pPr>
              <w:pStyle w:val="Tabletexte"/>
              <w:jc w:val="center"/>
              <w:rPr>
                <w:lang w:val="en-GB" w:bidi="ar-EG"/>
              </w:rPr>
            </w:pPr>
            <w:r w:rsidRPr="00507A6A">
              <w:rPr>
                <w:lang w:val="en-GB" w:bidi="ar-EG"/>
              </w:rPr>
              <w:t>2.5</w:t>
            </w:r>
          </w:p>
        </w:tc>
        <w:tc>
          <w:tcPr>
            <w:tcW w:w="632" w:type="pct"/>
            <w:shd w:val="clear" w:color="auto" w:fill="DEEAF6"/>
            <w:vAlign w:val="center"/>
          </w:tcPr>
          <w:p w14:paraId="4683A638" w14:textId="77777777" w:rsidR="000A446D" w:rsidRPr="00507A6A" w:rsidRDefault="000A446D" w:rsidP="00E21717">
            <w:pPr>
              <w:pStyle w:val="Tabletexte"/>
              <w:jc w:val="center"/>
              <w:rPr>
                <w:lang w:val="fr-FR" w:bidi="ar-EG"/>
              </w:rPr>
            </w:pPr>
            <w:r w:rsidRPr="00507A6A">
              <w:rPr>
                <w:rtl/>
              </w:rPr>
              <w:t>جدول التوظيف</w:t>
            </w:r>
          </w:p>
        </w:tc>
        <w:tc>
          <w:tcPr>
            <w:tcW w:w="1080" w:type="pct"/>
            <w:shd w:val="clear" w:color="auto" w:fill="DEEAF6"/>
            <w:vAlign w:val="center"/>
          </w:tcPr>
          <w:p w14:paraId="438C7F4C" w14:textId="77777777" w:rsidR="000A446D" w:rsidRPr="00507A6A" w:rsidRDefault="000A446D" w:rsidP="00E21717">
            <w:pPr>
              <w:pStyle w:val="Tabletexte"/>
              <w:rPr>
                <w:spacing w:val="-4"/>
                <w:lang w:val="en-GB" w:bidi="ar-EG"/>
              </w:rPr>
            </w:pPr>
            <w:r w:rsidRPr="00507A6A">
              <w:rPr>
                <w:spacing w:val="-4"/>
                <w:rtl/>
              </w:rPr>
              <w:t>إعداد جدول توظيف وتحديثه لتعزيز رؤية القوى العاملة ودفع عجلة التخطيط الاستراتيجي لها، وتحسين استخدام الموارد، وإعادة مواءمة الهيكل التنظيمي، مع ضمان الشفافية في الوقت الفعلي بشأن اتجاهات التوظيف.</w:t>
            </w:r>
          </w:p>
        </w:tc>
        <w:tc>
          <w:tcPr>
            <w:tcW w:w="1773" w:type="pct"/>
            <w:shd w:val="clear" w:color="auto" w:fill="DEEAF6"/>
            <w:vAlign w:val="center"/>
          </w:tcPr>
          <w:p w14:paraId="7FFC4EFD" w14:textId="53C68CE0"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إعداد جدول الموظفين وتحديثه (معيار نوعي)</w:t>
            </w:r>
          </w:p>
          <w:p w14:paraId="0D6F2B96" w14:textId="312D6278" w:rsidR="000A446D" w:rsidRPr="00507A6A" w:rsidRDefault="007217F4" w:rsidP="00507A6A">
            <w:pPr>
              <w:pStyle w:val="enumlev1"/>
              <w:tabs>
                <w:tab w:val="clear" w:pos="794"/>
              </w:tabs>
              <w:ind w:left="486" w:hanging="486"/>
              <w:rPr>
                <w:spacing w:val="-2"/>
              </w:rPr>
            </w:pPr>
            <w:r w:rsidRPr="00507A6A">
              <w:rPr>
                <w:spacing w:val="-2"/>
                <w:sz w:val="20"/>
                <w:szCs w:val="20"/>
              </w:rPr>
              <w:sym w:font="Symbol" w:char="F0B7"/>
            </w:r>
            <w:r w:rsidRPr="00507A6A">
              <w:rPr>
                <w:spacing w:val="-2"/>
                <w:sz w:val="20"/>
                <w:szCs w:val="20"/>
              </w:rPr>
              <w:tab/>
            </w:r>
            <w:r w:rsidR="000A446D" w:rsidRPr="00507A6A">
              <w:rPr>
                <w:spacing w:val="-2"/>
                <w:sz w:val="20"/>
                <w:szCs w:val="20"/>
                <w:rtl/>
              </w:rPr>
              <w:t>إتاحة رؤية في الوقت الفعلي لاتجاهات التوظيف (لوحة معلومات)</w:t>
            </w:r>
          </w:p>
          <w:p w14:paraId="7CE7CDB7" w14:textId="1C2838DD" w:rsidR="000A446D" w:rsidRPr="00507A6A" w:rsidRDefault="000A446D" w:rsidP="00507A6A">
            <w:pPr>
              <w:pStyle w:val="enumlev1"/>
              <w:tabs>
                <w:tab w:val="clear" w:pos="794"/>
              </w:tabs>
              <w:ind w:left="486" w:hanging="486"/>
            </w:pPr>
            <w:r w:rsidRPr="00507A6A">
              <w:rPr>
                <w:sz w:val="20"/>
                <w:szCs w:val="20"/>
                <w:rtl/>
              </w:rPr>
              <w:t>لا تتجاوز نسبة الخطأ 1</w:t>
            </w:r>
            <w:r w:rsidR="00E4300E" w:rsidRPr="00507A6A">
              <w:rPr>
                <w:rFonts w:hint="cs"/>
                <w:sz w:val="20"/>
                <w:szCs w:val="20"/>
                <w:rtl/>
              </w:rPr>
              <w:t>%</w:t>
            </w:r>
          </w:p>
        </w:tc>
        <w:tc>
          <w:tcPr>
            <w:tcW w:w="963" w:type="pct"/>
            <w:shd w:val="clear" w:color="auto" w:fill="DEEAF6"/>
            <w:vAlign w:val="center"/>
          </w:tcPr>
          <w:p w14:paraId="63CBD678" w14:textId="77777777" w:rsidR="000A446D" w:rsidRPr="00507A6A" w:rsidRDefault="000A446D" w:rsidP="00E21717">
            <w:pPr>
              <w:pStyle w:val="Tabletexte"/>
              <w:jc w:val="left"/>
              <w:rPr>
                <w:lang w:val="en-GB" w:bidi="ar-EG"/>
              </w:rPr>
            </w:pPr>
            <w:r w:rsidRPr="00507A6A">
              <w:rPr>
                <w:rtl/>
              </w:rPr>
              <w:t>الربع الثالث من عام 2026</w:t>
            </w:r>
          </w:p>
          <w:p w14:paraId="1DEFB680" w14:textId="77777777" w:rsidR="000A446D" w:rsidRPr="00507A6A" w:rsidRDefault="000A446D" w:rsidP="00E21717">
            <w:pPr>
              <w:pStyle w:val="Tabletexte"/>
              <w:jc w:val="left"/>
              <w:rPr>
                <w:lang w:val="en-GB" w:bidi="ar-EG"/>
              </w:rPr>
            </w:pPr>
            <w:r w:rsidRPr="00507A6A">
              <w:rPr>
                <w:rtl/>
              </w:rPr>
              <w:t>الربع الثالث من عام 2026</w:t>
            </w:r>
          </w:p>
          <w:p w14:paraId="10391E7A" w14:textId="77777777" w:rsidR="000A446D" w:rsidRPr="00507A6A" w:rsidRDefault="000A446D" w:rsidP="00E21717">
            <w:pPr>
              <w:pStyle w:val="Tabletexte"/>
              <w:jc w:val="left"/>
              <w:rPr>
                <w:lang w:val="en-GB" w:bidi="ar-EG"/>
              </w:rPr>
            </w:pPr>
            <w:r w:rsidRPr="00507A6A">
              <w:rPr>
                <w:rtl/>
              </w:rPr>
              <w:t>الربع الأول من عام 2027</w:t>
            </w:r>
          </w:p>
        </w:tc>
        <w:tc>
          <w:tcPr>
            <w:tcW w:w="354" w:type="pct"/>
            <w:shd w:val="clear" w:color="auto" w:fill="DEEAF6"/>
            <w:vAlign w:val="center"/>
          </w:tcPr>
          <w:p w14:paraId="7A52D6DA" w14:textId="77777777" w:rsidR="000A446D" w:rsidRPr="00507A6A" w:rsidRDefault="000A446D" w:rsidP="000A446D">
            <w:pPr>
              <w:rPr>
                <w:sz w:val="20"/>
                <w:szCs w:val="20"/>
                <w:lang w:val="en-GB" w:bidi="ar-EG"/>
              </w:rPr>
            </w:pPr>
          </w:p>
        </w:tc>
      </w:tr>
      <w:tr w:rsidR="000A446D" w:rsidRPr="00507A6A" w14:paraId="19A2B71D" w14:textId="77777777" w:rsidTr="00507A6A">
        <w:trPr>
          <w:cantSplit/>
          <w:jc w:val="center"/>
        </w:trPr>
        <w:tc>
          <w:tcPr>
            <w:tcW w:w="199" w:type="pct"/>
            <w:shd w:val="clear" w:color="auto" w:fill="C1E4F5"/>
            <w:vAlign w:val="center"/>
          </w:tcPr>
          <w:p w14:paraId="20A70E03" w14:textId="77777777" w:rsidR="000A446D" w:rsidRPr="00507A6A" w:rsidRDefault="000A446D" w:rsidP="00E21717">
            <w:pPr>
              <w:pStyle w:val="Tabletexte"/>
              <w:jc w:val="center"/>
              <w:rPr>
                <w:lang w:val="en-GB" w:bidi="ar-EG"/>
              </w:rPr>
            </w:pPr>
            <w:r w:rsidRPr="00507A6A">
              <w:rPr>
                <w:lang w:val="en-GB" w:bidi="ar-EG"/>
              </w:rPr>
              <w:t>3.5</w:t>
            </w:r>
          </w:p>
        </w:tc>
        <w:tc>
          <w:tcPr>
            <w:tcW w:w="632" w:type="pct"/>
            <w:shd w:val="clear" w:color="auto" w:fill="DEEAF6"/>
            <w:vAlign w:val="center"/>
          </w:tcPr>
          <w:p w14:paraId="43D146FB" w14:textId="77777777" w:rsidR="000A446D" w:rsidRPr="00507A6A" w:rsidRDefault="000A446D" w:rsidP="00E21717">
            <w:pPr>
              <w:pStyle w:val="Tabletexte"/>
              <w:jc w:val="center"/>
              <w:rPr>
                <w:rtl/>
              </w:rPr>
            </w:pPr>
            <w:r w:rsidRPr="00507A6A">
              <w:rPr>
                <w:rtl/>
              </w:rPr>
              <w:t>الإطار التعاقدي</w:t>
            </w:r>
          </w:p>
        </w:tc>
        <w:tc>
          <w:tcPr>
            <w:tcW w:w="1080" w:type="pct"/>
            <w:shd w:val="clear" w:color="auto" w:fill="DEEAF6"/>
            <w:vAlign w:val="center"/>
          </w:tcPr>
          <w:p w14:paraId="4E9CE65F" w14:textId="77777777" w:rsidR="000A446D" w:rsidRPr="00507A6A" w:rsidRDefault="000A446D" w:rsidP="00E21717">
            <w:pPr>
              <w:pStyle w:val="Tabletexte"/>
              <w:rPr>
                <w:spacing w:val="-6"/>
                <w:lang w:val="en-GB" w:bidi="ar-EG"/>
              </w:rPr>
            </w:pPr>
            <w:r w:rsidRPr="00507A6A">
              <w:rPr>
                <w:spacing w:val="-6"/>
                <w:rtl/>
              </w:rPr>
              <w:t>وضع إطار تعاقدي متين لتوضيح صيغ العقود والحوكمة ذات الصلة، مما يتيح الاستخدام المتسق والامتثال والكفاءة في الترتيبات التعاقدية.</w:t>
            </w:r>
          </w:p>
        </w:tc>
        <w:tc>
          <w:tcPr>
            <w:tcW w:w="1773" w:type="pct"/>
            <w:shd w:val="clear" w:color="auto" w:fill="DEEAF6"/>
            <w:vAlign w:val="center"/>
          </w:tcPr>
          <w:p w14:paraId="743EA685" w14:textId="50262747"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تنفيذ إطار تعاقدي شامل (نعم/لا)</w:t>
            </w:r>
          </w:p>
        </w:tc>
        <w:tc>
          <w:tcPr>
            <w:tcW w:w="963" w:type="pct"/>
            <w:shd w:val="clear" w:color="auto" w:fill="DEEAF6"/>
            <w:vAlign w:val="center"/>
          </w:tcPr>
          <w:p w14:paraId="22873E9E" w14:textId="77777777" w:rsidR="000A446D" w:rsidRPr="00507A6A" w:rsidRDefault="000A446D" w:rsidP="00E21717">
            <w:pPr>
              <w:pStyle w:val="Tabletexte"/>
              <w:jc w:val="left"/>
              <w:rPr>
                <w:lang w:val="en-GB" w:bidi="ar-EG"/>
              </w:rPr>
            </w:pPr>
            <w:r w:rsidRPr="00507A6A">
              <w:rPr>
                <w:rtl/>
              </w:rPr>
              <w:t>الربع الرابع من عام 2026</w:t>
            </w:r>
          </w:p>
        </w:tc>
        <w:tc>
          <w:tcPr>
            <w:tcW w:w="354" w:type="pct"/>
            <w:shd w:val="clear" w:color="auto" w:fill="DEEAF6"/>
            <w:vAlign w:val="center"/>
          </w:tcPr>
          <w:p w14:paraId="397A0871" w14:textId="77777777" w:rsidR="000A446D" w:rsidRPr="00507A6A" w:rsidRDefault="000A446D" w:rsidP="000A446D">
            <w:pPr>
              <w:rPr>
                <w:sz w:val="20"/>
                <w:szCs w:val="20"/>
                <w:lang w:val="en-GB" w:bidi="ar-EG"/>
              </w:rPr>
            </w:pPr>
          </w:p>
        </w:tc>
      </w:tr>
      <w:tr w:rsidR="000A446D" w:rsidRPr="00507A6A" w14:paraId="01E70E35" w14:textId="77777777" w:rsidTr="00507A6A">
        <w:trPr>
          <w:cantSplit/>
          <w:jc w:val="center"/>
        </w:trPr>
        <w:tc>
          <w:tcPr>
            <w:tcW w:w="199" w:type="pct"/>
            <w:shd w:val="clear" w:color="auto" w:fill="C1E4F5"/>
            <w:vAlign w:val="center"/>
          </w:tcPr>
          <w:p w14:paraId="125781C5" w14:textId="77777777" w:rsidR="000A446D" w:rsidRPr="00507A6A" w:rsidRDefault="000A446D" w:rsidP="00E21717">
            <w:pPr>
              <w:pStyle w:val="Tabletexte"/>
              <w:jc w:val="center"/>
              <w:rPr>
                <w:lang w:val="en-GB" w:bidi="ar-EG"/>
              </w:rPr>
            </w:pPr>
            <w:r w:rsidRPr="00507A6A">
              <w:rPr>
                <w:lang w:val="en-GB" w:bidi="ar-EG"/>
              </w:rPr>
              <w:t>4.5</w:t>
            </w:r>
          </w:p>
        </w:tc>
        <w:tc>
          <w:tcPr>
            <w:tcW w:w="632" w:type="pct"/>
            <w:shd w:val="clear" w:color="auto" w:fill="DEEAF6"/>
            <w:vAlign w:val="center"/>
          </w:tcPr>
          <w:p w14:paraId="421A18D1" w14:textId="77777777" w:rsidR="000A446D" w:rsidRPr="00507A6A" w:rsidRDefault="000A446D" w:rsidP="00E21717">
            <w:pPr>
              <w:pStyle w:val="Tabletexte"/>
              <w:jc w:val="center"/>
              <w:rPr>
                <w:lang w:val="en-GB" w:bidi="ar-EG"/>
              </w:rPr>
            </w:pPr>
            <w:r w:rsidRPr="00507A6A">
              <w:rPr>
                <w:rtl/>
              </w:rPr>
              <w:t>تفويض الصلاحيات (DoA)</w:t>
            </w:r>
          </w:p>
        </w:tc>
        <w:tc>
          <w:tcPr>
            <w:tcW w:w="1080" w:type="pct"/>
            <w:shd w:val="clear" w:color="auto" w:fill="DEEAF6"/>
            <w:vAlign w:val="center"/>
          </w:tcPr>
          <w:p w14:paraId="7E36D0E1" w14:textId="77777777" w:rsidR="000A446D" w:rsidRPr="00507A6A" w:rsidRDefault="000A446D" w:rsidP="00E21717">
            <w:pPr>
              <w:pStyle w:val="Tabletexte"/>
              <w:rPr>
                <w:lang w:val="en-GB" w:bidi="ar-EG"/>
              </w:rPr>
            </w:pPr>
            <w:r w:rsidRPr="00507A6A">
              <w:rPr>
                <w:rtl/>
              </w:rPr>
              <w:t>تحديث إطار تفويض الصلاحيات (DoA) لتعزيز المرونة التشغيلية وتعزيز المساءلة وتبسيط عملية اتخاذ القرارات في الاتحاد ككل.</w:t>
            </w:r>
          </w:p>
        </w:tc>
        <w:tc>
          <w:tcPr>
            <w:tcW w:w="1773" w:type="pct"/>
            <w:shd w:val="clear" w:color="auto" w:fill="DEEAF6"/>
            <w:vAlign w:val="center"/>
          </w:tcPr>
          <w:p w14:paraId="17F84878" w14:textId="23EF1E83"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إصدار إطار تفويض الصلاحيات (معيار نوعي)</w:t>
            </w:r>
          </w:p>
          <w:p w14:paraId="2B00D978" w14:textId="688C7C17"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مواءمة مسارات العمل في نظام تخطيط الموارد المؤسسية (نعم/لا)</w:t>
            </w:r>
          </w:p>
        </w:tc>
        <w:tc>
          <w:tcPr>
            <w:tcW w:w="963" w:type="pct"/>
            <w:shd w:val="clear" w:color="auto" w:fill="DEEAF6"/>
            <w:vAlign w:val="center"/>
          </w:tcPr>
          <w:p w14:paraId="5AA39B12" w14:textId="77777777" w:rsidR="000A446D" w:rsidRPr="00507A6A" w:rsidRDefault="000A446D" w:rsidP="00E21717">
            <w:pPr>
              <w:pStyle w:val="Tabletexte"/>
              <w:jc w:val="left"/>
              <w:rPr>
                <w:lang w:val="en-GB" w:bidi="ar-EG"/>
              </w:rPr>
            </w:pPr>
            <w:r w:rsidRPr="00507A6A">
              <w:rPr>
                <w:rtl/>
              </w:rPr>
              <w:t>الربع الرابع من عام 2026</w:t>
            </w:r>
          </w:p>
          <w:p w14:paraId="5180F082" w14:textId="77777777" w:rsidR="000A446D" w:rsidRPr="00507A6A" w:rsidRDefault="000A446D" w:rsidP="00E21717">
            <w:pPr>
              <w:pStyle w:val="Tabletexte"/>
              <w:jc w:val="left"/>
              <w:rPr>
                <w:lang w:val="en-GB" w:bidi="ar-EG"/>
              </w:rPr>
            </w:pPr>
            <w:r w:rsidRPr="00507A6A">
              <w:rPr>
                <w:rtl/>
              </w:rPr>
              <w:t>الربع الرابع من عام 2026</w:t>
            </w:r>
          </w:p>
        </w:tc>
        <w:tc>
          <w:tcPr>
            <w:tcW w:w="354" w:type="pct"/>
            <w:shd w:val="clear" w:color="auto" w:fill="DEEAF6"/>
            <w:vAlign w:val="center"/>
          </w:tcPr>
          <w:p w14:paraId="5A978570" w14:textId="77777777" w:rsidR="000A446D" w:rsidRPr="00507A6A" w:rsidRDefault="000A446D" w:rsidP="000A446D">
            <w:pPr>
              <w:rPr>
                <w:sz w:val="20"/>
                <w:szCs w:val="20"/>
                <w:lang w:val="en-GB" w:bidi="ar-EG"/>
              </w:rPr>
            </w:pPr>
          </w:p>
        </w:tc>
      </w:tr>
      <w:tr w:rsidR="000A446D" w:rsidRPr="00507A6A" w14:paraId="778572CA" w14:textId="77777777" w:rsidTr="00507A6A">
        <w:trPr>
          <w:cantSplit/>
          <w:jc w:val="center"/>
        </w:trPr>
        <w:tc>
          <w:tcPr>
            <w:tcW w:w="199" w:type="pct"/>
            <w:vMerge w:val="restart"/>
            <w:shd w:val="clear" w:color="auto" w:fill="C1E4F5"/>
            <w:vAlign w:val="center"/>
          </w:tcPr>
          <w:p w14:paraId="1818A5AD" w14:textId="77777777" w:rsidR="000A446D" w:rsidRPr="00507A6A" w:rsidRDefault="000A446D" w:rsidP="00E21717">
            <w:pPr>
              <w:pStyle w:val="Tabletexte"/>
              <w:jc w:val="center"/>
              <w:rPr>
                <w:lang w:val="en-GB" w:bidi="ar-EG"/>
              </w:rPr>
            </w:pPr>
            <w:r w:rsidRPr="00507A6A">
              <w:rPr>
                <w:rtl/>
              </w:rPr>
              <w:t>5.5</w:t>
            </w:r>
          </w:p>
        </w:tc>
        <w:tc>
          <w:tcPr>
            <w:tcW w:w="632" w:type="pct"/>
            <w:vMerge w:val="restart"/>
            <w:shd w:val="clear" w:color="auto" w:fill="DEEAF6"/>
            <w:vAlign w:val="center"/>
          </w:tcPr>
          <w:p w14:paraId="0498ADF4" w14:textId="77777777" w:rsidR="000A446D" w:rsidRPr="00507A6A" w:rsidRDefault="000A446D" w:rsidP="00E21717">
            <w:pPr>
              <w:pStyle w:val="Tabletexte"/>
              <w:jc w:val="center"/>
              <w:rPr>
                <w:lang w:val="en-GB" w:bidi="ar-EG"/>
              </w:rPr>
            </w:pPr>
            <w:r w:rsidRPr="00507A6A">
              <w:rPr>
                <w:rtl/>
              </w:rPr>
              <w:t>عمليات الموارد البشرية</w:t>
            </w:r>
          </w:p>
        </w:tc>
        <w:tc>
          <w:tcPr>
            <w:tcW w:w="1080" w:type="pct"/>
            <w:vMerge w:val="restart"/>
            <w:shd w:val="clear" w:color="auto" w:fill="DEEAF6"/>
            <w:vAlign w:val="center"/>
          </w:tcPr>
          <w:p w14:paraId="7056146C" w14:textId="77777777" w:rsidR="000A446D" w:rsidRPr="00507A6A" w:rsidRDefault="000A446D" w:rsidP="00E21717">
            <w:pPr>
              <w:pStyle w:val="Tabletexte"/>
              <w:rPr>
                <w:lang w:val="en-GB" w:bidi="ar-EG"/>
              </w:rPr>
            </w:pPr>
            <w:r w:rsidRPr="00507A6A">
              <w:rPr>
                <w:rtl/>
              </w:rPr>
              <w:t xml:space="preserve">تبسيط عمليات الموارد البشرية وتبسيطها وأتمتتها من خلال إجراءات التشغيل الموحدة (SOP) للعمليات الرئيسية، وتحسين وحدة الموارد البشرية في النظام SAP والاستثمارات المستهدفة </w:t>
            </w:r>
            <w:r w:rsidRPr="00507A6A">
              <w:rPr>
                <w:rtl/>
              </w:rPr>
              <w:lastRenderedPageBreak/>
              <w:t>في تكنولوجيا الموارد البشرية لتحسين الكفاءة وتقديم الخدمات.</w:t>
            </w:r>
          </w:p>
        </w:tc>
        <w:tc>
          <w:tcPr>
            <w:tcW w:w="1773" w:type="pct"/>
            <w:shd w:val="clear" w:color="auto" w:fill="DEEAF6"/>
            <w:vAlign w:val="center"/>
          </w:tcPr>
          <w:p w14:paraId="315A6893" w14:textId="2FF2C760" w:rsidR="000A446D" w:rsidRPr="00507A6A" w:rsidRDefault="007217F4" w:rsidP="00507A6A">
            <w:pPr>
              <w:pStyle w:val="enumlev1"/>
              <w:tabs>
                <w:tab w:val="clear" w:pos="794"/>
              </w:tabs>
              <w:ind w:left="486" w:hanging="486"/>
            </w:pPr>
            <w:r w:rsidRPr="00507A6A">
              <w:rPr>
                <w:sz w:val="20"/>
                <w:szCs w:val="20"/>
              </w:rPr>
              <w:lastRenderedPageBreak/>
              <w:sym w:font="Symbol" w:char="F0B7"/>
            </w:r>
            <w:r w:rsidRPr="00507A6A">
              <w:rPr>
                <w:sz w:val="20"/>
                <w:szCs w:val="20"/>
              </w:rPr>
              <w:tab/>
            </w:r>
            <w:r w:rsidR="000A446D" w:rsidRPr="00507A6A">
              <w:rPr>
                <w:sz w:val="20"/>
                <w:szCs w:val="20"/>
                <w:rtl/>
              </w:rPr>
              <w:t>عدد الإجراءات التشغيلية الموحدة المعتمدة والمسجلة مركزياً</w:t>
            </w:r>
          </w:p>
          <w:p w14:paraId="746A9442" w14:textId="5AA68757"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 xml:space="preserve">عدد التحسينات المقترحة لوحدة الموارد البشرية في النظام </w:t>
            </w:r>
            <w:r w:rsidR="000A446D" w:rsidRPr="00507A6A">
              <w:rPr>
                <w:sz w:val="20"/>
                <w:szCs w:val="20"/>
              </w:rPr>
              <w:t>SAP</w:t>
            </w:r>
            <w:r w:rsidR="000A446D" w:rsidRPr="00507A6A">
              <w:rPr>
                <w:sz w:val="20"/>
                <w:szCs w:val="20"/>
                <w:rtl/>
              </w:rPr>
              <w:t xml:space="preserve"> </w:t>
            </w:r>
          </w:p>
          <w:p w14:paraId="37C6A568" w14:textId="256B3D04" w:rsidR="000A446D" w:rsidRPr="00507A6A" w:rsidRDefault="007217F4"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الحد من الاستفسارات المتعلقة بالعمليات</w:t>
            </w:r>
          </w:p>
        </w:tc>
        <w:tc>
          <w:tcPr>
            <w:tcW w:w="963" w:type="pct"/>
            <w:shd w:val="clear" w:color="auto" w:fill="DEEAF6"/>
            <w:vAlign w:val="center"/>
          </w:tcPr>
          <w:p w14:paraId="5AC46351" w14:textId="77777777" w:rsidR="000A446D" w:rsidRPr="00507A6A" w:rsidRDefault="000A446D" w:rsidP="00E21717">
            <w:pPr>
              <w:pStyle w:val="Tabletexte"/>
              <w:jc w:val="left"/>
              <w:rPr>
                <w:spacing w:val="-2"/>
                <w:lang w:val="en-GB" w:bidi="ar-EG"/>
              </w:rPr>
            </w:pPr>
            <w:r w:rsidRPr="00507A6A">
              <w:rPr>
                <w:spacing w:val="-2"/>
                <w:rtl/>
              </w:rPr>
              <w:t>الربع الرابع من عام 2026/الربع الرابع من عام 2027</w:t>
            </w:r>
          </w:p>
          <w:p w14:paraId="3B2300C7" w14:textId="77777777" w:rsidR="000A446D" w:rsidRPr="00507A6A" w:rsidRDefault="000A446D" w:rsidP="00E21717">
            <w:pPr>
              <w:pStyle w:val="Tabletexte"/>
              <w:jc w:val="left"/>
              <w:rPr>
                <w:spacing w:val="-2"/>
                <w:lang w:val="en-GB" w:bidi="ar-EG"/>
              </w:rPr>
            </w:pPr>
            <w:r w:rsidRPr="00507A6A">
              <w:rPr>
                <w:spacing w:val="-2"/>
                <w:rtl/>
              </w:rPr>
              <w:t>الربع الرابع من عام 2026/الربع الرابع من عام 2027</w:t>
            </w:r>
          </w:p>
          <w:p w14:paraId="48E1B0C7" w14:textId="77777777" w:rsidR="000A446D" w:rsidRPr="00507A6A" w:rsidRDefault="000A446D" w:rsidP="00E21717">
            <w:pPr>
              <w:pStyle w:val="Tabletexte"/>
              <w:jc w:val="left"/>
              <w:rPr>
                <w:lang w:val="en-GB" w:bidi="ar-EG"/>
              </w:rPr>
            </w:pPr>
            <w:r w:rsidRPr="00507A6A">
              <w:rPr>
                <w:rtl/>
              </w:rPr>
              <w:t>الربع الرابع من عام 2026</w:t>
            </w:r>
          </w:p>
        </w:tc>
        <w:tc>
          <w:tcPr>
            <w:tcW w:w="354" w:type="pct"/>
            <w:shd w:val="clear" w:color="auto" w:fill="DEEAF6"/>
            <w:vAlign w:val="center"/>
          </w:tcPr>
          <w:p w14:paraId="15479E02" w14:textId="77777777" w:rsidR="000A446D" w:rsidRPr="00507A6A" w:rsidRDefault="000A446D" w:rsidP="000A446D">
            <w:pPr>
              <w:rPr>
                <w:sz w:val="20"/>
                <w:szCs w:val="20"/>
                <w:lang w:val="en-GB" w:bidi="ar-EG"/>
              </w:rPr>
            </w:pPr>
          </w:p>
        </w:tc>
      </w:tr>
      <w:tr w:rsidR="000A446D" w:rsidRPr="00507A6A" w14:paraId="7C89A5C7" w14:textId="77777777" w:rsidTr="00507A6A">
        <w:trPr>
          <w:cantSplit/>
          <w:jc w:val="center"/>
        </w:trPr>
        <w:tc>
          <w:tcPr>
            <w:tcW w:w="199" w:type="pct"/>
            <w:vMerge/>
            <w:vAlign w:val="center"/>
          </w:tcPr>
          <w:p w14:paraId="559194D6" w14:textId="77777777" w:rsidR="000A446D" w:rsidRPr="00507A6A" w:rsidRDefault="000A446D" w:rsidP="00E21717">
            <w:pPr>
              <w:pStyle w:val="Tabletexte"/>
              <w:jc w:val="center"/>
              <w:rPr>
                <w:lang w:val="en-GB" w:bidi="ar-EG"/>
              </w:rPr>
            </w:pPr>
          </w:p>
        </w:tc>
        <w:tc>
          <w:tcPr>
            <w:tcW w:w="632" w:type="pct"/>
            <w:vMerge/>
            <w:vAlign w:val="center"/>
          </w:tcPr>
          <w:p w14:paraId="4D07AD7C" w14:textId="77777777" w:rsidR="000A446D" w:rsidRPr="00507A6A" w:rsidRDefault="000A446D" w:rsidP="00E21717">
            <w:pPr>
              <w:pStyle w:val="Tabletexte"/>
              <w:jc w:val="center"/>
              <w:rPr>
                <w:lang w:val="en-GB" w:bidi="ar-EG"/>
              </w:rPr>
            </w:pPr>
          </w:p>
        </w:tc>
        <w:tc>
          <w:tcPr>
            <w:tcW w:w="1080" w:type="pct"/>
            <w:vMerge/>
            <w:vAlign w:val="center"/>
          </w:tcPr>
          <w:p w14:paraId="3A973C6C" w14:textId="77777777" w:rsidR="000A446D" w:rsidRPr="00507A6A" w:rsidRDefault="000A446D" w:rsidP="00E21717">
            <w:pPr>
              <w:pStyle w:val="Tabletexte"/>
              <w:rPr>
                <w:lang w:val="en-GB" w:bidi="ar-EG"/>
              </w:rPr>
            </w:pPr>
          </w:p>
        </w:tc>
        <w:tc>
          <w:tcPr>
            <w:tcW w:w="1773" w:type="pct"/>
            <w:shd w:val="clear" w:color="auto" w:fill="DEEAF6"/>
            <w:vAlign w:val="center"/>
          </w:tcPr>
          <w:p w14:paraId="56F5D4EC" w14:textId="5516AEC8" w:rsidR="000A446D" w:rsidRPr="00507A6A" w:rsidRDefault="00CF2458" w:rsidP="00507A6A">
            <w:pPr>
              <w:pStyle w:val="enumlev1"/>
              <w:tabs>
                <w:tab w:val="clear" w:pos="794"/>
              </w:tabs>
              <w:ind w:left="486" w:hanging="486"/>
              <w:rPr>
                <w:spacing w:val="-4"/>
              </w:rPr>
            </w:pPr>
            <w:r w:rsidRPr="00507A6A">
              <w:rPr>
                <w:spacing w:val="-4"/>
                <w:sz w:val="20"/>
                <w:szCs w:val="20"/>
              </w:rPr>
              <w:sym w:font="Symbol" w:char="F0B7"/>
            </w:r>
            <w:r w:rsidRPr="00507A6A">
              <w:rPr>
                <w:spacing w:val="-4"/>
                <w:sz w:val="20"/>
                <w:szCs w:val="20"/>
              </w:rPr>
              <w:tab/>
            </w:r>
            <w:r w:rsidR="000A446D" w:rsidRPr="00507A6A">
              <w:rPr>
                <w:spacing w:val="-4"/>
                <w:sz w:val="20"/>
                <w:szCs w:val="20"/>
                <w:rtl/>
              </w:rPr>
              <w:t>تنفيذ دورة تدريبية حول كشوف المرتبات الشهرية في</w:t>
            </w:r>
            <w:r w:rsidRPr="00507A6A">
              <w:rPr>
                <w:rFonts w:hint="eastAsia"/>
                <w:spacing w:val="-4"/>
                <w:sz w:val="20"/>
                <w:szCs w:val="20"/>
                <w:rtl/>
              </w:rPr>
              <w:t> </w:t>
            </w:r>
            <w:r w:rsidR="000A446D" w:rsidRPr="00507A6A">
              <w:rPr>
                <w:spacing w:val="-4"/>
                <w:sz w:val="20"/>
                <w:szCs w:val="20"/>
                <w:rtl/>
              </w:rPr>
              <w:t>الوقت المحدد</w:t>
            </w:r>
          </w:p>
          <w:p w14:paraId="2FF64BD6" w14:textId="14B19723"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 xml:space="preserve">عدد التحسينات المقترحة في وحدة الموارد البشرية/كشوف المرتبات في نظام </w:t>
            </w:r>
            <w:r w:rsidR="000A446D" w:rsidRPr="00507A6A">
              <w:rPr>
                <w:sz w:val="20"/>
                <w:szCs w:val="20"/>
              </w:rPr>
              <w:t>SAP</w:t>
            </w:r>
          </w:p>
          <w:p w14:paraId="16C80C03" w14:textId="2349961E"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Pr>
              <w:tab/>
            </w:r>
            <w:r w:rsidR="000A446D" w:rsidRPr="00507A6A">
              <w:rPr>
                <w:sz w:val="20"/>
                <w:szCs w:val="20"/>
                <w:rtl/>
              </w:rPr>
              <w:t>عدد الحالات التشغيلية الموحدة التي وافق عليها الرئيس والمسجلة مركزياً</w:t>
            </w:r>
          </w:p>
        </w:tc>
        <w:tc>
          <w:tcPr>
            <w:tcW w:w="963" w:type="pct"/>
            <w:shd w:val="clear" w:color="auto" w:fill="DEEAF6"/>
            <w:vAlign w:val="center"/>
          </w:tcPr>
          <w:p w14:paraId="13819C92" w14:textId="52097666" w:rsidR="000A446D" w:rsidRPr="00507A6A" w:rsidRDefault="000A446D" w:rsidP="00E21717">
            <w:pPr>
              <w:pStyle w:val="Tabletexte"/>
              <w:jc w:val="left"/>
              <w:rPr>
                <w:lang w:val="en-GB" w:bidi="ar-EG"/>
              </w:rPr>
            </w:pPr>
            <w:r w:rsidRPr="00507A6A">
              <w:rPr>
                <w:rtl/>
              </w:rPr>
              <w:t>شهريا في عام 2026</w:t>
            </w:r>
            <w:r w:rsidRPr="00507A6A">
              <w:rPr>
                <w:rtl/>
              </w:rPr>
              <w:br/>
              <w:t>الربع الرابع 2026</w:t>
            </w:r>
            <w:r w:rsidR="00507A6A">
              <w:rPr>
                <w:rtl/>
              </w:rPr>
              <w:t>/</w:t>
            </w:r>
            <w:r w:rsidR="00CF2458" w:rsidRPr="00507A6A">
              <w:br/>
            </w:r>
            <w:r w:rsidRPr="00507A6A">
              <w:rPr>
                <w:rtl/>
              </w:rPr>
              <w:t>الربع الرابع 2027</w:t>
            </w:r>
            <w:r w:rsidRPr="00507A6A">
              <w:rPr>
                <w:rtl/>
              </w:rPr>
              <w:br/>
              <w:t>الربع الرابع 2026</w:t>
            </w:r>
            <w:r w:rsidR="00507A6A">
              <w:rPr>
                <w:rtl/>
              </w:rPr>
              <w:t>/</w:t>
            </w:r>
            <w:r w:rsidR="00CF2458" w:rsidRPr="00507A6A">
              <w:br/>
            </w:r>
            <w:r w:rsidRPr="00507A6A">
              <w:rPr>
                <w:rtl/>
              </w:rPr>
              <w:t>الربع الرابع 2027</w:t>
            </w:r>
          </w:p>
        </w:tc>
        <w:tc>
          <w:tcPr>
            <w:tcW w:w="354" w:type="pct"/>
            <w:shd w:val="clear" w:color="auto" w:fill="DEEAF6"/>
            <w:vAlign w:val="center"/>
          </w:tcPr>
          <w:p w14:paraId="6E603978" w14:textId="77777777" w:rsidR="000A446D" w:rsidRPr="00507A6A" w:rsidDel="004B5D0E" w:rsidRDefault="000A446D" w:rsidP="000A446D">
            <w:pPr>
              <w:rPr>
                <w:sz w:val="20"/>
                <w:szCs w:val="20"/>
                <w:lang w:val="en-GB" w:bidi="ar-EG"/>
              </w:rPr>
            </w:pPr>
          </w:p>
        </w:tc>
      </w:tr>
      <w:tr w:rsidR="000A446D" w:rsidRPr="00507A6A" w14:paraId="637C102F" w14:textId="77777777" w:rsidTr="00507A6A">
        <w:trPr>
          <w:cantSplit/>
          <w:jc w:val="center"/>
        </w:trPr>
        <w:tc>
          <w:tcPr>
            <w:tcW w:w="199" w:type="pct"/>
            <w:shd w:val="clear" w:color="auto" w:fill="C1E4F5"/>
            <w:vAlign w:val="center"/>
          </w:tcPr>
          <w:p w14:paraId="47A9C6CB" w14:textId="77777777" w:rsidR="000A446D" w:rsidRPr="00507A6A" w:rsidRDefault="000A446D" w:rsidP="00E21717">
            <w:pPr>
              <w:pStyle w:val="Tabletexte"/>
              <w:jc w:val="center"/>
              <w:rPr>
                <w:lang w:val="en-GB" w:bidi="ar-EG"/>
              </w:rPr>
            </w:pPr>
            <w:r w:rsidRPr="00507A6A">
              <w:rPr>
                <w:rtl/>
              </w:rPr>
              <w:t>5.6</w:t>
            </w:r>
          </w:p>
        </w:tc>
        <w:tc>
          <w:tcPr>
            <w:tcW w:w="632" w:type="pct"/>
            <w:shd w:val="clear" w:color="auto" w:fill="DEEAF6"/>
            <w:vAlign w:val="center"/>
          </w:tcPr>
          <w:p w14:paraId="573C2B31" w14:textId="77777777" w:rsidR="000A446D" w:rsidRPr="00507A6A" w:rsidRDefault="000A446D" w:rsidP="00E21717">
            <w:pPr>
              <w:pStyle w:val="Tabletexte"/>
              <w:jc w:val="center"/>
              <w:rPr>
                <w:lang w:val="en-GB" w:bidi="ar-EG"/>
              </w:rPr>
            </w:pPr>
            <w:r w:rsidRPr="00507A6A">
              <w:rPr>
                <w:rtl/>
              </w:rPr>
              <w:t>وظيفة العلاقات مع الموظفين</w:t>
            </w:r>
          </w:p>
        </w:tc>
        <w:tc>
          <w:tcPr>
            <w:tcW w:w="1080" w:type="pct"/>
            <w:shd w:val="clear" w:color="auto" w:fill="DEEAF6"/>
            <w:vAlign w:val="center"/>
          </w:tcPr>
          <w:p w14:paraId="724A77E4" w14:textId="4E1A2A96" w:rsidR="000A446D" w:rsidRPr="00507A6A" w:rsidRDefault="000A446D" w:rsidP="00680638">
            <w:pPr>
              <w:pStyle w:val="Tabletexte"/>
              <w:rPr>
                <w:lang w:bidi="ar-EG"/>
              </w:rPr>
            </w:pPr>
            <w:r w:rsidRPr="00507A6A">
              <w:rPr>
                <w:rtl/>
              </w:rPr>
              <w:t>تعزيز وظيفة العلاقات مع الموظفين من خلال مواصلة الحوار المنتظم مع مجلس الموظفين وتعزيز التنسيق مع المكاتب الإقليمية، لزيادة عدالة الإجراءات والتخفيف من المخاطر المتعلقة بالموارد البشرية في الاتحاد ككل.</w:t>
            </w:r>
          </w:p>
        </w:tc>
        <w:tc>
          <w:tcPr>
            <w:tcW w:w="1773" w:type="pct"/>
            <w:shd w:val="clear" w:color="auto" w:fill="DEEAF6"/>
            <w:vAlign w:val="center"/>
          </w:tcPr>
          <w:p w14:paraId="2DE656D2" w14:textId="36B6C3EF"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تعزيز التواصل المنتظم مع مجلس الموظفين</w:t>
            </w:r>
          </w:p>
          <w:p w14:paraId="789D8CD4" w14:textId="1685FCEC"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زيادة التواصل مع المكاتب الإقليمية</w:t>
            </w:r>
          </w:p>
        </w:tc>
        <w:tc>
          <w:tcPr>
            <w:tcW w:w="963" w:type="pct"/>
            <w:shd w:val="clear" w:color="auto" w:fill="DEEAF6"/>
            <w:vAlign w:val="center"/>
          </w:tcPr>
          <w:p w14:paraId="4F30995A" w14:textId="77777777" w:rsidR="000A446D" w:rsidRPr="00507A6A" w:rsidRDefault="000A446D" w:rsidP="00E21717">
            <w:pPr>
              <w:pStyle w:val="Tabletexte"/>
              <w:jc w:val="left"/>
              <w:rPr>
                <w:spacing w:val="-4"/>
                <w:lang w:val="en-GB" w:bidi="ar-EG"/>
              </w:rPr>
            </w:pPr>
            <w:r w:rsidRPr="00507A6A">
              <w:rPr>
                <w:spacing w:val="-4"/>
                <w:rtl/>
              </w:rPr>
              <w:t>الربع الرابع من عام 2026/الربع الرابع من عام 2027</w:t>
            </w:r>
          </w:p>
          <w:p w14:paraId="1677E0BF" w14:textId="77777777" w:rsidR="000A446D" w:rsidRPr="00507A6A" w:rsidRDefault="000A446D" w:rsidP="00E21717">
            <w:pPr>
              <w:pStyle w:val="Tabletexte"/>
              <w:jc w:val="left"/>
              <w:rPr>
                <w:spacing w:val="-4"/>
                <w:lang w:val="en-GB" w:bidi="ar-EG"/>
              </w:rPr>
            </w:pPr>
            <w:r w:rsidRPr="00507A6A">
              <w:rPr>
                <w:spacing w:val="-4"/>
                <w:rtl/>
              </w:rPr>
              <w:t>الربع الرابع من عام 2026/الربع الرابع من عام 2027</w:t>
            </w:r>
          </w:p>
        </w:tc>
        <w:tc>
          <w:tcPr>
            <w:tcW w:w="354" w:type="pct"/>
            <w:shd w:val="clear" w:color="auto" w:fill="DEEAF6"/>
            <w:vAlign w:val="center"/>
          </w:tcPr>
          <w:p w14:paraId="0FF5CB11" w14:textId="77777777" w:rsidR="000A446D" w:rsidRPr="00507A6A" w:rsidRDefault="000A446D" w:rsidP="000A446D">
            <w:pPr>
              <w:rPr>
                <w:sz w:val="20"/>
                <w:szCs w:val="20"/>
                <w:lang w:val="en-GB" w:bidi="ar-EG"/>
              </w:rPr>
            </w:pPr>
          </w:p>
        </w:tc>
      </w:tr>
      <w:tr w:rsidR="000A446D" w:rsidRPr="00507A6A" w14:paraId="46517DA4" w14:textId="77777777" w:rsidTr="00507A6A">
        <w:trPr>
          <w:cantSplit/>
          <w:jc w:val="center"/>
        </w:trPr>
        <w:tc>
          <w:tcPr>
            <w:tcW w:w="199" w:type="pct"/>
            <w:shd w:val="clear" w:color="auto" w:fill="C1E4F5"/>
            <w:vAlign w:val="center"/>
          </w:tcPr>
          <w:p w14:paraId="2985C014" w14:textId="77777777" w:rsidR="000A446D" w:rsidRPr="00507A6A" w:rsidRDefault="000A446D" w:rsidP="00E21717">
            <w:pPr>
              <w:pStyle w:val="Tabletexte"/>
              <w:jc w:val="center"/>
              <w:rPr>
                <w:lang w:val="en-GB" w:bidi="ar-EG"/>
              </w:rPr>
            </w:pPr>
            <w:r w:rsidRPr="00507A6A">
              <w:rPr>
                <w:lang w:val="en-GB" w:bidi="ar-EG"/>
              </w:rPr>
              <w:t>7.5</w:t>
            </w:r>
          </w:p>
        </w:tc>
        <w:tc>
          <w:tcPr>
            <w:tcW w:w="632" w:type="pct"/>
            <w:shd w:val="clear" w:color="auto" w:fill="DEEAF6"/>
            <w:vAlign w:val="center"/>
          </w:tcPr>
          <w:p w14:paraId="0B26936A" w14:textId="77777777" w:rsidR="000A446D" w:rsidRPr="00507A6A" w:rsidRDefault="000A446D" w:rsidP="00E21717">
            <w:pPr>
              <w:pStyle w:val="Tabletexte"/>
              <w:jc w:val="center"/>
              <w:rPr>
                <w:lang w:val="en-GB" w:bidi="ar-EG"/>
              </w:rPr>
            </w:pPr>
            <w:r w:rsidRPr="00507A6A">
              <w:rPr>
                <w:rtl/>
              </w:rPr>
              <w:t>التأمين الصحي والمعاشات التقاعدية والخدمات الإدارية ذات الصلة</w:t>
            </w:r>
          </w:p>
        </w:tc>
        <w:tc>
          <w:tcPr>
            <w:tcW w:w="1080" w:type="pct"/>
            <w:shd w:val="clear" w:color="auto" w:fill="DEEAF6"/>
            <w:vAlign w:val="center"/>
          </w:tcPr>
          <w:p w14:paraId="61F1FC4F" w14:textId="77777777" w:rsidR="000A446D" w:rsidRPr="00507A6A" w:rsidRDefault="000A446D" w:rsidP="00E21717">
            <w:pPr>
              <w:pStyle w:val="Tabletexte"/>
              <w:rPr>
                <w:spacing w:val="-2"/>
                <w:lang w:val="en-GB" w:bidi="ar-EG"/>
              </w:rPr>
            </w:pPr>
            <w:r w:rsidRPr="00507A6A">
              <w:rPr>
                <w:spacing w:val="-2"/>
                <w:rtl/>
              </w:rPr>
              <w:t>توفير خدمات التأمين الصحي والمعاشات التقاعدية والخدمات الإدارية ذات الصلة على نطاق المنظمة - بما في ذلك المكاتب الإقليمية - بموجب قواعد وعمليات ومعايير خدمة موحدة. وعلاوة على ذلك، تقديم دعم مخصص للمكاتب الإقليمية من خلال جلسات الطوارئ الطبية، وتقديم إرشادات عملية بشأن الإجراءات وقنوات الدعم.</w:t>
            </w:r>
          </w:p>
        </w:tc>
        <w:tc>
          <w:tcPr>
            <w:tcW w:w="1773" w:type="pct"/>
            <w:shd w:val="clear" w:color="auto" w:fill="DEEAF6"/>
            <w:vAlign w:val="center"/>
          </w:tcPr>
          <w:p w14:paraId="1B694263" w14:textId="10F3A362"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نسبة التقارير المتعلقة بالتأمين الصحي والمعاشات التقاعدية المقدمة إلى للصندوق المشترك للمعاشات التقاعدية لموظفي الأمم المتحدة (</w:t>
            </w:r>
            <w:r w:rsidR="000A446D" w:rsidRPr="00507A6A">
              <w:rPr>
                <w:sz w:val="20"/>
                <w:szCs w:val="20"/>
              </w:rPr>
              <w:t>UNJSPF</w:t>
            </w:r>
            <w:r w:rsidR="000A446D" w:rsidRPr="00507A6A">
              <w:rPr>
                <w:sz w:val="20"/>
                <w:szCs w:val="20"/>
                <w:rtl/>
              </w:rPr>
              <w:t>)</w:t>
            </w:r>
            <w:r w:rsidR="00507A6A">
              <w:rPr>
                <w:rFonts w:hint="cs"/>
                <w:sz w:val="20"/>
                <w:szCs w:val="20"/>
                <w:rtl/>
              </w:rPr>
              <w:t>/</w:t>
            </w:r>
            <w:r w:rsidR="000A446D" w:rsidRPr="00507A6A">
              <w:rPr>
                <w:sz w:val="20"/>
                <w:szCs w:val="20"/>
                <w:rtl/>
              </w:rPr>
              <w:t>جمعية التأمين التعاوني لموظفي الأمم المتحدة (</w:t>
            </w:r>
            <w:r w:rsidR="000A446D" w:rsidRPr="00507A6A">
              <w:rPr>
                <w:sz w:val="20"/>
                <w:szCs w:val="20"/>
              </w:rPr>
              <w:t>UNSMIS</w:t>
            </w:r>
            <w:r w:rsidR="000A446D" w:rsidRPr="00507A6A">
              <w:rPr>
                <w:sz w:val="20"/>
                <w:szCs w:val="20"/>
                <w:rtl/>
              </w:rPr>
              <w:t>) في الوقت المحدد وبدون أخطاء</w:t>
            </w:r>
          </w:p>
          <w:p w14:paraId="302481B8" w14:textId="1D547EA4" w:rsidR="000A446D" w:rsidRPr="00507A6A" w:rsidDel="00037073"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جلسات الطوارئ الطبية المقدمة للمكاتب الإقليمية ومعدل المشاركة في كل جلسة</w:t>
            </w:r>
          </w:p>
        </w:tc>
        <w:tc>
          <w:tcPr>
            <w:tcW w:w="963" w:type="pct"/>
            <w:shd w:val="clear" w:color="auto" w:fill="DEEAF6"/>
            <w:vAlign w:val="center"/>
          </w:tcPr>
          <w:p w14:paraId="03913AB3" w14:textId="77777777" w:rsidR="000A446D" w:rsidRPr="00507A6A" w:rsidRDefault="000A446D" w:rsidP="00E21717">
            <w:pPr>
              <w:pStyle w:val="Tabletexte"/>
              <w:jc w:val="left"/>
              <w:rPr>
                <w:lang w:val="en-GB" w:bidi="ar-EG"/>
              </w:rPr>
            </w:pPr>
            <w:r w:rsidRPr="00507A6A">
              <w:rPr>
                <w:rtl/>
              </w:rPr>
              <w:t>شهريا في عام 2026</w:t>
            </w:r>
          </w:p>
          <w:p w14:paraId="23DBE025" w14:textId="77777777" w:rsidR="000A446D" w:rsidRPr="00507A6A" w:rsidRDefault="000A446D" w:rsidP="00E21717">
            <w:pPr>
              <w:pStyle w:val="Tabletexte"/>
              <w:jc w:val="left"/>
              <w:rPr>
                <w:lang w:val="en-GB" w:bidi="ar-EG"/>
              </w:rPr>
            </w:pPr>
            <w:r w:rsidRPr="00507A6A">
              <w:rPr>
                <w:rtl/>
              </w:rPr>
              <w:t>الربع الثاني والربع الثالث من عام 2026</w:t>
            </w:r>
          </w:p>
        </w:tc>
        <w:tc>
          <w:tcPr>
            <w:tcW w:w="354" w:type="pct"/>
            <w:shd w:val="clear" w:color="auto" w:fill="DEEAF6"/>
            <w:vAlign w:val="center"/>
          </w:tcPr>
          <w:p w14:paraId="4532BB8A" w14:textId="77777777" w:rsidR="000A446D" w:rsidRPr="00507A6A" w:rsidDel="004B5D0E" w:rsidRDefault="000A446D" w:rsidP="000A446D">
            <w:pPr>
              <w:rPr>
                <w:sz w:val="20"/>
                <w:szCs w:val="20"/>
                <w:lang w:val="en-GB" w:bidi="ar-EG"/>
              </w:rPr>
            </w:pPr>
          </w:p>
        </w:tc>
      </w:tr>
      <w:tr w:rsidR="000A446D" w:rsidRPr="00507A6A" w14:paraId="17CF9044" w14:textId="77777777" w:rsidTr="00507A6A">
        <w:trPr>
          <w:cantSplit/>
          <w:jc w:val="center"/>
        </w:trPr>
        <w:tc>
          <w:tcPr>
            <w:tcW w:w="199" w:type="pct"/>
            <w:shd w:val="clear" w:color="auto" w:fill="C1E4F5"/>
            <w:vAlign w:val="center"/>
          </w:tcPr>
          <w:p w14:paraId="3F4DD49F" w14:textId="77777777" w:rsidR="000A446D" w:rsidRPr="00507A6A" w:rsidRDefault="000A446D" w:rsidP="00E21717">
            <w:pPr>
              <w:pStyle w:val="Tabletexte"/>
              <w:jc w:val="center"/>
              <w:rPr>
                <w:lang w:val="en-GB" w:bidi="ar-EG"/>
              </w:rPr>
            </w:pPr>
            <w:r w:rsidRPr="00507A6A">
              <w:rPr>
                <w:lang w:val="en-GB" w:bidi="ar-EG"/>
              </w:rPr>
              <w:t>8.5</w:t>
            </w:r>
          </w:p>
        </w:tc>
        <w:tc>
          <w:tcPr>
            <w:tcW w:w="632" w:type="pct"/>
            <w:shd w:val="clear" w:color="auto" w:fill="DEEAF6"/>
            <w:vAlign w:val="center"/>
          </w:tcPr>
          <w:p w14:paraId="27E29BA6" w14:textId="77777777" w:rsidR="000A446D" w:rsidRPr="00507A6A" w:rsidRDefault="000A446D" w:rsidP="00E21717">
            <w:pPr>
              <w:pStyle w:val="Tabletexte"/>
              <w:jc w:val="center"/>
              <w:rPr>
                <w:lang w:val="en-GB" w:bidi="ar-EG"/>
              </w:rPr>
            </w:pPr>
            <w:r w:rsidRPr="00507A6A">
              <w:rPr>
                <w:rtl/>
              </w:rPr>
              <w:t>بيانات وعمليات تحليل الموارد البشرية</w:t>
            </w:r>
          </w:p>
        </w:tc>
        <w:tc>
          <w:tcPr>
            <w:tcW w:w="1080" w:type="pct"/>
            <w:shd w:val="clear" w:color="auto" w:fill="DEEAF6"/>
            <w:vAlign w:val="center"/>
          </w:tcPr>
          <w:p w14:paraId="3B79F883" w14:textId="77777777" w:rsidR="000A446D" w:rsidRPr="00507A6A" w:rsidRDefault="000A446D" w:rsidP="00E21717">
            <w:pPr>
              <w:pStyle w:val="Tabletexte"/>
              <w:rPr>
                <w:lang w:val="en-GB" w:bidi="ar-EG"/>
              </w:rPr>
            </w:pPr>
            <w:bookmarkStart w:id="3" w:name="_Hlk221119482"/>
            <w:r w:rsidRPr="00507A6A">
              <w:rPr>
                <w:rtl/>
              </w:rPr>
              <w:t>تعزيز القدرات في مجال بيانات الموارد البشرية وتحليلاتها من خلال إنشاء مصادر موثوقة وموحدة لبيانات الموارد البشرية وتوسيع ذكاء الأعمال والمضي قدماً نحو التحليلات التنبؤية لدعم التخطيط وإعداد التقارير واتخاذ القرارات.</w:t>
            </w:r>
            <w:bookmarkEnd w:id="3"/>
          </w:p>
        </w:tc>
        <w:tc>
          <w:tcPr>
            <w:tcW w:w="1773" w:type="pct"/>
            <w:shd w:val="clear" w:color="auto" w:fill="DEEAF6"/>
            <w:vAlign w:val="center"/>
          </w:tcPr>
          <w:p w14:paraId="513F7ED3" w14:textId="1C06A807"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تيسر نظام لمراقبة جودة البيانات (لوحة معلومات مثلاً) (نعم/لا)</w:t>
            </w:r>
          </w:p>
          <w:p w14:paraId="0BF13833" w14:textId="4029B2D2"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أدوات التحليل المستخدمة لتحليل وتجميع بيانات الموارد البشرية</w:t>
            </w:r>
          </w:p>
          <w:p w14:paraId="4005C44F" w14:textId="04BDB854" w:rsidR="000A446D" w:rsidRPr="00507A6A" w:rsidDel="00037073"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عدد أدوات الذكاء الاصطناعي المعتمدة</w:t>
            </w:r>
          </w:p>
        </w:tc>
        <w:tc>
          <w:tcPr>
            <w:tcW w:w="963" w:type="pct"/>
            <w:shd w:val="clear" w:color="auto" w:fill="DEEAF6"/>
            <w:vAlign w:val="center"/>
          </w:tcPr>
          <w:p w14:paraId="22665A92" w14:textId="3A7EBDA6" w:rsidR="000A446D" w:rsidRPr="00507A6A" w:rsidRDefault="000A446D" w:rsidP="00E21717">
            <w:pPr>
              <w:pStyle w:val="Tabletexte"/>
              <w:jc w:val="left"/>
              <w:rPr>
                <w:lang w:val="en-GB" w:bidi="ar-EG"/>
              </w:rPr>
            </w:pPr>
            <w:r w:rsidRPr="00507A6A">
              <w:rPr>
                <w:rtl/>
              </w:rPr>
              <w:t>الربع</w:t>
            </w:r>
            <w:r w:rsidR="00507A6A">
              <w:rPr>
                <w:rFonts w:hint="cs"/>
                <w:rtl/>
              </w:rPr>
              <w:t xml:space="preserve"> الرابع من عام</w:t>
            </w:r>
            <w:r w:rsidRPr="00507A6A">
              <w:rPr>
                <w:rtl/>
              </w:rPr>
              <w:t xml:space="preserve"> 2026</w:t>
            </w:r>
          </w:p>
          <w:p w14:paraId="4BAD6383" w14:textId="77777777" w:rsidR="000A446D" w:rsidRPr="00507A6A" w:rsidRDefault="000A446D" w:rsidP="00E21717">
            <w:pPr>
              <w:pStyle w:val="Tabletexte"/>
              <w:jc w:val="left"/>
              <w:rPr>
                <w:lang w:val="en-GB" w:bidi="ar-EG"/>
              </w:rPr>
            </w:pPr>
            <w:r w:rsidRPr="00507A6A">
              <w:rPr>
                <w:rtl/>
              </w:rPr>
              <w:t>الربع الرابع من عام 2026</w:t>
            </w:r>
          </w:p>
          <w:p w14:paraId="12DE7234" w14:textId="77777777" w:rsidR="000A446D" w:rsidRPr="00507A6A" w:rsidRDefault="000A446D" w:rsidP="00E21717">
            <w:pPr>
              <w:pStyle w:val="Tabletexte"/>
              <w:jc w:val="left"/>
              <w:rPr>
                <w:lang w:val="en-GB" w:bidi="ar-EG"/>
              </w:rPr>
            </w:pPr>
            <w:r w:rsidRPr="00507A6A">
              <w:rPr>
                <w:rtl/>
              </w:rPr>
              <w:t>الربع الرابع من عام 2027</w:t>
            </w:r>
          </w:p>
        </w:tc>
        <w:tc>
          <w:tcPr>
            <w:tcW w:w="354" w:type="pct"/>
            <w:shd w:val="clear" w:color="auto" w:fill="DEEAF6"/>
            <w:vAlign w:val="center"/>
          </w:tcPr>
          <w:p w14:paraId="7ACFFAA5" w14:textId="77777777" w:rsidR="000A446D" w:rsidRPr="00507A6A" w:rsidDel="004B5D0E" w:rsidRDefault="000A446D" w:rsidP="000A446D">
            <w:pPr>
              <w:rPr>
                <w:sz w:val="20"/>
                <w:szCs w:val="20"/>
                <w:lang w:val="en-GB" w:bidi="ar-EG"/>
              </w:rPr>
            </w:pPr>
          </w:p>
        </w:tc>
      </w:tr>
      <w:tr w:rsidR="000A446D" w:rsidRPr="00507A6A" w14:paraId="4CF8546E" w14:textId="77777777" w:rsidTr="00507A6A">
        <w:trPr>
          <w:cantSplit/>
          <w:jc w:val="center"/>
        </w:trPr>
        <w:tc>
          <w:tcPr>
            <w:tcW w:w="199" w:type="pct"/>
            <w:shd w:val="clear" w:color="auto" w:fill="C1E4F5"/>
            <w:vAlign w:val="center"/>
          </w:tcPr>
          <w:p w14:paraId="10DE5227" w14:textId="77777777" w:rsidR="000A446D" w:rsidRPr="00507A6A" w:rsidRDefault="000A446D" w:rsidP="00E21717">
            <w:pPr>
              <w:pStyle w:val="Tabletexte"/>
              <w:jc w:val="center"/>
              <w:rPr>
                <w:lang w:val="en-GB" w:bidi="ar-EG"/>
              </w:rPr>
            </w:pPr>
            <w:r w:rsidRPr="00507A6A">
              <w:rPr>
                <w:lang w:val="en-GB" w:bidi="ar-EG"/>
              </w:rPr>
              <w:lastRenderedPageBreak/>
              <w:t>9.5</w:t>
            </w:r>
          </w:p>
        </w:tc>
        <w:tc>
          <w:tcPr>
            <w:tcW w:w="632" w:type="pct"/>
            <w:shd w:val="clear" w:color="auto" w:fill="DEEAF6"/>
            <w:vAlign w:val="center"/>
          </w:tcPr>
          <w:p w14:paraId="3C0266A7" w14:textId="77777777" w:rsidR="000A446D" w:rsidRPr="00507A6A" w:rsidRDefault="000A446D" w:rsidP="00E21717">
            <w:pPr>
              <w:pStyle w:val="Tabletexte"/>
              <w:jc w:val="center"/>
              <w:rPr>
                <w:lang w:val="en-GB" w:bidi="ar-EG"/>
              </w:rPr>
            </w:pPr>
            <w:r w:rsidRPr="00507A6A">
              <w:rPr>
                <w:rtl/>
              </w:rPr>
              <w:t>حلول الموارد البشرية القائمة على الذكاء الاصطناعي</w:t>
            </w:r>
          </w:p>
        </w:tc>
        <w:tc>
          <w:tcPr>
            <w:tcW w:w="1080" w:type="pct"/>
            <w:shd w:val="clear" w:color="auto" w:fill="DEEAF6"/>
            <w:vAlign w:val="center"/>
          </w:tcPr>
          <w:p w14:paraId="4328EF42" w14:textId="77777777" w:rsidR="000A446D" w:rsidRPr="00507A6A" w:rsidRDefault="000A446D" w:rsidP="00E21717">
            <w:pPr>
              <w:pStyle w:val="Tabletexte"/>
              <w:rPr>
                <w:spacing w:val="-2"/>
                <w:lang w:val="en-GB" w:bidi="ar-EG"/>
              </w:rPr>
            </w:pPr>
            <w:r w:rsidRPr="00507A6A">
              <w:rPr>
                <w:spacing w:val="-2"/>
                <w:rtl/>
              </w:rPr>
              <w:t>تقييم واختبار حلول الموارد البشرية القائمة على الذكاء الاصطناعي، وإجراء حوارات داخلية وعلى مستوى المنظمات للتحقق من فعاليتها وتبادل أفضل الممارسات ومعالجة المخاطر المحتملة.</w:t>
            </w:r>
          </w:p>
        </w:tc>
        <w:tc>
          <w:tcPr>
            <w:tcW w:w="1773" w:type="pct"/>
            <w:shd w:val="clear" w:color="auto" w:fill="DEEAF6"/>
            <w:vAlign w:val="center"/>
          </w:tcPr>
          <w:p w14:paraId="146F819C" w14:textId="4716F2A9" w:rsidR="000A446D" w:rsidRPr="00507A6A" w:rsidRDefault="00CF2458" w:rsidP="00507A6A">
            <w:pPr>
              <w:pStyle w:val="enumlev1"/>
              <w:tabs>
                <w:tab w:val="clear" w:pos="794"/>
              </w:tabs>
              <w:ind w:left="486" w:hanging="486"/>
            </w:pPr>
            <w:r w:rsidRPr="00507A6A">
              <w:rPr>
                <w:sz w:val="20"/>
                <w:szCs w:val="20"/>
              </w:rPr>
              <w:sym w:font="Symbol" w:char="F0B7"/>
            </w:r>
            <w:r w:rsidRPr="00507A6A">
              <w:rPr>
                <w:sz w:val="20"/>
                <w:szCs w:val="20"/>
                <w:rtl/>
              </w:rPr>
              <w:tab/>
            </w:r>
            <w:r w:rsidR="000A446D" w:rsidRPr="00507A6A">
              <w:rPr>
                <w:sz w:val="20"/>
                <w:szCs w:val="20"/>
                <w:rtl/>
              </w:rPr>
              <w:t xml:space="preserve">عدد حالات استخدام بالذكاء الاصطناعي </w:t>
            </w:r>
          </w:p>
          <w:p w14:paraId="14CBEDDB" w14:textId="7113F8B1" w:rsidR="000A446D" w:rsidRPr="00507A6A" w:rsidDel="00037073" w:rsidRDefault="00CF2458" w:rsidP="00507A6A">
            <w:pPr>
              <w:pStyle w:val="enumlev1"/>
              <w:tabs>
                <w:tab w:val="clear" w:pos="794"/>
              </w:tabs>
              <w:ind w:left="486" w:hanging="486"/>
              <w:rPr>
                <w:spacing w:val="-4"/>
              </w:rPr>
            </w:pPr>
            <w:r w:rsidRPr="00507A6A">
              <w:rPr>
                <w:spacing w:val="-4"/>
                <w:sz w:val="20"/>
                <w:szCs w:val="20"/>
              </w:rPr>
              <w:sym w:font="Symbol" w:char="F0B7"/>
            </w:r>
            <w:r w:rsidRPr="00507A6A">
              <w:rPr>
                <w:spacing w:val="-4"/>
                <w:sz w:val="20"/>
                <w:szCs w:val="20"/>
                <w:rtl/>
              </w:rPr>
              <w:tab/>
            </w:r>
            <w:r w:rsidR="000A446D" w:rsidRPr="00507A6A">
              <w:rPr>
                <w:spacing w:val="-4"/>
                <w:sz w:val="20"/>
                <w:szCs w:val="20"/>
                <w:rtl/>
              </w:rPr>
              <w:t>تبادل الدروس المستفادة وأفضل الممارسات داخلياً وعلى مستوى المنظمة (معيار نوعي)</w:t>
            </w:r>
          </w:p>
        </w:tc>
        <w:tc>
          <w:tcPr>
            <w:tcW w:w="963" w:type="pct"/>
            <w:shd w:val="clear" w:color="auto" w:fill="DEEAF6"/>
            <w:vAlign w:val="center"/>
          </w:tcPr>
          <w:p w14:paraId="6E70962A" w14:textId="77777777" w:rsidR="000A446D" w:rsidRPr="00507A6A" w:rsidRDefault="000A446D" w:rsidP="00E21717">
            <w:pPr>
              <w:pStyle w:val="Tabletexte"/>
              <w:jc w:val="left"/>
              <w:rPr>
                <w:lang w:val="en-GB" w:bidi="ar-EG"/>
              </w:rPr>
            </w:pPr>
            <w:r w:rsidRPr="00507A6A">
              <w:rPr>
                <w:rtl/>
              </w:rPr>
              <w:t>الربع الرابع من عام 2027</w:t>
            </w:r>
          </w:p>
          <w:p w14:paraId="703DBE85" w14:textId="77777777" w:rsidR="000A446D" w:rsidRPr="00507A6A" w:rsidRDefault="000A446D" w:rsidP="00E21717">
            <w:pPr>
              <w:pStyle w:val="Tabletexte"/>
              <w:jc w:val="left"/>
              <w:rPr>
                <w:lang w:val="en-GB" w:bidi="ar-EG"/>
              </w:rPr>
            </w:pPr>
            <w:r w:rsidRPr="00507A6A">
              <w:rPr>
                <w:rtl/>
              </w:rPr>
              <w:t>الربع الرابع من عام 2027</w:t>
            </w:r>
          </w:p>
        </w:tc>
        <w:tc>
          <w:tcPr>
            <w:tcW w:w="354" w:type="pct"/>
            <w:shd w:val="clear" w:color="auto" w:fill="DEEAF6"/>
            <w:vAlign w:val="center"/>
          </w:tcPr>
          <w:p w14:paraId="0BC2D880" w14:textId="77777777" w:rsidR="000A446D" w:rsidRPr="00507A6A" w:rsidDel="004B5D0E" w:rsidRDefault="000A446D" w:rsidP="000A446D">
            <w:pPr>
              <w:rPr>
                <w:sz w:val="20"/>
                <w:szCs w:val="20"/>
                <w:lang w:val="en-GB" w:bidi="ar-EG"/>
              </w:rPr>
            </w:pPr>
          </w:p>
        </w:tc>
      </w:tr>
    </w:tbl>
    <w:p w14:paraId="4C1560EF" w14:textId="77777777" w:rsidR="00F50E3F" w:rsidRDefault="00D63735" w:rsidP="00D63735">
      <w:pPr>
        <w:spacing w:before="600"/>
        <w:jc w:val="center"/>
        <w:rPr>
          <w:rtl/>
          <w:lang w:bidi="ar-EG"/>
        </w:rPr>
      </w:pPr>
      <w:r w:rsidRPr="00507A6A">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0A446D">
      <w:headerReference w:type="first" r:id="rId14"/>
      <w:footerReference w:type="first" r:id="rId15"/>
      <w:pgSz w:w="16840" w:h="11907"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0EDF" w14:textId="77777777" w:rsidR="00CA1987" w:rsidRDefault="00CA1987" w:rsidP="006C3242">
      <w:pPr>
        <w:spacing w:before="0" w:line="240" w:lineRule="auto"/>
      </w:pPr>
      <w:r>
        <w:separator/>
      </w:r>
    </w:p>
  </w:endnote>
  <w:endnote w:type="continuationSeparator" w:id="0">
    <w:p w14:paraId="74ACE849" w14:textId="77777777" w:rsidR="00CA1987" w:rsidRDefault="00CA198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3B1B42" w:rsidRPr="007B0AA0" w14:paraId="784F98FE" w14:textId="77777777" w:rsidTr="00507A6A">
      <w:trPr>
        <w:jc w:val="center"/>
      </w:trPr>
      <w:tc>
        <w:tcPr>
          <w:tcW w:w="868" w:type="pct"/>
          <w:vAlign w:val="center"/>
        </w:tcPr>
        <w:p w14:paraId="5AE0B430" w14:textId="51B5F3A9" w:rsidR="003B1B42" w:rsidRPr="007B0AA0" w:rsidRDefault="003B1B42"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0A446D">
            <w:rPr>
              <w:rFonts w:ascii="Calibri" w:hAnsi="Calibri" w:cs="Arial"/>
              <w:sz w:val="18"/>
              <w:szCs w:val="14"/>
            </w:rPr>
            <w:t>2600754</w:t>
          </w:r>
        </w:p>
      </w:tc>
      <w:tc>
        <w:tcPr>
          <w:tcW w:w="3912" w:type="pct"/>
        </w:tcPr>
        <w:p w14:paraId="796D774A" w14:textId="791A594D" w:rsidR="003B1B42" w:rsidRPr="007B0AA0" w:rsidRDefault="003B1B42"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Pr>
              <w:rFonts w:ascii="Calibri" w:hAnsi="Calibri" w:cs="Arial"/>
              <w:bCs/>
              <w:color w:val="7F7F7F"/>
              <w:sz w:val="18"/>
            </w:rPr>
            <w:t>6</w:t>
          </w:r>
          <w:proofErr w:type="spellEnd"/>
          <w:r w:rsidRPr="007B0AA0">
            <w:rPr>
              <w:rFonts w:ascii="Calibri" w:hAnsi="Calibri" w:cs="Arial"/>
              <w:bCs/>
              <w:color w:val="7F7F7F"/>
              <w:sz w:val="18"/>
            </w:rPr>
            <w:t>/</w:t>
          </w:r>
          <w:r>
            <w:rPr>
              <w:rFonts w:ascii="Calibri" w:hAnsi="Calibri" w:cs="Arial"/>
              <w:bCs/>
              <w:color w:val="7F7F7F"/>
              <w:sz w:val="18"/>
            </w:rPr>
            <w:t>67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7865AA0" w14:textId="4EC31D97" w:rsidR="003B1B42" w:rsidRPr="007B0AA0" w:rsidRDefault="003B1B42"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0AD45A1"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DB6D6EC" w14:textId="77777777" w:rsidTr="00A67F05">
      <w:trPr>
        <w:jc w:val="center"/>
      </w:trPr>
      <w:tc>
        <w:tcPr>
          <w:tcW w:w="1013" w:type="pct"/>
          <w:vAlign w:val="center"/>
        </w:tcPr>
        <w:p w14:paraId="49A1E87B"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6360A5E0" w14:textId="6EED88AC"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0A446D">
            <w:rPr>
              <w:rFonts w:ascii="Calibri" w:hAnsi="Calibri" w:cs="Arial"/>
              <w:bCs/>
              <w:color w:val="7F7F7F"/>
              <w:sz w:val="18"/>
            </w:rPr>
            <w:t>67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DC8717F"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A600801"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0A446D" w:rsidRPr="007B0AA0" w14:paraId="6432C40F" w14:textId="77777777" w:rsidTr="00A67F05">
      <w:trPr>
        <w:jc w:val="center"/>
      </w:trPr>
      <w:tc>
        <w:tcPr>
          <w:tcW w:w="1013" w:type="pct"/>
          <w:vAlign w:val="center"/>
        </w:tcPr>
        <w:p w14:paraId="4658C7C0" w14:textId="47F0A72B" w:rsidR="000A446D" w:rsidRPr="000116AF" w:rsidRDefault="000A446D"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r w:rsidRPr="000A446D">
            <w:rPr>
              <w:rFonts w:ascii="Calibri" w:hAnsi="Calibri" w:cs="Arial"/>
              <w:sz w:val="18"/>
              <w:szCs w:val="14"/>
            </w:rPr>
            <w:t>2600754</w:t>
          </w:r>
        </w:p>
      </w:tc>
      <w:tc>
        <w:tcPr>
          <w:tcW w:w="3768" w:type="pct"/>
        </w:tcPr>
        <w:p w14:paraId="56F3ED96" w14:textId="77777777" w:rsidR="000A446D" w:rsidRPr="007B0AA0" w:rsidRDefault="000A446D"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Pr>
              <w:rFonts w:ascii="Calibri" w:hAnsi="Calibri" w:cs="Arial"/>
              <w:bCs/>
              <w:color w:val="7F7F7F"/>
              <w:sz w:val="18"/>
            </w:rPr>
            <w:t>6</w:t>
          </w:r>
          <w:proofErr w:type="spellEnd"/>
          <w:r w:rsidRPr="007B0AA0">
            <w:rPr>
              <w:rFonts w:ascii="Calibri" w:hAnsi="Calibri" w:cs="Arial"/>
              <w:bCs/>
              <w:color w:val="7F7F7F"/>
              <w:sz w:val="18"/>
            </w:rPr>
            <w:t>/</w:t>
          </w:r>
          <w:r>
            <w:rPr>
              <w:rFonts w:ascii="Calibri" w:hAnsi="Calibri" w:cs="Arial"/>
              <w:bCs/>
              <w:color w:val="7F7F7F"/>
              <w:sz w:val="18"/>
            </w:rPr>
            <w:t>67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6EE6F5A" w14:textId="77777777" w:rsidR="000A446D" w:rsidRPr="007B0AA0" w:rsidRDefault="000A446D"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A9850AA" w14:textId="77777777" w:rsidR="000A446D" w:rsidRPr="00077A58" w:rsidRDefault="000A446D"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286DA" w14:textId="77777777" w:rsidR="00CA1987" w:rsidRDefault="00CA1987" w:rsidP="006C3242">
      <w:pPr>
        <w:spacing w:before="0" w:line="240" w:lineRule="auto"/>
      </w:pPr>
      <w:r>
        <w:separator/>
      </w:r>
    </w:p>
  </w:footnote>
  <w:footnote w:type="continuationSeparator" w:id="0">
    <w:p w14:paraId="50DED30C" w14:textId="77777777" w:rsidR="00CA1987" w:rsidRDefault="00CA1987" w:rsidP="006C3242">
      <w:pPr>
        <w:spacing w:before="0" w:line="240" w:lineRule="auto"/>
      </w:pPr>
      <w:r>
        <w:continuationSeparator/>
      </w:r>
    </w:p>
  </w:footnote>
  <w:footnote w:id="1">
    <w:p w14:paraId="00206DD8" w14:textId="2C057D91" w:rsidR="00171549" w:rsidRPr="00507A6A" w:rsidRDefault="00171549" w:rsidP="00507A6A">
      <w:pPr>
        <w:pStyle w:val="FootnoteText"/>
        <w:tabs>
          <w:tab w:val="clear" w:pos="794"/>
          <w:tab w:val="left" w:pos="396"/>
        </w:tabs>
        <w:rPr>
          <w:sz w:val="18"/>
          <w:szCs w:val="18"/>
          <w:lang w:bidi="ar-EG"/>
        </w:rPr>
      </w:pPr>
      <w:r w:rsidRPr="00507A6A">
        <w:rPr>
          <w:rStyle w:val="FootnoteReference"/>
        </w:rPr>
        <w:footnoteRef/>
      </w:r>
      <w:r w:rsidRPr="00507A6A">
        <w:rPr>
          <w:sz w:val="18"/>
          <w:szCs w:val="18"/>
          <w:rtl/>
          <w:lang w:bidi="ar-EG"/>
        </w:rPr>
        <w:tab/>
      </w:r>
      <w:r w:rsidR="00507A6A" w:rsidRPr="00507A6A">
        <w:rPr>
          <w:rFonts w:hint="cs"/>
          <w:sz w:val="18"/>
          <w:szCs w:val="18"/>
          <w:rtl/>
          <w:lang w:bidi="ar-EG"/>
        </w:rPr>
        <w:t xml:space="preserve">تشمل </w:t>
      </w:r>
      <w:r w:rsidR="0055593B" w:rsidRPr="00507A6A">
        <w:rPr>
          <w:sz w:val="18"/>
          <w:szCs w:val="18"/>
          <w:rtl/>
        </w:rPr>
        <w:t>أقل البلدان نمواً والبلدان النامية غير الساحلية والدول الجزرية الصغيرة النامية.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AEB1" w14:textId="77777777" w:rsidR="001A3E13" w:rsidRPr="00057769" w:rsidRDefault="001A3E13" w:rsidP="001A3E13">
    <w:pPr>
      <w:pStyle w:val="Header"/>
    </w:pPr>
    <w:r>
      <w:rPr>
        <w:noProof/>
      </w:rPr>
      <w:drawing>
        <wp:inline distT="0" distB="0" distL="0" distR="0" wp14:anchorId="3965F15A" wp14:editId="16E8E57C">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FE8C" w14:textId="2D380084" w:rsidR="000A446D" w:rsidRPr="00057769" w:rsidRDefault="000A446D" w:rsidP="001A3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0EE3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26C60"/>
    <w:multiLevelType w:val="hybridMultilevel"/>
    <w:tmpl w:val="D86056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04D63518"/>
    <w:multiLevelType w:val="hybridMultilevel"/>
    <w:tmpl w:val="16EA5F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135B83"/>
    <w:multiLevelType w:val="hybridMultilevel"/>
    <w:tmpl w:val="C9C2AD48"/>
    <w:lvl w:ilvl="0" w:tplc="100C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14" w15:restartNumberingAfterBreak="0">
    <w:nsid w:val="20CB4EE8"/>
    <w:multiLevelType w:val="hybridMultilevel"/>
    <w:tmpl w:val="D1B21E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4EC18C9"/>
    <w:multiLevelType w:val="hybridMultilevel"/>
    <w:tmpl w:val="FEC0AB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59D330F"/>
    <w:multiLevelType w:val="hybridMultilevel"/>
    <w:tmpl w:val="26D05D6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5D752AA"/>
    <w:multiLevelType w:val="hybridMultilevel"/>
    <w:tmpl w:val="152C99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A276793"/>
    <w:multiLevelType w:val="hybridMultilevel"/>
    <w:tmpl w:val="9558F49A"/>
    <w:lvl w:ilvl="0" w:tplc="5A1C5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803E41"/>
    <w:multiLevelType w:val="hybridMultilevel"/>
    <w:tmpl w:val="0D2E08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DD460D8"/>
    <w:multiLevelType w:val="hybridMultilevel"/>
    <w:tmpl w:val="F6E0A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DE72214"/>
    <w:multiLevelType w:val="hybridMultilevel"/>
    <w:tmpl w:val="30708352"/>
    <w:lvl w:ilvl="0" w:tplc="100C0001">
      <w:start w:val="1"/>
      <w:numFmt w:val="bullet"/>
      <w:lvlText w:val=""/>
      <w:lvlJc w:val="left"/>
      <w:pPr>
        <w:ind w:left="720" w:hanging="360"/>
      </w:pPr>
      <w:rPr>
        <w:rFonts w:ascii="Symbol" w:hAnsi="Symbol" w:hint="default"/>
      </w:rPr>
    </w:lvl>
    <w:lvl w:ilvl="1" w:tplc="6F8A99B2">
      <w:numFmt w:val="bullet"/>
      <w:lvlText w:val="•"/>
      <w:lvlJc w:val="left"/>
      <w:pPr>
        <w:ind w:left="1440" w:hanging="360"/>
      </w:pPr>
      <w:rPr>
        <w:rFonts w:ascii="Dubai" w:eastAsia="DengXian" w:hAnsi="Duba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08B753E"/>
    <w:multiLevelType w:val="hybridMultilevel"/>
    <w:tmpl w:val="B3D0DF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25A6CE3"/>
    <w:multiLevelType w:val="hybridMultilevel"/>
    <w:tmpl w:val="E294F16E"/>
    <w:lvl w:ilvl="0" w:tplc="100C0001">
      <w:start w:val="1"/>
      <w:numFmt w:val="bullet"/>
      <w:lvlText w:val=""/>
      <w:lvlJc w:val="left"/>
      <w:pPr>
        <w:ind w:left="643" w:hanging="360"/>
      </w:pPr>
      <w:rPr>
        <w:rFonts w:ascii="Symbol" w:hAnsi="Symbol" w:hint="default"/>
      </w:rPr>
    </w:lvl>
    <w:lvl w:ilvl="1" w:tplc="100C0001">
      <w:start w:val="1"/>
      <w:numFmt w:val="bullet"/>
      <w:lvlText w:val=""/>
      <w:lvlJc w:val="left"/>
      <w:pPr>
        <w:ind w:left="720" w:hanging="360"/>
      </w:pPr>
      <w:rPr>
        <w:rFonts w:ascii="Symbol" w:hAnsi="Symbol" w:hint="default"/>
      </w:rPr>
    </w:lvl>
    <w:lvl w:ilvl="2" w:tplc="B89E34CE">
      <w:numFmt w:val="bullet"/>
      <w:lvlText w:val="•"/>
      <w:lvlJc w:val="left"/>
      <w:pPr>
        <w:ind w:left="2083" w:hanging="360"/>
      </w:pPr>
      <w:rPr>
        <w:rFonts w:ascii="Dubai" w:eastAsia="DengXian" w:hAnsi="Dubai" w:hint="default"/>
      </w:rPr>
    </w:lvl>
    <w:lvl w:ilvl="3" w:tplc="100C0001" w:tentative="1">
      <w:start w:val="1"/>
      <w:numFmt w:val="bullet"/>
      <w:lvlText w:val=""/>
      <w:lvlJc w:val="left"/>
      <w:pPr>
        <w:ind w:left="2803" w:hanging="360"/>
      </w:pPr>
      <w:rPr>
        <w:rFonts w:ascii="Symbol" w:hAnsi="Symbol" w:hint="default"/>
      </w:rPr>
    </w:lvl>
    <w:lvl w:ilvl="4" w:tplc="100C0003" w:tentative="1">
      <w:start w:val="1"/>
      <w:numFmt w:val="bullet"/>
      <w:lvlText w:val="o"/>
      <w:lvlJc w:val="left"/>
      <w:pPr>
        <w:ind w:left="3523" w:hanging="360"/>
      </w:pPr>
      <w:rPr>
        <w:rFonts w:ascii="Courier New" w:hAnsi="Courier New" w:hint="default"/>
      </w:rPr>
    </w:lvl>
    <w:lvl w:ilvl="5" w:tplc="100C0005" w:tentative="1">
      <w:start w:val="1"/>
      <w:numFmt w:val="bullet"/>
      <w:lvlText w:val=""/>
      <w:lvlJc w:val="left"/>
      <w:pPr>
        <w:ind w:left="4243" w:hanging="360"/>
      </w:pPr>
      <w:rPr>
        <w:rFonts w:ascii="Wingdings" w:hAnsi="Wingdings" w:hint="default"/>
      </w:rPr>
    </w:lvl>
    <w:lvl w:ilvl="6" w:tplc="100C0001" w:tentative="1">
      <w:start w:val="1"/>
      <w:numFmt w:val="bullet"/>
      <w:lvlText w:val=""/>
      <w:lvlJc w:val="left"/>
      <w:pPr>
        <w:ind w:left="4963" w:hanging="360"/>
      </w:pPr>
      <w:rPr>
        <w:rFonts w:ascii="Symbol" w:hAnsi="Symbol" w:hint="default"/>
      </w:rPr>
    </w:lvl>
    <w:lvl w:ilvl="7" w:tplc="100C0003" w:tentative="1">
      <w:start w:val="1"/>
      <w:numFmt w:val="bullet"/>
      <w:lvlText w:val="o"/>
      <w:lvlJc w:val="left"/>
      <w:pPr>
        <w:ind w:left="5683" w:hanging="360"/>
      </w:pPr>
      <w:rPr>
        <w:rFonts w:ascii="Courier New" w:hAnsi="Courier New" w:hint="default"/>
      </w:rPr>
    </w:lvl>
    <w:lvl w:ilvl="8" w:tplc="100C0005" w:tentative="1">
      <w:start w:val="1"/>
      <w:numFmt w:val="bullet"/>
      <w:lvlText w:val=""/>
      <w:lvlJc w:val="left"/>
      <w:pPr>
        <w:ind w:left="6403" w:hanging="360"/>
      </w:pPr>
      <w:rPr>
        <w:rFonts w:ascii="Wingdings" w:hAnsi="Wingdings" w:hint="default"/>
      </w:rPr>
    </w:lvl>
  </w:abstractNum>
  <w:abstractNum w:abstractNumId="24" w15:restartNumberingAfterBreak="0">
    <w:nsid w:val="326A4E52"/>
    <w:multiLevelType w:val="hybridMultilevel"/>
    <w:tmpl w:val="E408AC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37795DAF"/>
    <w:multiLevelType w:val="hybridMultilevel"/>
    <w:tmpl w:val="FCD62A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2DB1B2D"/>
    <w:multiLevelType w:val="hybridMultilevel"/>
    <w:tmpl w:val="7E389C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43B24B91"/>
    <w:multiLevelType w:val="hybridMultilevel"/>
    <w:tmpl w:val="79C891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4BB93979"/>
    <w:multiLevelType w:val="hybridMultilevel"/>
    <w:tmpl w:val="320A2376"/>
    <w:lvl w:ilvl="0" w:tplc="100C0001">
      <w:start w:val="1"/>
      <w:numFmt w:val="bullet"/>
      <w:lvlText w:val=""/>
      <w:lvlJc w:val="left"/>
      <w:pPr>
        <w:ind w:left="720" w:hanging="360"/>
      </w:pPr>
      <w:rPr>
        <w:rFonts w:ascii="Symbol" w:hAnsi="Symbol" w:hint="default"/>
      </w:rPr>
    </w:lvl>
    <w:lvl w:ilvl="1" w:tplc="E794A946">
      <w:numFmt w:val="bullet"/>
      <w:lvlText w:val="•"/>
      <w:lvlJc w:val="left"/>
      <w:pPr>
        <w:ind w:left="1440" w:hanging="360"/>
      </w:pPr>
      <w:rPr>
        <w:rFonts w:ascii="Dubai" w:eastAsia="DengXian" w:hAnsi="Duba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4963A43"/>
    <w:multiLevelType w:val="hybridMultilevel"/>
    <w:tmpl w:val="BD7CE9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5DC18DC"/>
    <w:multiLevelType w:val="hybridMultilevel"/>
    <w:tmpl w:val="A8D0C8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A181216"/>
    <w:multiLevelType w:val="hybridMultilevel"/>
    <w:tmpl w:val="FB5A71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F0E6CF5"/>
    <w:multiLevelType w:val="hybridMultilevel"/>
    <w:tmpl w:val="4D6A6AF4"/>
    <w:lvl w:ilvl="0" w:tplc="100C0001">
      <w:start w:val="1"/>
      <w:numFmt w:val="bullet"/>
      <w:lvlText w:val=""/>
      <w:lvlJc w:val="left"/>
      <w:pPr>
        <w:ind w:left="720" w:hanging="360"/>
      </w:pPr>
      <w:rPr>
        <w:rFonts w:ascii="Symbol" w:hAnsi="Symbol" w:hint="default"/>
      </w:rPr>
    </w:lvl>
    <w:lvl w:ilvl="1" w:tplc="AD74D9F0">
      <w:numFmt w:val="bullet"/>
      <w:lvlText w:val="•"/>
      <w:lvlJc w:val="left"/>
      <w:pPr>
        <w:ind w:left="1440" w:hanging="360"/>
      </w:pPr>
      <w:rPr>
        <w:rFonts w:ascii="Dubai" w:eastAsia="DengXian" w:hAnsi="Duba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DB463ED"/>
    <w:multiLevelType w:val="hybridMultilevel"/>
    <w:tmpl w:val="8CC4B53E"/>
    <w:lvl w:ilvl="0" w:tplc="100C0001">
      <w:start w:val="1"/>
      <w:numFmt w:val="bullet"/>
      <w:lvlText w:val=""/>
      <w:lvlJc w:val="left"/>
      <w:pPr>
        <w:ind w:left="785" w:hanging="360"/>
      </w:pPr>
      <w:rPr>
        <w:rFonts w:ascii="Symbol" w:hAnsi="Symbol" w:hint="default"/>
      </w:rPr>
    </w:lvl>
    <w:lvl w:ilvl="1" w:tplc="100C0003" w:tentative="1">
      <w:start w:val="1"/>
      <w:numFmt w:val="bullet"/>
      <w:lvlText w:val="o"/>
      <w:lvlJc w:val="left"/>
      <w:pPr>
        <w:ind w:left="1505" w:hanging="360"/>
      </w:pPr>
      <w:rPr>
        <w:rFonts w:ascii="Courier New" w:hAnsi="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34" w15:restartNumberingAfterBreak="0">
    <w:nsid w:val="74203638"/>
    <w:multiLevelType w:val="hybridMultilevel"/>
    <w:tmpl w:val="A5E4AA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A6F4F25"/>
    <w:multiLevelType w:val="hybridMultilevel"/>
    <w:tmpl w:val="FA02A2D0"/>
    <w:lvl w:ilvl="0" w:tplc="100C0001">
      <w:start w:val="1"/>
      <w:numFmt w:val="bullet"/>
      <w:lvlText w:val=""/>
      <w:lvlJc w:val="left"/>
      <w:pPr>
        <w:ind w:left="785" w:hanging="360"/>
      </w:pPr>
      <w:rPr>
        <w:rFonts w:ascii="Symbol" w:hAnsi="Symbol" w:hint="default"/>
      </w:rPr>
    </w:lvl>
    <w:lvl w:ilvl="1" w:tplc="100C0003" w:tentative="1">
      <w:start w:val="1"/>
      <w:numFmt w:val="bullet"/>
      <w:lvlText w:val="o"/>
      <w:lvlJc w:val="left"/>
      <w:pPr>
        <w:ind w:left="1505" w:hanging="360"/>
      </w:pPr>
      <w:rPr>
        <w:rFonts w:ascii="Courier New" w:hAnsi="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hint="default"/>
      </w:rPr>
    </w:lvl>
    <w:lvl w:ilvl="8" w:tplc="100C0005" w:tentative="1">
      <w:start w:val="1"/>
      <w:numFmt w:val="bullet"/>
      <w:lvlText w:val=""/>
      <w:lvlJc w:val="left"/>
      <w:pPr>
        <w:ind w:left="6545" w:hanging="360"/>
      </w:pPr>
      <w:rPr>
        <w:rFonts w:ascii="Wingdings" w:hAnsi="Wingdings" w:hint="default"/>
      </w:rPr>
    </w:lvl>
  </w:abstractNum>
  <w:num w:numId="1" w16cid:durableId="2103797338">
    <w:abstractNumId w:val="9"/>
  </w:num>
  <w:num w:numId="2" w16cid:durableId="1323696939">
    <w:abstractNumId w:val="7"/>
  </w:num>
  <w:num w:numId="3" w16cid:durableId="1956134601">
    <w:abstractNumId w:val="6"/>
  </w:num>
  <w:num w:numId="4" w16cid:durableId="2132673022">
    <w:abstractNumId w:val="5"/>
  </w:num>
  <w:num w:numId="5" w16cid:durableId="870260120">
    <w:abstractNumId w:val="4"/>
  </w:num>
  <w:num w:numId="6" w16cid:durableId="1319305437">
    <w:abstractNumId w:val="8"/>
  </w:num>
  <w:num w:numId="7" w16cid:durableId="1750736769">
    <w:abstractNumId w:val="3"/>
  </w:num>
  <w:num w:numId="8" w16cid:durableId="231628110">
    <w:abstractNumId w:val="2"/>
  </w:num>
  <w:num w:numId="9" w16cid:durableId="661004718">
    <w:abstractNumId w:val="1"/>
  </w:num>
  <w:num w:numId="10" w16cid:durableId="1532838234">
    <w:abstractNumId w:val="0"/>
  </w:num>
  <w:num w:numId="11" w16cid:durableId="135949584">
    <w:abstractNumId w:val="12"/>
  </w:num>
  <w:num w:numId="12" w16cid:durableId="1871064812">
    <w:abstractNumId w:val="10"/>
  </w:num>
  <w:num w:numId="13" w16cid:durableId="619385284">
    <w:abstractNumId w:val="32"/>
  </w:num>
  <w:num w:numId="14" w16cid:durableId="1813253242">
    <w:abstractNumId w:val="28"/>
  </w:num>
  <w:num w:numId="15" w16cid:durableId="1180048735">
    <w:abstractNumId w:val="16"/>
  </w:num>
  <w:num w:numId="16" w16cid:durableId="2106414925">
    <w:abstractNumId w:val="20"/>
  </w:num>
  <w:num w:numId="17" w16cid:durableId="1890995958">
    <w:abstractNumId w:val="11"/>
  </w:num>
  <w:num w:numId="18" w16cid:durableId="1866751038">
    <w:abstractNumId w:val="24"/>
  </w:num>
  <w:num w:numId="19" w16cid:durableId="556402918">
    <w:abstractNumId w:val="15"/>
  </w:num>
  <w:num w:numId="20" w16cid:durableId="532042118">
    <w:abstractNumId w:val="17"/>
  </w:num>
  <w:num w:numId="21" w16cid:durableId="244608926">
    <w:abstractNumId w:val="30"/>
  </w:num>
  <w:num w:numId="22" w16cid:durableId="1003506092">
    <w:abstractNumId w:val="13"/>
  </w:num>
  <w:num w:numId="23" w16cid:durableId="936016082">
    <w:abstractNumId w:val="14"/>
  </w:num>
  <w:num w:numId="24" w16cid:durableId="1191799534">
    <w:abstractNumId w:val="25"/>
  </w:num>
  <w:num w:numId="25" w16cid:durableId="2082942416">
    <w:abstractNumId w:val="35"/>
  </w:num>
  <w:num w:numId="26" w16cid:durableId="2060588719">
    <w:abstractNumId w:val="22"/>
  </w:num>
  <w:num w:numId="27" w16cid:durableId="1845821787">
    <w:abstractNumId w:val="27"/>
  </w:num>
  <w:num w:numId="28" w16cid:durableId="1262569283">
    <w:abstractNumId w:val="19"/>
  </w:num>
  <w:num w:numId="29" w16cid:durableId="127364184">
    <w:abstractNumId w:val="26"/>
  </w:num>
  <w:num w:numId="30" w16cid:durableId="1560823081">
    <w:abstractNumId w:val="33"/>
  </w:num>
  <w:num w:numId="31" w16cid:durableId="1889565157">
    <w:abstractNumId w:val="31"/>
  </w:num>
  <w:num w:numId="32" w16cid:durableId="1414006703">
    <w:abstractNumId w:val="21"/>
  </w:num>
  <w:num w:numId="33" w16cid:durableId="691033134">
    <w:abstractNumId w:val="23"/>
  </w:num>
  <w:num w:numId="34" w16cid:durableId="1523937136">
    <w:abstractNumId w:val="29"/>
  </w:num>
  <w:num w:numId="35" w16cid:durableId="529689457">
    <w:abstractNumId w:val="34"/>
  </w:num>
  <w:num w:numId="36" w16cid:durableId="747188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6D"/>
    <w:rsid w:val="000116AF"/>
    <w:rsid w:val="0006468A"/>
    <w:rsid w:val="00077A58"/>
    <w:rsid w:val="00090574"/>
    <w:rsid w:val="000A446D"/>
    <w:rsid w:val="000B1567"/>
    <w:rsid w:val="000C1C0E"/>
    <w:rsid w:val="000C548A"/>
    <w:rsid w:val="00143E30"/>
    <w:rsid w:val="00171549"/>
    <w:rsid w:val="00191059"/>
    <w:rsid w:val="001A3E13"/>
    <w:rsid w:val="001B6E2B"/>
    <w:rsid w:val="001C0169"/>
    <w:rsid w:val="001C0C21"/>
    <w:rsid w:val="001D1D50"/>
    <w:rsid w:val="001D64C7"/>
    <w:rsid w:val="001D6745"/>
    <w:rsid w:val="001E446E"/>
    <w:rsid w:val="00212636"/>
    <w:rsid w:val="002154EE"/>
    <w:rsid w:val="002276D2"/>
    <w:rsid w:val="00230C7C"/>
    <w:rsid w:val="0023283D"/>
    <w:rsid w:val="00254393"/>
    <w:rsid w:val="0026373E"/>
    <w:rsid w:val="00271C43"/>
    <w:rsid w:val="002741DD"/>
    <w:rsid w:val="00290728"/>
    <w:rsid w:val="002978F4"/>
    <w:rsid w:val="002A2A4F"/>
    <w:rsid w:val="002B028D"/>
    <w:rsid w:val="002C3F32"/>
    <w:rsid w:val="002E6541"/>
    <w:rsid w:val="00334924"/>
    <w:rsid w:val="003409BC"/>
    <w:rsid w:val="00352432"/>
    <w:rsid w:val="00357185"/>
    <w:rsid w:val="00383829"/>
    <w:rsid w:val="00393677"/>
    <w:rsid w:val="003B1B42"/>
    <w:rsid w:val="003E5396"/>
    <w:rsid w:val="003F4B29"/>
    <w:rsid w:val="00410B26"/>
    <w:rsid w:val="00420F8A"/>
    <w:rsid w:val="00426520"/>
    <w:rsid w:val="0042686F"/>
    <w:rsid w:val="00427CD4"/>
    <w:rsid w:val="004317D8"/>
    <w:rsid w:val="0043260A"/>
    <w:rsid w:val="00434183"/>
    <w:rsid w:val="00443869"/>
    <w:rsid w:val="00447F32"/>
    <w:rsid w:val="00491BA9"/>
    <w:rsid w:val="00494119"/>
    <w:rsid w:val="004A4701"/>
    <w:rsid w:val="004B2B01"/>
    <w:rsid w:val="004B7334"/>
    <w:rsid w:val="004D365F"/>
    <w:rsid w:val="004E11DC"/>
    <w:rsid w:val="004F766B"/>
    <w:rsid w:val="00507A6A"/>
    <w:rsid w:val="005130DE"/>
    <w:rsid w:val="00513157"/>
    <w:rsid w:val="00524163"/>
    <w:rsid w:val="00525DDD"/>
    <w:rsid w:val="005409AC"/>
    <w:rsid w:val="005434E0"/>
    <w:rsid w:val="005546CF"/>
    <w:rsid w:val="0055516A"/>
    <w:rsid w:val="0055593B"/>
    <w:rsid w:val="0058491B"/>
    <w:rsid w:val="005862B1"/>
    <w:rsid w:val="00592EA5"/>
    <w:rsid w:val="005A3170"/>
    <w:rsid w:val="005B1D13"/>
    <w:rsid w:val="00657019"/>
    <w:rsid w:val="00660DEA"/>
    <w:rsid w:val="00677396"/>
    <w:rsid w:val="00680638"/>
    <w:rsid w:val="00683F16"/>
    <w:rsid w:val="0069200F"/>
    <w:rsid w:val="006A65CB"/>
    <w:rsid w:val="006B0F8A"/>
    <w:rsid w:val="006B12E5"/>
    <w:rsid w:val="006C3242"/>
    <w:rsid w:val="006C7CC0"/>
    <w:rsid w:val="006F363C"/>
    <w:rsid w:val="006F63F7"/>
    <w:rsid w:val="007025C7"/>
    <w:rsid w:val="007065D5"/>
    <w:rsid w:val="00706D7A"/>
    <w:rsid w:val="007217F4"/>
    <w:rsid w:val="00722F0D"/>
    <w:rsid w:val="00735081"/>
    <w:rsid w:val="0074420E"/>
    <w:rsid w:val="007648A6"/>
    <w:rsid w:val="0077110E"/>
    <w:rsid w:val="00781F22"/>
    <w:rsid w:val="00783034"/>
    <w:rsid w:val="00783E26"/>
    <w:rsid w:val="00792D79"/>
    <w:rsid w:val="007A6684"/>
    <w:rsid w:val="007B0AA0"/>
    <w:rsid w:val="007C3BC7"/>
    <w:rsid w:val="007C3BCD"/>
    <w:rsid w:val="007D286A"/>
    <w:rsid w:val="007D4ACF"/>
    <w:rsid w:val="007F0787"/>
    <w:rsid w:val="00810B7B"/>
    <w:rsid w:val="0082358A"/>
    <w:rsid w:val="008235CD"/>
    <w:rsid w:val="008247DE"/>
    <w:rsid w:val="008339C0"/>
    <w:rsid w:val="00840B10"/>
    <w:rsid w:val="008513CB"/>
    <w:rsid w:val="00874E9F"/>
    <w:rsid w:val="008A0354"/>
    <w:rsid w:val="008A7F84"/>
    <w:rsid w:val="00913AAD"/>
    <w:rsid w:val="0091702E"/>
    <w:rsid w:val="00923B0C"/>
    <w:rsid w:val="00924F46"/>
    <w:rsid w:val="00935AAC"/>
    <w:rsid w:val="0093725D"/>
    <w:rsid w:val="0094021C"/>
    <w:rsid w:val="00952F86"/>
    <w:rsid w:val="0096716C"/>
    <w:rsid w:val="00982B28"/>
    <w:rsid w:val="009868AC"/>
    <w:rsid w:val="009D313F"/>
    <w:rsid w:val="009F77E3"/>
    <w:rsid w:val="00A14CDB"/>
    <w:rsid w:val="00A47A5A"/>
    <w:rsid w:val="00A63AE6"/>
    <w:rsid w:val="00A64D61"/>
    <w:rsid w:val="00A6683B"/>
    <w:rsid w:val="00A67F05"/>
    <w:rsid w:val="00A8462B"/>
    <w:rsid w:val="00A97F94"/>
    <w:rsid w:val="00AA7EA2"/>
    <w:rsid w:val="00AB5A56"/>
    <w:rsid w:val="00AE58AF"/>
    <w:rsid w:val="00B03099"/>
    <w:rsid w:val="00B031EB"/>
    <w:rsid w:val="00B05BC8"/>
    <w:rsid w:val="00B30F5E"/>
    <w:rsid w:val="00B64B47"/>
    <w:rsid w:val="00B95654"/>
    <w:rsid w:val="00B97F32"/>
    <w:rsid w:val="00BA04B2"/>
    <w:rsid w:val="00BE4112"/>
    <w:rsid w:val="00C002DE"/>
    <w:rsid w:val="00C0602B"/>
    <w:rsid w:val="00C21439"/>
    <w:rsid w:val="00C224DA"/>
    <w:rsid w:val="00C26622"/>
    <w:rsid w:val="00C33C60"/>
    <w:rsid w:val="00C40267"/>
    <w:rsid w:val="00C53BF8"/>
    <w:rsid w:val="00C63BF1"/>
    <w:rsid w:val="00C66157"/>
    <w:rsid w:val="00C674FE"/>
    <w:rsid w:val="00C67501"/>
    <w:rsid w:val="00C700E6"/>
    <w:rsid w:val="00C75633"/>
    <w:rsid w:val="00CA1987"/>
    <w:rsid w:val="00CE2EE1"/>
    <w:rsid w:val="00CE3349"/>
    <w:rsid w:val="00CE36E5"/>
    <w:rsid w:val="00CE4360"/>
    <w:rsid w:val="00CF2458"/>
    <w:rsid w:val="00CF27F5"/>
    <w:rsid w:val="00CF29CE"/>
    <w:rsid w:val="00CF3FFD"/>
    <w:rsid w:val="00D10CCF"/>
    <w:rsid w:val="00D13941"/>
    <w:rsid w:val="00D23F5F"/>
    <w:rsid w:val="00D43F7D"/>
    <w:rsid w:val="00D44D3F"/>
    <w:rsid w:val="00D63735"/>
    <w:rsid w:val="00D77D0F"/>
    <w:rsid w:val="00D82BE7"/>
    <w:rsid w:val="00DA1CF0"/>
    <w:rsid w:val="00DA6A30"/>
    <w:rsid w:val="00DC1E02"/>
    <w:rsid w:val="00DC24B4"/>
    <w:rsid w:val="00DC5FB0"/>
    <w:rsid w:val="00DE24D9"/>
    <w:rsid w:val="00DF16DC"/>
    <w:rsid w:val="00E21717"/>
    <w:rsid w:val="00E4300E"/>
    <w:rsid w:val="00E45211"/>
    <w:rsid w:val="00E473C5"/>
    <w:rsid w:val="00E61BE8"/>
    <w:rsid w:val="00E83FF1"/>
    <w:rsid w:val="00E92863"/>
    <w:rsid w:val="00E979B2"/>
    <w:rsid w:val="00EA1C3A"/>
    <w:rsid w:val="00EB598C"/>
    <w:rsid w:val="00EB796D"/>
    <w:rsid w:val="00EC7B5B"/>
    <w:rsid w:val="00EE2927"/>
    <w:rsid w:val="00F058DC"/>
    <w:rsid w:val="00F24FC4"/>
    <w:rsid w:val="00F2676C"/>
    <w:rsid w:val="00F3617E"/>
    <w:rsid w:val="00F363FE"/>
    <w:rsid w:val="00F50E3F"/>
    <w:rsid w:val="00F84366"/>
    <w:rsid w:val="00F85089"/>
    <w:rsid w:val="00F974C5"/>
    <w:rsid w:val="00FA3763"/>
    <w:rsid w:val="00FA6F46"/>
    <w:rsid w:val="00FC0E94"/>
    <w:rsid w:val="00FC4592"/>
    <w:rsid w:val="00FD527F"/>
    <w:rsid w:val="00FE5872"/>
    <w:rsid w:val="00FE7FCA"/>
    <w:rsid w:val="00FF3F4C"/>
    <w:rsid w:val="00FF79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91998"/>
  <w15:chartTrackingRefBased/>
  <w15:docId w15:val="{344D040E-35D3-4B25-88E0-46E47E37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ListBullet">
    <w:name w:val="List Bullet"/>
    <w:basedOn w:val="Normal"/>
    <w:uiPriority w:val="99"/>
    <w:unhideWhenUsed/>
    <w:rsid w:val="007065D5"/>
    <w:pPr>
      <w:numPr>
        <w:numId w:val="1"/>
      </w:numPr>
      <w:contextualSpacing/>
    </w:pPr>
  </w:style>
  <w:style w:type="paragraph" w:styleId="Revision">
    <w:name w:val="Revision"/>
    <w:hidden/>
    <w:uiPriority w:val="99"/>
    <w:semiHidden/>
    <w:rsid w:val="00EE2927"/>
    <w:pPr>
      <w:spacing w:after="0" w:line="240" w:lineRule="auto"/>
    </w:pPr>
    <w:rPr>
      <w:rFonts w:ascii="Dubai" w:hAnsi="Dubai" w:cs="Dubai"/>
    </w:rPr>
  </w:style>
  <w:style w:type="paragraph" w:customStyle="1" w:styleId="Figure">
    <w:name w:val="Figure"/>
    <w:basedOn w:val="Normal"/>
    <w:qFormat/>
    <w:rsid w:val="00F3617E"/>
    <w:pPr>
      <w:tabs>
        <w:tab w:val="clear" w:pos="794"/>
        <w:tab w:val="left" w:pos="1842"/>
      </w:tabs>
      <w:spacing w:before="100" w:beforeAutospacing="1" w:after="100" w:afterAutospacing="1" w:line="240" w:lineRule="auto"/>
    </w:pPr>
    <w:rPr>
      <w:rFonts w:eastAsia="Malgun Gothic"/>
      <w:noProof/>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71-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tu.int/en/council/Documents/basic-texts-2023/RES-048-A.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16</Pages>
  <Words>4750</Words>
  <Characters>27786</Characters>
  <Application>Microsoft Office Word</Application>
  <DocSecurity>0</DocSecurity>
  <Lines>842</Lines>
  <Paragraphs>439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Human Resources Strategic Plan 2026-2027</dc:title>
  <dc:subject>ITU Council 2026</dc:subject>
  <cp:keywords>C26; C2026; Council 2026; PP26</cp:keywords>
  <dc:description/>
  <dcterms:created xsi:type="dcterms:W3CDTF">2026-04-28T17:09:00Z</dcterms:created>
  <dcterms:modified xsi:type="dcterms:W3CDTF">2026-04-28T17:09:00Z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