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E90022" w14:paraId="15A2340F" w14:textId="77777777" w:rsidTr="00C4421B">
        <w:trPr>
          <w:cantSplit/>
          <w:trHeight w:val="23"/>
        </w:trPr>
        <w:tc>
          <w:tcPr>
            <w:tcW w:w="3969" w:type="dxa"/>
            <w:vMerge w:val="restart"/>
            <w:tcMar>
              <w:left w:w="0" w:type="dxa"/>
            </w:tcMar>
          </w:tcPr>
          <w:p w14:paraId="332899F3" w14:textId="383481E4" w:rsidR="00FE57F6" w:rsidRPr="00E90022" w:rsidRDefault="009B6B4C" w:rsidP="00C4421B">
            <w:pPr>
              <w:tabs>
                <w:tab w:val="left" w:pos="851"/>
              </w:tabs>
              <w:spacing w:before="0" w:line="240" w:lineRule="atLeast"/>
              <w:rPr>
                <w:b/>
                <w:lang w:val="es-ES"/>
              </w:rPr>
            </w:pPr>
            <w:bookmarkStart w:id="0" w:name="_Hlk133421839"/>
            <w:r w:rsidRPr="00E90022">
              <w:rPr>
                <w:b/>
                <w:lang w:val="es-ES"/>
              </w:rPr>
              <w:t>Punto del o</w:t>
            </w:r>
            <w:r w:rsidR="00BB6FD8" w:rsidRPr="00E90022">
              <w:rPr>
                <w:b/>
                <w:lang w:val="es-ES"/>
              </w:rPr>
              <w:t>rden del día</w:t>
            </w:r>
            <w:r w:rsidR="00FE57F6" w:rsidRPr="00E90022">
              <w:rPr>
                <w:b/>
                <w:lang w:val="es-ES"/>
              </w:rPr>
              <w:t xml:space="preserve">: </w:t>
            </w:r>
            <w:r w:rsidRPr="00E90022">
              <w:rPr>
                <w:b/>
                <w:lang w:val="es-ES"/>
              </w:rPr>
              <w:t>ADM 3</w:t>
            </w:r>
          </w:p>
        </w:tc>
        <w:tc>
          <w:tcPr>
            <w:tcW w:w="5245" w:type="dxa"/>
          </w:tcPr>
          <w:p w14:paraId="37A6D0BA" w14:textId="5FFDF9DF" w:rsidR="00FE57F6" w:rsidRPr="00E90022" w:rsidRDefault="00FE57F6" w:rsidP="00C4421B">
            <w:pPr>
              <w:tabs>
                <w:tab w:val="left" w:pos="851"/>
              </w:tabs>
              <w:spacing w:before="0" w:line="240" w:lineRule="atLeast"/>
              <w:jc w:val="right"/>
              <w:rPr>
                <w:b/>
                <w:lang w:val="es-ES"/>
              </w:rPr>
            </w:pPr>
            <w:r w:rsidRPr="00E90022">
              <w:rPr>
                <w:b/>
                <w:lang w:val="es-ES"/>
              </w:rPr>
              <w:t>Document</w:t>
            </w:r>
            <w:r w:rsidR="00F24B71" w:rsidRPr="00E90022">
              <w:rPr>
                <w:b/>
                <w:lang w:val="es-ES"/>
              </w:rPr>
              <w:t>o</w:t>
            </w:r>
            <w:r w:rsidRPr="00E90022">
              <w:rPr>
                <w:b/>
                <w:lang w:val="es-ES"/>
              </w:rPr>
              <w:t xml:space="preserve"> C2</w:t>
            </w:r>
            <w:r w:rsidR="00F85E5C" w:rsidRPr="00E90022">
              <w:rPr>
                <w:b/>
                <w:lang w:val="es-ES"/>
              </w:rPr>
              <w:t>6</w:t>
            </w:r>
            <w:r w:rsidRPr="00E90022">
              <w:rPr>
                <w:b/>
                <w:lang w:val="es-ES"/>
              </w:rPr>
              <w:t>/</w:t>
            </w:r>
            <w:r w:rsidR="009B6B4C" w:rsidRPr="00E90022">
              <w:rPr>
                <w:b/>
                <w:lang w:val="es-ES"/>
              </w:rPr>
              <w:t>66</w:t>
            </w:r>
            <w:r w:rsidRPr="00E90022">
              <w:rPr>
                <w:b/>
                <w:lang w:val="es-ES"/>
              </w:rPr>
              <w:t>-</w:t>
            </w:r>
            <w:r w:rsidR="00F24B71" w:rsidRPr="00E90022">
              <w:rPr>
                <w:b/>
                <w:lang w:val="es-ES"/>
              </w:rPr>
              <w:t>S</w:t>
            </w:r>
          </w:p>
        </w:tc>
      </w:tr>
      <w:tr w:rsidR="00FE57F6" w:rsidRPr="00E90022" w14:paraId="4D4868DD" w14:textId="77777777" w:rsidTr="00C4421B">
        <w:trPr>
          <w:cantSplit/>
        </w:trPr>
        <w:tc>
          <w:tcPr>
            <w:tcW w:w="3969" w:type="dxa"/>
            <w:vMerge/>
          </w:tcPr>
          <w:p w14:paraId="0AB3D7AE" w14:textId="77777777" w:rsidR="00FE57F6" w:rsidRPr="00E90022" w:rsidRDefault="00FE57F6" w:rsidP="00C4421B">
            <w:pPr>
              <w:tabs>
                <w:tab w:val="left" w:pos="851"/>
              </w:tabs>
              <w:spacing w:line="240" w:lineRule="atLeast"/>
              <w:rPr>
                <w:b/>
                <w:lang w:val="es-ES"/>
              </w:rPr>
            </w:pPr>
          </w:p>
        </w:tc>
        <w:tc>
          <w:tcPr>
            <w:tcW w:w="5245" w:type="dxa"/>
          </w:tcPr>
          <w:p w14:paraId="3065D27A" w14:textId="252E44C9" w:rsidR="00FE57F6" w:rsidRPr="00E90022" w:rsidRDefault="009B6B4C" w:rsidP="00C4421B">
            <w:pPr>
              <w:tabs>
                <w:tab w:val="left" w:pos="851"/>
              </w:tabs>
              <w:spacing w:before="0"/>
              <w:jc w:val="right"/>
              <w:rPr>
                <w:b/>
                <w:lang w:val="es-ES"/>
              </w:rPr>
            </w:pPr>
            <w:r w:rsidRPr="00E90022">
              <w:rPr>
                <w:b/>
                <w:lang w:val="es-ES"/>
              </w:rPr>
              <w:t>30 de marzo de 2026</w:t>
            </w:r>
          </w:p>
        </w:tc>
      </w:tr>
      <w:tr w:rsidR="00FE57F6" w:rsidRPr="00E90022" w14:paraId="6DC4978D" w14:textId="77777777" w:rsidTr="00C4421B">
        <w:trPr>
          <w:cantSplit/>
          <w:trHeight w:val="23"/>
        </w:trPr>
        <w:tc>
          <w:tcPr>
            <w:tcW w:w="3969" w:type="dxa"/>
            <w:vMerge/>
          </w:tcPr>
          <w:p w14:paraId="6DEBB841" w14:textId="77777777" w:rsidR="00FE57F6" w:rsidRPr="00E90022" w:rsidRDefault="00FE57F6" w:rsidP="00C4421B">
            <w:pPr>
              <w:tabs>
                <w:tab w:val="left" w:pos="851"/>
              </w:tabs>
              <w:spacing w:line="240" w:lineRule="atLeast"/>
              <w:rPr>
                <w:b/>
                <w:lang w:val="es-ES"/>
              </w:rPr>
            </w:pPr>
          </w:p>
        </w:tc>
        <w:tc>
          <w:tcPr>
            <w:tcW w:w="5245" w:type="dxa"/>
          </w:tcPr>
          <w:p w14:paraId="07088AE1" w14:textId="77777777" w:rsidR="00FE57F6" w:rsidRPr="00E90022" w:rsidRDefault="00F24B71" w:rsidP="00C4421B">
            <w:pPr>
              <w:tabs>
                <w:tab w:val="left" w:pos="851"/>
              </w:tabs>
              <w:spacing w:before="0" w:line="240" w:lineRule="atLeast"/>
              <w:jc w:val="right"/>
              <w:rPr>
                <w:b/>
                <w:bCs/>
                <w:lang w:val="es-ES"/>
              </w:rPr>
            </w:pPr>
            <w:r w:rsidRPr="00E90022">
              <w:rPr>
                <w:rFonts w:cstheme="minorHAnsi"/>
                <w:b/>
                <w:bCs/>
                <w:lang w:val="es-ES"/>
              </w:rPr>
              <w:t>Original: inglés</w:t>
            </w:r>
          </w:p>
        </w:tc>
      </w:tr>
      <w:tr w:rsidR="00FE57F6" w:rsidRPr="00E90022" w14:paraId="48CF31A8" w14:textId="77777777" w:rsidTr="00C4421B">
        <w:trPr>
          <w:cantSplit/>
          <w:trHeight w:val="23"/>
        </w:trPr>
        <w:tc>
          <w:tcPr>
            <w:tcW w:w="3969" w:type="dxa"/>
          </w:tcPr>
          <w:p w14:paraId="29F6F6CF" w14:textId="77777777" w:rsidR="00FE57F6" w:rsidRPr="00E90022" w:rsidRDefault="00FE57F6" w:rsidP="00C4421B">
            <w:pPr>
              <w:tabs>
                <w:tab w:val="left" w:pos="851"/>
              </w:tabs>
              <w:spacing w:line="240" w:lineRule="atLeast"/>
              <w:rPr>
                <w:b/>
                <w:lang w:val="es-ES"/>
              </w:rPr>
            </w:pPr>
          </w:p>
        </w:tc>
        <w:tc>
          <w:tcPr>
            <w:tcW w:w="5245" w:type="dxa"/>
          </w:tcPr>
          <w:p w14:paraId="02671CF9" w14:textId="77777777" w:rsidR="00FE57F6" w:rsidRPr="00E90022" w:rsidRDefault="00FE57F6" w:rsidP="00C4421B">
            <w:pPr>
              <w:tabs>
                <w:tab w:val="left" w:pos="851"/>
              </w:tabs>
              <w:spacing w:before="0" w:line="240" w:lineRule="atLeast"/>
              <w:jc w:val="right"/>
              <w:rPr>
                <w:b/>
                <w:lang w:val="es-ES"/>
              </w:rPr>
            </w:pPr>
          </w:p>
        </w:tc>
      </w:tr>
      <w:tr w:rsidR="00FE57F6" w:rsidRPr="00C92D1F" w14:paraId="4D893D04" w14:textId="77777777" w:rsidTr="00C4421B">
        <w:trPr>
          <w:cantSplit/>
        </w:trPr>
        <w:tc>
          <w:tcPr>
            <w:tcW w:w="9214" w:type="dxa"/>
            <w:gridSpan w:val="2"/>
            <w:tcMar>
              <w:left w:w="0" w:type="dxa"/>
            </w:tcMar>
          </w:tcPr>
          <w:p w14:paraId="4FB0D286" w14:textId="77777777" w:rsidR="00FE57F6" w:rsidRPr="00B0546E" w:rsidRDefault="00157AC4" w:rsidP="00B0546E">
            <w:pPr>
              <w:pStyle w:val="Source"/>
              <w:framePr w:hSpace="0" w:wrap="auto" w:vAnchor="margin" w:hAnchor="text" w:xAlign="left" w:yAlign="inline"/>
              <w:spacing w:before="720"/>
            </w:pPr>
            <w:r w:rsidRPr="00B0546E">
              <w:t>Informe de la Secretaria General</w:t>
            </w:r>
          </w:p>
        </w:tc>
      </w:tr>
      <w:tr w:rsidR="00FE57F6" w:rsidRPr="005527F6" w14:paraId="2207EFBE" w14:textId="77777777" w:rsidTr="00C4421B">
        <w:trPr>
          <w:cantSplit/>
        </w:trPr>
        <w:tc>
          <w:tcPr>
            <w:tcW w:w="9214" w:type="dxa"/>
            <w:gridSpan w:val="2"/>
            <w:tcMar>
              <w:left w:w="0" w:type="dxa"/>
            </w:tcMar>
          </w:tcPr>
          <w:p w14:paraId="24F6903B" w14:textId="53E5C62A" w:rsidR="00FE57F6" w:rsidRPr="00E90022" w:rsidRDefault="00B0546E" w:rsidP="00122335">
            <w:pPr>
              <w:pStyle w:val="Subtitle"/>
              <w:framePr w:hSpace="0" w:wrap="auto" w:hAnchor="text" w:xAlign="left" w:yAlign="inline"/>
              <w:rPr>
                <w:lang w:val="es-ES"/>
              </w:rPr>
            </w:pPr>
            <w:r w:rsidRPr="00E90022">
              <w:rPr>
                <w:lang w:val="es-ES"/>
              </w:rPr>
              <w:t xml:space="preserve">INFORME SOBRE LOS PROGRESOS EN LA EJECUCIÓN DEL </w:t>
            </w:r>
            <w:r>
              <w:rPr>
                <w:lang w:val="es-ES"/>
              </w:rPr>
              <w:br/>
            </w:r>
            <w:r w:rsidRPr="00E90022">
              <w:rPr>
                <w:lang w:val="es-ES"/>
              </w:rPr>
              <w:t>PLAN DE TRANSFORMACIÓN DE RECURSOS HUMANOS Y LA RESOLUCIÓN 48 (REV. BUCAREST, 2022)</w:t>
            </w:r>
          </w:p>
        </w:tc>
      </w:tr>
      <w:tr w:rsidR="00FE57F6" w:rsidRPr="00C92D1F" w14:paraId="6217BBA1" w14:textId="77777777" w:rsidTr="00C4421B">
        <w:trPr>
          <w:cantSplit/>
        </w:trPr>
        <w:tc>
          <w:tcPr>
            <w:tcW w:w="9214" w:type="dxa"/>
            <w:gridSpan w:val="2"/>
            <w:tcBorders>
              <w:top w:val="single" w:sz="4" w:space="0" w:color="auto"/>
              <w:bottom w:val="single" w:sz="4" w:space="0" w:color="auto"/>
            </w:tcBorders>
            <w:tcMar>
              <w:left w:w="0" w:type="dxa"/>
            </w:tcMar>
          </w:tcPr>
          <w:p w14:paraId="25850A5E" w14:textId="77777777" w:rsidR="00FE57F6" w:rsidRPr="00E90022" w:rsidRDefault="00F24B71" w:rsidP="00B0546E">
            <w:pPr>
              <w:rPr>
                <w:b/>
                <w:bCs/>
                <w:sz w:val="26"/>
                <w:szCs w:val="26"/>
                <w:lang w:val="es-ES"/>
              </w:rPr>
            </w:pPr>
            <w:r w:rsidRPr="00E90022">
              <w:rPr>
                <w:b/>
                <w:bCs/>
                <w:sz w:val="26"/>
                <w:szCs w:val="26"/>
                <w:lang w:val="es-ES"/>
              </w:rPr>
              <w:t>Finalidad</w:t>
            </w:r>
          </w:p>
          <w:p w14:paraId="58C5E2D5" w14:textId="77777777" w:rsidR="00122335" w:rsidRPr="00E90022" w:rsidRDefault="00122335" w:rsidP="00B0546E">
            <w:pPr>
              <w:spacing w:before="100"/>
              <w:jc w:val="both"/>
              <w:rPr>
                <w:lang w:val="es-ES"/>
              </w:rPr>
            </w:pPr>
            <w:r w:rsidRPr="00E90022">
              <w:rPr>
                <w:lang w:val="es-ES"/>
              </w:rPr>
              <w:t>El Plan de Transformación de Recursos Humanos (PTRH) tiene como objetivo impulsar la excelencia institucional mediante la promoción de tres ámbitos diferenciados: personas, cultura y servicios. Esta iniciativa estratégica está diseñada para establecer una fuerza de trabajo ágil, capaz y empoderada, fomentar una cultura en la que las personas se sientan seguras, valoradas y capaces de dar lo mejor de sí mismas, y mejorar la prestación de servicios de recursos humanos para apoyar mejor a nuestra gente. Algunos indicadores de éxito son la provisión de un entorno de trabajo propicio, la gestión eficaz de los talentos, una visión institucional común, políticas de recursos humanos modernizadas, funciones claramente definidas y mayor agilidad operativa.</w:t>
            </w:r>
          </w:p>
          <w:p w14:paraId="7BEB706B" w14:textId="5AA4E38C" w:rsidR="00FE57F6" w:rsidRPr="00E90022" w:rsidRDefault="00122335" w:rsidP="00B0546E">
            <w:pPr>
              <w:spacing w:before="100"/>
              <w:jc w:val="both"/>
              <w:rPr>
                <w:lang w:val="es-ES"/>
              </w:rPr>
            </w:pPr>
            <w:r w:rsidRPr="00E90022">
              <w:rPr>
                <w:lang w:val="es-ES"/>
              </w:rPr>
              <w:t>El PTRH responde a lo dispuesto en la Resolución 48 (Rev. Bucarest, 2022) y es un motor fundamental de la hoja de ruta de transformación de la UIT. En este informe sobre los progresos se presentan los principales resultados alcanzados en cada ámbito en 2025 y principios de 2026, en favor de la aplicación tanto de la hoja de ruta de transformación como de la Resolución 48 (Rev. Bucarest, 2022).</w:t>
            </w:r>
          </w:p>
          <w:p w14:paraId="1244A286" w14:textId="77777777" w:rsidR="00FE57F6" w:rsidRPr="00E90022" w:rsidRDefault="00F24B71" w:rsidP="00B0546E">
            <w:pPr>
              <w:rPr>
                <w:b/>
                <w:bCs/>
                <w:sz w:val="26"/>
                <w:szCs w:val="26"/>
                <w:lang w:val="es-ES"/>
              </w:rPr>
            </w:pPr>
            <w:r w:rsidRPr="00E90022">
              <w:rPr>
                <w:b/>
                <w:bCs/>
                <w:sz w:val="26"/>
                <w:szCs w:val="26"/>
                <w:lang w:val="es-ES"/>
              </w:rPr>
              <w:t xml:space="preserve">Acción solicitada </w:t>
            </w:r>
            <w:r w:rsidR="00677A97" w:rsidRPr="00E90022">
              <w:rPr>
                <w:b/>
                <w:bCs/>
                <w:sz w:val="26"/>
                <w:szCs w:val="26"/>
                <w:lang w:val="es-ES"/>
              </w:rPr>
              <w:t>al</w:t>
            </w:r>
            <w:r w:rsidRPr="00E90022">
              <w:rPr>
                <w:b/>
                <w:bCs/>
                <w:sz w:val="26"/>
                <w:szCs w:val="26"/>
                <w:lang w:val="es-ES"/>
              </w:rPr>
              <w:t xml:space="preserve"> Consejo</w:t>
            </w:r>
          </w:p>
          <w:p w14:paraId="6E1BA6A6" w14:textId="3F6F53BD" w:rsidR="00F92BED" w:rsidRPr="00E90022" w:rsidRDefault="00122335" w:rsidP="00B0546E">
            <w:pPr>
              <w:spacing w:before="100"/>
              <w:jc w:val="both"/>
              <w:rPr>
                <w:szCs w:val="24"/>
                <w:lang w:val="es-ES"/>
              </w:rPr>
            </w:pPr>
            <w:r w:rsidRPr="00E90022">
              <w:rPr>
                <w:szCs w:val="24"/>
                <w:lang w:val="es-ES"/>
              </w:rPr>
              <w:t xml:space="preserve">Se invita al Consejo a </w:t>
            </w:r>
            <w:r w:rsidRPr="00E90022">
              <w:rPr>
                <w:b/>
                <w:bCs/>
                <w:szCs w:val="24"/>
                <w:lang w:val="es-ES"/>
              </w:rPr>
              <w:t>tomar nota</w:t>
            </w:r>
            <w:r w:rsidRPr="00E90022">
              <w:rPr>
                <w:szCs w:val="24"/>
                <w:lang w:val="es-ES"/>
              </w:rPr>
              <w:t xml:space="preserve"> del Informe sobre los progresos en la aplicación del Plan de Transformación de Recursos Humanos y la Resolución 48 (Rev. Bucarest, 2022).</w:t>
            </w:r>
          </w:p>
          <w:p w14:paraId="35D52272" w14:textId="41CA2D70" w:rsidR="00F92BED" w:rsidRPr="00E90022" w:rsidRDefault="00F92BED" w:rsidP="00B0546E">
            <w:pPr>
              <w:rPr>
                <w:b/>
                <w:bCs/>
                <w:sz w:val="26"/>
                <w:szCs w:val="26"/>
                <w:lang w:val="es-ES"/>
              </w:rPr>
            </w:pPr>
            <w:r w:rsidRPr="00E90022">
              <w:rPr>
                <w:b/>
                <w:bCs/>
                <w:sz w:val="26"/>
                <w:szCs w:val="26"/>
                <w:lang w:val="es-ES"/>
              </w:rPr>
              <w:t>Vínculos pertinentes con el Plan Estratégico</w:t>
            </w:r>
          </w:p>
          <w:p w14:paraId="4C9737DF" w14:textId="144F03AE" w:rsidR="00F92BED" w:rsidRPr="00E90022" w:rsidRDefault="00740710" w:rsidP="00B0546E">
            <w:pPr>
              <w:spacing w:before="100"/>
              <w:jc w:val="both"/>
              <w:rPr>
                <w:lang w:val="es-ES"/>
              </w:rPr>
            </w:pPr>
            <w:r w:rsidRPr="00E90022">
              <w:rPr>
                <w:lang w:val="es-ES"/>
              </w:rPr>
              <w:t>Excelencia en materia de recursos humanos e innovación institucional.</w:t>
            </w:r>
          </w:p>
          <w:p w14:paraId="60473249" w14:textId="77777777" w:rsidR="00F92BED" w:rsidRPr="00E90022" w:rsidRDefault="00F92BED" w:rsidP="00B0546E">
            <w:pPr>
              <w:rPr>
                <w:b/>
                <w:bCs/>
                <w:sz w:val="26"/>
                <w:szCs w:val="26"/>
                <w:lang w:val="es-ES"/>
              </w:rPr>
            </w:pPr>
            <w:r w:rsidRPr="00E90022">
              <w:rPr>
                <w:b/>
                <w:bCs/>
                <w:sz w:val="26"/>
                <w:szCs w:val="26"/>
                <w:lang w:val="es-ES"/>
              </w:rPr>
              <w:t>Repercusiones financieras</w:t>
            </w:r>
          </w:p>
          <w:p w14:paraId="26611747" w14:textId="2ECAF483" w:rsidR="00F92BED" w:rsidRPr="00E90022" w:rsidRDefault="00D61399" w:rsidP="00B0546E">
            <w:pPr>
              <w:spacing w:before="100"/>
              <w:jc w:val="both"/>
              <w:rPr>
                <w:lang w:val="es-ES"/>
              </w:rPr>
            </w:pPr>
            <w:r w:rsidRPr="00E90022">
              <w:rPr>
                <w:lang w:val="es-ES"/>
              </w:rPr>
              <w:t>Con cargo a los presupuestos asignados para 2024-</w:t>
            </w:r>
            <w:r w:rsidRPr="00B0546E">
              <w:rPr>
                <w:szCs w:val="24"/>
                <w:lang w:val="es-ES"/>
              </w:rPr>
              <w:t>2025</w:t>
            </w:r>
            <w:r w:rsidR="005A4B17" w:rsidRPr="00E90022">
              <w:rPr>
                <w:lang w:val="es-ES"/>
              </w:rPr>
              <w:t xml:space="preserve"> y 2026-2027</w:t>
            </w:r>
            <w:r w:rsidRPr="00E90022">
              <w:rPr>
                <w:lang w:val="es-ES"/>
              </w:rPr>
              <w:t>.</w:t>
            </w:r>
          </w:p>
          <w:p w14:paraId="75C6C2D3" w14:textId="77777777" w:rsidR="00FE57F6" w:rsidRPr="00E90022" w:rsidRDefault="00FE57F6" w:rsidP="00B0546E">
            <w:pPr>
              <w:spacing w:before="0"/>
              <w:rPr>
                <w:caps/>
                <w:sz w:val="22"/>
                <w:lang w:val="es-ES"/>
              </w:rPr>
            </w:pPr>
            <w:r w:rsidRPr="00E90022">
              <w:rPr>
                <w:sz w:val="22"/>
                <w:lang w:val="es-ES"/>
              </w:rPr>
              <w:t>__________________</w:t>
            </w:r>
          </w:p>
          <w:p w14:paraId="652D1628" w14:textId="619455C5" w:rsidR="00FE57F6" w:rsidRPr="00E90022" w:rsidRDefault="00F24B71" w:rsidP="008B51F8">
            <w:pPr>
              <w:keepNext/>
              <w:keepLines/>
              <w:rPr>
                <w:b/>
                <w:bCs/>
                <w:sz w:val="26"/>
                <w:szCs w:val="26"/>
                <w:lang w:val="es-ES"/>
              </w:rPr>
            </w:pPr>
            <w:r w:rsidRPr="00E90022">
              <w:rPr>
                <w:b/>
                <w:bCs/>
                <w:sz w:val="26"/>
                <w:szCs w:val="26"/>
                <w:lang w:val="es-ES"/>
              </w:rPr>
              <w:t>Referencia</w:t>
            </w:r>
            <w:r w:rsidR="00F92BED" w:rsidRPr="00E90022">
              <w:rPr>
                <w:b/>
                <w:bCs/>
                <w:sz w:val="26"/>
                <w:szCs w:val="26"/>
                <w:lang w:val="es-ES"/>
              </w:rPr>
              <w:t>s</w:t>
            </w:r>
          </w:p>
          <w:p w14:paraId="0DB7DFF7" w14:textId="6EAB0DD7" w:rsidR="00FE57F6" w:rsidRPr="00E90022" w:rsidRDefault="000B11A6" w:rsidP="008B51F8">
            <w:pPr>
              <w:keepNext/>
              <w:keepLines/>
              <w:spacing w:after="160"/>
              <w:rPr>
                <w:i/>
                <w:iCs/>
                <w:sz w:val="22"/>
                <w:szCs w:val="22"/>
                <w:lang w:val="es-ES"/>
              </w:rPr>
            </w:pPr>
            <w:r w:rsidRPr="00E90022">
              <w:rPr>
                <w:i/>
                <w:iCs/>
                <w:sz w:val="22"/>
                <w:szCs w:val="22"/>
                <w:lang w:val="es-ES"/>
              </w:rPr>
              <w:t xml:space="preserve">Documentos </w:t>
            </w:r>
            <w:hyperlink r:id="rId7" w:history="1">
              <w:r w:rsidRPr="00E90022">
                <w:rPr>
                  <w:rStyle w:val="Hyperlink"/>
                  <w:i/>
                  <w:iCs/>
                  <w:sz w:val="22"/>
                  <w:lang w:val="es-ES"/>
                </w:rPr>
                <w:t>C23/INF/13</w:t>
              </w:r>
            </w:hyperlink>
            <w:r w:rsidRPr="00E90022">
              <w:rPr>
                <w:rStyle w:val="Hyperlink"/>
                <w:i/>
                <w:iCs/>
                <w:sz w:val="22"/>
                <w:lang w:val="es-ES"/>
              </w:rPr>
              <w:t xml:space="preserve">, </w:t>
            </w:r>
            <w:hyperlink r:id="rId8" w:history="1">
              <w:hyperlink r:id="rId9" w:history="1">
                <w:r w:rsidRPr="00E90022">
                  <w:rPr>
                    <w:rStyle w:val="Hyperlink"/>
                    <w:i/>
                    <w:iCs/>
                    <w:sz w:val="22"/>
                    <w:lang w:val="es-ES"/>
                  </w:rPr>
                  <w:t>C24/29</w:t>
                </w:r>
              </w:hyperlink>
            </w:hyperlink>
            <w:r w:rsidRPr="00E90022">
              <w:rPr>
                <w:lang w:val="es-ES"/>
              </w:rPr>
              <w:t xml:space="preserve"> </w:t>
            </w:r>
            <w:r w:rsidRPr="00E90022">
              <w:rPr>
                <w:i/>
                <w:iCs/>
                <w:sz w:val="22"/>
                <w:szCs w:val="22"/>
                <w:lang w:val="es-ES"/>
              </w:rPr>
              <w:t>y</w:t>
            </w:r>
            <w:r w:rsidRPr="00E90022">
              <w:rPr>
                <w:lang w:val="es-ES"/>
              </w:rPr>
              <w:t xml:space="preserve"> </w:t>
            </w:r>
            <w:hyperlink r:id="rId10" w:history="1">
              <w:r w:rsidRPr="00E90022">
                <w:rPr>
                  <w:rStyle w:val="Hyperlink"/>
                  <w:i/>
                  <w:iCs/>
                  <w:sz w:val="22"/>
                  <w:lang w:val="es-ES" w:eastAsia="zh-CN"/>
                </w:rPr>
                <w:t>C25/66</w:t>
              </w:r>
            </w:hyperlink>
            <w:r w:rsidRPr="00E90022">
              <w:rPr>
                <w:i/>
                <w:iCs/>
                <w:sz w:val="22"/>
                <w:szCs w:val="22"/>
                <w:lang w:val="es-ES"/>
              </w:rPr>
              <w:t xml:space="preserve"> del Consejo</w:t>
            </w:r>
            <w:r w:rsidR="00E90022" w:rsidRPr="00E90022">
              <w:rPr>
                <w:i/>
                <w:iCs/>
                <w:sz w:val="22"/>
                <w:szCs w:val="22"/>
                <w:lang w:val="es-ES"/>
              </w:rPr>
              <w:t>;</w:t>
            </w:r>
            <w:r w:rsidRPr="00E90022">
              <w:rPr>
                <w:rStyle w:val="Hyperlink"/>
                <w:i/>
                <w:iCs/>
                <w:sz w:val="22"/>
                <w:lang w:val="es-ES"/>
              </w:rPr>
              <w:t xml:space="preserve"> </w:t>
            </w:r>
            <w:hyperlink r:id="rId11" w:history="1">
              <w:r w:rsidRPr="00E90022">
                <w:rPr>
                  <w:rStyle w:val="Hyperlink"/>
                  <w:rFonts w:eastAsia="Times New Roman" w:cs="Times New Roman"/>
                  <w:i/>
                  <w:iCs/>
                  <w:szCs w:val="20"/>
                  <w:lang w:val="es-ES"/>
                </w:rPr>
                <w:t>Resolución</w:t>
              </w:r>
              <w:r w:rsidRPr="00E90022">
                <w:rPr>
                  <w:rStyle w:val="Hyperlink"/>
                  <w:i/>
                  <w:iCs/>
                  <w:sz w:val="22"/>
                  <w:lang w:val="es-ES"/>
                </w:rPr>
                <w:t xml:space="preserve"> 48</w:t>
              </w:r>
            </w:hyperlink>
            <w:r w:rsidRPr="00E90022">
              <w:rPr>
                <w:rFonts w:eastAsiaTheme="minorHAnsi" w:cstheme="minorBidi"/>
                <w:i/>
                <w:iCs/>
                <w:sz w:val="22"/>
                <w:szCs w:val="22"/>
                <w:lang w:val="es-ES"/>
              </w:rPr>
              <w:t xml:space="preserve"> (Rev. Bucarest, 2022)</w:t>
            </w:r>
            <w:r w:rsidRPr="00E90022">
              <w:rPr>
                <w:i/>
                <w:iCs/>
                <w:sz w:val="22"/>
                <w:szCs w:val="22"/>
                <w:lang w:val="es-ES"/>
              </w:rPr>
              <w:t xml:space="preserve"> de la Conferencia de Plenipotenciarios</w:t>
            </w:r>
          </w:p>
        </w:tc>
      </w:tr>
      <w:bookmarkEnd w:id="0"/>
    </w:tbl>
    <w:p w14:paraId="04B3BD6A" w14:textId="77777777" w:rsidR="001559F5" w:rsidRPr="00B0546E" w:rsidRDefault="001559F5">
      <w:pPr>
        <w:tabs>
          <w:tab w:val="clear" w:pos="567"/>
          <w:tab w:val="clear" w:pos="1134"/>
          <w:tab w:val="clear" w:pos="1701"/>
          <w:tab w:val="clear" w:pos="2268"/>
          <w:tab w:val="clear" w:pos="2835"/>
        </w:tabs>
        <w:overflowPunct/>
        <w:autoSpaceDE/>
        <w:autoSpaceDN/>
        <w:adjustRightInd/>
        <w:spacing w:before="0"/>
        <w:textAlignment w:val="auto"/>
        <w:rPr>
          <w:sz w:val="10"/>
          <w:szCs w:val="10"/>
          <w:lang w:val="es-ES"/>
        </w:rPr>
      </w:pPr>
      <w:r w:rsidRPr="00B0546E">
        <w:rPr>
          <w:sz w:val="10"/>
          <w:szCs w:val="10"/>
          <w:lang w:val="es-ES"/>
        </w:rPr>
        <w:br w:type="page"/>
      </w:r>
    </w:p>
    <w:p w14:paraId="2F856FAB" w14:textId="77777777" w:rsidR="00702C9B" w:rsidRPr="00E90022" w:rsidRDefault="00702C9B" w:rsidP="008B51F8">
      <w:pPr>
        <w:pStyle w:val="Headingb"/>
        <w:rPr>
          <w:lang w:val="es-ES"/>
        </w:rPr>
      </w:pPr>
      <w:bookmarkStart w:id="1" w:name="_Hlk195627763"/>
      <w:r w:rsidRPr="00E90022">
        <w:rPr>
          <w:lang w:val="es-ES"/>
        </w:rPr>
        <w:lastRenderedPageBreak/>
        <w:t>Personas: Lograr una fuerza de trabajo ágil, capaz y empoderada</w:t>
      </w:r>
    </w:p>
    <w:bookmarkEnd w:id="1"/>
    <w:p w14:paraId="2D19CE29" w14:textId="15583C30" w:rsidR="00702C9B" w:rsidRPr="00E90022" w:rsidRDefault="00702C9B" w:rsidP="00B0546E">
      <w:pPr>
        <w:jc w:val="both"/>
        <w:rPr>
          <w:lang w:val="es-ES"/>
        </w:rPr>
      </w:pPr>
      <w:r w:rsidRPr="00E90022">
        <w:rPr>
          <w:lang w:val="es-ES"/>
        </w:rPr>
        <w:t xml:space="preserve">El primer pilar del Plan de Transformación de Recursos Humanos (PTRH), a saber, las </w:t>
      </w:r>
      <w:r w:rsidR="009B6B4C" w:rsidRPr="00E90022">
        <w:rPr>
          <w:lang w:val="es-ES"/>
        </w:rPr>
        <w:t>p</w:t>
      </w:r>
      <w:r w:rsidRPr="00E90022">
        <w:rPr>
          <w:lang w:val="es-ES"/>
        </w:rPr>
        <w:t>ersonas, hace hincapié en la importancia de crear una fuerza de trabajo ágil, con talentos y preparada para el cambio que se responsabilice de los resultados. Para ello, es necesario atraer, incorporar y conservar a personas con talentos que mantengan los más altos niveles de eficiencia, competencia e integridad.</w:t>
      </w:r>
    </w:p>
    <w:p w14:paraId="5206C8F8" w14:textId="77777777" w:rsidR="00702C9B" w:rsidRPr="00E90022" w:rsidRDefault="00702C9B" w:rsidP="00B0546E">
      <w:pPr>
        <w:jc w:val="both"/>
        <w:rPr>
          <w:lang w:val="es-ES"/>
        </w:rPr>
      </w:pPr>
      <w:r w:rsidRPr="00E90022">
        <w:rPr>
          <w:lang w:val="es-ES"/>
        </w:rPr>
        <w:t>Además, el plan prevé reforzar la contratación de funcionarios más jóvenes para introducir nuevos talentos, nuevas competencias e inspiración, manteniendo al mismo tiempo el equilibrio con la experiencia y el compromiso del personal existente.</w:t>
      </w:r>
    </w:p>
    <w:p w14:paraId="6958B645" w14:textId="77777777" w:rsidR="00702C9B" w:rsidRPr="00E90022" w:rsidRDefault="00702C9B" w:rsidP="00B0546E">
      <w:pPr>
        <w:jc w:val="both"/>
        <w:rPr>
          <w:lang w:val="es-ES"/>
        </w:rPr>
      </w:pPr>
      <w:r w:rsidRPr="00E90022">
        <w:rPr>
          <w:lang w:val="es-ES"/>
        </w:rPr>
        <w:t>Mediante la ejecución del PTRH, la UIT pretende no sólo crear un entorno de trabajo estimulante y gratificante, sino también mejorar el rendimiento institucional y capacitar al personal para que continúe ampliando en todo momento sus conocimientos y aptitudes, en consonancia con los objetivos estratégicos de la UIT.</w:t>
      </w:r>
    </w:p>
    <w:p w14:paraId="1F3A7015" w14:textId="77777777" w:rsidR="00EC7A1C" w:rsidRPr="00E90022" w:rsidRDefault="00EC7A1C" w:rsidP="00B0546E">
      <w:pPr>
        <w:jc w:val="both"/>
        <w:rPr>
          <w:lang w:val="es-ES"/>
        </w:rPr>
      </w:pPr>
      <w:r w:rsidRPr="00E90022">
        <w:rPr>
          <w:lang w:val="es-ES"/>
        </w:rPr>
        <w:t>Aspectos destacados:</w:t>
      </w:r>
    </w:p>
    <w:p w14:paraId="20D9FE9C" w14:textId="35B158EC" w:rsidR="00050436" w:rsidRPr="00E90022" w:rsidRDefault="00050436" w:rsidP="00B0546E">
      <w:pPr>
        <w:pStyle w:val="enumlev1"/>
        <w:jc w:val="both"/>
        <w:rPr>
          <w:lang w:val="es-ES"/>
        </w:rPr>
      </w:pPr>
      <w:r w:rsidRPr="00E90022">
        <w:rPr>
          <w:lang w:val="es-ES"/>
        </w:rPr>
        <w:t>1</w:t>
      </w:r>
      <w:r w:rsidR="00172DA3" w:rsidRPr="00E90022">
        <w:rPr>
          <w:lang w:val="es-ES"/>
        </w:rPr>
        <w:t>)</w:t>
      </w:r>
      <w:r w:rsidRPr="00E90022">
        <w:rPr>
          <w:lang w:val="es-ES"/>
        </w:rPr>
        <w:tab/>
      </w:r>
      <w:r w:rsidR="00D0173A" w:rsidRPr="00E90022">
        <w:rPr>
          <w:lang w:val="es-ES"/>
        </w:rPr>
        <w:t>Se puso en marcha un plan de formación anual completo y rentable, cuya visibilidad se mejoró considerablemente a través del boletín Let’s Learn y de un sitio SharePoint centralizado. Estas plataformas garantizan que los miembros del personal tengan acceso en tiempo real al plan de formación anual y a las oportunidades de desarrollo profesional continuo</w:t>
      </w:r>
      <w:r w:rsidR="00754803" w:rsidRPr="00E90022">
        <w:rPr>
          <w:lang w:val="es-ES"/>
        </w:rPr>
        <w:t xml:space="preserve"> y, a su vez,</w:t>
      </w:r>
      <w:r w:rsidR="00D0173A" w:rsidRPr="00E90022">
        <w:rPr>
          <w:lang w:val="es-ES"/>
        </w:rPr>
        <w:t xml:space="preserve"> promueven activamente el aprendizaje a </w:t>
      </w:r>
      <w:r w:rsidR="00754803" w:rsidRPr="00E90022">
        <w:rPr>
          <w:lang w:val="es-ES"/>
        </w:rPr>
        <w:t xml:space="preserve">su propio </w:t>
      </w:r>
      <w:r w:rsidR="00D0173A" w:rsidRPr="00E90022">
        <w:rPr>
          <w:lang w:val="es-ES"/>
        </w:rPr>
        <w:t xml:space="preserve">ritmo </w:t>
      </w:r>
      <w:r w:rsidR="003E463D" w:rsidRPr="00E90022">
        <w:rPr>
          <w:lang w:val="es-ES"/>
        </w:rPr>
        <w:t xml:space="preserve">que constituye la base </w:t>
      </w:r>
      <w:r w:rsidR="00D0173A" w:rsidRPr="00E90022">
        <w:rPr>
          <w:lang w:val="es-ES"/>
        </w:rPr>
        <w:t xml:space="preserve">de una cultura de aprendizaje autónomo. Al empoderar al personal para que </w:t>
      </w:r>
      <w:r w:rsidR="009274E5" w:rsidRPr="00E90022">
        <w:rPr>
          <w:lang w:val="es-ES"/>
        </w:rPr>
        <w:t>asuma la responsabilidad</w:t>
      </w:r>
      <w:r w:rsidR="00D0173A" w:rsidRPr="00E90022">
        <w:rPr>
          <w:lang w:val="es-ES"/>
        </w:rPr>
        <w:t xml:space="preserve"> de su propio desarrollo y utilice los recursos de formación a su propio ritmo, </w:t>
      </w:r>
      <w:r w:rsidR="00E50B30" w:rsidRPr="00E90022">
        <w:rPr>
          <w:lang w:val="es-ES"/>
        </w:rPr>
        <w:t>se está</w:t>
      </w:r>
      <w:r w:rsidR="00D0173A" w:rsidRPr="00E90022">
        <w:rPr>
          <w:lang w:val="es-ES"/>
        </w:rPr>
        <w:t xml:space="preserve"> fomentando una mayor responsabilidad, flexibilidad y crecimiento continuo en toda la Unión. El plan de formación sigue siendo dinámico</w:t>
      </w:r>
      <w:r w:rsidR="005E6F1F" w:rsidRPr="00E90022">
        <w:rPr>
          <w:lang w:val="es-ES"/>
        </w:rPr>
        <w:t xml:space="preserve"> y </w:t>
      </w:r>
      <w:r w:rsidR="00D0173A" w:rsidRPr="00E90022">
        <w:rPr>
          <w:lang w:val="es-ES"/>
        </w:rPr>
        <w:t xml:space="preserve">se supervisa y actualiza periódicamente para responder de </w:t>
      </w:r>
      <w:r w:rsidR="00BA6CF3" w:rsidRPr="00E90022">
        <w:rPr>
          <w:lang w:val="es-ES"/>
        </w:rPr>
        <w:t>manera</w:t>
      </w:r>
      <w:r w:rsidR="00D0173A" w:rsidRPr="00E90022">
        <w:rPr>
          <w:lang w:val="es-ES"/>
        </w:rPr>
        <w:t xml:space="preserve"> proactiva a las </w:t>
      </w:r>
      <w:r w:rsidR="00BA6CF3" w:rsidRPr="00E90022">
        <w:rPr>
          <w:lang w:val="es-ES"/>
        </w:rPr>
        <w:t xml:space="preserve">nuevas </w:t>
      </w:r>
      <w:r w:rsidR="00D0173A" w:rsidRPr="00E90022">
        <w:rPr>
          <w:lang w:val="es-ES"/>
        </w:rPr>
        <w:t xml:space="preserve">necesidades y a las prioridades </w:t>
      </w:r>
      <w:r w:rsidR="004F052B" w:rsidRPr="00E90022">
        <w:rPr>
          <w:lang w:val="es-ES"/>
        </w:rPr>
        <w:t xml:space="preserve">institucionales que evolucionan </w:t>
      </w:r>
      <w:r w:rsidR="00D0173A" w:rsidRPr="00E90022">
        <w:rPr>
          <w:lang w:val="es-ES"/>
        </w:rPr>
        <w:t>constante</w:t>
      </w:r>
      <w:r w:rsidR="004F052B" w:rsidRPr="00E90022">
        <w:rPr>
          <w:lang w:val="es-ES"/>
        </w:rPr>
        <w:t>mente</w:t>
      </w:r>
      <w:r w:rsidR="00D0173A" w:rsidRPr="00E90022">
        <w:rPr>
          <w:lang w:val="es-ES"/>
        </w:rPr>
        <w:t>.</w:t>
      </w:r>
    </w:p>
    <w:p w14:paraId="66096F47" w14:textId="6FAD1CB0" w:rsidR="00050436" w:rsidRPr="00E90022" w:rsidRDefault="00050436" w:rsidP="00B0546E">
      <w:pPr>
        <w:pStyle w:val="enumlev1"/>
        <w:jc w:val="both"/>
        <w:rPr>
          <w:lang w:val="es-ES"/>
        </w:rPr>
      </w:pPr>
      <w:r w:rsidRPr="00E90022">
        <w:rPr>
          <w:lang w:val="es-ES"/>
        </w:rPr>
        <w:t>2</w:t>
      </w:r>
      <w:r w:rsidR="00172DA3" w:rsidRPr="00E90022">
        <w:rPr>
          <w:lang w:val="es-ES"/>
        </w:rPr>
        <w:t>)</w:t>
      </w:r>
      <w:r w:rsidRPr="00E90022">
        <w:rPr>
          <w:lang w:val="es-ES"/>
        </w:rPr>
        <w:tab/>
      </w:r>
      <w:r w:rsidR="00041A30" w:rsidRPr="00E90022">
        <w:rPr>
          <w:lang w:val="es-ES"/>
        </w:rPr>
        <w:t xml:space="preserve">El cumplimiento de la formación obligatoria se ha mejorado notablemente gracias </w:t>
      </w:r>
      <w:r w:rsidR="00AE2A90" w:rsidRPr="00E90022">
        <w:rPr>
          <w:lang w:val="es-ES"/>
        </w:rPr>
        <w:t>a una colaboración más estrecha</w:t>
      </w:r>
      <w:r w:rsidR="00041A30" w:rsidRPr="00E90022">
        <w:rPr>
          <w:lang w:val="es-ES"/>
        </w:rPr>
        <w:t xml:space="preserve"> con los coordinadores de RRHH, aprovechando las herramientas digitales para mejorar el seguimiento y la comunicación periódicos. La tasa de finalización aument</w:t>
      </w:r>
      <w:r w:rsidR="00F66F7F" w:rsidRPr="00E90022">
        <w:rPr>
          <w:lang w:val="es-ES"/>
        </w:rPr>
        <w:t>ó</w:t>
      </w:r>
      <w:r w:rsidR="00041A30" w:rsidRPr="00E90022">
        <w:rPr>
          <w:lang w:val="es-ES"/>
        </w:rPr>
        <w:t xml:space="preserve"> del 5</w:t>
      </w:r>
      <w:r w:rsidR="00D57D0B" w:rsidRPr="00E90022">
        <w:rPr>
          <w:lang w:val="es-ES"/>
        </w:rPr>
        <w:t> </w:t>
      </w:r>
      <w:r w:rsidR="00041A30" w:rsidRPr="00E90022">
        <w:rPr>
          <w:lang w:val="es-ES"/>
        </w:rPr>
        <w:t>% en septiembre de 2024 al 52</w:t>
      </w:r>
      <w:r w:rsidR="00D57D0B" w:rsidRPr="00E90022">
        <w:rPr>
          <w:lang w:val="es-ES"/>
        </w:rPr>
        <w:t> %</w:t>
      </w:r>
      <w:r w:rsidR="00041A30" w:rsidRPr="00E90022">
        <w:rPr>
          <w:lang w:val="es-ES"/>
        </w:rPr>
        <w:t xml:space="preserve"> a finales de febrero de 2026, </w:t>
      </w:r>
      <w:r w:rsidR="00035E8B" w:rsidRPr="00E90022">
        <w:rPr>
          <w:lang w:val="es-ES"/>
        </w:rPr>
        <w:t>y se ha establecido un</w:t>
      </w:r>
      <w:r w:rsidR="00041A30" w:rsidRPr="00E90022">
        <w:rPr>
          <w:lang w:val="es-ES"/>
        </w:rPr>
        <w:t xml:space="preserve"> mecanismo de seguimiento sistemático y un coordinador específico </w:t>
      </w:r>
      <w:r w:rsidR="00E43D04" w:rsidRPr="00E90022">
        <w:rPr>
          <w:lang w:val="es-ES"/>
        </w:rPr>
        <w:t>en el</w:t>
      </w:r>
      <w:r w:rsidR="00041A30" w:rsidRPr="00E90022">
        <w:rPr>
          <w:lang w:val="es-ES"/>
        </w:rPr>
        <w:t xml:space="preserve"> HRMD para garantizar un progreso sostenido</w:t>
      </w:r>
      <w:r w:rsidRPr="00E90022">
        <w:rPr>
          <w:lang w:val="es-ES"/>
        </w:rPr>
        <w:t>.</w:t>
      </w:r>
    </w:p>
    <w:p w14:paraId="12FED102" w14:textId="5F328CAA" w:rsidR="00050436" w:rsidRPr="00E90022" w:rsidRDefault="00050436" w:rsidP="00B0546E">
      <w:pPr>
        <w:pStyle w:val="enumlev1"/>
        <w:jc w:val="both"/>
        <w:rPr>
          <w:lang w:val="es-ES"/>
        </w:rPr>
      </w:pPr>
      <w:r w:rsidRPr="00E90022">
        <w:rPr>
          <w:lang w:val="es-ES"/>
        </w:rPr>
        <w:t>3</w:t>
      </w:r>
      <w:r w:rsidR="00172DA3" w:rsidRPr="00E90022">
        <w:rPr>
          <w:lang w:val="es-ES"/>
        </w:rPr>
        <w:t>)</w:t>
      </w:r>
      <w:r w:rsidRPr="00E90022">
        <w:rPr>
          <w:lang w:val="es-ES"/>
        </w:rPr>
        <w:tab/>
      </w:r>
      <w:r w:rsidR="00102370" w:rsidRPr="00E90022">
        <w:rPr>
          <w:lang w:val="es-ES"/>
        </w:rPr>
        <w:t>Se impartió formación para mejora</w:t>
      </w:r>
      <w:r w:rsidR="0012320D" w:rsidRPr="00E90022">
        <w:rPr>
          <w:lang w:val="es-ES"/>
        </w:rPr>
        <w:t>r</w:t>
      </w:r>
      <w:r w:rsidR="00102370" w:rsidRPr="00E90022">
        <w:rPr>
          <w:lang w:val="es-ES"/>
        </w:rPr>
        <w:t xml:space="preserve"> las competencias digitales en herramientas fundamentales y mediante una estrecha colaboración con el </w:t>
      </w:r>
      <w:r w:rsidR="00E91675" w:rsidRPr="00E90022">
        <w:rPr>
          <w:lang w:val="es-ES"/>
        </w:rPr>
        <w:t>e</w:t>
      </w:r>
      <w:r w:rsidR="00102370" w:rsidRPr="00E90022">
        <w:rPr>
          <w:lang w:val="es-ES"/>
        </w:rPr>
        <w:t xml:space="preserve">quipo de </w:t>
      </w:r>
      <w:r w:rsidR="00E91675" w:rsidRPr="00E90022">
        <w:rPr>
          <w:lang w:val="es-ES"/>
        </w:rPr>
        <w:t>t</w:t>
      </w:r>
      <w:r w:rsidR="00102370" w:rsidRPr="00E90022">
        <w:rPr>
          <w:lang w:val="es-ES"/>
        </w:rPr>
        <w:t>ransformación, con el fin de impulsar la capacitación en IA. La formación incluyó diversas sesiones prácticas para los</w:t>
      </w:r>
      <w:r w:rsidR="007C2AE0" w:rsidRPr="00E90022">
        <w:rPr>
          <w:lang w:val="es-ES"/>
        </w:rPr>
        <w:t xml:space="preserve"> </w:t>
      </w:r>
      <w:r w:rsidR="00630D82" w:rsidRPr="00E90022">
        <w:rPr>
          <w:lang w:val="es-ES"/>
        </w:rPr>
        <w:t>campeones de</w:t>
      </w:r>
      <w:r w:rsidR="00102370" w:rsidRPr="00E90022">
        <w:rPr>
          <w:lang w:val="es-ES"/>
        </w:rPr>
        <w:t xml:space="preserve"> Copilot, complementadas con un evento presencial al que asistió </w:t>
      </w:r>
      <w:r w:rsidR="00630D82" w:rsidRPr="00E90022">
        <w:rPr>
          <w:lang w:val="es-ES"/>
        </w:rPr>
        <w:t>la</w:t>
      </w:r>
      <w:r w:rsidR="00102370" w:rsidRPr="00E90022">
        <w:rPr>
          <w:lang w:val="es-ES"/>
        </w:rPr>
        <w:t xml:space="preserve"> Secretari</w:t>
      </w:r>
      <w:r w:rsidR="00630D82" w:rsidRPr="00E90022">
        <w:rPr>
          <w:lang w:val="es-ES"/>
        </w:rPr>
        <w:t>a</w:t>
      </w:r>
      <w:r w:rsidR="00102370" w:rsidRPr="00E90022">
        <w:rPr>
          <w:lang w:val="es-ES"/>
        </w:rPr>
        <w:t xml:space="preserve"> General</w:t>
      </w:r>
      <w:r w:rsidR="005F7370" w:rsidRPr="00E90022">
        <w:rPr>
          <w:lang w:val="es-ES"/>
        </w:rPr>
        <w:t>,</w:t>
      </w:r>
      <w:r w:rsidR="00102370" w:rsidRPr="00E90022">
        <w:rPr>
          <w:lang w:val="es-ES"/>
        </w:rPr>
        <w:t xml:space="preserve"> </w:t>
      </w:r>
      <w:r w:rsidR="00080511" w:rsidRPr="00E90022">
        <w:rPr>
          <w:lang w:val="es-ES"/>
        </w:rPr>
        <w:t>c</w:t>
      </w:r>
      <w:r w:rsidR="005F7370" w:rsidRPr="00E90022">
        <w:rPr>
          <w:lang w:val="es-ES"/>
        </w:rPr>
        <w:t xml:space="preserve">on </w:t>
      </w:r>
      <w:r w:rsidR="00102370" w:rsidRPr="00E90022">
        <w:rPr>
          <w:lang w:val="es-ES"/>
        </w:rPr>
        <w:t xml:space="preserve">seguimiento mensual estructurado para mantener el impulso y reforzar la adopción. </w:t>
      </w:r>
      <w:r w:rsidR="00F71595" w:rsidRPr="00E90022">
        <w:rPr>
          <w:lang w:val="es-ES"/>
        </w:rPr>
        <w:t>Asimismo</w:t>
      </w:r>
      <w:r w:rsidR="00102370" w:rsidRPr="00E90022">
        <w:rPr>
          <w:lang w:val="es-ES"/>
        </w:rPr>
        <w:t xml:space="preserve">, se puso en marcha una campaña de comunicación dirigida a todo el personal en la que se destacaban itinerarios de aprendizaje personalizados y una amplia gama de oportunidades de formación basadas en la IA. </w:t>
      </w:r>
      <w:r w:rsidR="00D35ED4" w:rsidRPr="00E90022">
        <w:rPr>
          <w:lang w:val="es-ES"/>
        </w:rPr>
        <w:t xml:space="preserve">El objetivo era </w:t>
      </w:r>
      <w:r w:rsidR="00102370" w:rsidRPr="00E90022">
        <w:rPr>
          <w:lang w:val="es-ES"/>
        </w:rPr>
        <w:t xml:space="preserve">promover la mejora continua de las competencias, fomentar la implicación proactiva con las </w:t>
      </w:r>
      <w:r w:rsidR="00D35ED4" w:rsidRPr="00E90022">
        <w:rPr>
          <w:lang w:val="es-ES"/>
        </w:rPr>
        <w:t xml:space="preserve">nuevas </w:t>
      </w:r>
      <w:r w:rsidR="00102370" w:rsidRPr="00E90022">
        <w:rPr>
          <w:lang w:val="es-ES"/>
        </w:rPr>
        <w:t>tecnologías e integrar los conocimientos sobre IA como capacidad fundamental</w:t>
      </w:r>
      <w:r w:rsidR="006F0559" w:rsidRPr="00E90022">
        <w:rPr>
          <w:lang w:val="es-ES"/>
        </w:rPr>
        <w:t xml:space="preserve"> en toda la organización</w:t>
      </w:r>
      <w:r w:rsidR="00102370" w:rsidRPr="00E90022">
        <w:rPr>
          <w:lang w:val="es-ES"/>
        </w:rPr>
        <w:t xml:space="preserve">. La sesión inaugural </w:t>
      </w:r>
      <w:r w:rsidR="00172DA3" w:rsidRPr="00E90022">
        <w:rPr>
          <w:lang w:val="es-ES"/>
        </w:rPr>
        <w:t>"</w:t>
      </w:r>
      <w:r w:rsidR="00102370" w:rsidRPr="00E90022">
        <w:rPr>
          <w:lang w:val="es-ES"/>
        </w:rPr>
        <w:t>IA para recursos humanos</w:t>
      </w:r>
      <w:r w:rsidR="00172DA3" w:rsidRPr="00E90022">
        <w:rPr>
          <w:lang w:val="es-ES"/>
        </w:rPr>
        <w:t>"</w:t>
      </w:r>
      <w:r w:rsidR="00102370" w:rsidRPr="00E90022">
        <w:rPr>
          <w:lang w:val="es-ES"/>
        </w:rPr>
        <w:t xml:space="preserve"> se llevó a cabo con éxito en la Cumbre Mundial </w:t>
      </w:r>
      <w:r w:rsidR="000920FE" w:rsidRPr="00E90022">
        <w:rPr>
          <w:lang w:val="es-ES"/>
        </w:rPr>
        <w:t>AI for Good</w:t>
      </w:r>
      <w:r w:rsidR="00102370" w:rsidRPr="00E90022">
        <w:rPr>
          <w:lang w:val="es-ES"/>
        </w:rPr>
        <w:t xml:space="preserve">, en la que participaron 92 directores y profesionales de recursos humanos de </w:t>
      </w:r>
      <w:r w:rsidR="003325D8" w:rsidRPr="00E90022">
        <w:rPr>
          <w:lang w:val="es-ES"/>
        </w:rPr>
        <w:t xml:space="preserve">organismos </w:t>
      </w:r>
      <w:r w:rsidR="00102370" w:rsidRPr="00E90022">
        <w:rPr>
          <w:lang w:val="es-ES"/>
        </w:rPr>
        <w:t xml:space="preserve">de </w:t>
      </w:r>
      <w:r w:rsidR="00102370" w:rsidRPr="00E90022">
        <w:rPr>
          <w:lang w:val="es-ES"/>
        </w:rPr>
        <w:lastRenderedPageBreak/>
        <w:t>las Naciones Unidas y organizaciones internacionales, y que recibió comentarios excepcionalmente positivos</w:t>
      </w:r>
      <w:r w:rsidRPr="00E90022">
        <w:rPr>
          <w:lang w:val="es-ES"/>
        </w:rPr>
        <w:t>.</w:t>
      </w:r>
    </w:p>
    <w:p w14:paraId="54A507E0" w14:textId="314B31FF" w:rsidR="00050436" w:rsidRPr="00E90022" w:rsidRDefault="00050436" w:rsidP="00B0546E">
      <w:pPr>
        <w:pStyle w:val="enumlev1"/>
        <w:jc w:val="both"/>
        <w:rPr>
          <w:highlight w:val="cyan"/>
          <w:lang w:val="es-ES"/>
        </w:rPr>
      </w:pPr>
      <w:r w:rsidRPr="00E90022">
        <w:rPr>
          <w:lang w:val="es-ES"/>
        </w:rPr>
        <w:t>4</w:t>
      </w:r>
      <w:r w:rsidR="00172DA3" w:rsidRPr="00E90022">
        <w:rPr>
          <w:lang w:val="es-ES"/>
        </w:rPr>
        <w:t>)</w:t>
      </w:r>
      <w:r w:rsidRPr="00E90022">
        <w:rPr>
          <w:lang w:val="es-ES"/>
        </w:rPr>
        <w:tab/>
      </w:r>
      <w:r w:rsidR="00562380" w:rsidRPr="00E90022">
        <w:rPr>
          <w:lang w:val="es-ES"/>
        </w:rPr>
        <w:t xml:space="preserve">Se reforzaron el desarrollo profesional y las competencias básicas mediante una serie de conferencias magistrales específicas y cursos de formación en aptitudes funcionales, cuyas grabaciones y recursos se pusieron a disposición de los interesados. Se ofrecieron oportunidades de aprendizaje específicas al personal del cuadro de servicios generales con el fin de reforzar sus capacidades de cara al futuro y dar respuesta a las necesidades cambiantes de la organización. Entre ellas figuraba la puesta en marcha del programa Gameshifter, diseñado para fomentar la adaptabilidad, la innovación y una mentalidad orientada al crecimiento. Se impartió formación especializada sobre </w:t>
      </w:r>
      <w:r w:rsidR="00172DA3" w:rsidRPr="00E90022">
        <w:rPr>
          <w:lang w:val="es-ES"/>
        </w:rPr>
        <w:t>"</w:t>
      </w:r>
      <w:r w:rsidR="00562380" w:rsidRPr="00E90022">
        <w:rPr>
          <w:lang w:val="es-ES"/>
        </w:rPr>
        <w:t>Competencias digitales y herramientas de IA para la ejecución de programas</w:t>
      </w:r>
      <w:r w:rsidR="00172DA3" w:rsidRPr="00E90022">
        <w:rPr>
          <w:lang w:val="es-ES"/>
        </w:rPr>
        <w:t>"</w:t>
      </w:r>
      <w:r w:rsidR="00562380" w:rsidRPr="00E90022">
        <w:rPr>
          <w:lang w:val="es-ES"/>
        </w:rPr>
        <w:t xml:space="preserve"> en colaboración con el Centro Internacional de Formación de la Organización Internacional del Trabajo (ITCILO), dotando a los participantes de competencias prácticas para aprovechar las nuevas tecnologías. El objetivo de esta iniciativa era dotar al personal del cuadro de servicios generales de las aptitudes, la confianza y la fluidez digital necesarias para prosperar en un entorno laboral en rápida evolución. Por otra parte, el HRMD sigue desarrollando las capacidades de RRHH mediante la certificación, según proceda, para reforzar la pericia interna</w:t>
      </w:r>
      <w:r w:rsidRPr="00E90022">
        <w:rPr>
          <w:lang w:val="es-ES"/>
        </w:rPr>
        <w:t>.</w:t>
      </w:r>
    </w:p>
    <w:p w14:paraId="5A2C0785" w14:textId="2CC9CE1E" w:rsidR="00050436" w:rsidRPr="00E90022" w:rsidRDefault="00050436" w:rsidP="00B0546E">
      <w:pPr>
        <w:pStyle w:val="enumlev1"/>
        <w:jc w:val="both"/>
        <w:rPr>
          <w:highlight w:val="cyan"/>
          <w:lang w:val="es-ES"/>
        </w:rPr>
      </w:pPr>
      <w:r w:rsidRPr="00E90022">
        <w:rPr>
          <w:lang w:val="es-ES"/>
        </w:rPr>
        <w:t>5</w:t>
      </w:r>
      <w:r w:rsidR="00172DA3" w:rsidRPr="00E90022">
        <w:rPr>
          <w:lang w:val="es-ES"/>
        </w:rPr>
        <w:t>)</w:t>
      </w:r>
      <w:r w:rsidRPr="00E90022">
        <w:rPr>
          <w:lang w:val="es-ES"/>
        </w:rPr>
        <w:tab/>
      </w:r>
      <w:r w:rsidR="00070A50" w:rsidRPr="00E90022">
        <w:rPr>
          <w:lang w:val="es-ES"/>
        </w:rPr>
        <w:t>Para garantizar una integración fluida del personal, en 2025 se organizaron dos rondas del programa de incorporación para nuevos empleados (en marzo y en septiembre). El programa se está digitalizando mediante una solución virtual de incorporación y la actualización de los recursos de intranet para finales de 2026</w:t>
      </w:r>
      <w:r w:rsidRPr="00E90022">
        <w:rPr>
          <w:lang w:val="es-ES"/>
        </w:rPr>
        <w:t>.</w:t>
      </w:r>
    </w:p>
    <w:p w14:paraId="66296FC7" w14:textId="54F51D81" w:rsidR="00050436" w:rsidRPr="00E90022" w:rsidRDefault="00050436" w:rsidP="00B0546E">
      <w:pPr>
        <w:pStyle w:val="enumlev1"/>
        <w:jc w:val="both"/>
        <w:rPr>
          <w:highlight w:val="cyan"/>
          <w:lang w:val="es-ES"/>
        </w:rPr>
      </w:pPr>
      <w:r w:rsidRPr="00E90022">
        <w:rPr>
          <w:lang w:val="es-ES"/>
        </w:rPr>
        <w:t>6</w:t>
      </w:r>
      <w:r w:rsidR="00172DA3" w:rsidRPr="00E90022">
        <w:rPr>
          <w:lang w:val="es-ES"/>
        </w:rPr>
        <w:t>)</w:t>
      </w:r>
      <w:r w:rsidRPr="00E90022">
        <w:rPr>
          <w:lang w:val="es-ES"/>
        </w:rPr>
        <w:tab/>
      </w:r>
      <w:r w:rsidR="009D35E4" w:rsidRPr="00E90022">
        <w:rPr>
          <w:lang w:val="es-ES"/>
        </w:rPr>
        <w:t>Se prestó apoyo específico a las Oficinas y Oficinas Regionales para atender necesidades operativas concretas. Dicho apoyo consistió en iniciativas de capacitación adaptadas a las necesidades, en particular formación especializada en evaluación de proyectos dirigida a una comunidad de evaluación de reciente creación, en colaboración con el grupo de evaluación Changemakers y el experto en evaluación, así como formación en materia de seguridad impartida en coordinación con la BDT y el equipo de seguridad, que contribuyó a la preparación del personal para la WTDC-25. Asimismo, se prestó apoyo para satisfacer las necesidades individuales de formación especializada</w:t>
      </w:r>
      <w:r w:rsidRPr="00E90022">
        <w:rPr>
          <w:lang w:val="es-ES"/>
        </w:rPr>
        <w:t>.</w:t>
      </w:r>
    </w:p>
    <w:p w14:paraId="5EB205CD" w14:textId="76B1BEA7" w:rsidR="00050436" w:rsidRPr="00E90022" w:rsidRDefault="00050436" w:rsidP="00B0546E">
      <w:pPr>
        <w:pStyle w:val="enumlev1"/>
        <w:jc w:val="both"/>
        <w:rPr>
          <w:highlight w:val="yellow"/>
          <w:lang w:val="es-ES"/>
        </w:rPr>
      </w:pPr>
      <w:r w:rsidRPr="00E90022">
        <w:rPr>
          <w:lang w:val="es-ES"/>
        </w:rPr>
        <w:t>7</w:t>
      </w:r>
      <w:r w:rsidR="00172DA3" w:rsidRPr="00E90022">
        <w:rPr>
          <w:lang w:val="es-ES"/>
        </w:rPr>
        <w:t>)</w:t>
      </w:r>
      <w:r w:rsidRPr="00E90022">
        <w:rPr>
          <w:lang w:val="es-ES"/>
        </w:rPr>
        <w:tab/>
      </w:r>
      <w:r w:rsidR="005A3224" w:rsidRPr="00E90022">
        <w:rPr>
          <w:lang w:val="es-ES"/>
        </w:rPr>
        <w:t xml:space="preserve">El proceso de gestión del rendimiento se ha optimizado en todas sus fases mediante la simplificación de los formularios, la eliminación de clics superfluos y la síntesis de la información. Esto hace que el proceso resulte menos engorroso, lo que permite al personal y a los responsables centrarse en el diálogo y en el intercambio periódico de impresiones. La herramienta ePMDS simplificada ha reducido </w:t>
      </w:r>
      <w:r w:rsidR="007A4E89" w:rsidRPr="00E90022">
        <w:rPr>
          <w:lang w:val="es-ES"/>
        </w:rPr>
        <w:t xml:space="preserve">a la mitad como mínimo </w:t>
      </w:r>
      <w:r w:rsidR="005A3224" w:rsidRPr="00E90022">
        <w:rPr>
          <w:lang w:val="es-ES"/>
        </w:rPr>
        <w:t xml:space="preserve">el tiempo que dedican los supervisores a la evaluación, </w:t>
      </w:r>
      <w:r w:rsidR="00994078" w:rsidRPr="00E90022">
        <w:rPr>
          <w:lang w:val="es-ES"/>
        </w:rPr>
        <w:t xml:space="preserve">dejándoles más tiempo para </w:t>
      </w:r>
      <w:r w:rsidR="005A3224" w:rsidRPr="00E90022">
        <w:rPr>
          <w:lang w:val="es-ES"/>
        </w:rPr>
        <w:t>mantener conversaciones sobre el rendimiento, en lugar de centrarse en la herramienta del sistema</w:t>
      </w:r>
      <w:r w:rsidRPr="00E90022">
        <w:rPr>
          <w:lang w:val="es-ES"/>
        </w:rPr>
        <w:t>.</w:t>
      </w:r>
    </w:p>
    <w:p w14:paraId="6E956183" w14:textId="1BEC0322" w:rsidR="00050436" w:rsidRPr="00E90022" w:rsidRDefault="00050436" w:rsidP="00B0546E">
      <w:pPr>
        <w:pStyle w:val="enumlev1"/>
        <w:jc w:val="both"/>
        <w:rPr>
          <w:highlight w:val="yellow"/>
          <w:lang w:val="es-ES"/>
        </w:rPr>
      </w:pPr>
      <w:r w:rsidRPr="00E90022">
        <w:rPr>
          <w:lang w:val="es-ES"/>
        </w:rPr>
        <w:t>8</w:t>
      </w:r>
      <w:r w:rsidR="00172DA3" w:rsidRPr="00E90022">
        <w:rPr>
          <w:lang w:val="es-ES"/>
        </w:rPr>
        <w:t>)</w:t>
      </w:r>
      <w:r w:rsidRPr="00E90022">
        <w:rPr>
          <w:lang w:val="es-ES"/>
        </w:rPr>
        <w:tab/>
      </w:r>
      <w:r w:rsidR="00001F8C" w:rsidRPr="00E90022">
        <w:rPr>
          <w:lang w:val="es-ES"/>
        </w:rPr>
        <w:t>El examen en curso del proceso de gestión del rendimiento está adoptando un enfoque colaborativo a través de laboratorios de innovación con el fin de mejorar el proceso y las herramientas para hacer frente al bajo rendimiento, vincular el aprendizaje con el rendimiento, reconocer los logros individuales y de equipo, y fomentar el diálogo abierto y el intercambio continuo de opiniones, cuya puesta en práctica está prevista para 2026</w:t>
      </w:r>
      <w:r w:rsidRPr="00E90022">
        <w:rPr>
          <w:lang w:val="es-ES"/>
        </w:rPr>
        <w:t>.</w:t>
      </w:r>
    </w:p>
    <w:p w14:paraId="73CAC8D6" w14:textId="4840E992" w:rsidR="00050436" w:rsidRPr="00E90022" w:rsidRDefault="00050436" w:rsidP="00B0546E">
      <w:pPr>
        <w:pStyle w:val="enumlev1"/>
        <w:jc w:val="both"/>
        <w:rPr>
          <w:lang w:val="es-ES"/>
        </w:rPr>
      </w:pPr>
      <w:r w:rsidRPr="00E90022">
        <w:rPr>
          <w:lang w:val="es-ES"/>
        </w:rPr>
        <w:t>9</w:t>
      </w:r>
      <w:r w:rsidR="00172DA3" w:rsidRPr="00E90022">
        <w:rPr>
          <w:lang w:val="es-ES"/>
        </w:rPr>
        <w:t>)</w:t>
      </w:r>
      <w:r w:rsidRPr="00E90022">
        <w:rPr>
          <w:lang w:val="es-ES"/>
        </w:rPr>
        <w:tab/>
      </w:r>
      <w:r w:rsidR="002F61B2" w:rsidRPr="00E90022">
        <w:rPr>
          <w:lang w:val="es-ES"/>
        </w:rPr>
        <w:t xml:space="preserve">Se está reforzando el marco de contratación de la UIT con el fin de mejorar la eficiencia en los plazos de contratación y la carga administrativa, al tiempo que se mitigan los riesgos relacionados con el cumplimiento y la rendición de cuentas. En la primera fase </w:t>
      </w:r>
      <w:r w:rsidR="002F61B2" w:rsidRPr="00E90022">
        <w:rPr>
          <w:lang w:val="es-ES"/>
        </w:rPr>
        <w:lastRenderedPageBreak/>
        <w:t xml:space="preserve">de la transformación del proceso de contratación de duración determinada, se desarrollaron nuevos flujos de trabajo, indicadores fundamentales de rendimiento (KPI), un </w:t>
      </w:r>
      <w:r w:rsidR="00EE5A82" w:rsidRPr="00E90022">
        <w:rPr>
          <w:lang w:val="es-ES"/>
        </w:rPr>
        <w:t>m</w:t>
      </w:r>
      <w:r w:rsidR="002F61B2" w:rsidRPr="00E90022">
        <w:rPr>
          <w:lang w:val="es-ES"/>
        </w:rPr>
        <w:t xml:space="preserve">arco de rendición de cuentas y un proyecto de política, basados en consultas internas y </w:t>
      </w:r>
      <w:r w:rsidR="002C4B1E" w:rsidRPr="00E90022">
        <w:rPr>
          <w:lang w:val="es-ES"/>
        </w:rPr>
        <w:t>del análisis</w:t>
      </w:r>
      <w:r w:rsidR="002F61B2" w:rsidRPr="00E90022">
        <w:rPr>
          <w:lang w:val="es-ES"/>
        </w:rPr>
        <w:t xml:space="preserve"> comparativ</w:t>
      </w:r>
      <w:r w:rsidR="002C4B1E" w:rsidRPr="00E90022">
        <w:rPr>
          <w:lang w:val="es-ES"/>
        </w:rPr>
        <w:t>o</w:t>
      </w:r>
      <w:r w:rsidR="002F61B2" w:rsidRPr="00E90022">
        <w:rPr>
          <w:lang w:val="es-ES"/>
        </w:rPr>
        <w:t xml:space="preserve"> con las Naciones Unidas. Se prevé </w:t>
      </w:r>
      <w:r w:rsidR="00F16753" w:rsidRPr="00E90022">
        <w:rPr>
          <w:lang w:val="es-ES"/>
        </w:rPr>
        <w:t>finalizar</w:t>
      </w:r>
      <w:r w:rsidR="002F61B2" w:rsidRPr="00E90022">
        <w:rPr>
          <w:lang w:val="es-ES"/>
        </w:rPr>
        <w:t xml:space="preserve"> la política de contratación en 2026, y la UIT pasará a utilizar INSPIRA como su plataforma principal de contratación, </w:t>
      </w:r>
      <w:r w:rsidR="00AA6C19" w:rsidRPr="00E90022">
        <w:rPr>
          <w:lang w:val="es-ES"/>
        </w:rPr>
        <w:t xml:space="preserve">en consonancia </w:t>
      </w:r>
      <w:r w:rsidR="002F61B2" w:rsidRPr="00E90022">
        <w:rPr>
          <w:lang w:val="es-ES"/>
        </w:rPr>
        <w:t xml:space="preserve">con los objetivos de UN80 y de servicios compartidos, con el fin de </w:t>
      </w:r>
      <w:r w:rsidR="00E736D0" w:rsidRPr="00E90022">
        <w:rPr>
          <w:lang w:val="es-ES"/>
        </w:rPr>
        <w:t>reducir</w:t>
      </w:r>
      <w:r w:rsidR="002370C6" w:rsidRPr="00E90022">
        <w:rPr>
          <w:lang w:val="es-ES"/>
        </w:rPr>
        <w:t xml:space="preserve"> de </w:t>
      </w:r>
      <w:r w:rsidR="002F61B2" w:rsidRPr="00E90022">
        <w:rPr>
          <w:lang w:val="es-ES"/>
        </w:rPr>
        <w:t xml:space="preserve">los costos operativos anuales </w:t>
      </w:r>
      <w:r w:rsidR="002370C6" w:rsidRPr="00E90022">
        <w:rPr>
          <w:lang w:val="es-ES"/>
        </w:rPr>
        <w:t xml:space="preserve">con </w:t>
      </w:r>
      <w:r w:rsidR="002F61B2" w:rsidRPr="00E90022">
        <w:rPr>
          <w:lang w:val="es-ES"/>
        </w:rPr>
        <w:t xml:space="preserve">un valor añadido mucho mayor, </w:t>
      </w:r>
      <w:r w:rsidR="00E736D0" w:rsidRPr="00E90022">
        <w:rPr>
          <w:lang w:val="es-ES"/>
        </w:rPr>
        <w:t xml:space="preserve">crear </w:t>
      </w:r>
      <w:r w:rsidR="002F61B2" w:rsidRPr="00E90022">
        <w:rPr>
          <w:lang w:val="es-ES"/>
        </w:rPr>
        <w:t>un modelo de costos predecible</w:t>
      </w:r>
      <w:r w:rsidR="00C041CC" w:rsidRPr="00E90022">
        <w:rPr>
          <w:lang w:val="es-ES"/>
        </w:rPr>
        <w:t xml:space="preserve"> y </w:t>
      </w:r>
      <w:r w:rsidR="00E736D0" w:rsidRPr="00E90022">
        <w:rPr>
          <w:lang w:val="es-ES"/>
        </w:rPr>
        <w:t xml:space="preserve">reducir la </w:t>
      </w:r>
      <w:r w:rsidR="002F61B2" w:rsidRPr="00E90022">
        <w:rPr>
          <w:lang w:val="es-ES"/>
        </w:rPr>
        <w:t xml:space="preserve">carga operativa, </w:t>
      </w:r>
      <w:r w:rsidR="00197207" w:rsidRPr="00E90022">
        <w:rPr>
          <w:lang w:val="es-ES"/>
        </w:rPr>
        <w:t>así como lograr</w:t>
      </w:r>
      <w:r w:rsidR="00AA6C19" w:rsidRPr="00E90022">
        <w:rPr>
          <w:lang w:val="es-ES"/>
        </w:rPr>
        <w:t xml:space="preserve"> la armonización oportuna </w:t>
      </w:r>
      <w:r w:rsidR="00C041CC" w:rsidRPr="00E90022">
        <w:rPr>
          <w:lang w:val="es-ES"/>
        </w:rPr>
        <w:t>con</w:t>
      </w:r>
      <w:r w:rsidR="002F61B2" w:rsidRPr="00E90022">
        <w:rPr>
          <w:lang w:val="es-ES"/>
        </w:rPr>
        <w:t xml:space="preserve"> la modernización de la organización. También se está trabajando para reforzar la divulgación y la imagen de marca como empleador con el fin de atraer talento diverso y de alta calidad</w:t>
      </w:r>
      <w:r w:rsidRPr="00E90022">
        <w:rPr>
          <w:lang w:val="es-ES"/>
        </w:rPr>
        <w:t>.</w:t>
      </w:r>
    </w:p>
    <w:p w14:paraId="4587A94F" w14:textId="7D4D650B" w:rsidR="00050436" w:rsidRPr="00E90022" w:rsidRDefault="00050436" w:rsidP="00B0546E">
      <w:pPr>
        <w:pStyle w:val="enumlev1"/>
        <w:jc w:val="both"/>
        <w:rPr>
          <w:lang w:val="es-ES"/>
        </w:rPr>
      </w:pPr>
      <w:r w:rsidRPr="00E90022">
        <w:rPr>
          <w:lang w:val="es-ES"/>
        </w:rPr>
        <w:t>10</w:t>
      </w:r>
      <w:r w:rsidR="00172DA3" w:rsidRPr="00E90022">
        <w:rPr>
          <w:lang w:val="es-ES"/>
        </w:rPr>
        <w:t>)</w:t>
      </w:r>
      <w:r w:rsidRPr="00E90022">
        <w:rPr>
          <w:lang w:val="es-ES"/>
        </w:rPr>
        <w:tab/>
      </w:r>
      <w:r w:rsidR="00B948D5" w:rsidRPr="00E90022">
        <w:rPr>
          <w:lang w:val="es-ES"/>
        </w:rPr>
        <w:t>Se está reforzando la planificación estratégica del personal para facilitar la asignación eficiente de los recursos humanos con el fin de satisfacer las necesidades cambiantes de la UIT. Partiendo de las consultas internas y de los valores de referencia de las Naciones Unidas, se está avanzando en el establecimiento de un marco de competencias, una matriz de aptitudes, las necesidades de formación y un modelo de planificación de la sucesión. Esta labor continuará hasta el tercer trimestre de 2026. Con arreglo al Marco de Planificación del Personal (WFP), la UIT está estableciendo un marco normalizado a escala de la Unión para evaluar la ubicación y la modalidad de contrato más adecuadas para los puestos que se abran a la contratación, garantizando que las decisiones de contratación y asignación se ajusten tanto a las prioridades de la organización como a las realidades de un modelo operativo global, y reforzando a la vez la presencia regional al acercar al personal a los Estados Miembros. Este marco basado en datos refuerza la equidad, la transparencia y la adaptabilidad, y posiciona a la organización para hacer frente a los retos del futuro y a las necesidades de los Estados Miembros con mayor eficiencia y repercusión</w:t>
      </w:r>
      <w:r w:rsidRPr="00E90022">
        <w:rPr>
          <w:lang w:val="es-ES"/>
        </w:rPr>
        <w:t>.</w:t>
      </w:r>
    </w:p>
    <w:p w14:paraId="00772760" w14:textId="1D2A637D" w:rsidR="00050436" w:rsidRPr="00E90022" w:rsidRDefault="00050436" w:rsidP="00B0546E">
      <w:pPr>
        <w:pStyle w:val="enumlev1"/>
        <w:jc w:val="both"/>
        <w:rPr>
          <w:lang w:val="es-ES"/>
        </w:rPr>
      </w:pPr>
      <w:r w:rsidRPr="00E90022">
        <w:rPr>
          <w:lang w:val="es-ES"/>
        </w:rPr>
        <w:t>11</w:t>
      </w:r>
      <w:r w:rsidR="00172DA3" w:rsidRPr="00E90022">
        <w:rPr>
          <w:lang w:val="es-ES"/>
        </w:rPr>
        <w:t>)</w:t>
      </w:r>
      <w:r w:rsidRPr="00E90022">
        <w:rPr>
          <w:lang w:val="es-ES"/>
        </w:rPr>
        <w:tab/>
      </w:r>
      <w:r w:rsidR="00C85B8D" w:rsidRPr="00E90022">
        <w:rPr>
          <w:lang w:val="es-ES"/>
        </w:rPr>
        <w:t xml:space="preserve">A fecha de febrero de 2026, el número de funcionarios subalternos del cuadro orgánico (JPO) asciende a 5 y se prevé </w:t>
      </w:r>
      <w:r w:rsidR="00AF0D97" w:rsidRPr="00E90022">
        <w:rPr>
          <w:lang w:val="es-ES"/>
        </w:rPr>
        <w:t xml:space="preserve">que a lo largo de este año se incorporen </w:t>
      </w:r>
      <w:r w:rsidR="00C85B8D" w:rsidRPr="00E90022">
        <w:rPr>
          <w:lang w:val="es-ES"/>
        </w:rPr>
        <w:t xml:space="preserve">entre 4 y 6 más. Este aumento refuerza la cartera de talentos de la UIT, lo que fomenta una plantilla preparada para el futuro </w:t>
      </w:r>
      <w:r w:rsidR="00377278" w:rsidRPr="00E90022">
        <w:rPr>
          <w:lang w:val="es-ES"/>
        </w:rPr>
        <w:t xml:space="preserve">y </w:t>
      </w:r>
      <w:r w:rsidR="00C85B8D" w:rsidRPr="00E90022">
        <w:rPr>
          <w:lang w:val="es-ES"/>
        </w:rPr>
        <w:t>mejora la eficiencia y la agilidad de la institución</w:t>
      </w:r>
      <w:r w:rsidRPr="00E90022">
        <w:rPr>
          <w:lang w:val="es-ES"/>
        </w:rPr>
        <w:t>.</w:t>
      </w:r>
    </w:p>
    <w:p w14:paraId="762E4206" w14:textId="319F60DC" w:rsidR="00050436" w:rsidRPr="00E90022" w:rsidRDefault="00050436" w:rsidP="00B0546E">
      <w:pPr>
        <w:pStyle w:val="enumlev1"/>
        <w:jc w:val="both"/>
        <w:rPr>
          <w:spacing w:val="-3"/>
          <w:lang w:val="es-ES"/>
        </w:rPr>
      </w:pPr>
      <w:bookmarkStart w:id="2" w:name="_Hlk195106213"/>
      <w:r w:rsidRPr="00E90022">
        <w:rPr>
          <w:spacing w:val="2"/>
          <w:lang w:val="es-ES"/>
        </w:rPr>
        <w:t>12</w:t>
      </w:r>
      <w:r w:rsidR="00172DA3" w:rsidRPr="00E90022">
        <w:rPr>
          <w:spacing w:val="2"/>
          <w:lang w:val="es-ES"/>
        </w:rPr>
        <w:t>)</w:t>
      </w:r>
      <w:r w:rsidRPr="00E90022">
        <w:rPr>
          <w:spacing w:val="2"/>
          <w:lang w:val="es-ES"/>
        </w:rPr>
        <w:tab/>
      </w:r>
      <w:r w:rsidR="00565E38" w:rsidRPr="00E90022">
        <w:rPr>
          <w:spacing w:val="-3"/>
          <w:lang w:val="es-ES"/>
        </w:rPr>
        <w:t xml:space="preserve">El Programa de Jóvenes Profesionales (YPP), puesto en marcha en 2024, constituye un pilar </w:t>
      </w:r>
      <w:r w:rsidR="00565E38" w:rsidRPr="00E90022">
        <w:rPr>
          <w:lang w:val="es-ES"/>
        </w:rPr>
        <w:t>fundamental</w:t>
      </w:r>
      <w:r w:rsidR="00565E38" w:rsidRPr="00E90022">
        <w:rPr>
          <w:spacing w:val="-3"/>
          <w:lang w:val="es-ES"/>
        </w:rPr>
        <w:t xml:space="preserve"> de la apuesta de la UIT por revitalizar el personal y fomentar la participación de los jóvenes. Tras la incorporación en 2025 de seis profesionales procedentes de los países menos adelantados (PMA) —lo que ha permitido mejorar la representación geográfica— la Unión mantendrá esta dinámica, aportando así a la UIT nuevas perspectivas y competencias digitales preparadas para el futuro</w:t>
      </w:r>
      <w:r w:rsidRPr="00E90022">
        <w:rPr>
          <w:spacing w:val="-3"/>
          <w:lang w:val="es-ES"/>
        </w:rPr>
        <w:t>.</w:t>
      </w:r>
    </w:p>
    <w:bookmarkEnd w:id="2"/>
    <w:p w14:paraId="67A7CA34" w14:textId="71F2AB06" w:rsidR="00050436" w:rsidRPr="00E90022" w:rsidRDefault="00050436" w:rsidP="00B0546E">
      <w:pPr>
        <w:pStyle w:val="enumlev1"/>
        <w:jc w:val="both"/>
        <w:rPr>
          <w:lang w:val="es-ES"/>
        </w:rPr>
      </w:pPr>
      <w:r w:rsidRPr="00E90022">
        <w:rPr>
          <w:spacing w:val="2"/>
          <w:lang w:val="es-ES"/>
        </w:rPr>
        <w:t>13</w:t>
      </w:r>
      <w:r w:rsidR="00172DA3" w:rsidRPr="00E90022">
        <w:rPr>
          <w:spacing w:val="2"/>
          <w:lang w:val="es-ES"/>
        </w:rPr>
        <w:t>)</w:t>
      </w:r>
      <w:r w:rsidRPr="00E90022">
        <w:rPr>
          <w:spacing w:val="2"/>
          <w:lang w:val="es-ES"/>
        </w:rPr>
        <w:tab/>
      </w:r>
      <w:r w:rsidR="0069224D" w:rsidRPr="00E90022">
        <w:rPr>
          <w:spacing w:val="2"/>
          <w:lang w:val="es-ES"/>
        </w:rPr>
        <w:t xml:space="preserve">La paridad de género en la contratación se ha reforzado mediante la creación de comités </w:t>
      </w:r>
      <w:r w:rsidR="0069224D" w:rsidRPr="00E90022">
        <w:rPr>
          <w:lang w:val="es-ES"/>
        </w:rPr>
        <w:t>de</w:t>
      </w:r>
      <w:r w:rsidR="0069224D" w:rsidRPr="00E90022">
        <w:rPr>
          <w:spacing w:val="2"/>
          <w:lang w:val="es-ES"/>
        </w:rPr>
        <w:t xml:space="preserve"> selección equilibrados, garantizando que en cada etapa del proceso de contratación haya representación tanto de hombres como de mujeres en todos los comités. Se han definido medidas especiales de contratación y acciones de divulgación específicas para fomentar la paridad y la diversidad geográfica. Entre ellas se incluyen la exigencia de que las listas de candidatos preseleccionados incluyan, siempre que sea posible, un 50</w:t>
      </w:r>
      <w:r w:rsidR="00172DA3" w:rsidRPr="00E90022">
        <w:rPr>
          <w:spacing w:val="2"/>
          <w:lang w:val="es-ES"/>
        </w:rPr>
        <w:t> </w:t>
      </w:r>
      <w:r w:rsidR="0069224D" w:rsidRPr="00E90022">
        <w:rPr>
          <w:spacing w:val="2"/>
          <w:lang w:val="es-ES"/>
        </w:rPr>
        <w:t>% del género infrarrepresentado (cuando no se alcance la paridad) y el refuerzo de la responsabilidad de los directivos. Se está trabajando para armonizar aún más las comunicaciones y prácticas de contratación con las normas de inclusión</w:t>
      </w:r>
      <w:r w:rsidRPr="00E90022">
        <w:rPr>
          <w:spacing w:val="2"/>
          <w:lang w:val="es-ES"/>
        </w:rPr>
        <w:t>.</w:t>
      </w:r>
    </w:p>
    <w:p w14:paraId="2B051305" w14:textId="6B76148D" w:rsidR="00050436" w:rsidRPr="00E90022" w:rsidRDefault="00050436" w:rsidP="00197786">
      <w:pPr>
        <w:pStyle w:val="enumlev1"/>
        <w:rPr>
          <w:lang w:val="es-ES"/>
        </w:rPr>
      </w:pPr>
      <w:r w:rsidRPr="00E90022">
        <w:rPr>
          <w:lang w:val="es-ES"/>
        </w:rPr>
        <w:lastRenderedPageBreak/>
        <w:t>14</w:t>
      </w:r>
      <w:r w:rsidRPr="00E90022">
        <w:rPr>
          <w:lang w:val="es-ES"/>
        </w:rPr>
        <w:tab/>
      </w:r>
      <w:r w:rsidR="001F0109" w:rsidRPr="00E90022">
        <w:rPr>
          <w:lang w:val="es-ES"/>
        </w:rPr>
        <w:t>Se puso en marcha una segunda fase del Programa de Separación Voluntaria (VSP) con el fin de optimizar el gasto presupuestario, reorganizar la estructura y la asignación de recursos de la Unión, y mejorar la capacidad de la UIT para contratar a personal con los perfiles profesionales necesarios. Siguiendo la recomendación del Comité de Coordinación (CoCo) y tras la aprobación de</w:t>
      </w:r>
      <w:r w:rsidR="005D5462" w:rsidRPr="00E90022">
        <w:rPr>
          <w:lang w:val="es-ES"/>
        </w:rPr>
        <w:t xml:space="preserve"> </w:t>
      </w:r>
      <w:r w:rsidR="001F0109" w:rsidRPr="00E90022">
        <w:rPr>
          <w:lang w:val="es-ES"/>
        </w:rPr>
        <w:t>l</w:t>
      </w:r>
      <w:r w:rsidR="005D5462" w:rsidRPr="00E90022">
        <w:rPr>
          <w:lang w:val="es-ES"/>
        </w:rPr>
        <w:t>a</w:t>
      </w:r>
      <w:r w:rsidR="001F0109" w:rsidRPr="00E90022">
        <w:rPr>
          <w:lang w:val="es-ES"/>
        </w:rPr>
        <w:t xml:space="preserve"> Secretari</w:t>
      </w:r>
      <w:r w:rsidR="005D5462" w:rsidRPr="00E90022">
        <w:rPr>
          <w:lang w:val="es-ES"/>
        </w:rPr>
        <w:t>a</w:t>
      </w:r>
      <w:r w:rsidR="001F0109" w:rsidRPr="00E90022">
        <w:rPr>
          <w:lang w:val="es-ES"/>
        </w:rPr>
        <w:t xml:space="preserve"> General, 15 miembros del personal se acogieron al VSP </w:t>
      </w:r>
      <w:r w:rsidR="005D5462" w:rsidRPr="00E90022">
        <w:rPr>
          <w:lang w:val="es-ES"/>
        </w:rPr>
        <w:t xml:space="preserve">en </w:t>
      </w:r>
      <w:r w:rsidR="001F0109" w:rsidRPr="00E90022">
        <w:rPr>
          <w:lang w:val="es-ES"/>
        </w:rPr>
        <w:t>2024 (lo que representa aproximadamente el 2,5</w:t>
      </w:r>
      <w:r w:rsidR="00197786" w:rsidRPr="00E90022">
        <w:rPr>
          <w:lang w:val="es-ES"/>
        </w:rPr>
        <w:t> </w:t>
      </w:r>
      <w:r w:rsidR="001F0109" w:rsidRPr="00E90022">
        <w:rPr>
          <w:lang w:val="es-ES"/>
        </w:rPr>
        <w:t xml:space="preserve">% del personal de plantilla), y las </w:t>
      </w:r>
      <w:r w:rsidR="00C14A36" w:rsidRPr="00E90022">
        <w:rPr>
          <w:lang w:val="es-ES"/>
        </w:rPr>
        <w:t xml:space="preserve">cesaciones del servicio </w:t>
      </w:r>
      <w:r w:rsidR="0097232C" w:rsidRPr="00E90022">
        <w:rPr>
          <w:lang w:val="es-ES"/>
        </w:rPr>
        <w:t>hicieron efectivas</w:t>
      </w:r>
      <w:r w:rsidR="001F0109" w:rsidRPr="00E90022">
        <w:rPr>
          <w:lang w:val="es-ES"/>
        </w:rPr>
        <w:t xml:space="preserve"> en 2025</w:t>
      </w:r>
      <w:r w:rsidRPr="00E90022">
        <w:rPr>
          <w:lang w:val="es-ES"/>
        </w:rPr>
        <w:t>.</w:t>
      </w:r>
    </w:p>
    <w:p w14:paraId="71C593BC" w14:textId="77777777" w:rsidR="00E001EC" w:rsidRPr="00E90022" w:rsidRDefault="00E001EC" w:rsidP="008B51F8">
      <w:pPr>
        <w:pStyle w:val="Headingb"/>
        <w:rPr>
          <w:lang w:val="es-ES"/>
        </w:rPr>
      </w:pPr>
      <w:r w:rsidRPr="00E90022">
        <w:rPr>
          <w:lang w:val="es-ES"/>
        </w:rPr>
        <w:t>Cultura: Establecer una cultura en la que las personas se sientan seguras, valoradas y capaces de dar lo mejor de sí mismas</w:t>
      </w:r>
    </w:p>
    <w:p w14:paraId="43C17FB8" w14:textId="47B3C393" w:rsidR="00E001EC" w:rsidRPr="00E90022" w:rsidRDefault="00E001EC" w:rsidP="00B0546E">
      <w:pPr>
        <w:jc w:val="both"/>
        <w:rPr>
          <w:lang w:val="es-ES"/>
        </w:rPr>
      </w:pPr>
      <w:r w:rsidRPr="00E90022">
        <w:rPr>
          <w:lang w:val="es-ES"/>
        </w:rPr>
        <w:t xml:space="preserve">La </w:t>
      </w:r>
      <w:r w:rsidR="005D5462" w:rsidRPr="00E90022">
        <w:rPr>
          <w:lang w:val="es-ES"/>
        </w:rPr>
        <w:t>c</w:t>
      </w:r>
      <w:r w:rsidRPr="00E90022">
        <w:rPr>
          <w:lang w:val="es-ES"/>
        </w:rPr>
        <w:t>ultura, el segundo pilar del PTRH, reconoce el compromiso de la UIT de fomentar una cultura inclusiva, conformada por un fuerte liderazgo facilitador, en un lugar de trabajo respetuoso, ético y justo en el que las personas se sientan seguras, confiables, valoradas y capaces de dar lo mejor de sí mismas. La creación de un entorno de este tipo inspira la creatividad, la seguridad psicológica, el alto rendimiento y el compromiso del personal.</w:t>
      </w:r>
    </w:p>
    <w:p w14:paraId="714D8963" w14:textId="77777777" w:rsidR="00E001EC" w:rsidRPr="00E90022" w:rsidRDefault="00E001EC" w:rsidP="00B0546E">
      <w:pPr>
        <w:jc w:val="both"/>
        <w:rPr>
          <w:lang w:val="es-ES"/>
        </w:rPr>
      </w:pPr>
      <w:r w:rsidRPr="00E90022">
        <w:rPr>
          <w:lang w:val="es-ES"/>
        </w:rPr>
        <w:t>El PTRH prioriza las condiciones de servicio, el bienestar y el equilibrio entre el trabajo y la vida privada a través de medidas de apoyo a la salud ocupacional y mental y políticas favorables a la familia.</w:t>
      </w:r>
    </w:p>
    <w:p w14:paraId="469C891C" w14:textId="77777777" w:rsidR="00E001EC" w:rsidRPr="00E90022" w:rsidRDefault="00E001EC" w:rsidP="00B0546E">
      <w:pPr>
        <w:jc w:val="both"/>
        <w:rPr>
          <w:lang w:val="es-ES"/>
        </w:rPr>
      </w:pPr>
      <w:r w:rsidRPr="00E90022">
        <w:rPr>
          <w:lang w:val="es-ES"/>
        </w:rPr>
        <w:t>Además, la UIT se esfuerza por ser un empleador accesible y atractivo para todos.</w:t>
      </w:r>
    </w:p>
    <w:p w14:paraId="7E44D175" w14:textId="77777777" w:rsidR="00E001EC" w:rsidRPr="00E90022" w:rsidRDefault="00E001EC" w:rsidP="00B0546E">
      <w:pPr>
        <w:jc w:val="both"/>
        <w:rPr>
          <w:lang w:val="es-ES"/>
        </w:rPr>
      </w:pPr>
      <w:r w:rsidRPr="00E90022">
        <w:rPr>
          <w:lang w:val="es-ES"/>
        </w:rPr>
        <w:t>Aspectos destacados:</w:t>
      </w:r>
    </w:p>
    <w:p w14:paraId="4E6CFFBC" w14:textId="268D3CB9" w:rsidR="007031D7" w:rsidRPr="00E90022" w:rsidRDefault="007031D7" w:rsidP="00B0546E">
      <w:pPr>
        <w:pStyle w:val="enumlev1"/>
        <w:jc w:val="both"/>
        <w:rPr>
          <w:highlight w:val="magenta"/>
          <w:lang w:val="es-ES"/>
        </w:rPr>
      </w:pPr>
      <w:r w:rsidRPr="00E90022">
        <w:rPr>
          <w:lang w:val="es-ES"/>
        </w:rPr>
        <w:t>1</w:t>
      </w:r>
      <w:r w:rsidR="00197786" w:rsidRPr="00E90022">
        <w:rPr>
          <w:lang w:val="es-ES"/>
        </w:rPr>
        <w:t>)</w:t>
      </w:r>
      <w:r w:rsidRPr="00E90022">
        <w:rPr>
          <w:lang w:val="es-ES"/>
        </w:rPr>
        <w:tab/>
      </w:r>
      <w:r w:rsidR="00FE7F6F" w:rsidRPr="00E90022">
        <w:rPr>
          <w:lang w:val="es-ES"/>
        </w:rPr>
        <w:t xml:space="preserve">La UIT llevó a cabo su primera </w:t>
      </w:r>
      <w:r w:rsidR="00AE1A21" w:rsidRPr="00E90022">
        <w:rPr>
          <w:lang w:val="es-ES"/>
        </w:rPr>
        <w:t>e</w:t>
      </w:r>
      <w:r w:rsidR="00FE7F6F" w:rsidRPr="00E90022">
        <w:rPr>
          <w:lang w:val="es-ES"/>
        </w:rPr>
        <w:t>ncuesta de</w:t>
      </w:r>
      <w:r w:rsidR="006C6F63" w:rsidRPr="00E90022">
        <w:rPr>
          <w:lang w:val="es-ES"/>
        </w:rPr>
        <w:t xml:space="preserve"> la</w:t>
      </w:r>
      <w:r w:rsidR="00FE7F6F" w:rsidRPr="00E90022">
        <w:rPr>
          <w:lang w:val="es-ES"/>
        </w:rPr>
        <w:t xml:space="preserve"> </w:t>
      </w:r>
      <w:r w:rsidR="0061341B" w:rsidRPr="00E90022">
        <w:rPr>
          <w:lang w:val="es-ES"/>
        </w:rPr>
        <w:t>implic</w:t>
      </w:r>
      <w:r w:rsidR="006C6F63" w:rsidRPr="00E90022">
        <w:rPr>
          <w:lang w:val="es-ES"/>
        </w:rPr>
        <w:t>ación</w:t>
      </w:r>
      <w:r w:rsidR="00FE7F6F" w:rsidRPr="00E90022">
        <w:rPr>
          <w:lang w:val="es-ES"/>
        </w:rPr>
        <w:t xml:space="preserve"> de los </w:t>
      </w:r>
      <w:r w:rsidR="00AE1A21" w:rsidRPr="00E90022">
        <w:rPr>
          <w:lang w:val="es-ES"/>
        </w:rPr>
        <w:t>e</w:t>
      </w:r>
      <w:r w:rsidR="00FE7F6F" w:rsidRPr="00E90022">
        <w:rPr>
          <w:lang w:val="es-ES"/>
        </w:rPr>
        <w:t>mpleados (</w:t>
      </w:r>
      <w:r w:rsidR="009956D9" w:rsidRPr="00E90022">
        <w:rPr>
          <w:lang w:val="es-ES"/>
        </w:rPr>
        <w:t>E</w:t>
      </w:r>
      <w:r w:rsidR="006C6F63" w:rsidRPr="00E90022">
        <w:rPr>
          <w:lang w:val="es-ES"/>
        </w:rPr>
        <w:t>I</w:t>
      </w:r>
      <w:r w:rsidR="009956D9" w:rsidRPr="00E90022">
        <w:rPr>
          <w:lang w:val="es-ES"/>
        </w:rPr>
        <w:t>E</w:t>
      </w:r>
      <w:r w:rsidR="00FE7F6F" w:rsidRPr="00E90022">
        <w:rPr>
          <w:lang w:val="es-ES"/>
        </w:rPr>
        <w:t xml:space="preserve">) a principios de 2025 como parte del </w:t>
      </w:r>
      <w:r w:rsidR="00B44804" w:rsidRPr="00E90022">
        <w:rPr>
          <w:lang w:val="es-ES"/>
        </w:rPr>
        <w:t>PTRH</w:t>
      </w:r>
      <w:r w:rsidR="00FE7F6F" w:rsidRPr="00E90022">
        <w:rPr>
          <w:lang w:val="es-ES"/>
        </w:rPr>
        <w:t xml:space="preserve">, lo que proporcionó una base empírica sólida para identificar los puntos fuertes y las áreas que requieren mayor atención. A partir de los resultados de la </w:t>
      </w:r>
      <w:r w:rsidR="009956D9" w:rsidRPr="00E90022">
        <w:rPr>
          <w:lang w:val="es-ES"/>
        </w:rPr>
        <w:t>E</w:t>
      </w:r>
      <w:r w:rsidR="006C6F63" w:rsidRPr="00E90022">
        <w:rPr>
          <w:lang w:val="es-ES"/>
        </w:rPr>
        <w:t>I</w:t>
      </w:r>
      <w:r w:rsidR="009956D9" w:rsidRPr="00E90022">
        <w:rPr>
          <w:lang w:val="es-ES"/>
        </w:rPr>
        <w:t>E</w:t>
      </w:r>
      <w:r w:rsidR="00FE7F6F" w:rsidRPr="00E90022">
        <w:rPr>
          <w:lang w:val="es-ES"/>
        </w:rPr>
        <w:t>, la UIT puso en marcha un plan de acción de seguimiento centrado en la cultura del lugar de trabajo, las prácticas de gestión y la eficiencia operativa. El plan combina iniciativas a nivel de toda la organización</w:t>
      </w:r>
      <w:r w:rsidR="00B86BEA" w:rsidRPr="00E90022">
        <w:rPr>
          <w:lang w:val="es-ES"/>
        </w:rPr>
        <w:t xml:space="preserve">, </w:t>
      </w:r>
      <w:r w:rsidR="00FE7F6F" w:rsidRPr="00E90022">
        <w:rPr>
          <w:lang w:val="es-ES"/>
        </w:rPr>
        <w:t xml:space="preserve">entre las que se incluyen sesiones de puertas abiertas con los funcionarios </w:t>
      </w:r>
      <w:r w:rsidR="00AB1C7E" w:rsidRPr="00E90022">
        <w:rPr>
          <w:lang w:val="es-ES"/>
        </w:rPr>
        <w:t>de elección</w:t>
      </w:r>
      <w:r w:rsidR="00FE7F6F" w:rsidRPr="00E90022">
        <w:rPr>
          <w:lang w:val="es-ES"/>
        </w:rPr>
        <w:t>, el Programa de Innovación y Aprendizaje, una serie de almuerzos informales y un programa de mentoría para toda la UI</w:t>
      </w:r>
      <w:r w:rsidR="00D6794C" w:rsidRPr="00E90022">
        <w:rPr>
          <w:lang w:val="es-ES"/>
        </w:rPr>
        <w:t>T</w:t>
      </w:r>
      <w:r w:rsidR="00B86BEA" w:rsidRPr="00E90022">
        <w:rPr>
          <w:lang w:val="es-ES"/>
        </w:rPr>
        <w:t xml:space="preserve">, </w:t>
      </w:r>
      <w:r w:rsidR="00D6794C" w:rsidRPr="00E90022">
        <w:rPr>
          <w:lang w:val="es-ES"/>
        </w:rPr>
        <w:t xml:space="preserve">así como </w:t>
      </w:r>
      <w:r w:rsidR="00FE7F6F" w:rsidRPr="00E90022">
        <w:rPr>
          <w:lang w:val="es-ES"/>
        </w:rPr>
        <w:t>medidas a nivel de departamento y de Oficina creadas desde la base.</w:t>
      </w:r>
    </w:p>
    <w:p w14:paraId="469BB667" w14:textId="4449034E" w:rsidR="007031D7" w:rsidRPr="00E90022" w:rsidRDefault="007031D7" w:rsidP="00B0546E">
      <w:pPr>
        <w:pStyle w:val="enumlev1"/>
        <w:jc w:val="both"/>
        <w:rPr>
          <w:lang w:val="es-ES"/>
        </w:rPr>
      </w:pPr>
      <w:r w:rsidRPr="00E90022">
        <w:rPr>
          <w:lang w:val="es-ES"/>
        </w:rPr>
        <w:t>2</w:t>
      </w:r>
      <w:r w:rsidR="00EF1292" w:rsidRPr="00E90022">
        <w:rPr>
          <w:lang w:val="es-ES"/>
        </w:rPr>
        <w:t>)</w:t>
      </w:r>
      <w:r w:rsidRPr="00E90022">
        <w:rPr>
          <w:lang w:val="es-ES"/>
        </w:rPr>
        <w:tab/>
      </w:r>
      <w:r w:rsidR="00AE1A21" w:rsidRPr="00E90022">
        <w:rPr>
          <w:lang w:val="es-ES"/>
        </w:rPr>
        <w:t>Se ha puesto en marcha un marco de recompensas y reconocimiento para celebrar la antigüedad y el rendimiento, en respuesta directa a los comentarios de la E</w:t>
      </w:r>
      <w:r w:rsidR="006C6F63" w:rsidRPr="00E90022">
        <w:rPr>
          <w:lang w:val="es-ES"/>
        </w:rPr>
        <w:t>I</w:t>
      </w:r>
      <w:r w:rsidR="00AE1A21" w:rsidRPr="00E90022">
        <w:rPr>
          <w:lang w:val="es-ES"/>
        </w:rPr>
        <w:t xml:space="preserve">E y a las recomendaciones del Consejo de Personal. El 8 de diciembre de 2025, se celebró la ceremonia de reconocimiento a la antigüedad, en la que se </w:t>
      </w:r>
      <w:r w:rsidR="00A95818" w:rsidRPr="00E90022">
        <w:rPr>
          <w:lang w:val="es-ES"/>
        </w:rPr>
        <w:t>rindió homenaje</w:t>
      </w:r>
      <w:r w:rsidR="00AE1A21" w:rsidRPr="00E90022">
        <w:rPr>
          <w:lang w:val="es-ES"/>
        </w:rPr>
        <w:t xml:space="preserve"> a 210</w:t>
      </w:r>
      <w:r w:rsidR="00EF1292" w:rsidRPr="00E90022">
        <w:rPr>
          <w:lang w:val="es-ES"/>
        </w:rPr>
        <w:t> </w:t>
      </w:r>
      <w:r w:rsidR="00A95818" w:rsidRPr="00E90022">
        <w:rPr>
          <w:lang w:val="es-ES"/>
        </w:rPr>
        <w:t>empleados</w:t>
      </w:r>
      <w:r w:rsidR="00AE1A21" w:rsidRPr="00E90022">
        <w:rPr>
          <w:lang w:val="es-ES"/>
        </w:rPr>
        <w:t xml:space="preserve"> con más de 20 años de servicio. En 2026, el marco se ampliará con la puesta en marcha del segundo pilar, los Premios al Equipo, para reconocer los logros colectivos y reforzar el sentido de pertenencia, complementado con menciones informales y muestras de agradecimiento por parte del </w:t>
      </w:r>
      <w:r w:rsidR="00A20F7D" w:rsidRPr="00E90022">
        <w:rPr>
          <w:lang w:val="es-ES"/>
        </w:rPr>
        <w:t>personal directivo</w:t>
      </w:r>
      <w:r w:rsidR="00AE1A21" w:rsidRPr="00E90022">
        <w:rPr>
          <w:lang w:val="es-ES"/>
        </w:rPr>
        <w:t>, con el fin de garantizar que las personas se sientan valoradas. Este enfoque proactivo traduce los comentarios del personal en un reconocimiento visible, lo que refuerza un sentido de propósito común y profundiza el compromiso a largo plazo con la Unión</w:t>
      </w:r>
      <w:r w:rsidRPr="00E90022">
        <w:rPr>
          <w:lang w:val="es-ES"/>
        </w:rPr>
        <w:t>.</w:t>
      </w:r>
    </w:p>
    <w:p w14:paraId="5EB1557F" w14:textId="2F0EB19F" w:rsidR="007031D7" w:rsidRPr="00E90022" w:rsidRDefault="007031D7" w:rsidP="00B0546E">
      <w:pPr>
        <w:pStyle w:val="enumlev1"/>
        <w:jc w:val="both"/>
        <w:rPr>
          <w:lang w:val="es-ES"/>
        </w:rPr>
      </w:pPr>
      <w:r w:rsidRPr="00E90022">
        <w:rPr>
          <w:spacing w:val="-2"/>
          <w:lang w:val="es-ES"/>
        </w:rPr>
        <w:t>3</w:t>
      </w:r>
      <w:r w:rsidR="00EF1292" w:rsidRPr="00E90022">
        <w:rPr>
          <w:lang w:val="es-ES"/>
        </w:rPr>
        <w:t>)</w:t>
      </w:r>
      <w:r w:rsidRPr="00E90022">
        <w:rPr>
          <w:spacing w:val="-2"/>
          <w:lang w:val="es-ES"/>
        </w:rPr>
        <w:tab/>
      </w:r>
      <w:r w:rsidR="00282291" w:rsidRPr="00E90022">
        <w:rPr>
          <w:spacing w:val="-2"/>
          <w:lang w:val="es-ES"/>
        </w:rPr>
        <w:t xml:space="preserve">Se puso en marcha un programa estructurado de desarrollo del liderazgo para reforzar las capacidades de liderazgo y facilitar la planificación de la sucesión, que incluía el </w:t>
      </w:r>
      <w:r w:rsidR="00172DA3" w:rsidRPr="00E90022">
        <w:rPr>
          <w:spacing w:val="-2"/>
          <w:lang w:val="es-ES"/>
        </w:rPr>
        <w:t>"</w:t>
      </w:r>
      <w:r w:rsidR="00282291" w:rsidRPr="00E90022">
        <w:rPr>
          <w:spacing w:val="-2"/>
          <w:lang w:val="es-ES"/>
        </w:rPr>
        <w:t>Liderazgo inclusivo</w:t>
      </w:r>
      <w:r w:rsidR="00172DA3" w:rsidRPr="00E90022">
        <w:rPr>
          <w:spacing w:val="-2"/>
          <w:lang w:val="es-ES"/>
        </w:rPr>
        <w:t>"</w:t>
      </w:r>
      <w:r w:rsidR="00282291" w:rsidRPr="00E90022">
        <w:rPr>
          <w:spacing w:val="-2"/>
          <w:lang w:val="es-ES"/>
        </w:rPr>
        <w:t xml:space="preserve"> (para los grados P5 y superiores) con módulos específicos sobre el fomento de la seguridad psicológica, la gestión de los prejuicios y las microagresiones, y la promoción </w:t>
      </w:r>
      <w:r w:rsidR="00282291" w:rsidRPr="00E90022">
        <w:rPr>
          <w:spacing w:val="-2"/>
          <w:lang w:val="es-ES"/>
        </w:rPr>
        <w:lastRenderedPageBreak/>
        <w:t xml:space="preserve">de la inclusión </w:t>
      </w:r>
      <w:r w:rsidR="00282291" w:rsidRPr="00E90022">
        <w:rPr>
          <w:lang w:val="es-ES"/>
        </w:rPr>
        <w:t>de</w:t>
      </w:r>
      <w:r w:rsidR="00282291" w:rsidRPr="00E90022">
        <w:rPr>
          <w:spacing w:val="-2"/>
          <w:lang w:val="es-ES"/>
        </w:rPr>
        <w:t xml:space="preserve"> género y racial. Esto se reforzó mediante talleres de </w:t>
      </w:r>
      <w:r w:rsidR="00172DA3" w:rsidRPr="00E90022">
        <w:rPr>
          <w:spacing w:val="-2"/>
          <w:lang w:val="es-ES"/>
        </w:rPr>
        <w:t>"</w:t>
      </w:r>
      <w:r w:rsidR="00282291" w:rsidRPr="00E90022">
        <w:rPr>
          <w:spacing w:val="-2"/>
          <w:lang w:val="es-ES"/>
        </w:rPr>
        <w:t>Liderazgo adaptativo</w:t>
      </w:r>
      <w:r w:rsidR="00172DA3" w:rsidRPr="00E90022">
        <w:rPr>
          <w:spacing w:val="-2"/>
          <w:lang w:val="es-ES"/>
        </w:rPr>
        <w:t>"</w:t>
      </w:r>
      <w:r w:rsidR="00282291" w:rsidRPr="00E90022">
        <w:rPr>
          <w:spacing w:val="-2"/>
          <w:lang w:val="es-ES"/>
        </w:rPr>
        <w:t xml:space="preserve"> dirigidos al personal de grado P4 y superiores, incluidos los funcionarios </w:t>
      </w:r>
      <w:r w:rsidR="00AB1C7E" w:rsidRPr="00E90022">
        <w:rPr>
          <w:spacing w:val="-2"/>
          <w:lang w:val="es-ES"/>
        </w:rPr>
        <w:t>de elección</w:t>
      </w:r>
      <w:r w:rsidR="00282291" w:rsidRPr="00E90022">
        <w:rPr>
          <w:spacing w:val="-2"/>
          <w:lang w:val="es-ES"/>
        </w:rPr>
        <w:t xml:space="preserve">, y el programa </w:t>
      </w:r>
      <w:r w:rsidR="00172DA3" w:rsidRPr="00E90022">
        <w:rPr>
          <w:spacing w:val="-2"/>
          <w:lang w:val="es-ES"/>
        </w:rPr>
        <w:t>"</w:t>
      </w:r>
      <w:r w:rsidR="00282291" w:rsidRPr="00E90022">
        <w:rPr>
          <w:spacing w:val="-2"/>
          <w:lang w:val="es-ES"/>
        </w:rPr>
        <w:t>Futuros líderes de la UIT</w:t>
      </w:r>
      <w:r w:rsidR="00172DA3" w:rsidRPr="00E90022">
        <w:rPr>
          <w:spacing w:val="-2"/>
          <w:lang w:val="es-ES"/>
        </w:rPr>
        <w:t>"</w:t>
      </w:r>
      <w:r w:rsidR="00282291" w:rsidRPr="00E90022">
        <w:rPr>
          <w:spacing w:val="-2"/>
          <w:lang w:val="es-ES"/>
        </w:rPr>
        <w:t xml:space="preserve"> para los </w:t>
      </w:r>
      <w:r w:rsidR="00A5382F" w:rsidRPr="00E90022">
        <w:rPr>
          <w:spacing w:val="-2"/>
          <w:lang w:val="es-ES"/>
        </w:rPr>
        <w:t>agentes del cambio</w:t>
      </w:r>
      <w:r w:rsidR="002B571B" w:rsidRPr="00E90022">
        <w:rPr>
          <w:spacing w:val="-2"/>
          <w:lang w:val="es-ES"/>
        </w:rPr>
        <w:t xml:space="preserve"> (</w:t>
      </w:r>
      <w:r w:rsidR="006F2D1B" w:rsidRPr="00E90022">
        <w:rPr>
          <w:spacing w:val="-2"/>
          <w:lang w:val="es-ES"/>
        </w:rPr>
        <w:t>C</w:t>
      </w:r>
      <w:r w:rsidR="002B571B" w:rsidRPr="00E90022">
        <w:rPr>
          <w:spacing w:val="-2"/>
          <w:lang w:val="es-ES"/>
        </w:rPr>
        <w:t>hange</w:t>
      </w:r>
      <w:r w:rsidR="006F2D1B" w:rsidRPr="00E90022">
        <w:rPr>
          <w:spacing w:val="-2"/>
          <w:lang w:val="es-ES"/>
        </w:rPr>
        <w:t>M</w:t>
      </w:r>
      <w:r w:rsidR="002B571B" w:rsidRPr="00E90022">
        <w:rPr>
          <w:spacing w:val="-2"/>
          <w:lang w:val="es-ES"/>
        </w:rPr>
        <w:t>akers)</w:t>
      </w:r>
      <w:r w:rsidR="00282291" w:rsidRPr="00E90022">
        <w:rPr>
          <w:spacing w:val="-2"/>
          <w:lang w:val="es-ES"/>
        </w:rPr>
        <w:t xml:space="preserve">. Partiendo de esta base, el </w:t>
      </w:r>
      <w:r w:rsidR="00463D85" w:rsidRPr="00E90022">
        <w:rPr>
          <w:spacing w:val="-2"/>
          <w:lang w:val="es-ES"/>
        </w:rPr>
        <w:t>programa de estudios</w:t>
      </w:r>
      <w:r w:rsidR="00282291" w:rsidRPr="00E90022">
        <w:rPr>
          <w:spacing w:val="-2"/>
          <w:lang w:val="es-ES"/>
        </w:rPr>
        <w:t xml:space="preserve"> se </w:t>
      </w:r>
      <w:r w:rsidR="00F36163" w:rsidRPr="00E90022">
        <w:rPr>
          <w:spacing w:val="-2"/>
          <w:lang w:val="es-ES"/>
        </w:rPr>
        <w:t xml:space="preserve">amplió a </w:t>
      </w:r>
      <w:r w:rsidR="006F2D1B" w:rsidRPr="00E90022">
        <w:rPr>
          <w:spacing w:val="-2"/>
          <w:lang w:val="es-ES"/>
        </w:rPr>
        <w:t xml:space="preserve">principios de 2026 </w:t>
      </w:r>
      <w:r w:rsidR="00F36163" w:rsidRPr="00E90022">
        <w:rPr>
          <w:spacing w:val="-2"/>
          <w:lang w:val="es-ES"/>
        </w:rPr>
        <w:t xml:space="preserve">para </w:t>
      </w:r>
      <w:r w:rsidR="00282291" w:rsidRPr="00E90022">
        <w:rPr>
          <w:spacing w:val="-2"/>
          <w:lang w:val="es-ES"/>
        </w:rPr>
        <w:t xml:space="preserve">incluir talleres de Liderazgo Adaptativo Avanzado y formación en gestión de </w:t>
      </w:r>
      <w:r w:rsidR="00F073DB" w:rsidRPr="00E90022">
        <w:rPr>
          <w:spacing w:val="-2"/>
          <w:lang w:val="es-ES"/>
        </w:rPr>
        <w:t>personal</w:t>
      </w:r>
      <w:r w:rsidRPr="00E90022">
        <w:rPr>
          <w:spacing w:val="-2"/>
          <w:lang w:val="es-ES"/>
        </w:rPr>
        <w:t>.</w:t>
      </w:r>
    </w:p>
    <w:p w14:paraId="5429DF4C" w14:textId="61C0E2EC" w:rsidR="007031D7" w:rsidRPr="00E90022" w:rsidRDefault="007031D7" w:rsidP="00B0546E">
      <w:pPr>
        <w:pStyle w:val="enumlev1"/>
        <w:jc w:val="both"/>
        <w:rPr>
          <w:spacing w:val="-2"/>
          <w:lang w:val="es-ES"/>
        </w:rPr>
      </w:pPr>
      <w:r w:rsidRPr="00E90022">
        <w:rPr>
          <w:spacing w:val="-2"/>
          <w:lang w:val="es-ES"/>
        </w:rPr>
        <w:t>4</w:t>
      </w:r>
      <w:r w:rsidR="00EF1292" w:rsidRPr="00E90022">
        <w:rPr>
          <w:spacing w:val="-2"/>
          <w:lang w:val="es-ES"/>
        </w:rPr>
        <w:t>)</w:t>
      </w:r>
      <w:r w:rsidRPr="00E90022">
        <w:rPr>
          <w:spacing w:val="-2"/>
          <w:lang w:val="es-ES"/>
        </w:rPr>
        <w:tab/>
      </w:r>
      <w:r w:rsidR="000B4A94" w:rsidRPr="00E90022">
        <w:rPr>
          <w:spacing w:val="-2"/>
          <w:lang w:val="es-ES"/>
        </w:rPr>
        <w:t xml:space="preserve">En virtud de los memorandos de entendimiento (MOU) firmados por la UIT, en colaboración con la </w:t>
      </w:r>
      <w:r w:rsidR="000B4A94" w:rsidRPr="00E90022">
        <w:rPr>
          <w:lang w:val="es-ES"/>
        </w:rPr>
        <w:t>Organización</w:t>
      </w:r>
      <w:r w:rsidR="000B4A94" w:rsidRPr="00E90022">
        <w:rPr>
          <w:spacing w:val="-2"/>
          <w:lang w:val="es-ES"/>
        </w:rPr>
        <w:t xml:space="preserve"> Mundial de la Propiedad Intelectual (OMPI) y </w:t>
      </w:r>
      <w:r w:rsidR="001B6D3C" w:rsidRPr="00E90022">
        <w:rPr>
          <w:spacing w:val="-2"/>
          <w:lang w:val="es-ES"/>
        </w:rPr>
        <w:t>la Oficina del Ómbudsman y de Servicios de Mediación de las Naciones Unidas</w:t>
      </w:r>
      <w:r w:rsidR="000B4A94" w:rsidRPr="00E90022">
        <w:rPr>
          <w:spacing w:val="-2"/>
          <w:lang w:val="es-ES"/>
        </w:rPr>
        <w:t xml:space="preserve"> (UNOMS), una </w:t>
      </w:r>
      <w:r w:rsidR="00CD3888" w:rsidRPr="00E90022">
        <w:rPr>
          <w:spacing w:val="-2"/>
          <w:lang w:val="es-ES"/>
        </w:rPr>
        <w:t>ó</w:t>
      </w:r>
      <w:r w:rsidR="00BE6B61" w:rsidRPr="00E90022">
        <w:rPr>
          <w:spacing w:val="-2"/>
          <w:lang w:val="es-ES"/>
        </w:rPr>
        <w:t xml:space="preserve">mbudsman </w:t>
      </w:r>
      <w:r w:rsidR="000B4A94" w:rsidRPr="00E90022">
        <w:rPr>
          <w:spacing w:val="-2"/>
          <w:lang w:val="es-ES"/>
        </w:rPr>
        <w:t xml:space="preserve">común asumió sus funciones en la UIT en enero de 2026. Esta iniciativa garantiza el acceso a servicios de resolución de conflictos </w:t>
      </w:r>
      <w:r w:rsidR="00997E71" w:rsidRPr="00E90022">
        <w:rPr>
          <w:spacing w:val="-2"/>
          <w:lang w:val="es-ES"/>
        </w:rPr>
        <w:t xml:space="preserve">de manera </w:t>
      </w:r>
      <w:r w:rsidR="000B4A94" w:rsidRPr="00E90022">
        <w:rPr>
          <w:spacing w:val="-2"/>
          <w:lang w:val="es-ES"/>
        </w:rPr>
        <w:t>neutral, independient</w:t>
      </w:r>
      <w:r w:rsidR="00965889" w:rsidRPr="00E90022">
        <w:rPr>
          <w:spacing w:val="-2"/>
          <w:lang w:val="es-ES"/>
        </w:rPr>
        <w:t>e</w:t>
      </w:r>
      <w:r w:rsidR="000B4A94" w:rsidRPr="00E90022">
        <w:rPr>
          <w:spacing w:val="-2"/>
          <w:lang w:val="es-ES"/>
        </w:rPr>
        <w:t xml:space="preserve"> y confidencial, lo que fomenta un entorno de trabajo respetuoso y de confianza. Con el fin de reforzar la visibilidad y la confianza, se celebró una sesión informativa </w:t>
      </w:r>
      <w:r w:rsidR="00965889" w:rsidRPr="00E90022">
        <w:rPr>
          <w:spacing w:val="-2"/>
          <w:lang w:val="es-ES"/>
        </w:rPr>
        <w:t xml:space="preserve">en formato </w:t>
      </w:r>
      <w:r w:rsidR="000B4A94" w:rsidRPr="00E90022">
        <w:rPr>
          <w:spacing w:val="-2"/>
          <w:lang w:val="es-ES"/>
        </w:rPr>
        <w:t>híbrid</w:t>
      </w:r>
      <w:r w:rsidR="00965889" w:rsidRPr="00E90022">
        <w:rPr>
          <w:spacing w:val="-2"/>
          <w:lang w:val="es-ES"/>
        </w:rPr>
        <w:t>o</w:t>
      </w:r>
      <w:r w:rsidR="000B4A94" w:rsidRPr="00E90022">
        <w:rPr>
          <w:spacing w:val="-2"/>
          <w:lang w:val="es-ES"/>
        </w:rPr>
        <w:t xml:space="preserve"> dirigida a todo el personal, incluido el de las Oficinas Regionales, para presentar los servicios disponibles. Además, en febrero de 2026 se puso en marcha en toda la Unión una sesión denominada </w:t>
      </w:r>
      <w:r w:rsidR="00172DA3" w:rsidRPr="00E90022">
        <w:rPr>
          <w:spacing w:val="-2"/>
          <w:lang w:val="es-ES"/>
        </w:rPr>
        <w:t>"</w:t>
      </w:r>
      <w:r w:rsidR="000B4A94" w:rsidRPr="00E90022">
        <w:rPr>
          <w:spacing w:val="-2"/>
          <w:lang w:val="es-ES"/>
        </w:rPr>
        <w:t>Hoja de ruta del lugar de trabajo</w:t>
      </w:r>
      <w:r w:rsidR="00172DA3" w:rsidRPr="00E90022">
        <w:rPr>
          <w:spacing w:val="-2"/>
          <w:lang w:val="es-ES"/>
        </w:rPr>
        <w:t>"</w:t>
      </w:r>
      <w:r w:rsidR="000B4A94" w:rsidRPr="00E90022">
        <w:rPr>
          <w:spacing w:val="-2"/>
          <w:lang w:val="es-ES"/>
        </w:rPr>
        <w:t xml:space="preserve">, que proporcionó al personal una </w:t>
      </w:r>
      <w:r w:rsidR="00172DA3" w:rsidRPr="00E90022">
        <w:rPr>
          <w:spacing w:val="-2"/>
          <w:lang w:val="es-ES"/>
        </w:rPr>
        <w:t>"</w:t>
      </w:r>
      <w:r w:rsidR="000B4A94" w:rsidRPr="00E90022">
        <w:rPr>
          <w:spacing w:val="-2"/>
          <w:lang w:val="es-ES"/>
        </w:rPr>
        <w:t>guía de referencia</w:t>
      </w:r>
      <w:r w:rsidR="00172DA3" w:rsidRPr="00E90022">
        <w:rPr>
          <w:spacing w:val="-2"/>
          <w:lang w:val="es-ES"/>
        </w:rPr>
        <w:t>"</w:t>
      </w:r>
      <w:r w:rsidR="000B4A94" w:rsidRPr="00E90022">
        <w:rPr>
          <w:spacing w:val="-2"/>
          <w:lang w:val="es-ES"/>
        </w:rPr>
        <w:t xml:space="preserve"> clara para orientarse entre las opciones de </w:t>
      </w:r>
      <w:r w:rsidR="00C34C59" w:rsidRPr="00E90022">
        <w:rPr>
          <w:spacing w:val="-2"/>
          <w:lang w:val="es-ES"/>
        </w:rPr>
        <w:t>asesoramiento</w:t>
      </w:r>
      <w:r w:rsidR="000B4A94" w:rsidRPr="00E90022">
        <w:rPr>
          <w:spacing w:val="-2"/>
          <w:lang w:val="es-ES"/>
        </w:rPr>
        <w:t xml:space="preserve">, </w:t>
      </w:r>
      <w:r w:rsidR="005269F4" w:rsidRPr="00E90022">
        <w:rPr>
          <w:spacing w:val="-2"/>
          <w:lang w:val="es-ES"/>
        </w:rPr>
        <w:t xml:space="preserve">informar sobre </w:t>
      </w:r>
      <w:r w:rsidR="000B4A94" w:rsidRPr="00E90022">
        <w:rPr>
          <w:spacing w:val="-2"/>
          <w:lang w:val="es-ES"/>
        </w:rPr>
        <w:t xml:space="preserve">los </w:t>
      </w:r>
      <w:r w:rsidR="00F84AC5" w:rsidRPr="00E90022">
        <w:rPr>
          <w:spacing w:val="-2"/>
          <w:lang w:val="es-ES"/>
        </w:rPr>
        <w:t>c</w:t>
      </w:r>
      <w:r w:rsidR="000B4A94" w:rsidRPr="00E90022">
        <w:rPr>
          <w:spacing w:val="-2"/>
          <w:lang w:val="es-ES"/>
        </w:rPr>
        <w:t>oordinadores y acceder a los recursos fundamentales de manera eficiente. A lo largo de 2026 se organizarán sesiones de seguimiento adicionales</w:t>
      </w:r>
      <w:r w:rsidRPr="00E90022">
        <w:rPr>
          <w:spacing w:val="-2"/>
          <w:lang w:val="es-ES"/>
        </w:rPr>
        <w:t>.</w:t>
      </w:r>
    </w:p>
    <w:p w14:paraId="6568519B" w14:textId="3FCE607C" w:rsidR="007031D7" w:rsidRPr="00E90022" w:rsidRDefault="007031D7" w:rsidP="00B0546E">
      <w:pPr>
        <w:pStyle w:val="enumlev1"/>
        <w:jc w:val="both"/>
        <w:rPr>
          <w:lang w:val="es-ES"/>
        </w:rPr>
      </w:pPr>
      <w:r w:rsidRPr="00E90022">
        <w:rPr>
          <w:lang w:val="es-ES"/>
        </w:rPr>
        <w:t>5</w:t>
      </w:r>
      <w:r w:rsidR="00EF1292" w:rsidRPr="00E90022">
        <w:rPr>
          <w:lang w:val="es-ES"/>
        </w:rPr>
        <w:t>)</w:t>
      </w:r>
      <w:r w:rsidRPr="00E90022">
        <w:rPr>
          <w:lang w:val="es-ES"/>
        </w:rPr>
        <w:tab/>
      </w:r>
      <w:r w:rsidR="00DF2DCE" w:rsidRPr="00E90022">
        <w:rPr>
          <w:lang w:val="es-ES"/>
        </w:rPr>
        <w:t xml:space="preserve">El plan de aplicación de la paridad de género de la UIT se basa en la estrategia de paridad de género de la UIT, aprobada por el Consejo en 2018, y respalda los objetivos de la estrategia de paridad de género para todo el sistema de Naciones Unidas. Además de los objetivos cuantitativos, el Plan integra la perspectiva de género en todos los procesos de recursos humanos y las prácticas institucionales. Establece medidas con plazos concretos para reforzar la rendición de cuentas, mejorar la representación de la plantilla, la trayectoria profesional y la formación específica, </w:t>
      </w:r>
      <w:r w:rsidR="00EF09F4" w:rsidRPr="00E90022">
        <w:rPr>
          <w:lang w:val="es-ES"/>
        </w:rPr>
        <w:t xml:space="preserve">de modo </w:t>
      </w:r>
      <w:r w:rsidR="00DF2DCE" w:rsidRPr="00E90022">
        <w:rPr>
          <w:lang w:val="es-ES"/>
        </w:rPr>
        <w:t>que la UIT se ha posicionado como una organización modelo para lograr la paridad de género</w:t>
      </w:r>
      <w:r w:rsidRPr="00E90022">
        <w:rPr>
          <w:lang w:val="es-ES"/>
        </w:rPr>
        <w:t>.</w:t>
      </w:r>
    </w:p>
    <w:p w14:paraId="6E0F8FD5" w14:textId="756B03D2" w:rsidR="007031D7" w:rsidRPr="00E90022" w:rsidRDefault="007031D7" w:rsidP="00B0546E">
      <w:pPr>
        <w:pStyle w:val="enumlev1"/>
        <w:jc w:val="both"/>
        <w:rPr>
          <w:lang w:val="es-ES"/>
        </w:rPr>
      </w:pPr>
      <w:r w:rsidRPr="00E90022">
        <w:rPr>
          <w:lang w:val="es-ES"/>
        </w:rPr>
        <w:t>6</w:t>
      </w:r>
      <w:r w:rsidR="00EF1292" w:rsidRPr="00E90022">
        <w:rPr>
          <w:lang w:val="es-ES"/>
        </w:rPr>
        <w:t>)</w:t>
      </w:r>
      <w:r w:rsidRPr="00E90022">
        <w:rPr>
          <w:lang w:val="es-ES"/>
        </w:rPr>
        <w:tab/>
      </w:r>
      <w:r w:rsidR="009D2B87" w:rsidRPr="00E90022">
        <w:rPr>
          <w:lang w:val="es-ES"/>
        </w:rPr>
        <w:t xml:space="preserve">La representación de género en los puestos de alta dirección sigue siendo equilibrada, ya que las mujeres ocupan el 60 </w:t>
      </w:r>
      <w:r w:rsidR="00EF09F4" w:rsidRPr="00E90022">
        <w:rPr>
          <w:lang w:val="es-ES"/>
        </w:rPr>
        <w:t>por ciento</w:t>
      </w:r>
      <w:r w:rsidR="009D2B87" w:rsidRPr="00E90022">
        <w:rPr>
          <w:lang w:val="es-ES"/>
        </w:rPr>
        <w:t xml:space="preserve"> de los puestos de categoría D2 a fecha de febrero de 2026. Las mujeres también están bien representadas en los puestos de profesionales </w:t>
      </w:r>
      <w:r w:rsidR="003B3651" w:rsidRPr="00E90022">
        <w:rPr>
          <w:lang w:val="es-ES"/>
        </w:rPr>
        <w:t>principiantes</w:t>
      </w:r>
      <w:r w:rsidR="009D2B87" w:rsidRPr="00E90022">
        <w:rPr>
          <w:lang w:val="es-ES"/>
        </w:rPr>
        <w:t xml:space="preserve"> (P1-P2)</w:t>
      </w:r>
      <w:r w:rsidR="006E7AC8" w:rsidRPr="00E90022">
        <w:rPr>
          <w:lang w:val="es-ES"/>
        </w:rPr>
        <w:t>,</w:t>
      </w:r>
      <w:r w:rsidR="009D2B87" w:rsidRPr="00E90022">
        <w:rPr>
          <w:lang w:val="es-ES"/>
        </w:rPr>
        <w:t xml:space="preserve"> </w:t>
      </w:r>
      <w:r w:rsidR="003B3651" w:rsidRPr="00E90022">
        <w:rPr>
          <w:lang w:val="es-ES"/>
        </w:rPr>
        <w:t xml:space="preserve">ocupando </w:t>
      </w:r>
      <w:r w:rsidR="009D2B87" w:rsidRPr="00E90022">
        <w:rPr>
          <w:lang w:val="es-ES"/>
        </w:rPr>
        <w:t>el 47</w:t>
      </w:r>
      <w:r w:rsidR="00EF1292" w:rsidRPr="00E90022">
        <w:rPr>
          <w:lang w:val="es-ES"/>
        </w:rPr>
        <w:t> </w:t>
      </w:r>
      <w:r w:rsidR="009D2B87" w:rsidRPr="00E90022">
        <w:rPr>
          <w:lang w:val="es-ES"/>
        </w:rPr>
        <w:t xml:space="preserve">% </w:t>
      </w:r>
      <w:r w:rsidR="003B3651" w:rsidRPr="00E90022">
        <w:rPr>
          <w:lang w:val="es-ES"/>
        </w:rPr>
        <w:t>de los puestos</w:t>
      </w:r>
      <w:r w:rsidR="006E7AC8" w:rsidRPr="00E90022">
        <w:rPr>
          <w:lang w:val="es-ES"/>
        </w:rPr>
        <w:t>,</w:t>
      </w:r>
      <w:r w:rsidR="003B3651" w:rsidRPr="00E90022">
        <w:rPr>
          <w:lang w:val="es-ES"/>
        </w:rPr>
        <w:t xml:space="preserve"> </w:t>
      </w:r>
      <w:r w:rsidR="009D2B87" w:rsidRPr="00E90022">
        <w:rPr>
          <w:lang w:val="es-ES"/>
        </w:rPr>
        <w:t xml:space="preserve">y </w:t>
      </w:r>
      <w:r w:rsidR="003B3651" w:rsidRPr="00E90022">
        <w:rPr>
          <w:lang w:val="es-ES"/>
        </w:rPr>
        <w:t xml:space="preserve">también </w:t>
      </w:r>
      <w:r w:rsidR="00045462" w:rsidRPr="00E90022">
        <w:rPr>
          <w:lang w:val="es-ES"/>
        </w:rPr>
        <w:t xml:space="preserve">en los niveles P3 y P4 </w:t>
      </w:r>
      <w:r w:rsidR="003B3651" w:rsidRPr="00E90022">
        <w:rPr>
          <w:lang w:val="es-ES"/>
        </w:rPr>
        <w:t xml:space="preserve">con un </w:t>
      </w:r>
      <w:r w:rsidR="009D2B87" w:rsidRPr="00E90022">
        <w:rPr>
          <w:lang w:val="es-ES"/>
        </w:rPr>
        <w:t xml:space="preserve">45 </w:t>
      </w:r>
      <w:r w:rsidR="00EF09F4" w:rsidRPr="00E90022">
        <w:rPr>
          <w:lang w:val="es-ES"/>
        </w:rPr>
        <w:t>por ciento</w:t>
      </w:r>
      <w:r w:rsidR="009D2B87" w:rsidRPr="00E90022">
        <w:rPr>
          <w:lang w:val="es-ES"/>
        </w:rPr>
        <w:t xml:space="preserve"> del personal. </w:t>
      </w:r>
      <w:r w:rsidR="003B3651" w:rsidRPr="00E90022">
        <w:rPr>
          <w:lang w:val="es-ES"/>
        </w:rPr>
        <w:t xml:space="preserve">En cambio, </w:t>
      </w:r>
      <w:r w:rsidR="009D2B87" w:rsidRPr="00E90022">
        <w:rPr>
          <w:lang w:val="es-ES"/>
        </w:rPr>
        <w:t>siguen estando menos representadas en los niveles P5 y D1 (</w:t>
      </w:r>
      <w:r w:rsidR="00EF09F4" w:rsidRPr="00E90022">
        <w:rPr>
          <w:lang w:val="es-ES"/>
        </w:rPr>
        <w:t xml:space="preserve">el </w:t>
      </w:r>
      <w:r w:rsidR="009D2B87" w:rsidRPr="00E90022">
        <w:rPr>
          <w:lang w:val="es-ES"/>
        </w:rPr>
        <w:t xml:space="preserve">33 y </w:t>
      </w:r>
      <w:r w:rsidR="00EF09F4" w:rsidRPr="00E90022">
        <w:rPr>
          <w:lang w:val="es-ES"/>
        </w:rPr>
        <w:t xml:space="preserve">el </w:t>
      </w:r>
      <w:r w:rsidR="009D2B87" w:rsidRPr="00E90022">
        <w:rPr>
          <w:lang w:val="es-ES"/>
        </w:rPr>
        <w:t xml:space="preserve">32 </w:t>
      </w:r>
      <w:r w:rsidR="00EF09F4" w:rsidRPr="00E90022">
        <w:rPr>
          <w:lang w:val="es-ES"/>
        </w:rPr>
        <w:t>por ciento</w:t>
      </w:r>
      <w:r w:rsidR="001F682C" w:rsidRPr="00E90022">
        <w:rPr>
          <w:lang w:val="es-ES"/>
        </w:rPr>
        <w:t xml:space="preserve">, </w:t>
      </w:r>
      <w:r w:rsidR="009D2B87" w:rsidRPr="00E90022">
        <w:rPr>
          <w:lang w:val="es-ES"/>
        </w:rPr>
        <w:t xml:space="preserve">respectivamente), </w:t>
      </w:r>
      <w:r w:rsidR="003B3651" w:rsidRPr="00E90022">
        <w:rPr>
          <w:lang w:val="es-ES"/>
        </w:rPr>
        <w:t>por lo que</w:t>
      </w:r>
      <w:r w:rsidR="009D2B87" w:rsidRPr="00E90022">
        <w:rPr>
          <w:lang w:val="es-ES"/>
        </w:rPr>
        <w:t xml:space="preserve"> se seguirán adoptando medidas específicas para reforzar la paridad en estos grados</w:t>
      </w:r>
      <w:r w:rsidRPr="00E90022">
        <w:rPr>
          <w:lang w:val="es-ES"/>
        </w:rPr>
        <w:t>.</w:t>
      </w:r>
    </w:p>
    <w:p w14:paraId="660DC720" w14:textId="257E7724" w:rsidR="007031D7" w:rsidRPr="00E90022" w:rsidRDefault="007031D7" w:rsidP="00B0546E">
      <w:pPr>
        <w:pStyle w:val="enumlev1"/>
        <w:jc w:val="both"/>
        <w:rPr>
          <w:lang w:val="es-ES"/>
        </w:rPr>
      </w:pPr>
      <w:r w:rsidRPr="00E90022">
        <w:rPr>
          <w:lang w:val="es-ES"/>
        </w:rPr>
        <w:t>7</w:t>
      </w:r>
      <w:r w:rsidR="00EF1292" w:rsidRPr="00E90022">
        <w:rPr>
          <w:lang w:val="es-ES"/>
        </w:rPr>
        <w:t>)</w:t>
      </w:r>
      <w:r w:rsidRPr="00E90022">
        <w:rPr>
          <w:lang w:val="es-ES"/>
        </w:rPr>
        <w:tab/>
      </w:r>
      <w:r w:rsidR="001E21A0" w:rsidRPr="00E90022">
        <w:rPr>
          <w:lang w:val="es-ES"/>
        </w:rPr>
        <w:t>Tras la encuesta sobre salud realizada en todo el sistema de las Naciones Unidas en 2023, la UIT puso en marcha su plan de acción sobre salud mental y bienestar a principios de 2025, articulado en torno a tres ejes: prevención, promoción y apoyo. La implementación ha comenzado con el lanzamiento de la E</w:t>
      </w:r>
      <w:r w:rsidR="00865020" w:rsidRPr="00E90022">
        <w:rPr>
          <w:lang w:val="es-ES"/>
        </w:rPr>
        <w:t>IE</w:t>
      </w:r>
      <w:r w:rsidR="001E21A0" w:rsidRPr="00E90022">
        <w:rPr>
          <w:lang w:val="es-ES"/>
        </w:rPr>
        <w:t xml:space="preserve"> y la creación e incorporación de la figura del </w:t>
      </w:r>
      <w:r w:rsidR="00504F09" w:rsidRPr="00E90022">
        <w:rPr>
          <w:lang w:val="es-ES"/>
        </w:rPr>
        <w:t>ómbudsman</w:t>
      </w:r>
      <w:r w:rsidR="001E21A0" w:rsidRPr="00E90022">
        <w:rPr>
          <w:lang w:val="es-ES"/>
        </w:rPr>
        <w:t xml:space="preserve">. Otras iniciativas incluyeron una lista de reproducción dedicada al bienestar, intervenciones para reducir </w:t>
      </w:r>
      <w:r w:rsidR="00387D64" w:rsidRPr="00E90022">
        <w:rPr>
          <w:lang w:val="es-ES"/>
        </w:rPr>
        <w:t>los</w:t>
      </w:r>
      <w:r w:rsidR="001E21A0" w:rsidRPr="00E90022">
        <w:rPr>
          <w:lang w:val="es-ES"/>
        </w:rPr>
        <w:t xml:space="preserve"> estigma</w:t>
      </w:r>
      <w:r w:rsidR="00387D64" w:rsidRPr="00E90022">
        <w:rPr>
          <w:lang w:val="es-ES"/>
        </w:rPr>
        <w:t>s</w:t>
      </w:r>
      <w:r w:rsidR="001E21A0" w:rsidRPr="00E90022">
        <w:rPr>
          <w:lang w:val="es-ES"/>
        </w:rPr>
        <w:t xml:space="preserve">, </w:t>
      </w:r>
      <w:r w:rsidR="00387D64" w:rsidRPr="00E90022">
        <w:rPr>
          <w:lang w:val="es-ES"/>
        </w:rPr>
        <w:t xml:space="preserve">la </w:t>
      </w:r>
      <w:r w:rsidR="001E21A0" w:rsidRPr="00E90022">
        <w:rPr>
          <w:lang w:val="es-ES"/>
        </w:rPr>
        <w:t>formación sobre conocimientos básicos de salud mental y formación en comunicación eficaz</w:t>
      </w:r>
      <w:r w:rsidRPr="00E90022">
        <w:rPr>
          <w:lang w:val="es-ES"/>
        </w:rPr>
        <w:t>.</w:t>
      </w:r>
    </w:p>
    <w:p w14:paraId="399D1448" w14:textId="7FAD709F" w:rsidR="007031D7" w:rsidRPr="00E90022" w:rsidRDefault="007031D7" w:rsidP="00B0546E">
      <w:pPr>
        <w:pStyle w:val="enumlev1"/>
        <w:jc w:val="both"/>
        <w:rPr>
          <w:highlight w:val="cyan"/>
          <w:lang w:val="es-ES"/>
        </w:rPr>
      </w:pPr>
      <w:r w:rsidRPr="00E90022">
        <w:rPr>
          <w:lang w:val="es-ES"/>
        </w:rPr>
        <w:t>8</w:t>
      </w:r>
      <w:r w:rsidR="00EF1292" w:rsidRPr="00E90022">
        <w:rPr>
          <w:lang w:val="es-ES"/>
        </w:rPr>
        <w:t>)</w:t>
      </w:r>
      <w:r w:rsidRPr="00E90022">
        <w:rPr>
          <w:lang w:val="es-ES"/>
        </w:rPr>
        <w:tab/>
      </w:r>
      <w:r w:rsidR="00D45870" w:rsidRPr="00E90022">
        <w:rPr>
          <w:lang w:val="es-ES"/>
        </w:rPr>
        <w:t xml:space="preserve">Se reforzaron los servicios de bienestar mediante un apoyo específico que incluía sesiones de asesoramiento individual, sesiones de </w:t>
      </w:r>
      <w:r w:rsidR="003549A4" w:rsidRPr="00E90022">
        <w:rPr>
          <w:lang w:val="es-ES"/>
        </w:rPr>
        <w:t>atención plena</w:t>
      </w:r>
      <w:r w:rsidR="00D45870" w:rsidRPr="00E90022">
        <w:rPr>
          <w:lang w:val="es-ES"/>
        </w:rPr>
        <w:t xml:space="preserve"> en tres idiomas y gestión de casos, complementados con sesiones específicas en coordinación con </w:t>
      </w:r>
      <w:r w:rsidR="009D168D" w:rsidRPr="00E90022">
        <w:rPr>
          <w:lang w:val="es-ES"/>
        </w:rPr>
        <w:t xml:space="preserve">la </w:t>
      </w:r>
      <w:r w:rsidR="009D168D" w:rsidRPr="00E90022">
        <w:rPr>
          <w:lang w:val="es-ES"/>
        </w:rPr>
        <w:lastRenderedPageBreak/>
        <w:t>unidad</w:t>
      </w:r>
      <w:r w:rsidR="00D45870" w:rsidRPr="00E90022">
        <w:rPr>
          <w:lang w:val="es-ES"/>
        </w:rPr>
        <w:t xml:space="preserve"> de </w:t>
      </w:r>
      <w:r w:rsidR="00EF4BF4" w:rsidRPr="00E90022">
        <w:rPr>
          <w:lang w:val="es-ES"/>
        </w:rPr>
        <w:t>f</w:t>
      </w:r>
      <w:r w:rsidR="00D45870" w:rsidRPr="00E90022">
        <w:rPr>
          <w:lang w:val="es-ES"/>
        </w:rPr>
        <w:t xml:space="preserve">ormación y </w:t>
      </w:r>
      <w:r w:rsidR="00EF4BF4" w:rsidRPr="00E90022">
        <w:rPr>
          <w:lang w:val="es-ES"/>
        </w:rPr>
        <w:t>d</w:t>
      </w:r>
      <w:r w:rsidR="00D45870" w:rsidRPr="00E90022">
        <w:rPr>
          <w:lang w:val="es-ES"/>
        </w:rPr>
        <w:t xml:space="preserve">esarrollo. Además, se </w:t>
      </w:r>
      <w:r w:rsidR="00BC1A58" w:rsidRPr="00E90022">
        <w:rPr>
          <w:lang w:val="es-ES"/>
        </w:rPr>
        <w:t xml:space="preserve">prepararon </w:t>
      </w:r>
      <w:r w:rsidR="00345552" w:rsidRPr="00E90022">
        <w:rPr>
          <w:lang w:val="es-ES"/>
        </w:rPr>
        <w:t>las</w:t>
      </w:r>
      <w:r w:rsidR="00FF4645" w:rsidRPr="00E90022">
        <w:rPr>
          <w:lang w:val="es-ES"/>
        </w:rPr>
        <w:t xml:space="preserve"> directrices </w:t>
      </w:r>
      <w:r w:rsidR="00345552" w:rsidRPr="00E90022">
        <w:rPr>
          <w:lang w:val="es-ES"/>
        </w:rPr>
        <w:t xml:space="preserve">de </w:t>
      </w:r>
      <w:r w:rsidR="00D45870" w:rsidRPr="00E90022">
        <w:rPr>
          <w:lang w:val="es-ES"/>
        </w:rPr>
        <w:t xml:space="preserve">reincorporación al trabajo con el fin de </w:t>
      </w:r>
      <w:r w:rsidR="00FF4645" w:rsidRPr="00E90022">
        <w:rPr>
          <w:lang w:val="es-ES"/>
        </w:rPr>
        <w:t>facilitar la reintegración de</w:t>
      </w:r>
      <w:r w:rsidR="00D45870" w:rsidRPr="00E90022">
        <w:rPr>
          <w:lang w:val="es-ES"/>
        </w:rPr>
        <w:t xml:space="preserve">l personal </w:t>
      </w:r>
      <w:r w:rsidR="00FF4645" w:rsidRPr="00E90022">
        <w:rPr>
          <w:lang w:val="es-ES"/>
        </w:rPr>
        <w:t xml:space="preserve">a </w:t>
      </w:r>
      <w:r w:rsidR="00D45870" w:rsidRPr="00E90022">
        <w:rPr>
          <w:lang w:val="es-ES"/>
        </w:rPr>
        <w:t>su lugar de trabajo tras una baja por enfermedad de larga duración</w:t>
      </w:r>
      <w:r w:rsidRPr="00E90022">
        <w:rPr>
          <w:lang w:val="es-ES"/>
        </w:rPr>
        <w:t>.</w:t>
      </w:r>
    </w:p>
    <w:p w14:paraId="5A1FD915" w14:textId="3BC68E14" w:rsidR="007031D7" w:rsidRPr="00E90022" w:rsidRDefault="007031D7" w:rsidP="00B0546E">
      <w:pPr>
        <w:pStyle w:val="enumlev1"/>
        <w:jc w:val="both"/>
        <w:rPr>
          <w:lang w:val="es-ES"/>
        </w:rPr>
      </w:pPr>
      <w:r w:rsidRPr="00E90022">
        <w:rPr>
          <w:lang w:val="es-ES"/>
        </w:rPr>
        <w:t>9</w:t>
      </w:r>
      <w:r w:rsidR="00EF1292" w:rsidRPr="00E90022">
        <w:rPr>
          <w:lang w:val="es-ES"/>
        </w:rPr>
        <w:t>)</w:t>
      </w:r>
      <w:r w:rsidRPr="00E90022">
        <w:rPr>
          <w:lang w:val="es-ES"/>
        </w:rPr>
        <w:tab/>
      </w:r>
      <w:r w:rsidR="00F328ED" w:rsidRPr="00E90022">
        <w:rPr>
          <w:lang w:val="es-ES"/>
        </w:rPr>
        <w:t xml:space="preserve">La política sobre </w:t>
      </w:r>
      <w:r w:rsidR="00891EC3" w:rsidRPr="00E90022">
        <w:rPr>
          <w:lang w:val="es-ES"/>
        </w:rPr>
        <w:t xml:space="preserve">el </w:t>
      </w:r>
      <w:r w:rsidR="00F328ED" w:rsidRPr="00E90022">
        <w:rPr>
          <w:lang w:val="es-ES"/>
        </w:rPr>
        <w:t xml:space="preserve">horario </w:t>
      </w:r>
      <w:r w:rsidR="00891EC3" w:rsidRPr="00E90022">
        <w:rPr>
          <w:lang w:val="es-ES"/>
        </w:rPr>
        <w:t xml:space="preserve">laboral </w:t>
      </w:r>
      <w:r w:rsidR="00F328ED" w:rsidRPr="00E90022">
        <w:rPr>
          <w:lang w:val="es-ES"/>
        </w:rPr>
        <w:t xml:space="preserve">y </w:t>
      </w:r>
      <w:r w:rsidR="00891EC3" w:rsidRPr="00E90022">
        <w:rPr>
          <w:lang w:val="es-ES"/>
        </w:rPr>
        <w:t xml:space="preserve">las </w:t>
      </w:r>
      <w:r w:rsidR="00F328ED" w:rsidRPr="00E90022">
        <w:rPr>
          <w:lang w:val="es-ES"/>
        </w:rPr>
        <w:t xml:space="preserve">modalidades de trabajo flexibles se publicó el 25 de febrero de 2026. En dicha política se recogen, en un marco claro y exhaustivo, </w:t>
      </w:r>
      <w:r w:rsidR="00BA79F2" w:rsidRPr="00E90022">
        <w:rPr>
          <w:lang w:val="es-ES"/>
        </w:rPr>
        <w:t xml:space="preserve">el </w:t>
      </w:r>
      <w:r w:rsidR="00F328ED" w:rsidRPr="00E90022">
        <w:rPr>
          <w:lang w:val="es-ES"/>
        </w:rPr>
        <w:t xml:space="preserve">horario </w:t>
      </w:r>
      <w:r w:rsidR="00BA79F2" w:rsidRPr="00E90022">
        <w:rPr>
          <w:lang w:val="es-ES"/>
        </w:rPr>
        <w:t xml:space="preserve">laboral </w:t>
      </w:r>
      <w:r w:rsidR="00F328ED" w:rsidRPr="00E90022">
        <w:rPr>
          <w:lang w:val="es-ES"/>
        </w:rPr>
        <w:t>y las modalidades de trabajo flexibles —incluido el teletrabajo—, en consonancia con las prácticas idóneas del sistema común de las Naciones Unidas. La UIT ha mantenido las modalidades actuales de teletrabajo</w:t>
      </w:r>
      <w:r w:rsidR="003838D0" w:rsidRPr="00E90022">
        <w:rPr>
          <w:lang w:val="es-ES"/>
        </w:rPr>
        <w:t xml:space="preserve"> y </w:t>
      </w:r>
      <w:r w:rsidR="00C45523" w:rsidRPr="00E90022">
        <w:rPr>
          <w:lang w:val="es-ES"/>
        </w:rPr>
        <w:t xml:space="preserve">sigue observando </w:t>
      </w:r>
      <w:r w:rsidR="00F328ED" w:rsidRPr="00E90022">
        <w:rPr>
          <w:lang w:val="es-ES"/>
        </w:rPr>
        <w:t xml:space="preserve">la evolución de </w:t>
      </w:r>
      <w:r w:rsidR="00813063" w:rsidRPr="00E90022">
        <w:rPr>
          <w:lang w:val="es-ES"/>
        </w:rPr>
        <w:t xml:space="preserve">dichas modalidades </w:t>
      </w:r>
      <w:r w:rsidR="00F328ED" w:rsidRPr="00E90022">
        <w:rPr>
          <w:lang w:val="es-ES"/>
        </w:rPr>
        <w:t xml:space="preserve">en otras organizaciones del sistema común de las Naciones Unidas, </w:t>
      </w:r>
      <w:r w:rsidR="00A92308" w:rsidRPr="00E90022">
        <w:rPr>
          <w:lang w:val="es-ES"/>
        </w:rPr>
        <w:t xml:space="preserve">con miras a los </w:t>
      </w:r>
      <w:r w:rsidR="00C45523" w:rsidRPr="00E90022">
        <w:rPr>
          <w:lang w:val="es-ES"/>
        </w:rPr>
        <w:t xml:space="preserve">eventuales </w:t>
      </w:r>
      <w:r w:rsidR="00F328ED" w:rsidRPr="00E90022">
        <w:rPr>
          <w:lang w:val="es-ES"/>
        </w:rPr>
        <w:t xml:space="preserve">ajustes de </w:t>
      </w:r>
      <w:r w:rsidR="00912325" w:rsidRPr="00E90022">
        <w:rPr>
          <w:lang w:val="es-ES"/>
        </w:rPr>
        <w:t>esta</w:t>
      </w:r>
      <w:r w:rsidR="00F328ED" w:rsidRPr="00E90022">
        <w:rPr>
          <w:lang w:val="es-ES"/>
        </w:rPr>
        <w:t xml:space="preserve"> política</w:t>
      </w:r>
      <w:r w:rsidR="00C45523" w:rsidRPr="00E90022">
        <w:rPr>
          <w:lang w:val="es-ES"/>
        </w:rPr>
        <w:t xml:space="preserve"> en el futuro</w:t>
      </w:r>
      <w:r w:rsidR="00F328ED" w:rsidRPr="00E90022">
        <w:rPr>
          <w:lang w:val="es-ES"/>
        </w:rPr>
        <w:t>. La política también describe las responsabilidades del personal y de los supervisores y fomenta la conciliación de la vida laboral y personal, garantizando a su vez que la UIT cumpla sus requisitos operativos</w:t>
      </w:r>
      <w:r w:rsidRPr="00E90022">
        <w:rPr>
          <w:lang w:val="es-ES"/>
        </w:rPr>
        <w:t>.</w:t>
      </w:r>
    </w:p>
    <w:p w14:paraId="5CE1BE44" w14:textId="1A703F90" w:rsidR="00B43D88" w:rsidRPr="00E90022" w:rsidRDefault="00B43D88" w:rsidP="008B51F8">
      <w:pPr>
        <w:pStyle w:val="Headingb"/>
        <w:rPr>
          <w:lang w:val="es-ES"/>
        </w:rPr>
      </w:pPr>
      <w:r w:rsidRPr="00E90022">
        <w:rPr>
          <w:lang w:val="es-ES"/>
        </w:rPr>
        <w:t xml:space="preserve">Servicios: Ofrecer servicios de recursos humanos orientados a la excelencia para apoyar a </w:t>
      </w:r>
      <w:r w:rsidR="00912325" w:rsidRPr="00E90022">
        <w:rPr>
          <w:lang w:val="es-ES"/>
        </w:rPr>
        <w:t>al personal</w:t>
      </w:r>
    </w:p>
    <w:p w14:paraId="5B4D24B2" w14:textId="7156D6B7" w:rsidR="00B43D88" w:rsidRPr="00E90022" w:rsidRDefault="00B43D88" w:rsidP="00B0546E">
      <w:pPr>
        <w:jc w:val="both"/>
        <w:rPr>
          <w:lang w:val="es-ES"/>
        </w:rPr>
      </w:pPr>
      <w:r w:rsidRPr="00E90022">
        <w:rPr>
          <w:lang w:val="es-ES"/>
        </w:rPr>
        <w:t xml:space="preserve">El tercer pilar del PTRH, los </w:t>
      </w:r>
      <w:r w:rsidR="00912325" w:rsidRPr="00E90022">
        <w:rPr>
          <w:lang w:val="es-ES"/>
        </w:rPr>
        <w:t>s</w:t>
      </w:r>
      <w:r w:rsidRPr="00E90022">
        <w:rPr>
          <w:lang w:val="es-ES"/>
        </w:rPr>
        <w:t>ervicios, promueve el compromiso de la Unión de aprovechar las tecnologías adaptadas para mejorar la experiencia de los empleados y ofrecer servicios de recursos humanos optimizados y eficientes que satisfagan mejor las necesidades de nuestr</w:t>
      </w:r>
      <w:r w:rsidR="00912325" w:rsidRPr="00E90022">
        <w:rPr>
          <w:lang w:val="es-ES"/>
        </w:rPr>
        <w:t>o</w:t>
      </w:r>
      <w:r w:rsidRPr="00E90022">
        <w:rPr>
          <w:lang w:val="es-ES"/>
        </w:rPr>
        <w:t xml:space="preserve"> </w:t>
      </w:r>
      <w:r w:rsidR="00912325" w:rsidRPr="00E90022">
        <w:rPr>
          <w:lang w:val="es-ES"/>
        </w:rPr>
        <w:t>personal</w:t>
      </w:r>
      <w:r w:rsidRPr="00E90022">
        <w:rPr>
          <w:lang w:val="es-ES"/>
        </w:rPr>
        <w:t>.</w:t>
      </w:r>
    </w:p>
    <w:p w14:paraId="3985B361" w14:textId="73CF23EB" w:rsidR="00B43D88" w:rsidRPr="00E90022" w:rsidRDefault="00B43D88" w:rsidP="00B0546E">
      <w:pPr>
        <w:keepNext/>
        <w:keepLines/>
        <w:jc w:val="both"/>
        <w:rPr>
          <w:lang w:val="es-ES"/>
        </w:rPr>
      </w:pPr>
      <w:r w:rsidRPr="00E90022">
        <w:rPr>
          <w:lang w:val="es-ES"/>
        </w:rPr>
        <w:t xml:space="preserve">En </w:t>
      </w:r>
      <w:r w:rsidR="00912325" w:rsidRPr="00E90022">
        <w:rPr>
          <w:lang w:val="es-ES"/>
        </w:rPr>
        <w:t xml:space="preserve">el marco de </w:t>
      </w:r>
      <w:r w:rsidRPr="00E90022">
        <w:rPr>
          <w:lang w:val="es-ES"/>
        </w:rPr>
        <w:t xml:space="preserve">este pilar, el PTRH reconoce </w:t>
      </w:r>
      <w:r w:rsidR="00912325" w:rsidRPr="00E90022">
        <w:rPr>
          <w:lang w:val="es-ES"/>
        </w:rPr>
        <w:t xml:space="preserve">además </w:t>
      </w:r>
      <w:r w:rsidRPr="00E90022">
        <w:rPr>
          <w:lang w:val="es-ES"/>
        </w:rPr>
        <w:t xml:space="preserve">la necesidad de perfeccionar los procesos eliminando la burocracia innecesaria, fomentando la transparencia y fortaleciendo la rendición de cuentas. Una prioridad clave es crear un entorno de trabajo </w:t>
      </w:r>
      <w:r w:rsidR="009E660F" w:rsidRPr="00E90022">
        <w:rPr>
          <w:lang w:val="es-ES"/>
        </w:rPr>
        <w:t>en el que</w:t>
      </w:r>
      <w:r w:rsidRPr="00E90022">
        <w:rPr>
          <w:lang w:val="es-ES"/>
        </w:rPr>
        <w:t xml:space="preserve"> la toma de decisiones </w:t>
      </w:r>
      <w:r w:rsidR="009E660F" w:rsidRPr="00E90022">
        <w:rPr>
          <w:lang w:val="es-ES"/>
        </w:rPr>
        <w:t xml:space="preserve">se base </w:t>
      </w:r>
      <w:r w:rsidRPr="00E90022">
        <w:rPr>
          <w:lang w:val="es-ES"/>
        </w:rPr>
        <w:t>en el análisis de los datos</w:t>
      </w:r>
      <w:r w:rsidR="007B5626" w:rsidRPr="00E90022">
        <w:rPr>
          <w:lang w:val="es-ES"/>
        </w:rPr>
        <w:t xml:space="preserve">, </w:t>
      </w:r>
      <w:r w:rsidR="005057E6" w:rsidRPr="00E90022">
        <w:rPr>
          <w:lang w:val="es-ES"/>
        </w:rPr>
        <w:t>se lleve a cabo</w:t>
      </w:r>
      <w:r w:rsidR="007B5626" w:rsidRPr="00E90022">
        <w:rPr>
          <w:lang w:val="es-ES"/>
        </w:rPr>
        <w:t xml:space="preserve"> </w:t>
      </w:r>
      <w:r w:rsidR="005057E6" w:rsidRPr="00E90022">
        <w:rPr>
          <w:lang w:val="es-ES"/>
        </w:rPr>
        <w:t xml:space="preserve">en el </w:t>
      </w:r>
      <w:r w:rsidR="007B5626" w:rsidRPr="00E90022">
        <w:rPr>
          <w:lang w:val="es-ES"/>
        </w:rPr>
        <w:t>nivel adecuado,</w:t>
      </w:r>
      <w:r w:rsidRPr="00E90022">
        <w:rPr>
          <w:lang w:val="es-ES"/>
        </w:rPr>
        <w:t xml:space="preserve"> </w:t>
      </w:r>
      <w:r w:rsidR="00081EE5" w:rsidRPr="00E90022">
        <w:rPr>
          <w:lang w:val="es-ES"/>
        </w:rPr>
        <w:t xml:space="preserve">se fundamente en </w:t>
      </w:r>
      <w:r w:rsidR="00606358" w:rsidRPr="00E90022">
        <w:rPr>
          <w:lang w:val="es-ES"/>
        </w:rPr>
        <w:t xml:space="preserve">el análisis </w:t>
      </w:r>
      <w:r w:rsidR="00875D90" w:rsidRPr="00E90022">
        <w:rPr>
          <w:lang w:val="es-ES"/>
        </w:rPr>
        <w:t xml:space="preserve">del personal </w:t>
      </w:r>
      <w:r w:rsidR="00C748F9" w:rsidRPr="00E90022">
        <w:rPr>
          <w:lang w:val="es-ES"/>
        </w:rPr>
        <w:t xml:space="preserve">y </w:t>
      </w:r>
      <w:r w:rsidR="007174EB" w:rsidRPr="00E90022">
        <w:rPr>
          <w:lang w:val="es-ES"/>
        </w:rPr>
        <w:t xml:space="preserve">se ajuste </w:t>
      </w:r>
      <w:r w:rsidR="00C748F9" w:rsidRPr="00E90022">
        <w:rPr>
          <w:lang w:val="es-ES"/>
        </w:rPr>
        <w:t>las necesidades de</w:t>
      </w:r>
      <w:r w:rsidR="00D2619B" w:rsidRPr="00E90022">
        <w:rPr>
          <w:lang w:val="es-ES"/>
        </w:rPr>
        <w:t xml:space="preserve"> la organización</w:t>
      </w:r>
      <w:r w:rsidRPr="00E90022">
        <w:rPr>
          <w:lang w:val="es-ES"/>
        </w:rPr>
        <w:t>.</w:t>
      </w:r>
    </w:p>
    <w:p w14:paraId="593F6D99" w14:textId="7608A9BF" w:rsidR="00B43D88" w:rsidRPr="00E90022" w:rsidRDefault="00B43D88" w:rsidP="00B0546E">
      <w:pPr>
        <w:jc w:val="both"/>
        <w:rPr>
          <w:lang w:val="es-ES"/>
        </w:rPr>
      </w:pPr>
      <w:r w:rsidRPr="00E90022">
        <w:rPr>
          <w:lang w:val="es-ES"/>
        </w:rPr>
        <w:t xml:space="preserve">La UIT se ha comprometido a establecer un marco reglamentario sólido y justo en colaboración con </w:t>
      </w:r>
      <w:r w:rsidR="00FC0AAA" w:rsidRPr="00E90022">
        <w:rPr>
          <w:lang w:val="es-ES"/>
        </w:rPr>
        <w:t xml:space="preserve">las principales partes interesadas, comprendidos </w:t>
      </w:r>
      <w:r w:rsidRPr="00E90022">
        <w:rPr>
          <w:lang w:val="es-ES"/>
        </w:rPr>
        <w:t>los representantes del personal</w:t>
      </w:r>
      <w:r w:rsidR="00FA0801" w:rsidRPr="00E90022">
        <w:rPr>
          <w:lang w:val="es-ES"/>
        </w:rPr>
        <w:t xml:space="preserve"> y la dirección</w:t>
      </w:r>
      <w:r w:rsidRPr="00E90022">
        <w:rPr>
          <w:lang w:val="es-ES"/>
        </w:rPr>
        <w:t>, garantizando que las políticas y los servicios de recursos humanos respondan a las necesidades tanto del personal como de los directivos.</w:t>
      </w:r>
    </w:p>
    <w:p w14:paraId="715C6CDB" w14:textId="77777777" w:rsidR="00B43D88" w:rsidRPr="00E90022" w:rsidRDefault="00B43D88" w:rsidP="00B0546E">
      <w:pPr>
        <w:jc w:val="both"/>
        <w:rPr>
          <w:lang w:val="es-ES"/>
        </w:rPr>
      </w:pPr>
      <w:r w:rsidRPr="00E90022">
        <w:rPr>
          <w:lang w:val="es-ES"/>
        </w:rPr>
        <w:t>Aspectos destacados:</w:t>
      </w:r>
    </w:p>
    <w:p w14:paraId="1D3D3171" w14:textId="4B457B18" w:rsidR="005873CA" w:rsidRPr="00E90022" w:rsidRDefault="005873CA" w:rsidP="00B0546E">
      <w:pPr>
        <w:pStyle w:val="enumlev1"/>
        <w:jc w:val="both"/>
        <w:rPr>
          <w:lang w:val="es-ES"/>
        </w:rPr>
      </w:pPr>
      <w:r w:rsidRPr="00E90022">
        <w:rPr>
          <w:lang w:val="es-ES"/>
        </w:rPr>
        <w:t>1</w:t>
      </w:r>
      <w:r w:rsidR="00EF1292" w:rsidRPr="00E90022">
        <w:rPr>
          <w:lang w:val="es-ES"/>
        </w:rPr>
        <w:t>)</w:t>
      </w:r>
      <w:r w:rsidRPr="00E90022">
        <w:rPr>
          <w:lang w:val="es-ES"/>
        </w:rPr>
        <w:tab/>
      </w:r>
      <w:r w:rsidR="00007B87" w:rsidRPr="00E90022">
        <w:rPr>
          <w:lang w:val="es-ES"/>
        </w:rPr>
        <w:t xml:space="preserve">El HRMD sigue reforzando el marco normativo de la UIT para adaptarlo a las necesidades cambiantes de la plantilla, y se están actualizando las políticas relativas a la contratación, los nombramientos temporales, las indemnizaciones por traslado y las ayudas al alquiler. Uno de los principales objetivos de estas políticas es sustituir los Acuerdos de Servicios Especiales (SSA) por una nueva </w:t>
      </w:r>
      <w:r w:rsidR="007F4C42" w:rsidRPr="00E90022">
        <w:rPr>
          <w:lang w:val="es-ES"/>
        </w:rPr>
        <w:t>p</w:t>
      </w:r>
      <w:r w:rsidR="00007B87" w:rsidRPr="00E90022">
        <w:rPr>
          <w:lang w:val="es-ES"/>
        </w:rPr>
        <w:t xml:space="preserve">olítica de </w:t>
      </w:r>
      <w:r w:rsidR="007F4C42" w:rsidRPr="00E90022">
        <w:rPr>
          <w:lang w:val="es-ES"/>
        </w:rPr>
        <w:t>c</w:t>
      </w:r>
      <w:r w:rsidR="00007B87" w:rsidRPr="00E90022">
        <w:rPr>
          <w:lang w:val="es-ES"/>
        </w:rPr>
        <w:t xml:space="preserve">onsultores acorde con las prácticas idóneas de las Naciones Unidas. Esta nueva política introduce la delegación de </w:t>
      </w:r>
      <w:r w:rsidR="00BD5F2B" w:rsidRPr="00E90022">
        <w:rPr>
          <w:lang w:val="es-ES"/>
        </w:rPr>
        <w:t>autoridad</w:t>
      </w:r>
      <w:r w:rsidR="00007B87" w:rsidRPr="00E90022">
        <w:rPr>
          <w:lang w:val="es-ES"/>
        </w:rPr>
        <w:t xml:space="preserve"> a los </w:t>
      </w:r>
      <w:r w:rsidR="00BD5F2B" w:rsidRPr="00E90022">
        <w:rPr>
          <w:lang w:val="es-ES"/>
        </w:rPr>
        <w:t>directivos</w:t>
      </w:r>
      <w:r w:rsidR="00007B87" w:rsidRPr="00E90022">
        <w:rPr>
          <w:lang w:val="es-ES"/>
        </w:rPr>
        <w:t xml:space="preserve">, una escala de honorarios unificada y un mayor uso de </w:t>
      </w:r>
      <w:r w:rsidR="001A2500" w:rsidRPr="00E90022">
        <w:rPr>
          <w:lang w:val="es-ES"/>
        </w:rPr>
        <w:t>bolsas de trabajo</w:t>
      </w:r>
      <w:r w:rsidR="00007B87" w:rsidRPr="00E90022">
        <w:rPr>
          <w:lang w:val="es-ES"/>
        </w:rPr>
        <w:t xml:space="preserve">, lo que garantiza un acceso más rápido a conocimientos especializados y mayor capacidad </w:t>
      </w:r>
      <w:r w:rsidR="00BD7371" w:rsidRPr="00E90022">
        <w:rPr>
          <w:lang w:val="es-ES"/>
        </w:rPr>
        <w:t xml:space="preserve">para hacer frente a </w:t>
      </w:r>
      <w:r w:rsidR="007F044A" w:rsidRPr="00E90022">
        <w:rPr>
          <w:lang w:val="es-ES"/>
        </w:rPr>
        <w:t>situaciones de gran volumen de trabajo</w:t>
      </w:r>
      <w:r w:rsidRPr="00E90022">
        <w:rPr>
          <w:lang w:val="es-ES"/>
        </w:rPr>
        <w:t>.</w:t>
      </w:r>
    </w:p>
    <w:p w14:paraId="4F9E7119" w14:textId="43901BCA" w:rsidR="005873CA" w:rsidRPr="00E90022" w:rsidRDefault="005873CA" w:rsidP="00B0546E">
      <w:pPr>
        <w:pStyle w:val="enumlev1"/>
        <w:jc w:val="both"/>
        <w:rPr>
          <w:lang w:val="es-ES"/>
        </w:rPr>
      </w:pPr>
      <w:r w:rsidRPr="00E90022">
        <w:rPr>
          <w:lang w:val="es-ES"/>
        </w:rPr>
        <w:t>2</w:t>
      </w:r>
      <w:r w:rsidR="00EF1292" w:rsidRPr="00E90022">
        <w:rPr>
          <w:lang w:val="es-ES"/>
        </w:rPr>
        <w:t>)</w:t>
      </w:r>
      <w:r w:rsidRPr="00E90022">
        <w:rPr>
          <w:lang w:val="es-ES"/>
        </w:rPr>
        <w:tab/>
      </w:r>
      <w:r w:rsidR="000C25FA" w:rsidRPr="00E90022">
        <w:rPr>
          <w:lang w:val="es-ES"/>
        </w:rPr>
        <w:t xml:space="preserve">El HRMD está liderando una iniciativa a escala de toda la Unión para elaborar un marco de delegación de </w:t>
      </w:r>
      <w:r w:rsidR="00860291" w:rsidRPr="00E90022">
        <w:rPr>
          <w:lang w:val="es-ES"/>
        </w:rPr>
        <w:t>autoridad</w:t>
      </w:r>
      <w:r w:rsidR="000C25FA" w:rsidRPr="00E90022">
        <w:rPr>
          <w:lang w:val="es-ES"/>
        </w:rPr>
        <w:t xml:space="preserve"> para la UIT, con el objetivo de descentralizar la toma de decisiones y armonizar la</w:t>
      </w:r>
      <w:r w:rsidR="00860291" w:rsidRPr="00E90022">
        <w:rPr>
          <w:lang w:val="es-ES"/>
        </w:rPr>
        <w:t xml:space="preserve"> autoridad </w:t>
      </w:r>
      <w:r w:rsidR="000C25FA" w:rsidRPr="00E90022">
        <w:rPr>
          <w:lang w:val="es-ES"/>
        </w:rPr>
        <w:t xml:space="preserve">con la responsabilidad. El marco, basado en las prácticas idóneas de las Naciones Unidas, garantiza una delegación de </w:t>
      </w:r>
      <w:r w:rsidR="00373379" w:rsidRPr="00E90022">
        <w:rPr>
          <w:lang w:val="es-ES"/>
        </w:rPr>
        <w:t>autoridad</w:t>
      </w:r>
      <w:r w:rsidR="000C25FA" w:rsidRPr="00E90022">
        <w:rPr>
          <w:lang w:val="es-ES"/>
        </w:rPr>
        <w:t xml:space="preserve"> adecuada y transparente, y actualmente se encuentra en fase de revisión interna final</w:t>
      </w:r>
      <w:r w:rsidRPr="00E90022">
        <w:rPr>
          <w:lang w:val="es-ES"/>
        </w:rPr>
        <w:t>.</w:t>
      </w:r>
    </w:p>
    <w:p w14:paraId="0C65BD01" w14:textId="0A86E695" w:rsidR="005873CA" w:rsidRPr="00E90022" w:rsidRDefault="005873CA" w:rsidP="00B0546E">
      <w:pPr>
        <w:pStyle w:val="enumlev1"/>
        <w:jc w:val="both"/>
        <w:rPr>
          <w:lang w:val="es-ES"/>
        </w:rPr>
      </w:pPr>
      <w:r w:rsidRPr="00E90022">
        <w:rPr>
          <w:lang w:val="es-ES"/>
        </w:rPr>
        <w:lastRenderedPageBreak/>
        <w:t>3</w:t>
      </w:r>
      <w:r w:rsidR="00EF1292" w:rsidRPr="00E90022">
        <w:rPr>
          <w:lang w:val="es-ES"/>
        </w:rPr>
        <w:t>)</w:t>
      </w:r>
      <w:r w:rsidRPr="00E90022">
        <w:rPr>
          <w:lang w:val="es-ES"/>
        </w:rPr>
        <w:tab/>
      </w:r>
      <w:r w:rsidR="004A51A1" w:rsidRPr="00E90022">
        <w:rPr>
          <w:lang w:val="es-ES"/>
        </w:rPr>
        <w:t>El HRMD puso en marcha una serie de charlas sobre recursos humanos, que ofrecen sesiones de sensibilización sobre las políticas y los procedimientos de recursos humanos. La primera tuvo lugar en noviembre de 2025 y versó sobre el proceso de contratación de la SSA. Se están planificando nuevas sesiones</w:t>
      </w:r>
      <w:r w:rsidRPr="00E90022">
        <w:rPr>
          <w:lang w:val="es-ES"/>
        </w:rPr>
        <w:t>.</w:t>
      </w:r>
    </w:p>
    <w:p w14:paraId="36107893" w14:textId="74489F91" w:rsidR="005873CA" w:rsidRPr="00E90022" w:rsidRDefault="005873CA" w:rsidP="00B0546E">
      <w:pPr>
        <w:pStyle w:val="enumlev1"/>
        <w:jc w:val="both"/>
        <w:rPr>
          <w:lang w:val="es-ES"/>
        </w:rPr>
      </w:pPr>
      <w:r w:rsidRPr="00E90022">
        <w:rPr>
          <w:lang w:val="es-ES"/>
        </w:rPr>
        <w:t>4</w:t>
      </w:r>
      <w:r w:rsidR="00EF1292" w:rsidRPr="00E90022">
        <w:rPr>
          <w:lang w:val="es-ES"/>
        </w:rPr>
        <w:t>)</w:t>
      </w:r>
      <w:r w:rsidRPr="00E90022">
        <w:rPr>
          <w:lang w:val="es-ES"/>
        </w:rPr>
        <w:tab/>
      </w:r>
      <w:r w:rsidR="0085639B" w:rsidRPr="00E90022">
        <w:rPr>
          <w:lang w:val="es-ES"/>
        </w:rPr>
        <w:t>Se prestó apoyo a la formación específica sobre gestión del rendimiento y a las iniciativas relacionadas con la gestión del cambio mediante seis sesiones informativas dirigidas a los directivos y al personal de toda la Unión. Se puso en marcha una página web moderna y fácil de usar dedicada a la gestión del rendimiento, lo que contribuyó a reducir el número de consultas relacionadas con el sistema en las evaluaciones de fin de año</w:t>
      </w:r>
      <w:r w:rsidRPr="00E90022">
        <w:rPr>
          <w:lang w:val="es-ES"/>
        </w:rPr>
        <w:t>.</w:t>
      </w:r>
      <w:bookmarkStart w:id="3" w:name="_Hlk195088523"/>
    </w:p>
    <w:p w14:paraId="30EE757F" w14:textId="211E7BC8" w:rsidR="005873CA" w:rsidRPr="00E90022" w:rsidRDefault="005873CA" w:rsidP="00B0546E">
      <w:pPr>
        <w:pStyle w:val="enumlev1"/>
        <w:jc w:val="both"/>
        <w:rPr>
          <w:lang w:val="es-ES"/>
        </w:rPr>
      </w:pPr>
      <w:r w:rsidRPr="00E90022">
        <w:rPr>
          <w:lang w:val="es-ES"/>
        </w:rPr>
        <w:t>5</w:t>
      </w:r>
      <w:r w:rsidR="00EF1292" w:rsidRPr="00E90022">
        <w:rPr>
          <w:lang w:val="es-ES"/>
        </w:rPr>
        <w:t>)</w:t>
      </w:r>
      <w:r w:rsidRPr="00E90022">
        <w:rPr>
          <w:lang w:val="es-ES"/>
        </w:rPr>
        <w:tab/>
      </w:r>
      <w:r w:rsidR="00047D5D" w:rsidRPr="00E90022">
        <w:rPr>
          <w:lang w:val="es-ES"/>
        </w:rPr>
        <w:t xml:space="preserve">Se mejoró el apoyo sobre el terreno gracias al refuerzo de la comunicación entre el HRMD y las Oficinas Regionales. El HRMD convocó reuniones sobre las prestaciones de la seguridad social en todas las regiones y transmitió las inquietudes del personal sobre el terreno a la </w:t>
      </w:r>
      <w:r w:rsidR="00064F2A" w:rsidRPr="00E90022">
        <w:rPr>
          <w:lang w:val="es-ES"/>
        </w:rPr>
        <w:t xml:space="preserve">Mutualidad de Seguros del personal de las Naciones Unidas contra Enfermedad y Accidentes </w:t>
      </w:r>
      <w:r w:rsidR="00047D5D" w:rsidRPr="00E90022">
        <w:rPr>
          <w:lang w:val="es-ES"/>
        </w:rPr>
        <w:t>(UNSMIS) antes de las reuniones abiertas. Tras estos diálogos, se actualizaron el portal de recursos humanos y el sitio de SharePoint con orientaciones simplificadas sobre la hospitalización de urgencia y los procedimientos médicos, complementadas con nuevas preguntas frecuentes, con el fin de garantizar que los empleados sobre el terreno dispongan de información clara y accesible. Además, se están preparando seminarios web específicos sobre emergencias médicas en colaboración con el HRMD, la UNSMIS y el Departamento de Seguridad para ofrecer orientación al personal sobre el terreno</w:t>
      </w:r>
      <w:r w:rsidRPr="00E90022">
        <w:rPr>
          <w:lang w:val="es-ES"/>
        </w:rPr>
        <w:t>.</w:t>
      </w:r>
    </w:p>
    <w:bookmarkEnd w:id="3"/>
    <w:p w14:paraId="471E57A9" w14:textId="297F761C" w:rsidR="005873CA" w:rsidRPr="00E90022" w:rsidRDefault="005873CA" w:rsidP="00B0546E">
      <w:pPr>
        <w:pStyle w:val="enumlev1"/>
        <w:jc w:val="both"/>
        <w:rPr>
          <w:lang w:val="es-ES"/>
        </w:rPr>
      </w:pPr>
      <w:r w:rsidRPr="00E90022">
        <w:rPr>
          <w:lang w:val="es-ES"/>
        </w:rPr>
        <w:t>6</w:t>
      </w:r>
      <w:r w:rsidR="00EF1292" w:rsidRPr="00E90022">
        <w:rPr>
          <w:lang w:val="es-ES"/>
        </w:rPr>
        <w:t>)</w:t>
      </w:r>
      <w:r w:rsidRPr="00E90022">
        <w:rPr>
          <w:lang w:val="es-ES"/>
        </w:rPr>
        <w:tab/>
      </w:r>
      <w:r w:rsidR="0033135B" w:rsidRPr="00E90022">
        <w:rPr>
          <w:lang w:val="es-ES"/>
        </w:rPr>
        <w:t xml:space="preserve">Las operaciones de los servicios de recursos humanos en materia de seguridad social, seguros y cumplimiento normativo prosiguieron gracias a una estrecha colaboración con diversos asociados, entre ellos la UNSMIS y </w:t>
      </w:r>
      <w:r w:rsidR="008B5B94" w:rsidRPr="00E90022">
        <w:rPr>
          <w:lang w:val="es-ES"/>
        </w:rPr>
        <w:t xml:space="preserve">la Caja Común de Pensiones del Personal de las Naciones Unidas </w:t>
      </w:r>
      <w:r w:rsidR="0033135B" w:rsidRPr="00E90022">
        <w:rPr>
          <w:lang w:val="es-ES"/>
        </w:rPr>
        <w:t>(UNJSPF). Esta colaboración consistió en reuniones abiertas para el personal y los jubilados, la validación de los datos de afiliación a las pensiones y un servicio de atención al cliente específico</w:t>
      </w:r>
      <w:r w:rsidRPr="00E90022">
        <w:rPr>
          <w:lang w:val="es-ES"/>
        </w:rPr>
        <w:t>.</w:t>
      </w:r>
    </w:p>
    <w:p w14:paraId="7215D605" w14:textId="19E2CA78" w:rsidR="005873CA" w:rsidRPr="00E90022" w:rsidRDefault="005873CA" w:rsidP="00B0546E">
      <w:pPr>
        <w:pStyle w:val="enumlev1"/>
        <w:jc w:val="both"/>
        <w:rPr>
          <w:lang w:val="es-ES"/>
        </w:rPr>
      </w:pPr>
      <w:r w:rsidRPr="00E90022">
        <w:rPr>
          <w:lang w:val="es-ES"/>
        </w:rPr>
        <w:t>7</w:t>
      </w:r>
      <w:r w:rsidR="00EF1292" w:rsidRPr="00E90022">
        <w:rPr>
          <w:lang w:val="es-ES"/>
        </w:rPr>
        <w:t>)</w:t>
      </w:r>
      <w:r w:rsidRPr="00E90022">
        <w:rPr>
          <w:lang w:val="es-ES"/>
        </w:rPr>
        <w:tab/>
      </w:r>
      <w:r w:rsidR="004D528B" w:rsidRPr="00E90022">
        <w:rPr>
          <w:lang w:val="es-ES"/>
        </w:rPr>
        <w:t xml:space="preserve">Se reforzó el servicio de atención al personal en materia de consultas financieras mediante una orientación continua sobre la nómina global y las prestaciones económicas del personal, </w:t>
      </w:r>
      <w:r w:rsidR="00EC1387" w:rsidRPr="00E90022">
        <w:rPr>
          <w:lang w:val="es-ES"/>
        </w:rPr>
        <w:t xml:space="preserve">incluido </w:t>
      </w:r>
      <w:r w:rsidR="004D528B" w:rsidRPr="00E90022">
        <w:rPr>
          <w:lang w:val="es-ES"/>
        </w:rPr>
        <w:t>asesoramiento sobre cuestiones bancarias y la coordinación con el PNUD en relación con las solicitudes de pago. Con el fin de racionalizar aún más las operaciones, se elaboraron nuevos procedimientos operativos estándar (SOP), lo que permitió mejorar la eficiencia y la coherencia de las actividades relacionadas con las nóminas</w:t>
      </w:r>
      <w:r w:rsidRPr="00E90022">
        <w:rPr>
          <w:lang w:val="es-ES"/>
        </w:rPr>
        <w:t>.</w:t>
      </w:r>
    </w:p>
    <w:p w14:paraId="4AC05FAC" w14:textId="0DD3BB68" w:rsidR="005873CA" w:rsidRPr="00E90022" w:rsidRDefault="005873CA" w:rsidP="00B0546E">
      <w:pPr>
        <w:pStyle w:val="enumlev1"/>
        <w:jc w:val="both"/>
        <w:rPr>
          <w:lang w:val="es-ES"/>
        </w:rPr>
      </w:pPr>
      <w:r w:rsidRPr="00E90022">
        <w:rPr>
          <w:lang w:val="es-ES"/>
        </w:rPr>
        <w:t>8</w:t>
      </w:r>
      <w:r w:rsidR="00EF1292" w:rsidRPr="00E90022">
        <w:rPr>
          <w:lang w:val="es-ES"/>
        </w:rPr>
        <w:t>)</w:t>
      </w:r>
      <w:r w:rsidRPr="00E90022">
        <w:rPr>
          <w:lang w:val="es-ES"/>
        </w:rPr>
        <w:tab/>
      </w:r>
      <w:r w:rsidR="00D96B5C" w:rsidRPr="00E90022">
        <w:rPr>
          <w:lang w:val="es-ES"/>
        </w:rPr>
        <w:t xml:space="preserve">El HRMD </w:t>
      </w:r>
      <w:r w:rsidR="007D1670" w:rsidRPr="00E90022">
        <w:rPr>
          <w:lang w:val="es-ES"/>
        </w:rPr>
        <w:t xml:space="preserve">ayudó </w:t>
      </w:r>
      <w:r w:rsidR="00462CF6" w:rsidRPr="00E90022">
        <w:rPr>
          <w:lang w:val="es-ES"/>
        </w:rPr>
        <w:t>a</w:t>
      </w:r>
      <w:r w:rsidR="00D96B5C" w:rsidRPr="00E90022">
        <w:rPr>
          <w:lang w:val="es-ES"/>
        </w:rPr>
        <w:t xml:space="preserve">l Vicesecretario General </w:t>
      </w:r>
      <w:r w:rsidR="006F173C" w:rsidRPr="00E90022">
        <w:rPr>
          <w:lang w:val="es-ES"/>
        </w:rPr>
        <w:t>para</w:t>
      </w:r>
      <w:r w:rsidR="00462CF6" w:rsidRPr="00E90022">
        <w:rPr>
          <w:lang w:val="es-ES"/>
        </w:rPr>
        <w:t xml:space="preserve"> liderar </w:t>
      </w:r>
      <w:r w:rsidR="00D96B5C" w:rsidRPr="00E90022">
        <w:rPr>
          <w:lang w:val="es-ES"/>
        </w:rPr>
        <w:t xml:space="preserve">el Grupo de Trabajo de la Junta de Jefes Ejecutivos de las Naciones Unidas (CEB) para la </w:t>
      </w:r>
      <w:r w:rsidR="007D1670" w:rsidRPr="00E90022">
        <w:rPr>
          <w:lang w:val="es-ES"/>
        </w:rPr>
        <w:t>P</w:t>
      </w:r>
      <w:r w:rsidR="00D96B5C" w:rsidRPr="00E90022">
        <w:rPr>
          <w:lang w:val="es-ES"/>
        </w:rPr>
        <w:t xml:space="preserve">revención y la </w:t>
      </w:r>
      <w:r w:rsidR="007D1670" w:rsidRPr="00E90022">
        <w:rPr>
          <w:lang w:val="es-ES"/>
        </w:rPr>
        <w:t>R</w:t>
      </w:r>
      <w:r w:rsidR="00D96B5C" w:rsidRPr="00E90022">
        <w:rPr>
          <w:lang w:val="es-ES"/>
        </w:rPr>
        <w:t xml:space="preserve">espuesta contra el </w:t>
      </w:r>
      <w:r w:rsidR="007D1670" w:rsidRPr="00E90022">
        <w:rPr>
          <w:lang w:val="es-ES"/>
        </w:rPr>
        <w:t>A</w:t>
      </w:r>
      <w:r w:rsidR="00D96B5C" w:rsidRPr="00E90022">
        <w:rPr>
          <w:lang w:val="es-ES"/>
        </w:rPr>
        <w:t xml:space="preserve">coso </w:t>
      </w:r>
      <w:r w:rsidR="007D1670" w:rsidRPr="00E90022">
        <w:rPr>
          <w:lang w:val="es-ES"/>
        </w:rPr>
        <w:t>S</w:t>
      </w:r>
      <w:r w:rsidR="00D96B5C" w:rsidRPr="00E90022">
        <w:rPr>
          <w:lang w:val="es-ES"/>
        </w:rPr>
        <w:t xml:space="preserve">exual. Por otra parte, a lo largo del año, el HRMD proporcionó orientación al personal y a los directivos sobre cuestiones operativas y administrativas complejas, contribuyendo a mejorar la eficiencia, la coherencia y la transparencia en los procesos relacionados con las dimisiones, las jubilaciones y los planes de mejora del rendimiento, entre otros. En 2025, se aplicó una sanción disciplinaria —una amonestación verbal por </w:t>
      </w:r>
      <w:r w:rsidR="00EE25B7" w:rsidRPr="00E90022">
        <w:rPr>
          <w:lang w:val="es-ES"/>
        </w:rPr>
        <w:t xml:space="preserve">el </w:t>
      </w:r>
      <w:r w:rsidR="00D96B5C" w:rsidRPr="00E90022">
        <w:rPr>
          <w:lang w:val="es-ES"/>
        </w:rPr>
        <w:t>uso no autorizado de los recursos de la UIT— a un miembro del personal de la UIT. No se aplicó ninguna sanción en relación con denuncias de explotación y abuso sexuales, acoso sexual o cualquier otro tipo de conducta indebida.</w:t>
      </w:r>
    </w:p>
    <w:p w14:paraId="51232BDD" w14:textId="7D335C42" w:rsidR="005873CA" w:rsidRPr="00E90022" w:rsidRDefault="005873CA" w:rsidP="00B0546E">
      <w:pPr>
        <w:pStyle w:val="enumlev1"/>
        <w:jc w:val="both"/>
        <w:rPr>
          <w:lang w:val="es-ES"/>
        </w:rPr>
      </w:pPr>
      <w:r w:rsidRPr="00E90022">
        <w:rPr>
          <w:lang w:val="es-ES"/>
        </w:rPr>
        <w:lastRenderedPageBreak/>
        <w:t>9</w:t>
      </w:r>
      <w:r w:rsidR="00EF1292" w:rsidRPr="00E90022">
        <w:rPr>
          <w:lang w:val="es-ES"/>
        </w:rPr>
        <w:t>)</w:t>
      </w:r>
      <w:r w:rsidRPr="00E90022">
        <w:rPr>
          <w:lang w:val="es-ES"/>
        </w:rPr>
        <w:tab/>
      </w:r>
      <w:r w:rsidR="00C74FD5" w:rsidRPr="00E90022">
        <w:rPr>
          <w:lang w:val="es-ES"/>
        </w:rPr>
        <w:t xml:space="preserve">Se ha seguido </w:t>
      </w:r>
      <w:r w:rsidR="008711C8" w:rsidRPr="00E90022">
        <w:rPr>
          <w:lang w:val="es-ES"/>
        </w:rPr>
        <w:t xml:space="preserve">analizando </w:t>
      </w:r>
      <w:r w:rsidR="00C74FD5" w:rsidRPr="00E90022">
        <w:rPr>
          <w:lang w:val="es-ES"/>
        </w:rPr>
        <w:t xml:space="preserve">y </w:t>
      </w:r>
      <w:r w:rsidR="008711C8" w:rsidRPr="00E90022">
        <w:rPr>
          <w:lang w:val="es-ES"/>
        </w:rPr>
        <w:t>revisando</w:t>
      </w:r>
      <w:r w:rsidR="00C74FD5" w:rsidRPr="00E90022">
        <w:rPr>
          <w:lang w:val="es-ES"/>
        </w:rPr>
        <w:t xml:space="preserve"> los procesos operativos de recursos humanos, haciendo hincapié en la optimización y simplificación de las etapas y los procedimientos principales. En consonancia con las prioridades de eficiencia operativa y automatización de</w:t>
      </w:r>
      <w:r w:rsidR="00EB0AE0" w:rsidRPr="00E90022">
        <w:rPr>
          <w:lang w:val="es-ES"/>
        </w:rPr>
        <w:t>l</w:t>
      </w:r>
      <w:r w:rsidR="00C74FD5" w:rsidRPr="00E90022">
        <w:rPr>
          <w:lang w:val="es-ES"/>
        </w:rPr>
        <w:t xml:space="preserve"> HRMD, y en colaboración con el equipo de ISD/ERP, se han incorporado una serie de mejoras en SAP HR, y se están desarrollando otras adicionales. </w:t>
      </w:r>
      <w:r w:rsidR="00EB0AE0" w:rsidRPr="00E90022">
        <w:rPr>
          <w:lang w:val="es-ES"/>
        </w:rPr>
        <w:t xml:space="preserve">El </w:t>
      </w:r>
      <w:r w:rsidR="00C74FD5" w:rsidRPr="00E90022">
        <w:rPr>
          <w:lang w:val="es-ES"/>
        </w:rPr>
        <w:t xml:space="preserve">HRMD ha elaborado unas directrices </w:t>
      </w:r>
      <w:r w:rsidR="00EB0AE0" w:rsidRPr="00E90022">
        <w:rPr>
          <w:lang w:val="es-ES"/>
        </w:rPr>
        <w:t xml:space="preserve">en materia de </w:t>
      </w:r>
      <w:r w:rsidR="00C74FD5" w:rsidRPr="00E90022">
        <w:rPr>
          <w:lang w:val="es-ES"/>
        </w:rPr>
        <w:t>archivo y está iniciando el proceso de archiv</w:t>
      </w:r>
      <w:r w:rsidR="00E26042" w:rsidRPr="00E90022">
        <w:rPr>
          <w:lang w:val="es-ES"/>
        </w:rPr>
        <w:t>o</w:t>
      </w:r>
      <w:r w:rsidR="00C74FD5" w:rsidRPr="00E90022">
        <w:rPr>
          <w:lang w:val="es-ES"/>
        </w:rPr>
        <w:t xml:space="preserve"> de documentos importantes para reforzar la trazabilidad y mejorar la gestión del conocimiento</w:t>
      </w:r>
      <w:r w:rsidRPr="00E90022">
        <w:rPr>
          <w:lang w:val="es-ES"/>
        </w:rPr>
        <w:t>.</w:t>
      </w:r>
    </w:p>
    <w:p w14:paraId="4D56AA15" w14:textId="0EC93C3B" w:rsidR="005873CA" w:rsidRPr="00E90022" w:rsidRDefault="005873CA" w:rsidP="00B0546E">
      <w:pPr>
        <w:pStyle w:val="enumlev1"/>
        <w:jc w:val="both"/>
        <w:rPr>
          <w:lang w:val="es-ES"/>
        </w:rPr>
      </w:pPr>
      <w:r w:rsidRPr="00E90022">
        <w:rPr>
          <w:lang w:val="es-ES"/>
        </w:rPr>
        <w:t>10</w:t>
      </w:r>
      <w:r w:rsidR="00EF1292" w:rsidRPr="00E90022">
        <w:rPr>
          <w:lang w:val="es-ES"/>
        </w:rPr>
        <w:t>)</w:t>
      </w:r>
      <w:r w:rsidRPr="00E90022">
        <w:rPr>
          <w:lang w:val="es-ES"/>
        </w:rPr>
        <w:tab/>
      </w:r>
      <w:r w:rsidR="00487177" w:rsidRPr="00E90022">
        <w:rPr>
          <w:lang w:val="es-ES"/>
        </w:rPr>
        <w:t xml:space="preserve">Se </w:t>
      </w:r>
      <w:r w:rsidR="00DE652E" w:rsidRPr="00E90022">
        <w:rPr>
          <w:lang w:val="es-ES"/>
        </w:rPr>
        <w:t>perfeccionó</w:t>
      </w:r>
      <w:r w:rsidR="00487177" w:rsidRPr="00E90022">
        <w:rPr>
          <w:lang w:val="es-ES"/>
        </w:rPr>
        <w:t xml:space="preserve"> </w:t>
      </w:r>
      <w:r w:rsidR="00DE652E" w:rsidRPr="00E90022">
        <w:rPr>
          <w:lang w:val="es-ES"/>
        </w:rPr>
        <w:t>e</w:t>
      </w:r>
      <w:r w:rsidR="00487177" w:rsidRPr="00E90022">
        <w:rPr>
          <w:lang w:val="es-ES"/>
        </w:rPr>
        <w:t xml:space="preserve">l análisis de recursos humanos y la calidad de los datos para </w:t>
      </w:r>
      <w:r w:rsidR="00DE652E" w:rsidRPr="00E90022">
        <w:rPr>
          <w:lang w:val="es-ES"/>
        </w:rPr>
        <w:t xml:space="preserve">contribuir </w:t>
      </w:r>
      <w:r w:rsidR="00487177" w:rsidRPr="00E90022">
        <w:rPr>
          <w:lang w:val="es-ES"/>
        </w:rPr>
        <w:t xml:space="preserve">la toma de decisiones </w:t>
      </w:r>
      <w:r w:rsidR="00822B37" w:rsidRPr="00E90022">
        <w:rPr>
          <w:lang w:val="es-ES"/>
        </w:rPr>
        <w:t>empíricas</w:t>
      </w:r>
      <w:r w:rsidR="00487177" w:rsidRPr="00E90022">
        <w:rPr>
          <w:lang w:val="es-ES"/>
        </w:rPr>
        <w:t xml:space="preserve">. </w:t>
      </w:r>
      <w:r w:rsidR="00822B37" w:rsidRPr="00E90022">
        <w:rPr>
          <w:lang w:val="es-ES"/>
        </w:rPr>
        <w:t xml:space="preserve">Asimismo, </w:t>
      </w:r>
      <w:r w:rsidR="00487177" w:rsidRPr="00E90022">
        <w:rPr>
          <w:lang w:val="es-ES"/>
        </w:rPr>
        <w:t xml:space="preserve">se </w:t>
      </w:r>
      <w:r w:rsidR="00C33350" w:rsidRPr="00E90022">
        <w:rPr>
          <w:lang w:val="es-ES"/>
        </w:rPr>
        <w:t>aumentaron</w:t>
      </w:r>
      <w:r w:rsidR="00487177" w:rsidRPr="00E90022">
        <w:rPr>
          <w:lang w:val="es-ES"/>
        </w:rPr>
        <w:t xml:space="preserve"> las capacidades de inteligencia </w:t>
      </w:r>
      <w:r w:rsidR="00822B37" w:rsidRPr="00E90022">
        <w:rPr>
          <w:lang w:val="es-ES"/>
        </w:rPr>
        <w:t xml:space="preserve">institucional </w:t>
      </w:r>
      <w:r w:rsidR="00487177" w:rsidRPr="00E90022">
        <w:rPr>
          <w:lang w:val="es-ES"/>
        </w:rPr>
        <w:t xml:space="preserve">a través de las aplicaciones Power BI y SAP Business Warehouse (BW), </w:t>
      </w:r>
      <w:r w:rsidR="00B22BD8" w:rsidRPr="00E90022">
        <w:rPr>
          <w:lang w:val="es-ES"/>
        </w:rPr>
        <w:t xml:space="preserve">lo </w:t>
      </w:r>
      <w:r w:rsidR="002C12C5" w:rsidRPr="00E90022">
        <w:rPr>
          <w:lang w:val="es-ES"/>
        </w:rPr>
        <w:t xml:space="preserve">que permitió </w:t>
      </w:r>
      <w:r w:rsidR="00B22BD8" w:rsidRPr="00E90022">
        <w:rPr>
          <w:lang w:val="es-ES"/>
        </w:rPr>
        <w:t xml:space="preserve">mejorar, entre otras cosas, </w:t>
      </w:r>
      <w:r w:rsidR="00487177" w:rsidRPr="00E90022">
        <w:rPr>
          <w:lang w:val="es-ES"/>
        </w:rPr>
        <w:t xml:space="preserve">el Informe </w:t>
      </w:r>
      <w:r w:rsidR="00C92B25" w:rsidRPr="00E90022">
        <w:rPr>
          <w:lang w:val="es-ES"/>
        </w:rPr>
        <w:t>analítico del personal</w:t>
      </w:r>
      <w:r w:rsidR="00487177" w:rsidRPr="00E90022">
        <w:rPr>
          <w:lang w:val="es-ES"/>
        </w:rPr>
        <w:t xml:space="preserve"> para el Consejo. Además de responder a aproximadamente 200 solicitudes </w:t>
      </w:r>
      <w:r w:rsidR="00C92B25" w:rsidRPr="00E90022">
        <w:rPr>
          <w:lang w:val="es-ES"/>
        </w:rPr>
        <w:t>de informes internas y externas</w:t>
      </w:r>
      <w:r w:rsidR="00487177" w:rsidRPr="00E90022">
        <w:rPr>
          <w:lang w:val="es-ES"/>
        </w:rPr>
        <w:t xml:space="preserve">, el HRMD </w:t>
      </w:r>
      <w:r w:rsidR="00B333A8" w:rsidRPr="00E90022">
        <w:rPr>
          <w:lang w:val="es-ES"/>
        </w:rPr>
        <w:t>logró avanzar</w:t>
      </w:r>
      <w:r w:rsidR="00487177" w:rsidRPr="00E90022">
        <w:rPr>
          <w:lang w:val="es-ES"/>
        </w:rPr>
        <w:t xml:space="preserve"> en la integración de datos entre SAP HR, ePMDS, el </w:t>
      </w:r>
      <w:r w:rsidR="00B333A8" w:rsidRPr="00E90022">
        <w:rPr>
          <w:lang w:val="es-ES"/>
        </w:rPr>
        <w:t>s</w:t>
      </w:r>
      <w:r w:rsidR="00487177" w:rsidRPr="00E90022">
        <w:rPr>
          <w:lang w:val="es-ES"/>
        </w:rPr>
        <w:t xml:space="preserve">istema de </w:t>
      </w:r>
      <w:r w:rsidR="00B333A8" w:rsidRPr="00E90022">
        <w:rPr>
          <w:lang w:val="es-ES"/>
        </w:rPr>
        <w:t>g</w:t>
      </w:r>
      <w:r w:rsidR="00487177" w:rsidRPr="00E90022">
        <w:rPr>
          <w:lang w:val="es-ES"/>
        </w:rPr>
        <w:t xml:space="preserve">estión de </w:t>
      </w:r>
      <w:r w:rsidR="00B333A8" w:rsidRPr="00E90022">
        <w:rPr>
          <w:lang w:val="es-ES"/>
        </w:rPr>
        <w:t>c</w:t>
      </w:r>
      <w:r w:rsidR="00487177" w:rsidRPr="00E90022">
        <w:rPr>
          <w:lang w:val="es-ES"/>
        </w:rPr>
        <w:t xml:space="preserve">ontratación (RMS) y el </w:t>
      </w:r>
      <w:r w:rsidR="00B333A8" w:rsidRPr="00E90022">
        <w:rPr>
          <w:lang w:val="es-ES"/>
        </w:rPr>
        <w:t>s</w:t>
      </w:r>
      <w:r w:rsidR="00487177" w:rsidRPr="00E90022">
        <w:rPr>
          <w:lang w:val="es-ES"/>
        </w:rPr>
        <w:t xml:space="preserve">istema de </w:t>
      </w:r>
      <w:r w:rsidR="00B333A8" w:rsidRPr="00E90022">
        <w:rPr>
          <w:lang w:val="es-ES"/>
        </w:rPr>
        <w:t>g</w:t>
      </w:r>
      <w:r w:rsidR="00487177" w:rsidRPr="00E90022">
        <w:rPr>
          <w:lang w:val="es-ES"/>
        </w:rPr>
        <w:t xml:space="preserve">estión </w:t>
      </w:r>
      <w:r w:rsidR="0040111A" w:rsidRPr="00E90022">
        <w:rPr>
          <w:lang w:val="es-ES"/>
        </w:rPr>
        <w:t xml:space="preserve">de la formación </w:t>
      </w:r>
      <w:r w:rsidR="00487177" w:rsidRPr="00E90022">
        <w:rPr>
          <w:lang w:val="es-ES"/>
        </w:rPr>
        <w:t xml:space="preserve">(LMS). La </w:t>
      </w:r>
      <w:r w:rsidR="00A83576" w:rsidRPr="00E90022">
        <w:rPr>
          <w:lang w:val="es-ES"/>
        </w:rPr>
        <w:t>depuración</w:t>
      </w:r>
      <w:r w:rsidR="00487177" w:rsidRPr="00E90022">
        <w:rPr>
          <w:lang w:val="es-ES"/>
        </w:rPr>
        <w:t xml:space="preserve"> selectiva de datos contribuyó a mejorar la fiabilidad general</w:t>
      </w:r>
      <w:r w:rsidRPr="00E90022">
        <w:rPr>
          <w:lang w:val="es-ES"/>
        </w:rPr>
        <w:t>.</w:t>
      </w:r>
    </w:p>
    <w:p w14:paraId="10C7B795" w14:textId="321A61E0" w:rsidR="005873CA" w:rsidRPr="00E90022" w:rsidRDefault="005873CA" w:rsidP="00B0546E">
      <w:pPr>
        <w:pStyle w:val="enumlev1"/>
        <w:jc w:val="both"/>
        <w:rPr>
          <w:lang w:val="es-ES"/>
        </w:rPr>
      </w:pPr>
      <w:r w:rsidRPr="00E90022">
        <w:rPr>
          <w:spacing w:val="-3"/>
          <w:lang w:val="es-ES"/>
        </w:rPr>
        <w:t>11</w:t>
      </w:r>
      <w:r w:rsidR="00EF1292" w:rsidRPr="00E90022">
        <w:rPr>
          <w:spacing w:val="-3"/>
          <w:lang w:val="es-ES"/>
        </w:rPr>
        <w:t>)</w:t>
      </w:r>
      <w:r w:rsidRPr="00E90022">
        <w:rPr>
          <w:spacing w:val="-3"/>
          <w:lang w:val="es-ES"/>
        </w:rPr>
        <w:tab/>
      </w:r>
      <w:r w:rsidR="00D2659E" w:rsidRPr="00E90022">
        <w:rPr>
          <w:lang w:val="es-ES"/>
        </w:rPr>
        <w:t xml:space="preserve">El HRMD siguió reforzando la rendición de cuentas aportando su contribución a la aplicación de las recomendaciones pendientes relativas a sus ámbitos de responsabilidad, incluidas las derivadas de la auditoría interna, la auditoría externa, la DCI y el </w:t>
      </w:r>
      <w:r w:rsidR="00820C75" w:rsidRPr="00E90022">
        <w:rPr>
          <w:lang w:val="es-ES"/>
        </w:rPr>
        <w:t>CAIG</w:t>
      </w:r>
      <w:r w:rsidR="00D2659E" w:rsidRPr="00E90022">
        <w:rPr>
          <w:lang w:val="es-ES"/>
        </w:rPr>
        <w:t>, en consonancia con las prioridades de gestión de riesgos. Desde agosto de 2023, se han dado por zanjadas 58 de esas recomendaciones. Se ha llevado a cabo una rigurosa clasificación por temas y prioridades. Los avances se basan en: i) una rendición de cuentas concreta, con tareas integradas en el plan de trabajo anual; ii) un seguimiento sistemático mediante revisiones periódicas para identificar los escollos, y iii) una priorización basada en el riesgo, centrada en los asuntos cruciales sin resolver.</w:t>
      </w:r>
    </w:p>
    <w:p w14:paraId="0309EF3E" w14:textId="0EF3DC58" w:rsidR="00AD2E1C" w:rsidRPr="00E90022" w:rsidRDefault="00AD2E1C" w:rsidP="00AD2E1C">
      <w:pPr>
        <w:pStyle w:val="Headingb"/>
        <w:rPr>
          <w:lang w:val="es-ES"/>
        </w:rPr>
      </w:pPr>
      <w:r w:rsidRPr="00E90022">
        <w:rPr>
          <w:lang w:val="es-ES"/>
        </w:rPr>
        <w:t xml:space="preserve">Transición </w:t>
      </w:r>
      <w:r w:rsidR="00C97EAF" w:rsidRPr="00E90022">
        <w:rPr>
          <w:lang w:val="es-ES"/>
        </w:rPr>
        <w:t>hacia</w:t>
      </w:r>
      <w:r w:rsidRPr="00E90022">
        <w:rPr>
          <w:lang w:val="es-ES"/>
        </w:rPr>
        <w:t xml:space="preserve"> el Plan Estratégico de Recursos Humanos</w:t>
      </w:r>
      <w:r w:rsidR="00C97EAF" w:rsidRPr="00E90022">
        <w:rPr>
          <w:lang w:val="es-ES"/>
        </w:rPr>
        <w:t xml:space="preserve"> de la UIT para 2026-2027</w:t>
      </w:r>
    </w:p>
    <w:p w14:paraId="7F1B8253" w14:textId="1FFA46F8" w:rsidR="002252B6" w:rsidRPr="00E90022" w:rsidRDefault="00A91B0A" w:rsidP="00B0546E">
      <w:pPr>
        <w:rPr>
          <w:lang w:val="es-ES"/>
        </w:rPr>
      </w:pPr>
      <w:r w:rsidRPr="00E90022">
        <w:rPr>
          <w:lang w:val="es-ES" w:eastAsia="zh-CN"/>
        </w:rPr>
        <w:t xml:space="preserve">Con la finalización del </w:t>
      </w:r>
      <w:r w:rsidR="00E81A08" w:rsidRPr="00E90022">
        <w:rPr>
          <w:lang w:val="es-ES" w:eastAsia="zh-CN"/>
        </w:rPr>
        <w:t>P</w:t>
      </w:r>
      <w:r w:rsidRPr="00E90022">
        <w:rPr>
          <w:lang w:val="es-ES" w:eastAsia="zh-CN"/>
        </w:rPr>
        <w:t xml:space="preserve">lan de </w:t>
      </w:r>
      <w:r w:rsidR="00E81A08" w:rsidRPr="00E90022">
        <w:rPr>
          <w:lang w:val="es-ES" w:eastAsia="zh-CN"/>
        </w:rPr>
        <w:t>T</w:t>
      </w:r>
      <w:r w:rsidRPr="00E90022">
        <w:rPr>
          <w:lang w:val="es-ES" w:eastAsia="zh-CN"/>
        </w:rPr>
        <w:t xml:space="preserve">ransformación de </w:t>
      </w:r>
      <w:r w:rsidR="00E81A08" w:rsidRPr="00E90022">
        <w:rPr>
          <w:lang w:val="es-ES" w:eastAsia="zh-CN"/>
        </w:rPr>
        <w:t>R</w:t>
      </w:r>
      <w:r w:rsidRPr="00E90022">
        <w:rPr>
          <w:lang w:val="es-ES" w:eastAsia="zh-CN"/>
        </w:rPr>
        <w:t xml:space="preserve">ecursos </w:t>
      </w:r>
      <w:r w:rsidR="00E81A08" w:rsidRPr="00E90022">
        <w:rPr>
          <w:lang w:val="es-ES" w:eastAsia="zh-CN"/>
        </w:rPr>
        <w:t>H</w:t>
      </w:r>
      <w:r w:rsidRPr="00E90022">
        <w:rPr>
          <w:lang w:val="es-ES" w:eastAsia="zh-CN"/>
        </w:rPr>
        <w:t>umanos (</w:t>
      </w:r>
      <w:r w:rsidR="00E81A08" w:rsidRPr="00E90022">
        <w:rPr>
          <w:lang w:val="es-ES" w:eastAsia="zh-CN"/>
        </w:rPr>
        <w:t>PTRH</w:t>
      </w:r>
      <w:r w:rsidRPr="00E90022">
        <w:rPr>
          <w:lang w:val="es-ES" w:eastAsia="zh-CN"/>
        </w:rPr>
        <w:t xml:space="preserve">), la UIT está realizando la transición al Plan Estratégico de Recursos Humanos de la UIT para 2026-2027 (que </w:t>
      </w:r>
      <w:r w:rsidR="00AC1543" w:rsidRPr="00E90022">
        <w:rPr>
          <w:lang w:val="es-ES" w:eastAsia="zh-CN"/>
        </w:rPr>
        <w:t xml:space="preserve">habrá de aprobar </w:t>
      </w:r>
      <w:r w:rsidRPr="00E90022">
        <w:rPr>
          <w:lang w:val="es-ES" w:eastAsia="zh-CN"/>
        </w:rPr>
        <w:t xml:space="preserve">el Consejo), con lo que se completa el ciclo de planificación cuatrienal exigido en la Resolución 48. Este plan bienal de transición consolidará e integrará los resultados de la transformación de los recursos humanos —pasando del diseño y la puesta en marcha a la adopción sostenida y a </w:t>
      </w:r>
      <w:r w:rsidR="0069781F" w:rsidRPr="00E90022">
        <w:rPr>
          <w:lang w:val="es-ES" w:eastAsia="zh-CN"/>
        </w:rPr>
        <w:t>efectos</w:t>
      </w:r>
      <w:r w:rsidRPr="00E90022">
        <w:rPr>
          <w:lang w:val="es-ES" w:eastAsia="zh-CN"/>
        </w:rPr>
        <w:t xml:space="preserve"> cuantificables— y</w:t>
      </w:r>
      <w:r w:rsidR="0069781F" w:rsidRPr="00E90022">
        <w:rPr>
          <w:lang w:val="es-ES" w:eastAsia="zh-CN"/>
        </w:rPr>
        <w:t>, a su vez,</w:t>
      </w:r>
      <w:r w:rsidRPr="00E90022">
        <w:rPr>
          <w:lang w:val="es-ES" w:eastAsia="zh-CN"/>
        </w:rPr>
        <w:t xml:space="preserve"> garantizará una </w:t>
      </w:r>
      <w:r w:rsidR="00DB5830" w:rsidRPr="00E90022">
        <w:rPr>
          <w:lang w:val="es-ES" w:eastAsia="zh-CN"/>
        </w:rPr>
        <w:t>transición armoniosa</w:t>
      </w:r>
      <w:r w:rsidR="0069500C" w:rsidRPr="00E90022">
        <w:rPr>
          <w:lang w:val="es-ES" w:eastAsia="zh-CN"/>
        </w:rPr>
        <w:t xml:space="preserve"> hacia </w:t>
      </w:r>
      <w:r w:rsidRPr="00E90022">
        <w:rPr>
          <w:lang w:val="es-ES" w:eastAsia="zh-CN"/>
        </w:rPr>
        <w:t>el próximo ciclo de planificación estratégica cuatrienal de la UIT</w:t>
      </w:r>
      <w:r w:rsidR="002252B6" w:rsidRPr="00E90022">
        <w:rPr>
          <w:lang w:val="es-ES"/>
        </w:rPr>
        <w:t>.</w:t>
      </w:r>
    </w:p>
    <w:p w14:paraId="72F0D3DF" w14:textId="65F6E0F2" w:rsidR="002252B6" w:rsidRPr="00B0546E" w:rsidRDefault="002252B6" w:rsidP="00B0546E">
      <w:pPr>
        <w:pStyle w:val="Reasons"/>
        <w:spacing w:before="2400"/>
        <w:rPr>
          <w:lang w:val="es-ES"/>
        </w:rPr>
      </w:pPr>
      <w:r w:rsidRPr="00B0546E">
        <w:rPr>
          <w:b/>
          <w:bCs/>
          <w:lang w:val="es-ES"/>
        </w:rPr>
        <w:t>Anexo</w:t>
      </w:r>
      <w:r w:rsidRPr="00B0546E">
        <w:rPr>
          <w:lang w:val="es-ES"/>
        </w:rPr>
        <w:t>: 1</w:t>
      </w:r>
    </w:p>
    <w:p w14:paraId="47353D18" w14:textId="77777777" w:rsidR="002D0B73" w:rsidRPr="00E90022" w:rsidRDefault="002D0B73" w:rsidP="0032202E">
      <w:pPr>
        <w:pStyle w:val="Reasons"/>
        <w:rPr>
          <w:lang w:val="es-ES"/>
        </w:rPr>
        <w:sectPr w:rsidR="002D0B73" w:rsidRPr="00E90022" w:rsidSect="00C538FC">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pPr>
    </w:p>
    <w:p w14:paraId="2A6C8099" w14:textId="21FBD0B5" w:rsidR="00074714" w:rsidRPr="00E90022" w:rsidRDefault="00074714" w:rsidP="003C1A9D">
      <w:pPr>
        <w:pStyle w:val="AnnexNo"/>
        <w:spacing w:before="120"/>
        <w:rPr>
          <w:lang w:val="es-ES"/>
        </w:rPr>
      </w:pPr>
      <w:r w:rsidRPr="00E90022">
        <w:rPr>
          <w:lang w:val="es-ES"/>
        </w:rPr>
        <w:lastRenderedPageBreak/>
        <w:t>Anex</w:t>
      </w:r>
      <w:r w:rsidR="00782027" w:rsidRPr="00E90022">
        <w:rPr>
          <w:lang w:val="es-ES"/>
        </w:rPr>
        <w:t>O</w:t>
      </w:r>
      <w:r w:rsidRPr="00E90022">
        <w:rPr>
          <w:lang w:val="es-ES"/>
        </w:rPr>
        <w:t xml:space="preserve"> </w:t>
      </w:r>
      <w:r w:rsidR="003C1A9D" w:rsidRPr="00E90022">
        <w:rPr>
          <w:lang w:val="es-ES"/>
        </w:rPr>
        <w:t>1</w:t>
      </w:r>
    </w:p>
    <w:p w14:paraId="1F8E452D" w14:textId="0DABC055" w:rsidR="00074714" w:rsidRPr="00E90022" w:rsidRDefault="008E79D0" w:rsidP="00074714">
      <w:pPr>
        <w:pStyle w:val="Annextitle"/>
        <w:rPr>
          <w:lang w:val="es-ES" w:eastAsia="zh-CN"/>
        </w:rPr>
      </w:pPr>
      <w:r w:rsidRPr="00E90022">
        <w:rPr>
          <w:lang w:val="es-ES"/>
        </w:rPr>
        <w:t>Aplicación de la Resolución 48 – Indicadores de recursos humanos e información actualizada sobre los progresos</w:t>
      </w:r>
      <w:r w:rsidR="00074714" w:rsidRPr="00E90022">
        <w:rPr>
          <w:lang w:val="es-ES" w:eastAsia="zh-CN"/>
        </w:rPr>
        <w:t xml:space="preserve"> </w:t>
      </w:r>
      <w:r w:rsidR="00074714" w:rsidRPr="00E90022">
        <w:rPr>
          <w:lang w:val="es-ES" w:eastAsia="zh-CN"/>
        </w:rPr>
        <w:br/>
        <w:t>(</w:t>
      </w:r>
      <w:r w:rsidR="00782027" w:rsidRPr="00E90022">
        <w:rPr>
          <w:lang w:val="es-ES" w:eastAsia="zh-CN"/>
        </w:rPr>
        <w:t xml:space="preserve">a finales de febrero de </w:t>
      </w:r>
      <w:r w:rsidR="00074714" w:rsidRPr="00E90022">
        <w:rPr>
          <w:lang w:val="es-ES" w:eastAsia="zh-CN"/>
        </w:rPr>
        <w:t>2026)</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586"/>
        <w:gridCol w:w="1483"/>
        <w:gridCol w:w="4987"/>
        <w:gridCol w:w="7119"/>
      </w:tblGrid>
      <w:tr w:rsidR="00074714" w:rsidRPr="00C92D1F" w14:paraId="0BF38CCD" w14:textId="77777777" w:rsidTr="00C90203">
        <w:trPr>
          <w:trHeight w:val="401"/>
          <w:tblHeader/>
          <w:jc w:val="center"/>
        </w:trPr>
        <w:tc>
          <w:tcPr>
            <w:tcW w:w="207" w:type="pct"/>
            <w:shd w:val="clear" w:color="auto" w:fill="B8CCE4" w:themeFill="accent1" w:themeFillTint="66"/>
            <w:hideMark/>
          </w:tcPr>
          <w:p w14:paraId="30008FCA" w14:textId="05C6833E" w:rsidR="00074714" w:rsidRPr="00E90022" w:rsidRDefault="00074714" w:rsidP="000F4735">
            <w:pPr>
              <w:pStyle w:val="Tablehead"/>
              <w:rPr>
                <w:lang w:val="es-ES"/>
              </w:rPr>
            </w:pPr>
            <w:r w:rsidRPr="00E90022">
              <w:rPr>
                <w:lang w:val="es-ES"/>
              </w:rPr>
              <w:t>N</w:t>
            </w:r>
            <w:r w:rsidR="000347CC" w:rsidRPr="00E90022">
              <w:rPr>
                <w:lang w:val="es-ES"/>
              </w:rPr>
              <w:t>úm.</w:t>
            </w:r>
          </w:p>
        </w:tc>
        <w:tc>
          <w:tcPr>
            <w:tcW w:w="523" w:type="pct"/>
            <w:shd w:val="clear" w:color="auto" w:fill="B8CCE4" w:themeFill="accent1" w:themeFillTint="66"/>
          </w:tcPr>
          <w:p w14:paraId="2098F3F4" w14:textId="1B3BDF23" w:rsidR="00074714" w:rsidRPr="00E90022" w:rsidRDefault="00040C9D" w:rsidP="000F4735">
            <w:pPr>
              <w:pStyle w:val="Tablehead"/>
              <w:rPr>
                <w:szCs w:val="22"/>
                <w:lang w:val="es-ES"/>
              </w:rPr>
            </w:pPr>
            <w:r w:rsidRPr="00E90022">
              <w:rPr>
                <w:szCs w:val="22"/>
                <w:lang w:val="es-ES"/>
              </w:rPr>
              <w:t>Temas</w:t>
            </w:r>
          </w:p>
        </w:tc>
        <w:tc>
          <w:tcPr>
            <w:tcW w:w="1759" w:type="pct"/>
            <w:shd w:val="clear" w:color="auto" w:fill="B8CCE4" w:themeFill="accent1" w:themeFillTint="66"/>
          </w:tcPr>
          <w:p w14:paraId="26D39AA1" w14:textId="781FF530" w:rsidR="00074714" w:rsidRPr="00E90022" w:rsidRDefault="00074714" w:rsidP="000F4735">
            <w:pPr>
              <w:pStyle w:val="Tablehead"/>
              <w:rPr>
                <w:lang w:val="es-ES"/>
              </w:rPr>
            </w:pPr>
            <w:r w:rsidRPr="00E90022">
              <w:rPr>
                <w:lang w:val="es-ES"/>
              </w:rPr>
              <w:t>Indica</w:t>
            </w:r>
            <w:r w:rsidR="00040C9D" w:rsidRPr="00E90022">
              <w:rPr>
                <w:lang w:val="es-ES"/>
              </w:rPr>
              <w:t>d</w:t>
            </w:r>
            <w:r w:rsidRPr="00E90022">
              <w:rPr>
                <w:lang w:val="es-ES"/>
              </w:rPr>
              <w:t>or</w:t>
            </w:r>
            <w:r w:rsidR="00040C9D" w:rsidRPr="00E90022">
              <w:rPr>
                <w:lang w:val="es-ES"/>
              </w:rPr>
              <w:t>e</w:t>
            </w:r>
            <w:r w:rsidRPr="00E90022">
              <w:rPr>
                <w:lang w:val="es-ES"/>
              </w:rPr>
              <w:t>s</w:t>
            </w:r>
          </w:p>
        </w:tc>
        <w:tc>
          <w:tcPr>
            <w:tcW w:w="2511" w:type="pct"/>
            <w:shd w:val="clear" w:color="auto" w:fill="B8CCE4" w:themeFill="accent1" w:themeFillTint="66"/>
          </w:tcPr>
          <w:p w14:paraId="1EDFD4CD" w14:textId="07C29029" w:rsidR="00074714" w:rsidRPr="00E90022" w:rsidRDefault="000347CC" w:rsidP="000F4735">
            <w:pPr>
              <w:pStyle w:val="Tablehead"/>
              <w:rPr>
                <w:lang w:val="es-ES"/>
              </w:rPr>
            </w:pPr>
            <w:r w:rsidRPr="00E90022">
              <w:rPr>
                <w:lang w:val="es-ES"/>
              </w:rPr>
              <w:t>I</w:t>
            </w:r>
            <w:r w:rsidR="00901C3C" w:rsidRPr="00E90022">
              <w:rPr>
                <w:lang w:val="es-ES"/>
              </w:rPr>
              <w:t>nformes</w:t>
            </w:r>
            <w:r w:rsidR="00074714" w:rsidRPr="00E90022">
              <w:rPr>
                <w:lang w:val="es-ES"/>
              </w:rPr>
              <w:t xml:space="preserve"> </w:t>
            </w:r>
            <w:r w:rsidR="00074714" w:rsidRPr="00E90022">
              <w:rPr>
                <w:lang w:val="es-ES"/>
              </w:rPr>
              <w:br/>
              <w:t>(</w:t>
            </w:r>
            <w:r w:rsidR="00901C3C" w:rsidRPr="00E90022">
              <w:rPr>
                <w:lang w:val="es-ES"/>
              </w:rPr>
              <w:t xml:space="preserve">situación a finales de febrero de </w:t>
            </w:r>
            <w:r w:rsidR="00074714" w:rsidRPr="00E90022">
              <w:rPr>
                <w:lang w:val="es-ES"/>
              </w:rPr>
              <w:t>2026)</w:t>
            </w:r>
          </w:p>
        </w:tc>
      </w:tr>
      <w:tr w:rsidR="00074714" w:rsidRPr="00C92D1F" w14:paraId="067EAA41" w14:textId="77777777" w:rsidTr="00C90203">
        <w:trPr>
          <w:trHeight w:val="20"/>
          <w:jc w:val="center"/>
        </w:trPr>
        <w:tc>
          <w:tcPr>
            <w:tcW w:w="207" w:type="pct"/>
            <w:shd w:val="clear" w:color="auto" w:fill="FFFFFF" w:themeFill="background1"/>
            <w:vAlign w:val="center"/>
            <w:hideMark/>
          </w:tcPr>
          <w:p w14:paraId="196D3D29" w14:textId="77777777" w:rsidR="00074714" w:rsidRPr="00E90022" w:rsidRDefault="00074714" w:rsidP="000F4735">
            <w:pPr>
              <w:pStyle w:val="Tabletext"/>
              <w:rPr>
                <w:lang w:val="es-ES"/>
              </w:rPr>
            </w:pPr>
            <w:r w:rsidRPr="00E90022">
              <w:rPr>
                <w:lang w:val="es-ES" w:eastAsia="zh-CN"/>
              </w:rPr>
              <w:t>1</w:t>
            </w:r>
          </w:p>
        </w:tc>
        <w:tc>
          <w:tcPr>
            <w:tcW w:w="523" w:type="pct"/>
            <w:shd w:val="clear" w:color="auto" w:fill="FFFFFF" w:themeFill="background1"/>
            <w:vAlign w:val="center"/>
            <w:hideMark/>
          </w:tcPr>
          <w:p w14:paraId="0ED01993" w14:textId="14817221" w:rsidR="00074714" w:rsidRPr="00E90022" w:rsidRDefault="00380F60" w:rsidP="000F4735">
            <w:pPr>
              <w:pStyle w:val="Tabletext"/>
              <w:rPr>
                <w:szCs w:val="22"/>
                <w:lang w:val="es-ES"/>
              </w:rPr>
            </w:pPr>
            <w:r w:rsidRPr="00E90022">
              <w:rPr>
                <w:color w:val="000000"/>
                <w:szCs w:val="22"/>
                <w:lang w:val="es-ES"/>
              </w:rPr>
              <w:t>Contratación y representación</w:t>
            </w:r>
          </w:p>
        </w:tc>
        <w:tc>
          <w:tcPr>
            <w:tcW w:w="1759" w:type="pct"/>
            <w:shd w:val="clear" w:color="auto" w:fill="FFFFFF" w:themeFill="background1"/>
            <w:vAlign w:val="center"/>
          </w:tcPr>
          <w:p w14:paraId="6071E169" w14:textId="5EF430A0" w:rsidR="00074714" w:rsidRPr="00E90022" w:rsidRDefault="004C3A95" w:rsidP="000F4735">
            <w:pPr>
              <w:pStyle w:val="Tabletext"/>
              <w:ind w:left="284" w:hanging="284"/>
              <w:rPr>
                <w:lang w:val="es-ES"/>
              </w:rPr>
            </w:pPr>
            <w:r w:rsidRPr="00E90022">
              <w:rPr>
                <w:lang w:val="es-ES"/>
              </w:rPr>
              <w:t>–</w:t>
            </w:r>
            <w:r w:rsidR="00074714" w:rsidRPr="00E90022">
              <w:rPr>
                <w:lang w:val="es-ES"/>
              </w:rPr>
              <w:tab/>
            </w:r>
            <w:r w:rsidR="00A9108B" w:rsidRPr="00E90022">
              <w:rPr>
                <w:lang w:val="es-ES"/>
              </w:rPr>
              <w:t xml:space="preserve">Análisis cualitativo y cuantitativo de los cambios de puesto (revisión, promoción, democión, transferencia y creación)/número total de puestos que han </w:t>
            </w:r>
            <w:r w:rsidR="0053623E" w:rsidRPr="00E90022">
              <w:rPr>
                <w:lang w:val="es-ES"/>
              </w:rPr>
              <w:t>sido objeto de</w:t>
            </w:r>
            <w:r w:rsidR="00A9108B" w:rsidRPr="00E90022">
              <w:rPr>
                <w:lang w:val="es-ES"/>
              </w:rPr>
              <w:t xml:space="preserve"> un </w:t>
            </w:r>
            <w:r w:rsidR="00D3138D" w:rsidRPr="00E90022">
              <w:rPr>
                <w:lang w:val="es-ES"/>
              </w:rPr>
              <w:t xml:space="preserve">ejercicio de </w:t>
            </w:r>
            <w:r w:rsidR="00A9108B" w:rsidRPr="00E90022">
              <w:rPr>
                <w:lang w:val="es-ES"/>
              </w:rPr>
              <w:t>clasificación</w:t>
            </w:r>
            <w:r w:rsidR="00074714" w:rsidRPr="00E90022">
              <w:rPr>
                <w:lang w:val="es-ES"/>
              </w:rPr>
              <w:t>.</w:t>
            </w:r>
          </w:p>
          <w:p w14:paraId="0BE15E27" w14:textId="35625938" w:rsidR="00074714" w:rsidRPr="00E90022" w:rsidRDefault="004C3A95" w:rsidP="004C3A95">
            <w:pPr>
              <w:pStyle w:val="Tabletext"/>
              <w:ind w:left="284" w:hanging="284"/>
              <w:rPr>
                <w:lang w:val="es-ES"/>
              </w:rPr>
            </w:pPr>
            <w:r w:rsidRPr="00E90022">
              <w:rPr>
                <w:lang w:val="es-ES"/>
              </w:rPr>
              <w:t>–</w:t>
            </w:r>
            <w:r w:rsidRPr="00E90022">
              <w:rPr>
                <w:lang w:val="es-ES"/>
              </w:rPr>
              <w:tab/>
            </w:r>
            <w:r w:rsidR="00EB5E2C" w:rsidRPr="00E90022">
              <w:rPr>
                <w:lang w:val="es-ES"/>
              </w:rPr>
              <w:t>Utilización de normas de clasificación de empleos de la CAPI</w:t>
            </w:r>
            <w:r w:rsidR="00074714" w:rsidRPr="00E90022">
              <w:rPr>
                <w:lang w:val="es-ES"/>
              </w:rPr>
              <w:t>.</w:t>
            </w:r>
          </w:p>
        </w:tc>
        <w:tc>
          <w:tcPr>
            <w:tcW w:w="2511" w:type="pct"/>
            <w:vAlign w:val="center"/>
          </w:tcPr>
          <w:p w14:paraId="5FE5ABF3" w14:textId="40F4DCCE" w:rsidR="00074714" w:rsidRPr="00E90022" w:rsidRDefault="00A83DE5" w:rsidP="000F4735">
            <w:pPr>
              <w:pStyle w:val="Tabletext"/>
              <w:rPr>
                <w:lang w:val="es-ES"/>
              </w:rPr>
            </w:pPr>
            <w:r w:rsidRPr="00E90022">
              <w:rPr>
                <w:lang w:val="es-ES"/>
              </w:rPr>
              <w:t>Actividades de clasificación entre</w:t>
            </w:r>
            <w:r w:rsidR="00074714" w:rsidRPr="00E90022">
              <w:rPr>
                <w:lang w:val="es-ES"/>
              </w:rPr>
              <w:t xml:space="preserve"> 2025 </w:t>
            </w:r>
            <w:r w:rsidRPr="00E90022">
              <w:rPr>
                <w:lang w:val="es-ES"/>
              </w:rPr>
              <w:t xml:space="preserve">y febrero de </w:t>
            </w:r>
            <w:r w:rsidR="00074714" w:rsidRPr="00E90022">
              <w:rPr>
                <w:lang w:val="es-ES"/>
              </w:rPr>
              <w:t>2026 (*</w:t>
            </w:r>
            <w:r w:rsidR="003F7A37" w:rsidRPr="00E90022">
              <w:rPr>
                <w:lang w:val="es-ES"/>
              </w:rPr>
              <w:t xml:space="preserve">excluida la validación de grados para contratos temporales </w:t>
            </w:r>
            <w:r w:rsidR="00A9314F" w:rsidRPr="00E90022">
              <w:rPr>
                <w:lang w:val="es-ES"/>
              </w:rPr>
              <w:t xml:space="preserve">y </w:t>
            </w:r>
            <w:r w:rsidR="0037669A" w:rsidRPr="00E90022">
              <w:rPr>
                <w:lang w:val="es-ES"/>
              </w:rPr>
              <w:t>las reorganizaciones</w:t>
            </w:r>
            <w:r w:rsidR="00074714" w:rsidRPr="00E90022">
              <w:rPr>
                <w:lang w:val="es-ES"/>
              </w:rPr>
              <w:t>):</w:t>
            </w:r>
          </w:p>
          <w:p w14:paraId="09026272" w14:textId="64E978AB" w:rsidR="00074714" w:rsidRPr="00E90022" w:rsidRDefault="004C3A95" w:rsidP="000F4735">
            <w:pPr>
              <w:pStyle w:val="Tabletext"/>
              <w:rPr>
                <w:lang w:val="es-ES"/>
              </w:rPr>
            </w:pPr>
            <w:r w:rsidRPr="00E90022">
              <w:rPr>
                <w:lang w:val="es-ES"/>
              </w:rPr>
              <w:t>•</w:t>
            </w:r>
            <w:r w:rsidR="00567CFD" w:rsidRPr="00E90022">
              <w:rPr>
                <w:lang w:val="es-ES"/>
              </w:rPr>
              <w:tab/>
            </w:r>
            <w:r w:rsidR="008E0710" w:rsidRPr="00E90022">
              <w:rPr>
                <w:lang w:val="es-ES"/>
              </w:rPr>
              <w:t xml:space="preserve">Creación de </w:t>
            </w:r>
            <w:r w:rsidR="00074714" w:rsidRPr="00E90022">
              <w:rPr>
                <w:lang w:val="es-ES"/>
              </w:rPr>
              <w:t xml:space="preserve">12 </w:t>
            </w:r>
            <w:r w:rsidR="005B2727" w:rsidRPr="00E90022">
              <w:rPr>
                <w:lang w:val="es-ES"/>
              </w:rPr>
              <w:t xml:space="preserve">puestos </w:t>
            </w:r>
            <w:r w:rsidR="00454419" w:rsidRPr="00E90022">
              <w:rPr>
                <w:lang w:val="es-ES"/>
              </w:rPr>
              <w:t>de plantilla</w:t>
            </w:r>
            <w:r w:rsidR="00567CFD" w:rsidRPr="00E90022">
              <w:rPr>
                <w:lang w:val="es-ES"/>
              </w:rPr>
              <w:t>.</w:t>
            </w:r>
          </w:p>
          <w:p w14:paraId="3B8768BC" w14:textId="6BC7304E" w:rsidR="00074714" w:rsidRPr="00E90022" w:rsidRDefault="00567CFD" w:rsidP="000F4735">
            <w:pPr>
              <w:pStyle w:val="Tabletext"/>
              <w:rPr>
                <w:lang w:val="es-ES"/>
              </w:rPr>
            </w:pPr>
            <w:r w:rsidRPr="00E90022">
              <w:rPr>
                <w:lang w:val="es-ES"/>
              </w:rPr>
              <w:t>•</w:t>
            </w:r>
            <w:r w:rsidRPr="00E90022">
              <w:rPr>
                <w:lang w:val="es-ES"/>
              </w:rPr>
              <w:tab/>
            </w:r>
            <w:r w:rsidR="008817B1" w:rsidRPr="00E90022">
              <w:rPr>
                <w:lang w:val="es-ES"/>
              </w:rPr>
              <w:t xml:space="preserve">Creación de </w:t>
            </w:r>
            <w:r w:rsidR="00074714" w:rsidRPr="00E90022">
              <w:rPr>
                <w:lang w:val="es-ES"/>
              </w:rPr>
              <w:t xml:space="preserve">20 </w:t>
            </w:r>
            <w:r w:rsidR="008817B1" w:rsidRPr="00E90022">
              <w:rPr>
                <w:lang w:val="es-ES"/>
              </w:rPr>
              <w:t>puestos extrapresupuestarios</w:t>
            </w:r>
            <w:r w:rsidRPr="00E90022">
              <w:rPr>
                <w:lang w:val="es-ES"/>
              </w:rPr>
              <w:t>.</w:t>
            </w:r>
          </w:p>
          <w:p w14:paraId="54C9CC69" w14:textId="539507A9" w:rsidR="00074714" w:rsidRPr="00E90022" w:rsidRDefault="00567CFD" w:rsidP="000F4735">
            <w:pPr>
              <w:pStyle w:val="Tabletext"/>
              <w:rPr>
                <w:lang w:val="es-ES"/>
              </w:rPr>
            </w:pPr>
            <w:r w:rsidRPr="00E90022">
              <w:rPr>
                <w:lang w:val="es-ES"/>
              </w:rPr>
              <w:t>•</w:t>
            </w:r>
            <w:r w:rsidRPr="00E90022">
              <w:rPr>
                <w:lang w:val="es-ES"/>
              </w:rPr>
              <w:tab/>
            </w:r>
            <w:r w:rsidR="00074714" w:rsidRPr="00E90022">
              <w:rPr>
                <w:lang w:val="es-ES"/>
              </w:rPr>
              <w:t xml:space="preserve">0 </w:t>
            </w:r>
            <w:r w:rsidR="008877F7" w:rsidRPr="00E90022">
              <w:rPr>
                <w:lang w:val="es-ES"/>
              </w:rPr>
              <w:t>demociones</w:t>
            </w:r>
            <w:r w:rsidRPr="00E90022">
              <w:rPr>
                <w:lang w:val="es-ES"/>
              </w:rPr>
              <w:t>.</w:t>
            </w:r>
          </w:p>
          <w:p w14:paraId="5CB3C95C" w14:textId="1753CAD2" w:rsidR="00074714" w:rsidRPr="00E90022" w:rsidRDefault="00567CFD" w:rsidP="000F4735">
            <w:pPr>
              <w:pStyle w:val="Tabletext"/>
              <w:rPr>
                <w:lang w:val="es-ES"/>
              </w:rPr>
            </w:pPr>
            <w:r w:rsidRPr="00E90022">
              <w:rPr>
                <w:lang w:val="es-ES"/>
              </w:rPr>
              <w:t>•</w:t>
            </w:r>
            <w:r w:rsidRPr="00E90022">
              <w:rPr>
                <w:lang w:val="es-ES"/>
              </w:rPr>
              <w:tab/>
            </w:r>
            <w:r w:rsidR="00074714" w:rsidRPr="00E90022">
              <w:rPr>
                <w:lang w:val="es-ES"/>
              </w:rPr>
              <w:t xml:space="preserve">9 </w:t>
            </w:r>
            <w:r w:rsidR="008877F7" w:rsidRPr="00E90022">
              <w:rPr>
                <w:lang w:val="es-ES"/>
              </w:rPr>
              <w:t>promociones</w:t>
            </w:r>
            <w:r w:rsidRPr="00E90022">
              <w:rPr>
                <w:lang w:val="es-ES"/>
              </w:rPr>
              <w:t>.</w:t>
            </w:r>
          </w:p>
          <w:p w14:paraId="7840B9DE" w14:textId="04988766" w:rsidR="00074714" w:rsidRPr="00E90022" w:rsidRDefault="00567CFD" w:rsidP="000F4735">
            <w:pPr>
              <w:pStyle w:val="Tabletext"/>
              <w:rPr>
                <w:lang w:val="es-ES"/>
              </w:rPr>
            </w:pPr>
            <w:r w:rsidRPr="00E90022">
              <w:rPr>
                <w:lang w:val="es-ES"/>
              </w:rPr>
              <w:t>•</w:t>
            </w:r>
            <w:r w:rsidRPr="00E90022">
              <w:rPr>
                <w:lang w:val="es-ES"/>
              </w:rPr>
              <w:tab/>
            </w:r>
            <w:r w:rsidR="00074714" w:rsidRPr="00E90022">
              <w:rPr>
                <w:lang w:val="es-ES"/>
              </w:rPr>
              <w:t>20 transfer</w:t>
            </w:r>
            <w:r w:rsidR="008877F7" w:rsidRPr="00E90022">
              <w:rPr>
                <w:lang w:val="es-ES"/>
              </w:rPr>
              <w:t>encia</w:t>
            </w:r>
            <w:r w:rsidR="00074714" w:rsidRPr="00E90022">
              <w:rPr>
                <w:lang w:val="es-ES"/>
              </w:rPr>
              <w:t>s</w:t>
            </w:r>
            <w:r w:rsidRPr="00E90022">
              <w:rPr>
                <w:lang w:val="es-ES"/>
              </w:rPr>
              <w:t>.</w:t>
            </w:r>
          </w:p>
          <w:p w14:paraId="6627659E" w14:textId="6A8F14DE" w:rsidR="00074714" w:rsidRPr="00E90022" w:rsidRDefault="00567CFD" w:rsidP="000F4735">
            <w:pPr>
              <w:pStyle w:val="Tabletext"/>
              <w:rPr>
                <w:lang w:val="es-ES"/>
              </w:rPr>
            </w:pPr>
            <w:r w:rsidRPr="00E90022">
              <w:rPr>
                <w:lang w:val="es-ES"/>
              </w:rPr>
              <w:t>•</w:t>
            </w:r>
            <w:r w:rsidRPr="00E90022">
              <w:rPr>
                <w:lang w:val="es-ES"/>
              </w:rPr>
              <w:tab/>
            </w:r>
            <w:r w:rsidR="00074714" w:rsidRPr="00E90022">
              <w:rPr>
                <w:lang w:val="es-ES"/>
              </w:rPr>
              <w:t xml:space="preserve">46 </w:t>
            </w:r>
            <w:r w:rsidR="008877F7" w:rsidRPr="00E90022">
              <w:rPr>
                <w:lang w:val="es-ES"/>
              </w:rPr>
              <w:t>revisiones</w:t>
            </w:r>
            <w:r w:rsidRPr="00E90022">
              <w:rPr>
                <w:lang w:val="es-ES"/>
              </w:rPr>
              <w:t>.</w:t>
            </w:r>
          </w:p>
          <w:p w14:paraId="107254DD" w14:textId="0E206710" w:rsidR="00074714" w:rsidRPr="00E90022" w:rsidRDefault="00567CFD" w:rsidP="000F4735">
            <w:pPr>
              <w:pStyle w:val="Tabletext"/>
              <w:rPr>
                <w:lang w:val="es-ES"/>
              </w:rPr>
            </w:pPr>
            <w:r w:rsidRPr="00E90022">
              <w:rPr>
                <w:lang w:val="es-ES"/>
              </w:rPr>
              <w:t>•</w:t>
            </w:r>
            <w:r w:rsidRPr="00E90022">
              <w:rPr>
                <w:lang w:val="es-ES"/>
              </w:rPr>
              <w:tab/>
            </w:r>
            <w:r w:rsidR="00074714" w:rsidRPr="00E90022">
              <w:rPr>
                <w:lang w:val="es-ES"/>
              </w:rPr>
              <w:t xml:space="preserve">6 </w:t>
            </w:r>
            <w:r w:rsidR="008877F7" w:rsidRPr="00E90022">
              <w:rPr>
                <w:lang w:val="es-ES"/>
              </w:rPr>
              <w:t>supresiones</w:t>
            </w:r>
            <w:r w:rsidRPr="00E90022">
              <w:rPr>
                <w:lang w:val="es-ES"/>
              </w:rPr>
              <w:t>.</w:t>
            </w:r>
          </w:p>
          <w:p w14:paraId="0D2E5C6F" w14:textId="0C1E7F32" w:rsidR="00074714" w:rsidRPr="00E90022" w:rsidRDefault="00567CFD" w:rsidP="000F4735">
            <w:pPr>
              <w:pStyle w:val="Tabletext"/>
              <w:rPr>
                <w:lang w:val="es-ES"/>
              </w:rPr>
            </w:pPr>
            <w:r w:rsidRPr="00E90022">
              <w:rPr>
                <w:lang w:val="es-ES"/>
              </w:rPr>
              <w:t>•</w:t>
            </w:r>
            <w:r w:rsidRPr="00E90022">
              <w:rPr>
                <w:lang w:val="es-ES"/>
              </w:rPr>
              <w:tab/>
            </w:r>
            <w:r w:rsidR="00074714" w:rsidRPr="00E90022">
              <w:rPr>
                <w:lang w:val="es-ES"/>
              </w:rPr>
              <w:t xml:space="preserve">26 </w:t>
            </w:r>
            <w:r w:rsidR="008C04C8" w:rsidRPr="00E90022">
              <w:rPr>
                <w:lang w:val="es-ES"/>
              </w:rPr>
              <w:t>gratificaciones de función</w:t>
            </w:r>
            <w:r w:rsidR="00074714" w:rsidRPr="00E90022">
              <w:rPr>
                <w:lang w:val="es-ES"/>
              </w:rPr>
              <w:t xml:space="preserve"> (SPA)</w:t>
            </w:r>
            <w:r w:rsidRPr="00E90022">
              <w:rPr>
                <w:lang w:val="es-ES"/>
              </w:rPr>
              <w:t>.</w:t>
            </w:r>
          </w:p>
          <w:p w14:paraId="469CC000" w14:textId="0F61177A" w:rsidR="00074714" w:rsidRPr="00E90022" w:rsidRDefault="00240D8E" w:rsidP="000F4735">
            <w:pPr>
              <w:pStyle w:val="Tabletext"/>
              <w:rPr>
                <w:lang w:val="es-ES"/>
              </w:rPr>
            </w:pPr>
            <w:r w:rsidRPr="00E90022">
              <w:rPr>
                <w:lang w:val="es-ES"/>
              </w:rPr>
              <w:t xml:space="preserve">Se han evaluado todas las descripciones de empleo/puestos </w:t>
            </w:r>
            <w:r w:rsidR="00EC15AA" w:rsidRPr="00E90022">
              <w:rPr>
                <w:lang w:val="es-ES"/>
              </w:rPr>
              <w:t xml:space="preserve">con arreglo a </w:t>
            </w:r>
            <w:r w:rsidRPr="00E90022">
              <w:rPr>
                <w:lang w:val="es-ES"/>
              </w:rPr>
              <w:t>las normas de clasificación de la CAPI</w:t>
            </w:r>
          </w:p>
        </w:tc>
      </w:tr>
      <w:tr w:rsidR="00074714" w:rsidRPr="00C92D1F" w14:paraId="7027818E" w14:textId="77777777" w:rsidTr="00C90203">
        <w:trPr>
          <w:trHeight w:val="570"/>
          <w:jc w:val="center"/>
        </w:trPr>
        <w:tc>
          <w:tcPr>
            <w:tcW w:w="207" w:type="pct"/>
            <w:shd w:val="clear" w:color="auto" w:fill="FFFFFF" w:themeFill="background1"/>
            <w:vAlign w:val="center"/>
          </w:tcPr>
          <w:p w14:paraId="44562274" w14:textId="77777777" w:rsidR="00074714" w:rsidRPr="00E90022" w:rsidRDefault="00074714" w:rsidP="000F4735">
            <w:pPr>
              <w:pStyle w:val="Tabletext"/>
              <w:rPr>
                <w:lang w:val="es-ES" w:eastAsia="zh-CN"/>
              </w:rPr>
            </w:pPr>
            <w:r w:rsidRPr="00E90022">
              <w:rPr>
                <w:lang w:val="es-ES" w:eastAsia="zh-CN"/>
              </w:rPr>
              <w:t>2</w:t>
            </w:r>
          </w:p>
        </w:tc>
        <w:tc>
          <w:tcPr>
            <w:tcW w:w="523" w:type="pct"/>
            <w:shd w:val="clear" w:color="auto" w:fill="FFFFFF" w:themeFill="background1"/>
            <w:vAlign w:val="center"/>
          </w:tcPr>
          <w:p w14:paraId="3774A7BD" w14:textId="63E32E69" w:rsidR="00074714" w:rsidRPr="00E90022" w:rsidRDefault="00380F60" w:rsidP="000F4735">
            <w:pPr>
              <w:pStyle w:val="Tabletext"/>
              <w:rPr>
                <w:szCs w:val="22"/>
                <w:lang w:val="es-ES" w:eastAsia="zh-CN"/>
              </w:rPr>
            </w:pPr>
            <w:r w:rsidRPr="00E90022">
              <w:rPr>
                <w:color w:val="000000"/>
                <w:szCs w:val="22"/>
                <w:lang w:val="es-ES"/>
              </w:rPr>
              <w:t>Contratación y representación</w:t>
            </w:r>
          </w:p>
        </w:tc>
        <w:tc>
          <w:tcPr>
            <w:tcW w:w="1759" w:type="pct"/>
            <w:shd w:val="clear" w:color="auto" w:fill="FFFFFF" w:themeFill="background1"/>
            <w:vAlign w:val="center"/>
          </w:tcPr>
          <w:p w14:paraId="1153D135" w14:textId="4B65C63A" w:rsidR="00074714" w:rsidRPr="00E90022" w:rsidRDefault="001B21DE" w:rsidP="000F4735">
            <w:pPr>
              <w:pStyle w:val="Tabletext"/>
              <w:rPr>
                <w:lang w:val="es-ES" w:bidi="en-US"/>
              </w:rPr>
            </w:pPr>
            <w:r w:rsidRPr="00E90022">
              <w:rPr>
                <w:lang w:val="es-ES"/>
              </w:rPr>
              <w:t>Promedio de candidaturas por puesto.</w:t>
            </w:r>
          </w:p>
        </w:tc>
        <w:tc>
          <w:tcPr>
            <w:tcW w:w="2511" w:type="pct"/>
            <w:vAlign w:val="center"/>
          </w:tcPr>
          <w:p w14:paraId="578DA609" w14:textId="6BDAF2A9" w:rsidR="00074714" w:rsidRPr="00E90022" w:rsidRDefault="00074714" w:rsidP="000F4735">
            <w:pPr>
              <w:pStyle w:val="Tabletext"/>
              <w:rPr>
                <w:lang w:val="es-ES" w:eastAsia="zh-CN"/>
              </w:rPr>
            </w:pPr>
            <w:r w:rsidRPr="00E90022">
              <w:rPr>
                <w:lang w:val="es-ES" w:eastAsia="zh-CN"/>
              </w:rPr>
              <w:t>110</w:t>
            </w:r>
            <w:r w:rsidR="00361FEA" w:rsidRPr="00E90022">
              <w:rPr>
                <w:lang w:val="es-ES" w:eastAsia="zh-CN"/>
              </w:rPr>
              <w:t>,</w:t>
            </w:r>
            <w:r w:rsidRPr="00E90022">
              <w:rPr>
                <w:lang w:val="es-ES" w:eastAsia="zh-CN"/>
              </w:rPr>
              <w:t xml:space="preserve">3 </w:t>
            </w:r>
            <w:r w:rsidR="00D07C00" w:rsidRPr="00E90022">
              <w:rPr>
                <w:lang w:val="es-ES" w:eastAsia="zh-CN"/>
              </w:rPr>
              <w:t>candidaturas por puesto de</w:t>
            </w:r>
            <w:r w:rsidRPr="00E90022">
              <w:rPr>
                <w:lang w:val="es-ES" w:eastAsia="zh-CN"/>
              </w:rPr>
              <w:t xml:space="preserve"> </w:t>
            </w:r>
            <w:r w:rsidR="00361FEA" w:rsidRPr="00E90022">
              <w:rPr>
                <w:lang w:val="es-ES" w:eastAsia="zh-CN"/>
              </w:rPr>
              <w:t>duración determinada</w:t>
            </w:r>
          </w:p>
        </w:tc>
      </w:tr>
      <w:tr w:rsidR="00074714" w:rsidRPr="00C92D1F" w14:paraId="50CE4314" w14:textId="77777777" w:rsidTr="00C90203">
        <w:trPr>
          <w:trHeight w:val="20"/>
          <w:jc w:val="center"/>
        </w:trPr>
        <w:tc>
          <w:tcPr>
            <w:tcW w:w="207" w:type="pct"/>
            <w:shd w:val="clear" w:color="auto" w:fill="FFFFFF" w:themeFill="background1"/>
            <w:vAlign w:val="center"/>
          </w:tcPr>
          <w:p w14:paraId="36A22012" w14:textId="77777777" w:rsidR="00074714" w:rsidRPr="00E90022" w:rsidRDefault="00074714" w:rsidP="000F4735">
            <w:pPr>
              <w:pStyle w:val="Tabletext"/>
              <w:rPr>
                <w:lang w:val="es-ES" w:eastAsia="zh-CN"/>
              </w:rPr>
            </w:pPr>
            <w:r w:rsidRPr="00E90022">
              <w:rPr>
                <w:lang w:val="es-ES" w:eastAsia="zh-CN"/>
              </w:rPr>
              <w:t>3</w:t>
            </w:r>
          </w:p>
        </w:tc>
        <w:tc>
          <w:tcPr>
            <w:tcW w:w="523" w:type="pct"/>
            <w:shd w:val="clear" w:color="auto" w:fill="FFFFFF" w:themeFill="background1"/>
            <w:vAlign w:val="center"/>
          </w:tcPr>
          <w:p w14:paraId="04B51335" w14:textId="3FF02C60" w:rsidR="00074714" w:rsidRPr="00E90022" w:rsidRDefault="00380F60" w:rsidP="000F4735">
            <w:pPr>
              <w:pStyle w:val="Tabletext"/>
              <w:rPr>
                <w:szCs w:val="22"/>
                <w:lang w:val="es-ES" w:eastAsia="zh-CN"/>
              </w:rPr>
            </w:pPr>
            <w:r w:rsidRPr="00E90022">
              <w:rPr>
                <w:color w:val="000000"/>
                <w:szCs w:val="22"/>
                <w:lang w:val="es-ES"/>
              </w:rPr>
              <w:t>Contratación y representación</w:t>
            </w:r>
          </w:p>
        </w:tc>
        <w:tc>
          <w:tcPr>
            <w:tcW w:w="1759" w:type="pct"/>
            <w:shd w:val="clear" w:color="auto" w:fill="FFFFFF" w:themeFill="background1"/>
            <w:vAlign w:val="center"/>
            <w:hideMark/>
          </w:tcPr>
          <w:p w14:paraId="31AE825D" w14:textId="643CA054"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A82783" w:rsidRPr="00E90022">
              <w:rPr>
                <w:lang w:val="es-ES"/>
              </w:rPr>
              <w:t xml:space="preserve">Distribución geográfica y por género del personal, por </w:t>
            </w:r>
            <w:r w:rsidR="00987ED6" w:rsidRPr="00E90022">
              <w:rPr>
                <w:lang w:val="es-ES"/>
              </w:rPr>
              <w:t>sede</w:t>
            </w:r>
            <w:r w:rsidR="00A82783" w:rsidRPr="00E90022">
              <w:rPr>
                <w:lang w:val="es-ES"/>
              </w:rPr>
              <w:t xml:space="preserve">, </w:t>
            </w:r>
            <w:r w:rsidR="00987ED6" w:rsidRPr="00E90022">
              <w:rPr>
                <w:lang w:val="es-ES"/>
              </w:rPr>
              <w:t>S</w:t>
            </w:r>
            <w:r w:rsidR="00A82783" w:rsidRPr="00E90022">
              <w:rPr>
                <w:lang w:val="es-ES"/>
              </w:rPr>
              <w:t xml:space="preserve">ector y categoría </w:t>
            </w:r>
            <w:r w:rsidRPr="00E90022">
              <w:rPr>
                <w:lang w:val="es-ES"/>
              </w:rPr>
              <w:t>(%)</w:t>
            </w:r>
            <w:r w:rsidR="004C3A95" w:rsidRPr="00E90022">
              <w:rPr>
                <w:lang w:val="es-ES"/>
              </w:rPr>
              <w:t>.</w:t>
            </w:r>
          </w:p>
          <w:p w14:paraId="0ECC06C6" w14:textId="04DFAA5C"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CF0141" w:rsidRPr="00E90022">
              <w:rPr>
                <w:lang w:val="es-ES"/>
              </w:rPr>
              <w:t xml:space="preserve">Distribución de género por grupo ocupacional </w:t>
            </w:r>
            <w:r w:rsidRPr="00E90022">
              <w:rPr>
                <w:lang w:val="es-ES"/>
              </w:rPr>
              <w:t>(%)</w:t>
            </w:r>
            <w:r w:rsidR="004C3A95" w:rsidRPr="00E90022">
              <w:rPr>
                <w:lang w:val="es-ES"/>
              </w:rPr>
              <w:t>.</w:t>
            </w:r>
          </w:p>
          <w:p w14:paraId="442C9D5D" w14:textId="139737DB"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496F37" w:rsidRPr="00E90022">
              <w:rPr>
                <w:lang w:val="es-ES"/>
              </w:rPr>
              <w:t>Revisión periódica de los principales indicadores de personal, como la distribución geográfica y la paridad de género</w:t>
            </w:r>
            <w:r w:rsidR="004C3A95" w:rsidRPr="00E90022">
              <w:rPr>
                <w:lang w:val="es-ES"/>
              </w:rPr>
              <w:t>.</w:t>
            </w:r>
          </w:p>
        </w:tc>
        <w:tc>
          <w:tcPr>
            <w:tcW w:w="2511" w:type="pct"/>
            <w:vAlign w:val="center"/>
          </w:tcPr>
          <w:p w14:paraId="7E9DE4E7" w14:textId="3CC1A043" w:rsidR="00074714" w:rsidRPr="00E90022" w:rsidRDefault="00273ED8" w:rsidP="000F4735">
            <w:pPr>
              <w:pStyle w:val="Tabletext"/>
              <w:rPr>
                <w:rFonts w:eastAsia="Malgun Gothic"/>
                <w:lang w:val="es-ES" w:eastAsia="ko-KR"/>
              </w:rPr>
            </w:pPr>
            <w:r w:rsidRPr="00E90022">
              <w:rPr>
                <w:lang w:val="es-ES" w:eastAsia="zh-CN"/>
              </w:rPr>
              <w:t>Un tablero dinámico en tiempo real, que se actualiza continuamente con datos procedentes del banco de datos de SAP HR, ofrece una visión general completa de los principales indicadores de personal de la UIT, incluyendo la distribución geográfica y por género</w:t>
            </w:r>
            <w:r w:rsidR="00074714" w:rsidRPr="00E90022">
              <w:rPr>
                <w:lang w:val="es-ES"/>
              </w:rPr>
              <w:t>.</w:t>
            </w:r>
          </w:p>
          <w:p w14:paraId="0A63763F" w14:textId="4E40267B" w:rsidR="00074714" w:rsidRPr="00E90022" w:rsidRDefault="002A7024" w:rsidP="000F4735">
            <w:pPr>
              <w:pStyle w:val="Tabletext"/>
              <w:rPr>
                <w:rFonts w:eastAsia="Malgun Gothic"/>
                <w:lang w:val="es-ES" w:eastAsia="ko-KR"/>
              </w:rPr>
            </w:pPr>
            <w:r w:rsidRPr="00E90022">
              <w:rPr>
                <w:rFonts w:eastAsia="Malgun Gothic"/>
                <w:lang w:val="es-ES" w:eastAsia="ko-KR"/>
              </w:rPr>
              <w:t>Distribución de género por Sector</w:t>
            </w:r>
            <w:r w:rsidR="00074714" w:rsidRPr="00E90022">
              <w:rPr>
                <w:rFonts w:eastAsia="Malgun Gothic"/>
                <w:lang w:val="es-ES" w:eastAsia="ko-KR"/>
              </w:rPr>
              <w:t xml:space="preserve"> (</w:t>
            </w:r>
            <w:r w:rsidR="00DD600B" w:rsidRPr="00E90022">
              <w:rPr>
                <w:rFonts w:eastAsia="Malgun Gothic"/>
                <w:lang w:val="es-ES" w:eastAsia="ko-KR"/>
              </w:rPr>
              <w:t>personal</w:t>
            </w:r>
            <w:r w:rsidR="00454419" w:rsidRPr="00E90022">
              <w:rPr>
                <w:rFonts w:eastAsia="Malgun Gothic"/>
                <w:lang w:val="es-ES" w:eastAsia="ko-KR"/>
              </w:rPr>
              <w:t xml:space="preserve"> de plantilla</w:t>
            </w:r>
            <w:r w:rsidR="00074714" w:rsidRPr="00E90022">
              <w:rPr>
                <w:rFonts w:eastAsia="Malgun Gothic"/>
                <w:lang w:val="es-ES" w:eastAsia="ko-KR"/>
              </w:rPr>
              <w:t>):</w:t>
            </w:r>
          </w:p>
          <w:p w14:paraId="24BBF9D3" w14:textId="13CAC4B8" w:rsidR="00074714" w:rsidRPr="00E90022" w:rsidRDefault="00074714" w:rsidP="000F4735">
            <w:pPr>
              <w:pStyle w:val="Tabletext"/>
              <w:rPr>
                <w:rFonts w:eastAsia="Malgun Gothic"/>
                <w:lang w:val="es-ES" w:eastAsia="ko-KR"/>
              </w:rPr>
            </w:pPr>
            <w:r w:rsidRPr="00E90022">
              <w:rPr>
                <w:rFonts w:eastAsia="Malgun Gothic"/>
                <w:lang w:val="es-ES" w:eastAsia="ko-KR"/>
              </w:rPr>
              <w:t>–</w:t>
            </w:r>
            <w:r w:rsidRPr="00E90022">
              <w:rPr>
                <w:lang w:val="es-ES"/>
              </w:rPr>
              <w:tab/>
            </w:r>
            <w:r w:rsidRPr="00E90022">
              <w:rPr>
                <w:rFonts w:eastAsia="Malgun Gothic"/>
                <w:lang w:val="es-ES" w:eastAsia="ko-KR"/>
              </w:rPr>
              <w:t>BDT: 53</w:t>
            </w:r>
            <w:r w:rsidR="00DD600B" w:rsidRPr="00E90022">
              <w:rPr>
                <w:rFonts w:eastAsia="Malgun Gothic"/>
                <w:lang w:val="es-ES" w:eastAsia="ko-KR"/>
              </w:rPr>
              <w:t>,</w:t>
            </w:r>
            <w:r w:rsidRPr="00E90022">
              <w:rPr>
                <w:rFonts w:eastAsia="Malgun Gothic"/>
                <w:lang w:val="es-ES" w:eastAsia="ko-KR"/>
              </w:rPr>
              <w:t>9</w:t>
            </w:r>
            <w:r w:rsidR="00DD600B" w:rsidRPr="00E90022">
              <w:rPr>
                <w:rFonts w:eastAsia="Malgun Gothic"/>
                <w:lang w:val="es-ES" w:eastAsia="ko-KR"/>
              </w:rPr>
              <w:t> </w:t>
            </w:r>
            <w:r w:rsidRPr="00E90022">
              <w:rPr>
                <w:rFonts w:eastAsia="Malgun Gothic"/>
                <w:lang w:val="es-ES" w:eastAsia="ko-KR"/>
              </w:rPr>
              <w:t xml:space="preserve">% </w:t>
            </w:r>
            <w:r w:rsidR="00DD600B" w:rsidRPr="00E90022">
              <w:rPr>
                <w:rFonts w:eastAsia="Malgun Gothic"/>
                <w:lang w:val="es-ES" w:eastAsia="ko-KR"/>
              </w:rPr>
              <w:t xml:space="preserve">mujeres </w:t>
            </w:r>
            <w:r w:rsidRPr="00E90022">
              <w:rPr>
                <w:rFonts w:eastAsia="Malgun Gothic"/>
                <w:lang w:val="es-ES" w:eastAsia="ko-KR"/>
              </w:rPr>
              <w:t>/ 46</w:t>
            </w:r>
            <w:r w:rsidR="00DD600B" w:rsidRPr="00E90022">
              <w:rPr>
                <w:rFonts w:eastAsia="Malgun Gothic"/>
                <w:lang w:val="es-ES" w:eastAsia="ko-KR"/>
              </w:rPr>
              <w:t>,</w:t>
            </w:r>
            <w:r w:rsidRPr="00E90022">
              <w:rPr>
                <w:rFonts w:eastAsia="Malgun Gothic"/>
                <w:lang w:val="es-ES" w:eastAsia="ko-KR"/>
              </w:rPr>
              <w:t>1</w:t>
            </w:r>
            <w:r w:rsidR="00DD600B" w:rsidRPr="00E90022">
              <w:rPr>
                <w:rFonts w:eastAsia="Malgun Gothic"/>
                <w:lang w:val="es-ES" w:eastAsia="ko-KR"/>
              </w:rPr>
              <w:t> </w:t>
            </w:r>
            <w:r w:rsidRPr="00E90022">
              <w:rPr>
                <w:rFonts w:eastAsia="Malgun Gothic"/>
                <w:lang w:val="es-ES" w:eastAsia="ko-KR"/>
              </w:rPr>
              <w:t>%</w:t>
            </w:r>
            <w:r w:rsidR="00DD600B" w:rsidRPr="00E90022">
              <w:rPr>
                <w:rFonts w:eastAsia="Malgun Gothic"/>
                <w:lang w:val="es-ES" w:eastAsia="ko-KR"/>
              </w:rPr>
              <w:t xml:space="preserve"> hombres</w:t>
            </w:r>
            <w:r w:rsidR="00567CFD" w:rsidRPr="00E90022">
              <w:rPr>
                <w:rFonts w:eastAsia="Malgun Gothic"/>
                <w:lang w:val="es-ES" w:eastAsia="ko-KR"/>
              </w:rPr>
              <w:t>.</w:t>
            </w:r>
          </w:p>
          <w:p w14:paraId="5A6BCA33" w14:textId="03A60998" w:rsidR="00074714" w:rsidRPr="00E90022" w:rsidRDefault="00074714" w:rsidP="000F4735">
            <w:pPr>
              <w:pStyle w:val="Tabletext"/>
              <w:rPr>
                <w:lang w:val="es-ES" w:eastAsia="zh-CN"/>
              </w:rPr>
            </w:pPr>
            <w:r w:rsidRPr="00E90022">
              <w:rPr>
                <w:rFonts w:eastAsia="Malgun Gothic"/>
                <w:lang w:val="es-ES" w:eastAsia="ko-KR"/>
              </w:rPr>
              <w:t>–</w:t>
            </w:r>
            <w:r w:rsidRPr="00E90022">
              <w:rPr>
                <w:lang w:val="es-ES"/>
              </w:rPr>
              <w:tab/>
            </w:r>
            <w:r w:rsidRPr="00E90022">
              <w:rPr>
                <w:rFonts w:eastAsia="Malgun Gothic"/>
                <w:lang w:val="es-ES" w:eastAsia="ko-KR"/>
              </w:rPr>
              <w:t>BR: 42</w:t>
            </w:r>
            <w:r w:rsidR="00DD600B" w:rsidRPr="00E90022">
              <w:rPr>
                <w:rFonts w:eastAsia="Malgun Gothic"/>
                <w:lang w:val="es-ES" w:eastAsia="ko-KR"/>
              </w:rPr>
              <w:t>,</w:t>
            </w:r>
            <w:r w:rsidRPr="00E90022">
              <w:rPr>
                <w:rFonts w:eastAsia="Malgun Gothic"/>
                <w:lang w:val="es-ES" w:eastAsia="ko-KR"/>
              </w:rPr>
              <w:t>6</w:t>
            </w:r>
            <w:r w:rsidR="00DD600B" w:rsidRPr="00E90022">
              <w:rPr>
                <w:rFonts w:eastAsia="Malgun Gothic"/>
                <w:lang w:val="es-ES" w:eastAsia="ko-KR"/>
              </w:rPr>
              <w:t> </w:t>
            </w:r>
            <w:r w:rsidRPr="00E90022">
              <w:rPr>
                <w:rFonts w:eastAsia="Malgun Gothic"/>
                <w:lang w:val="es-ES" w:eastAsia="ko-KR"/>
              </w:rPr>
              <w:t xml:space="preserve">% </w:t>
            </w:r>
            <w:r w:rsidR="00DD600B" w:rsidRPr="00E90022">
              <w:rPr>
                <w:rFonts w:eastAsia="Malgun Gothic"/>
                <w:lang w:val="es-ES" w:eastAsia="ko-KR"/>
              </w:rPr>
              <w:t xml:space="preserve">mujeres </w:t>
            </w:r>
            <w:r w:rsidRPr="00E90022">
              <w:rPr>
                <w:rFonts w:eastAsia="Malgun Gothic"/>
                <w:lang w:val="es-ES" w:eastAsia="ko-KR"/>
              </w:rPr>
              <w:t>/ 57</w:t>
            </w:r>
            <w:r w:rsidR="00DD600B" w:rsidRPr="00E90022">
              <w:rPr>
                <w:rFonts w:eastAsia="Malgun Gothic"/>
                <w:lang w:val="es-ES" w:eastAsia="ko-KR"/>
              </w:rPr>
              <w:t>,</w:t>
            </w:r>
            <w:r w:rsidRPr="00E90022">
              <w:rPr>
                <w:rFonts w:eastAsia="Malgun Gothic"/>
                <w:lang w:val="es-ES" w:eastAsia="ko-KR"/>
              </w:rPr>
              <w:t>4</w:t>
            </w:r>
            <w:r w:rsidR="00DD600B" w:rsidRPr="00E90022">
              <w:rPr>
                <w:rFonts w:eastAsia="Malgun Gothic"/>
                <w:lang w:val="es-ES" w:eastAsia="ko-KR"/>
              </w:rPr>
              <w:t> </w:t>
            </w:r>
            <w:r w:rsidRPr="00E90022">
              <w:rPr>
                <w:lang w:val="es-ES" w:eastAsia="zh-CN"/>
              </w:rPr>
              <w:t>%</w:t>
            </w:r>
            <w:r w:rsidR="00DD600B" w:rsidRPr="00E90022">
              <w:rPr>
                <w:lang w:val="es-ES" w:eastAsia="zh-CN"/>
              </w:rPr>
              <w:t xml:space="preserve"> </w:t>
            </w:r>
            <w:r w:rsidR="00DD600B" w:rsidRPr="00E90022">
              <w:rPr>
                <w:rFonts w:eastAsia="Malgun Gothic"/>
                <w:lang w:val="es-ES" w:eastAsia="ko-KR"/>
              </w:rPr>
              <w:t>hombres</w:t>
            </w:r>
            <w:r w:rsidR="00567CFD" w:rsidRPr="00E90022">
              <w:rPr>
                <w:rFonts w:eastAsia="Malgun Gothic"/>
                <w:lang w:val="es-ES" w:eastAsia="ko-KR"/>
              </w:rPr>
              <w:t>.</w:t>
            </w:r>
          </w:p>
          <w:p w14:paraId="7438E95B" w14:textId="3D69170C" w:rsidR="00074714" w:rsidRPr="00E90022" w:rsidRDefault="00074714" w:rsidP="000F4735">
            <w:pPr>
              <w:pStyle w:val="Tabletext"/>
              <w:rPr>
                <w:rFonts w:eastAsia="Malgun Gothic"/>
                <w:lang w:val="es-ES" w:eastAsia="ko-KR"/>
              </w:rPr>
            </w:pPr>
            <w:r w:rsidRPr="00E90022">
              <w:rPr>
                <w:rFonts w:eastAsia="Malgun Gothic"/>
                <w:lang w:val="es-ES" w:eastAsia="ko-KR"/>
              </w:rPr>
              <w:t>–</w:t>
            </w:r>
            <w:r w:rsidRPr="00E90022">
              <w:rPr>
                <w:lang w:val="es-ES"/>
              </w:rPr>
              <w:tab/>
            </w:r>
            <w:r w:rsidRPr="00E90022">
              <w:rPr>
                <w:rFonts w:eastAsia="Malgun Gothic"/>
                <w:lang w:val="es-ES" w:eastAsia="ko-KR"/>
              </w:rPr>
              <w:t>GS: 54</w:t>
            </w:r>
            <w:r w:rsidR="00DD600B" w:rsidRPr="00E90022">
              <w:rPr>
                <w:rFonts w:eastAsia="Malgun Gothic"/>
                <w:lang w:val="es-ES" w:eastAsia="ko-KR"/>
              </w:rPr>
              <w:t>,</w:t>
            </w:r>
            <w:r w:rsidRPr="00E90022">
              <w:rPr>
                <w:rFonts w:eastAsia="Malgun Gothic"/>
                <w:lang w:val="es-ES" w:eastAsia="ko-KR"/>
              </w:rPr>
              <w:t>6</w:t>
            </w:r>
            <w:r w:rsidR="00DD600B" w:rsidRPr="00E90022">
              <w:rPr>
                <w:rFonts w:eastAsia="Malgun Gothic"/>
                <w:lang w:val="es-ES" w:eastAsia="ko-KR"/>
              </w:rPr>
              <w:t> </w:t>
            </w:r>
            <w:r w:rsidRPr="00E90022">
              <w:rPr>
                <w:rFonts w:eastAsia="Malgun Gothic"/>
                <w:lang w:val="es-ES" w:eastAsia="ko-KR"/>
              </w:rPr>
              <w:t xml:space="preserve">% </w:t>
            </w:r>
            <w:r w:rsidR="00DD600B" w:rsidRPr="00E90022">
              <w:rPr>
                <w:rFonts w:eastAsia="Malgun Gothic"/>
                <w:lang w:val="es-ES" w:eastAsia="ko-KR"/>
              </w:rPr>
              <w:t xml:space="preserve">mujeres </w:t>
            </w:r>
            <w:r w:rsidRPr="00E90022">
              <w:rPr>
                <w:rFonts w:eastAsia="Malgun Gothic"/>
                <w:lang w:val="es-ES" w:eastAsia="ko-KR"/>
              </w:rPr>
              <w:t>/ 45</w:t>
            </w:r>
            <w:r w:rsidR="00DD600B" w:rsidRPr="00E90022">
              <w:rPr>
                <w:rFonts w:eastAsia="Malgun Gothic"/>
                <w:lang w:val="es-ES" w:eastAsia="ko-KR"/>
              </w:rPr>
              <w:t>,</w:t>
            </w:r>
            <w:r w:rsidRPr="00E90022">
              <w:rPr>
                <w:rFonts w:eastAsia="Malgun Gothic"/>
                <w:lang w:val="es-ES" w:eastAsia="ko-KR"/>
              </w:rPr>
              <w:t>4</w:t>
            </w:r>
            <w:r w:rsidR="00DD600B" w:rsidRPr="00E90022">
              <w:rPr>
                <w:rFonts w:eastAsia="Malgun Gothic"/>
                <w:lang w:val="es-ES" w:eastAsia="ko-KR"/>
              </w:rPr>
              <w:t> </w:t>
            </w:r>
            <w:r w:rsidRPr="00E90022">
              <w:rPr>
                <w:rFonts w:eastAsia="Malgun Gothic"/>
                <w:lang w:val="es-ES" w:eastAsia="ko-KR"/>
              </w:rPr>
              <w:t>%</w:t>
            </w:r>
            <w:r w:rsidR="00DD600B" w:rsidRPr="00E90022">
              <w:rPr>
                <w:rFonts w:eastAsia="Malgun Gothic"/>
                <w:lang w:val="es-ES" w:eastAsia="ko-KR"/>
              </w:rPr>
              <w:t xml:space="preserve"> hombres</w:t>
            </w:r>
            <w:r w:rsidR="00567CFD" w:rsidRPr="00E90022">
              <w:rPr>
                <w:rFonts w:eastAsia="Malgun Gothic"/>
                <w:lang w:val="es-ES" w:eastAsia="ko-KR"/>
              </w:rPr>
              <w:t>.</w:t>
            </w:r>
          </w:p>
          <w:p w14:paraId="465D384D" w14:textId="58E75307" w:rsidR="00074714" w:rsidRPr="00E90022" w:rsidRDefault="00074714" w:rsidP="000F4735">
            <w:pPr>
              <w:pStyle w:val="Tabletext"/>
              <w:rPr>
                <w:rFonts w:eastAsia="Malgun Gothic"/>
                <w:lang w:val="es-ES" w:eastAsia="ko-KR"/>
              </w:rPr>
            </w:pPr>
            <w:r w:rsidRPr="00E90022">
              <w:rPr>
                <w:rFonts w:eastAsia="Malgun Gothic"/>
                <w:lang w:val="es-ES" w:eastAsia="ko-KR"/>
              </w:rPr>
              <w:lastRenderedPageBreak/>
              <w:t>–</w:t>
            </w:r>
            <w:r w:rsidRPr="00E90022">
              <w:rPr>
                <w:lang w:val="es-ES"/>
              </w:rPr>
              <w:tab/>
            </w:r>
            <w:r w:rsidRPr="00E90022">
              <w:rPr>
                <w:rFonts w:eastAsia="Malgun Gothic"/>
                <w:lang w:val="es-ES" w:eastAsia="ko-KR"/>
              </w:rPr>
              <w:t>TSB: 52</w:t>
            </w:r>
            <w:r w:rsidR="00DD600B" w:rsidRPr="00E90022">
              <w:rPr>
                <w:rFonts w:eastAsia="Malgun Gothic"/>
                <w:lang w:val="es-ES" w:eastAsia="ko-KR"/>
              </w:rPr>
              <w:t>,</w:t>
            </w:r>
            <w:r w:rsidRPr="00E90022">
              <w:rPr>
                <w:rFonts w:eastAsia="Malgun Gothic"/>
                <w:lang w:val="es-ES" w:eastAsia="ko-KR"/>
              </w:rPr>
              <w:t>0</w:t>
            </w:r>
            <w:r w:rsidR="00DD600B" w:rsidRPr="00E90022">
              <w:rPr>
                <w:rFonts w:eastAsia="Malgun Gothic"/>
                <w:lang w:val="es-ES" w:eastAsia="ko-KR"/>
              </w:rPr>
              <w:t> </w:t>
            </w:r>
            <w:r w:rsidRPr="00E90022">
              <w:rPr>
                <w:rFonts w:eastAsia="Malgun Gothic"/>
                <w:lang w:val="es-ES" w:eastAsia="ko-KR"/>
              </w:rPr>
              <w:t xml:space="preserve">% </w:t>
            </w:r>
            <w:r w:rsidR="00DD600B" w:rsidRPr="00E90022">
              <w:rPr>
                <w:rFonts w:eastAsia="Malgun Gothic"/>
                <w:lang w:val="es-ES" w:eastAsia="ko-KR"/>
              </w:rPr>
              <w:t xml:space="preserve">mujeres </w:t>
            </w:r>
            <w:r w:rsidRPr="00E90022">
              <w:rPr>
                <w:rFonts w:eastAsia="Malgun Gothic"/>
                <w:lang w:val="es-ES" w:eastAsia="ko-KR"/>
              </w:rPr>
              <w:t>/ 48</w:t>
            </w:r>
            <w:r w:rsidR="00DD600B" w:rsidRPr="00E90022">
              <w:rPr>
                <w:rFonts w:eastAsia="Malgun Gothic"/>
                <w:lang w:val="es-ES" w:eastAsia="ko-KR"/>
              </w:rPr>
              <w:t>,</w:t>
            </w:r>
            <w:r w:rsidRPr="00E90022">
              <w:rPr>
                <w:rFonts w:eastAsia="Malgun Gothic"/>
                <w:lang w:val="es-ES" w:eastAsia="ko-KR"/>
              </w:rPr>
              <w:t>0</w:t>
            </w:r>
            <w:r w:rsidR="00DD600B" w:rsidRPr="00E90022">
              <w:rPr>
                <w:rFonts w:eastAsia="Malgun Gothic"/>
                <w:lang w:val="es-ES" w:eastAsia="ko-KR"/>
              </w:rPr>
              <w:t> </w:t>
            </w:r>
            <w:r w:rsidRPr="00E90022">
              <w:rPr>
                <w:rFonts w:eastAsia="Malgun Gothic"/>
                <w:lang w:val="es-ES" w:eastAsia="ko-KR"/>
              </w:rPr>
              <w:t>%</w:t>
            </w:r>
            <w:r w:rsidR="00DD600B" w:rsidRPr="00E90022">
              <w:rPr>
                <w:rFonts w:eastAsia="Malgun Gothic"/>
                <w:lang w:val="es-ES" w:eastAsia="ko-KR"/>
              </w:rPr>
              <w:t xml:space="preserve"> hombres</w:t>
            </w:r>
            <w:r w:rsidR="00567CFD" w:rsidRPr="00E90022">
              <w:rPr>
                <w:rFonts w:eastAsia="Malgun Gothic"/>
                <w:lang w:val="es-ES" w:eastAsia="ko-KR"/>
              </w:rPr>
              <w:t>.</w:t>
            </w:r>
          </w:p>
          <w:p w14:paraId="0145BF90" w14:textId="654D11EC" w:rsidR="00074714" w:rsidRPr="00E90022" w:rsidRDefault="00582F05" w:rsidP="000F4735">
            <w:pPr>
              <w:pStyle w:val="Tabletext"/>
              <w:rPr>
                <w:rFonts w:eastAsia="Malgun Gothic"/>
                <w:lang w:val="es-ES" w:eastAsia="ko-KR"/>
              </w:rPr>
            </w:pPr>
            <w:r w:rsidRPr="00E90022">
              <w:rPr>
                <w:rFonts w:eastAsia="Malgun Gothic"/>
                <w:lang w:val="es-ES" w:eastAsia="ko-KR"/>
              </w:rPr>
              <w:t xml:space="preserve">Distribución de género por grupo ocupacional </w:t>
            </w:r>
            <w:r w:rsidR="00074714" w:rsidRPr="00E90022">
              <w:rPr>
                <w:rFonts w:eastAsia="Malgun Gothic"/>
                <w:lang w:val="es-ES" w:eastAsia="ko-KR"/>
              </w:rPr>
              <w:t>(</w:t>
            </w:r>
            <w:r w:rsidR="0054394A" w:rsidRPr="00E90022">
              <w:rPr>
                <w:rFonts w:eastAsia="Malgun Gothic"/>
                <w:lang w:val="es-ES" w:eastAsia="ko-KR"/>
              </w:rPr>
              <w:t>personal de plantilla</w:t>
            </w:r>
            <w:r w:rsidR="00074714" w:rsidRPr="00E90022">
              <w:rPr>
                <w:rFonts w:eastAsia="Malgun Gothic"/>
                <w:lang w:val="es-ES" w:eastAsia="ko-KR"/>
              </w:rPr>
              <w:t>):</w:t>
            </w:r>
          </w:p>
          <w:p w14:paraId="6BD2A5C4" w14:textId="65967A86" w:rsidR="00074714" w:rsidRPr="00E90022" w:rsidRDefault="00074714" w:rsidP="000F4735">
            <w:pPr>
              <w:pStyle w:val="Tabletext"/>
              <w:rPr>
                <w:rFonts w:eastAsia="Malgun Gothic"/>
                <w:lang w:val="es-ES" w:eastAsia="ko-KR"/>
              </w:rPr>
            </w:pPr>
            <w:r w:rsidRPr="00E90022">
              <w:rPr>
                <w:rFonts w:eastAsia="Malgun Gothic"/>
                <w:lang w:val="es-ES" w:eastAsia="ko-KR"/>
              </w:rPr>
              <w:t>–</w:t>
            </w:r>
            <w:r w:rsidRPr="00E90022">
              <w:rPr>
                <w:lang w:val="es-ES"/>
              </w:rPr>
              <w:tab/>
            </w:r>
            <w:r w:rsidR="00A777A1" w:rsidRPr="00E90022">
              <w:rPr>
                <w:rFonts w:eastAsia="Malgun Gothic"/>
                <w:lang w:val="es-ES" w:eastAsia="ko-KR"/>
              </w:rPr>
              <w:t>Categoría profesional y superior</w:t>
            </w:r>
            <w:r w:rsidRPr="00E90022">
              <w:rPr>
                <w:rFonts w:eastAsia="Malgun Gothic"/>
                <w:lang w:val="es-ES" w:eastAsia="ko-KR"/>
              </w:rPr>
              <w:t>: 44</w:t>
            </w:r>
            <w:r w:rsidR="00DD600B" w:rsidRPr="00E90022">
              <w:rPr>
                <w:rFonts w:eastAsia="Malgun Gothic"/>
                <w:lang w:val="es-ES" w:eastAsia="ko-KR"/>
              </w:rPr>
              <w:t>,</w:t>
            </w:r>
            <w:r w:rsidRPr="00E90022">
              <w:rPr>
                <w:rFonts w:eastAsia="Malgun Gothic"/>
                <w:lang w:val="es-ES" w:eastAsia="ko-KR"/>
              </w:rPr>
              <w:t>6</w:t>
            </w:r>
            <w:r w:rsidR="00DD600B" w:rsidRPr="00E90022">
              <w:rPr>
                <w:rFonts w:eastAsia="Malgun Gothic"/>
                <w:lang w:val="es-ES" w:eastAsia="ko-KR"/>
              </w:rPr>
              <w:t> </w:t>
            </w:r>
            <w:r w:rsidRPr="00E90022">
              <w:rPr>
                <w:rFonts w:eastAsia="Malgun Gothic"/>
                <w:lang w:val="es-ES" w:eastAsia="ko-KR"/>
              </w:rPr>
              <w:t xml:space="preserve">% </w:t>
            </w:r>
            <w:r w:rsidR="00DD600B" w:rsidRPr="00E90022">
              <w:rPr>
                <w:rFonts w:eastAsia="Malgun Gothic"/>
                <w:lang w:val="es-ES" w:eastAsia="ko-KR"/>
              </w:rPr>
              <w:t xml:space="preserve">mujeres </w:t>
            </w:r>
            <w:r w:rsidRPr="00E90022">
              <w:rPr>
                <w:rFonts w:eastAsia="Malgun Gothic"/>
                <w:lang w:val="es-ES" w:eastAsia="ko-KR"/>
              </w:rPr>
              <w:t>/ 55</w:t>
            </w:r>
            <w:r w:rsidR="00DD600B" w:rsidRPr="00E90022">
              <w:rPr>
                <w:rFonts w:eastAsia="Malgun Gothic"/>
                <w:lang w:val="es-ES" w:eastAsia="ko-KR"/>
              </w:rPr>
              <w:t>,</w:t>
            </w:r>
            <w:r w:rsidRPr="00E90022">
              <w:rPr>
                <w:rFonts w:eastAsia="Malgun Gothic"/>
                <w:lang w:val="es-ES" w:eastAsia="ko-KR"/>
              </w:rPr>
              <w:t>4</w:t>
            </w:r>
            <w:r w:rsidR="00DD600B" w:rsidRPr="00E90022">
              <w:rPr>
                <w:rFonts w:eastAsia="Malgun Gothic"/>
                <w:lang w:val="es-ES" w:eastAsia="ko-KR"/>
              </w:rPr>
              <w:t> </w:t>
            </w:r>
            <w:r w:rsidRPr="00E90022">
              <w:rPr>
                <w:rFonts w:eastAsia="Malgun Gothic"/>
                <w:lang w:val="es-ES" w:eastAsia="ko-KR"/>
              </w:rPr>
              <w:t>%</w:t>
            </w:r>
            <w:r w:rsidR="00DD600B" w:rsidRPr="00E90022">
              <w:rPr>
                <w:rFonts w:eastAsia="Malgun Gothic"/>
                <w:lang w:val="es-ES" w:eastAsia="ko-KR"/>
              </w:rPr>
              <w:t xml:space="preserve"> hombres</w:t>
            </w:r>
            <w:r w:rsidR="00567CFD" w:rsidRPr="00E90022">
              <w:rPr>
                <w:rFonts w:eastAsia="Malgun Gothic"/>
                <w:lang w:val="es-ES" w:eastAsia="ko-KR"/>
              </w:rPr>
              <w:t>.</w:t>
            </w:r>
          </w:p>
          <w:p w14:paraId="0B2E41B9" w14:textId="028FE6D0" w:rsidR="00074714" w:rsidRPr="00E90022" w:rsidRDefault="00074714" w:rsidP="000F4735">
            <w:pPr>
              <w:pStyle w:val="Tabletext"/>
              <w:rPr>
                <w:lang w:val="es-ES" w:eastAsia="zh-CN"/>
              </w:rPr>
            </w:pPr>
            <w:r w:rsidRPr="00E90022">
              <w:rPr>
                <w:rFonts w:eastAsia="Malgun Gothic"/>
                <w:lang w:val="es-ES" w:eastAsia="ko-KR"/>
              </w:rPr>
              <w:t>–</w:t>
            </w:r>
            <w:r w:rsidRPr="00E90022">
              <w:rPr>
                <w:lang w:val="es-ES"/>
              </w:rPr>
              <w:tab/>
            </w:r>
            <w:r w:rsidR="00091B66" w:rsidRPr="00E90022">
              <w:rPr>
                <w:rFonts w:eastAsia="Malgun Gothic"/>
                <w:lang w:val="es-ES" w:eastAsia="ko-KR"/>
              </w:rPr>
              <w:t>Categoría de servicios generales</w:t>
            </w:r>
            <w:r w:rsidRPr="00E90022">
              <w:rPr>
                <w:rFonts w:eastAsia="Malgun Gothic"/>
                <w:lang w:val="es-ES" w:eastAsia="ko-KR"/>
              </w:rPr>
              <w:t>: 66</w:t>
            </w:r>
            <w:r w:rsidR="00DD600B" w:rsidRPr="00E90022">
              <w:rPr>
                <w:rFonts w:eastAsia="Malgun Gothic"/>
                <w:lang w:val="es-ES" w:eastAsia="ko-KR"/>
              </w:rPr>
              <w:t>,</w:t>
            </w:r>
            <w:r w:rsidRPr="00E90022">
              <w:rPr>
                <w:rFonts w:eastAsia="Malgun Gothic"/>
                <w:lang w:val="es-ES" w:eastAsia="ko-KR"/>
              </w:rPr>
              <w:t>8</w:t>
            </w:r>
            <w:r w:rsidR="00DD600B" w:rsidRPr="00E90022">
              <w:rPr>
                <w:rFonts w:eastAsia="Malgun Gothic"/>
                <w:lang w:val="es-ES" w:eastAsia="ko-KR"/>
              </w:rPr>
              <w:t> </w:t>
            </w:r>
            <w:r w:rsidRPr="00E90022">
              <w:rPr>
                <w:rFonts w:eastAsia="Malgun Gothic"/>
                <w:lang w:val="es-ES" w:eastAsia="ko-KR"/>
              </w:rPr>
              <w:t xml:space="preserve">% </w:t>
            </w:r>
            <w:r w:rsidR="00DD600B" w:rsidRPr="00E90022">
              <w:rPr>
                <w:rFonts w:eastAsia="Malgun Gothic"/>
                <w:lang w:val="es-ES" w:eastAsia="ko-KR"/>
              </w:rPr>
              <w:t xml:space="preserve">mujeres </w:t>
            </w:r>
            <w:r w:rsidRPr="00E90022">
              <w:rPr>
                <w:rFonts w:eastAsia="Malgun Gothic"/>
                <w:lang w:val="es-ES" w:eastAsia="ko-KR"/>
              </w:rPr>
              <w:t>/ 33</w:t>
            </w:r>
            <w:r w:rsidR="00DD600B" w:rsidRPr="00E90022">
              <w:rPr>
                <w:rFonts w:eastAsia="Malgun Gothic"/>
                <w:lang w:val="es-ES" w:eastAsia="ko-KR"/>
              </w:rPr>
              <w:t>,</w:t>
            </w:r>
            <w:r w:rsidRPr="00E90022">
              <w:rPr>
                <w:rFonts w:eastAsia="Malgun Gothic"/>
                <w:lang w:val="es-ES" w:eastAsia="ko-KR"/>
              </w:rPr>
              <w:t>2</w:t>
            </w:r>
            <w:r w:rsidR="00DD600B" w:rsidRPr="00E90022">
              <w:rPr>
                <w:rFonts w:eastAsia="Malgun Gothic"/>
                <w:lang w:val="es-ES" w:eastAsia="ko-KR"/>
              </w:rPr>
              <w:t> </w:t>
            </w:r>
            <w:r w:rsidRPr="00E90022">
              <w:rPr>
                <w:lang w:val="es-ES" w:eastAsia="zh-CN"/>
              </w:rPr>
              <w:t>%</w:t>
            </w:r>
            <w:r w:rsidR="00DD600B" w:rsidRPr="00E90022">
              <w:rPr>
                <w:rFonts w:eastAsia="Malgun Gothic"/>
                <w:lang w:val="es-ES" w:eastAsia="ko-KR"/>
              </w:rPr>
              <w:t xml:space="preserve"> hombres</w:t>
            </w:r>
            <w:r w:rsidR="00567CFD" w:rsidRPr="00E90022">
              <w:rPr>
                <w:rFonts w:eastAsia="Malgun Gothic"/>
                <w:lang w:val="es-ES" w:eastAsia="ko-KR"/>
              </w:rPr>
              <w:t>.</w:t>
            </w:r>
          </w:p>
          <w:p w14:paraId="089C1C45" w14:textId="32EE7F21" w:rsidR="00074714" w:rsidRPr="00E90022" w:rsidRDefault="00091B66" w:rsidP="000F4735">
            <w:pPr>
              <w:pStyle w:val="Tabletext"/>
              <w:rPr>
                <w:rFonts w:eastAsia="Malgun Gothic"/>
                <w:lang w:val="es-ES" w:eastAsia="ko-KR"/>
              </w:rPr>
            </w:pPr>
            <w:r w:rsidRPr="00E90022">
              <w:rPr>
                <w:rFonts w:eastAsia="Malgun Gothic"/>
                <w:lang w:val="es-ES" w:eastAsia="ko-KR"/>
              </w:rPr>
              <w:t>Distribución geográfica</w:t>
            </w:r>
            <w:r w:rsidR="0054394A" w:rsidRPr="00E90022">
              <w:rPr>
                <w:rFonts w:eastAsia="Malgun Gothic"/>
                <w:lang w:val="es-ES" w:eastAsia="ko-KR"/>
              </w:rPr>
              <w:t xml:space="preserve"> </w:t>
            </w:r>
            <w:r w:rsidR="00074714" w:rsidRPr="00E90022">
              <w:rPr>
                <w:rFonts w:eastAsia="Malgun Gothic"/>
                <w:lang w:val="es-ES" w:eastAsia="ko-KR"/>
              </w:rPr>
              <w:t>(</w:t>
            </w:r>
            <w:r w:rsidR="0054394A" w:rsidRPr="00E90022">
              <w:rPr>
                <w:rFonts w:eastAsia="Malgun Gothic"/>
                <w:lang w:val="es-ES" w:eastAsia="ko-KR"/>
              </w:rPr>
              <w:t>personal de plantilla</w:t>
            </w:r>
            <w:r w:rsidR="00074714" w:rsidRPr="00E90022">
              <w:rPr>
                <w:rFonts w:eastAsia="Malgun Gothic"/>
                <w:lang w:val="es-ES" w:eastAsia="ko-KR"/>
              </w:rPr>
              <w:t xml:space="preserve">): 114 </w:t>
            </w:r>
            <w:r w:rsidRPr="00E90022">
              <w:rPr>
                <w:rFonts w:eastAsia="Malgun Gothic"/>
                <w:lang w:val="es-ES" w:eastAsia="ko-KR"/>
              </w:rPr>
              <w:t>nacionalidades</w:t>
            </w:r>
            <w:r w:rsidR="00567CFD" w:rsidRPr="00E90022">
              <w:rPr>
                <w:rFonts w:eastAsia="Malgun Gothic"/>
                <w:lang w:val="es-ES" w:eastAsia="ko-KR"/>
              </w:rPr>
              <w:t>.</w:t>
            </w:r>
          </w:p>
          <w:p w14:paraId="67F5302C" w14:textId="77777777" w:rsidR="00074714" w:rsidRPr="00E90022" w:rsidRDefault="00074714" w:rsidP="000F4735">
            <w:pPr>
              <w:pStyle w:val="Tabletext"/>
              <w:rPr>
                <w:lang w:val="es-ES"/>
              </w:rPr>
            </w:pPr>
            <w:r w:rsidRPr="00E90022">
              <w:rPr>
                <w:lang w:val="es-ES"/>
              </w:rPr>
              <w:t>_______________</w:t>
            </w:r>
          </w:p>
          <w:p w14:paraId="4445EF29" w14:textId="23210037" w:rsidR="00074714" w:rsidRPr="00E90022" w:rsidRDefault="00074714" w:rsidP="000F4735">
            <w:pPr>
              <w:pStyle w:val="Tabletext"/>
              <w:rPr>
                <w:rFonts w:eastAsia="Malgun Gothic"/>
                <w:i/>
                <w:iCs/>
                <w:sz w:val="18"/>
                <w:szCs w:val="18"/>
                <w:lang w:val="es-ES" w:eastAsia="ko-KR"/>
              </w:rPr>
            </w:pPr>
            <w:r w:rsidRPr="00E90022">
              <w:rPr>
                <w:rFonts w:eastAsia="Malgun Gothic"/>
                <w:i/>
                <w:iCs/>
                <w:sz w:val="18"/>
                <w:szCs w:val="18"/>
                <w:lang w:val="es-ES" w:eastAsia="ko-KR"/>
              </w:rPr>
              <w:t>*</w:t>
            </w:r>
            <w:r w:rsidRPr="00E90022">
              <w:rPr>
                <w:rFonts w:eastAsia="Malgun Gothic"/>
                <w:i/>
                <w:iCs/>
                <w:sz w:val="18"/>
                <w:szCs w:val="18"/>
                <w:lang w:val="es-ES" w:eastAsia="ko-KR"/>
              </w:rPr>
              <w:tab/>
            </w:r>
            <w:r w:rsidR="0054394A" w:rsidRPr="00E90022">
              <w:rPr>
                <w:rFonts w:eastAsia="Malgun Gothic"/>
                <w:i/>
                <w:iCs/>
                <w:sz w:val="18"/>
                <w:szCs w:val="18"/>
                <w:lang w:val="es-ES" w:eastAsia="ko-KR"/>
              </w:rPr>
              <w:t xml:space="preserve">Datos al </w:t>
            </w:r>
            <w:r w:rsidRPr="00E90022">
              <w:rPr>
                <w:rFonts w:eastAsia="Malgun Gothic"/>
                <w:i/>
                <w:iCs/>
                <w:sz w:val="18"/>
                <w:szCs w:val="18"/>
                <w:lang w:val="es-ES" w:eastAsia="ko-KR"/>
              </w:rPr>
              <w:t xml:space="preserve">6 </w:t>
            </w:r>
            <w:r w:rsidR="0054394A" w:rsidRPr="00E90022">
              <w:rPr>
                <w:rFonts w:eastAsia="Malgun Gothic"/>
                <w:i/>
                <w:iCs/>
                <w:sz w:val="18"/>
                <w:szCs w:val="18"/>
                <w:lang w:val="es-ES" w:eastAsia="ko-KR"/>
              </w:rPr>
              <w:t xml:space="preserve">de febrero de </w:t>
            </w:r>
            <w:r w:rsidRPr="00E90022">
              <w:rPr>
                <w:rFonts w:eastAsia="Malgun Gothic"/>
                <w:i/>
                <w:iCs/>
                <w:sz w:val="18"/>
                <w:szCs w:val="18"/>
                <w:lang w:val="es-ES" w:eastAsia="ko-KR"/>
              </w:rPr>
              <w:t>2026.</w:t>
            </w:r>
          </w:p>
          <w:p w14:paraId="49F4D64E" w14:textId="48D3A708" w:rsidR="00074714" w:rsidRPr="00E90022" w:rsidRDefault="00074714" w:rsidP="000F4735">
            <w:pPr>
              <w:pStyle w:val="Tabletext"/>
              <w:rPr>
                <w:rFonts w:eastAsia="Malgun Gothic"/>
                <w:lang w:val="es-ES" w:eastAsia="ko-KR"/>
              </w:rPr>
            </w:pPr>
            <w:r w:rsidRPr="00E90022">
              <w:rPr>
                <w:rFonts w:eastAsia="Malgun Gothic"/>
                <w:i/>
                <w:iCs/>
                <w:sz w:val="18"/>
                <w:szCs w:val="18"/>
                <w:lang w:val="es-ES" w:eastAsia="ko-KR"/>
              </w:rPr>
              <w:t>**</w:t>
            </w:r>
            <w:r w:rsidRPr="00E90022">
              <w:rPr>
                <w:rFonts w:eastAsia="Malgun Gothic"/>
                <w:i/>
                <w:iCs/>
                <w:sz w:val="18"/>
                <w:szCs w:val="18"/>
                <w:lang w:val="es-ES" w:eastAsia="ko-KR"/>
              </w:rPr>
              <w:tab/>
            </w:r>
            <w:r w:rsidR="007C4A70" w:rsidRPr="00E90022">
              <w:rPr>
                <w:rFonts w:eastAsia="Malgun Gothic"/>
                <w:i/>
                <w:iCs/>
                <w:sz w:val="18"/>
                <w:szCs w:val="18"/>
                <w:lang w:val="es-ES" w:eastAsia="ko-KR"/>
              </w:rPr>
              <w:t>L</w:t>
            </w:r>
            <w:r w:rsidR="000624E1" w:rsidRPr="00E90022">
              <w:rPr>
                <w:rFonts w:eastAsia="Malgun Gothic"/>
                <w:i/>
                <w:iCs/>
                <w:sz w:val="18"/>
                <w:szCs w:val="18"/>
                <w:lang w:val="es-ES" w:eastAsia="ko-KR"/>
              </w:rPr>
              <w:t>as cifras no incluyen a l</w:t>
            </w:r>
            <w:r w:rsidR="007C4A70" w:rsidRPr="00E90022">
              <w:rPr>
                <w:rFonts w:eastAsia="Malgun Gothic"/>
                <w:i/>
                <w:iCs/>
                <w:sz w:val="18"/>
                <w:szCs w:val="18"/>
                <w:lang w:val="es-ES" w:eastAsia="ko-KR"/>
              </w:rPr>
              <w:t xml:space="preserve">os funcionarios de elección </w:t>
            </w:r>
            <w:r w:rsidR="006F77F6" w:rsidRPr="00E90022">
              <w:rPr>
                <w:rFonts w:eastAsia="Malgun Gothic"/>
                <w:i/>
                <w:iCs/>
                <w:sz w:val="18"/>
                <w:szCs w:val="18"/>
                <w:lang w:val="es-ES" w:eastAsia="ko-KR"/>
              </w:rPr>
              <w:t xml:space="preserve">ni al personal </w:t>
            </w:r>
            <w:r w:rsidR="0000041D" w:rsidRPr="00E90022">
              <w:rPr>
                <w:rFonts w:eastAsia="Malgun Gothic"/>
                <w:i/>
                <w:iCs/>
                <w:sz w:val="18"/>
                <w:szCs w:val="18"/>
                <w:lang w:val="es-ES" w:eastAsia="ko-KR"/>
              </w:rPr>
              <w:t xml:space="preserve">con licencia </w:t>
            </w:r>
            <w:r w:rsidR="000624E1" w:rsidRPr="00E90022">
              <w:rPr>
                <w:rFonts w:eastAsia="Malgun Gothic"/>
                <w:i/>
                <w:iCs/>
                <w:sz w:val="18"/>
                <w:szCs w:val="18"/>
                <w:lang w:val="es-ES" w:eastAsia="ko-KR"/>
              </w:rPr>
              <w:t xml:space="preserve">especial </w:t>
            </w:r>
            <w:r w:rsidR="0000041D" w:rsidRPr="00E90022">
              <w:rPr>
                <w:rFonts w:eastAsia="Malgun Gothic"/>
                <w:i/>
                <w:iCs/>
                <w:sz w:val="18"/>
                <w:szCs w:val="18"/>
                <w:lang w:val="es-ES" w:eastAsia="ko-KR"/>
              </w:rPr>
              <w:t>sin sueldo</w:t>
            </w:r>
            <w:r w:rsidRPr="00E90022">
              <w:rPr>
                <w:rFonts w:eastAsia="Malgun Gothic"/>
                <w:i/>
                <w:iCs/>
                <w:sz w:val="18"/>
                <w:szCs w:val="18"/>
                <w:lang w:val="es-ES" w:eastAsia="ko-KR"/>
              </w:rPr>
              <w:t>.</w:t>
            </w:r>
          </w:p>
        </w:tc>
      </w:tr>
      <w:tr w:rsidR="00074714" w:rsidRPr="00E90022" w14:paraId="3E783427" w14:textId="77777777" w:rsidTr="00C90203">
        <w:trPr>
          <w:trHeight w:val="898"/>
          <w:jc w:val="center"/>
        </w:trPr>
        <w:tc>
          <w:tcPr>
            <w:tcW w:w="207" w:type="pct"/>
            <w:shd w:val="clear" w:color="auto" w:fill="FFFFFF" w:themeFill="background1"/>
            <w:vAlign w:val="center"/>
          </w:tcPr>
          <w:p w14:paraId="13F040D1" w14:textId="77777777" w:rsidR="00074714" w:rsidRPr="00E90022" w:rsidRDefault="00074714" w:rsidP="000F4735">
            <w:pPr>
              <w:pStyle w:val="Tabletext"/>
              <w:rPr>
                <w:lang w:val="es-ES" w:eastAsia="zh-CN"/>
              </w:rPr>
            </w:pPr>
            <w:bookmarkStart w:id="4" w:name="_Hlk95295505"/>
            <w:r w:rsidRPr="00E90022">
              <w:rPr>
                <w:lang w:val="es-ES" w:eastAsia="zh-CN"/>
              </w:rPr>
              <w:lastRenderedPageBreak/>
              <w:t>4</w:t>
            </w:r>
          </w:p>
        </w:tc>
        <w:tc>
          <w:tcPr>
            <w:tcW w:w="523" w:type="pct"/>
            <w:shd w:val="clear" w:color="auto" w:fill="FFFFFF" w:themeFill="background1"/>
            <w:vAlign w:val="center"/>
          </w:tcPr>
          <w:p w14:paraId="02F350A5" w14:textId="40314A09" w:rsidR="00074714" w:rsidRPr="00E90022" w:rsidRDefault="00C91E6C" w:rsidP="000F4735">
            <w:pPr>
              <w:pStyle w:val="Tabletext"/>
              <w:rPr>
                <w:szCs w:val="22"/>
                <w:lang w:val="es-ES" w:eastAsia="zh-CN"/>
              </w:rPr>
            </w:pPr>
            <w:r w:rsidRPr="00E90022">
              <w:rPr>
                <w:szCs w:val="22"/>
                <w:lang w:val="es-ES" w:eastAsia="zh-CN"/>
              </w:rPr>
              <w:t>Asociaciones</w:t>
            </w:r>
          </w:p>
        </w:tc>
        <w:tc>
          <w:tcPr>
            <w:tcW w:w="1759" w:type="pct"/>
            <w:shd w:val="clear" w:color="auto" w:fill="FFFFFF" w:themeFill="background1"/>
            <w:vAlign w:val="center"/>
          </w:tcPr>
          <w:p w14:paraId="4B697EB1" w14:textId="2B469B62"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1F5F2A" w:rsidRPr="00E90022">
              <w:rPr>
                <w:lang w:val="es-ES"/>
              </w:rPr>
              <w:t xml:space="preserve">Número de asociaciones creadas con administraciones (informe cualitativo sobre las iniciativas </w:t>
            </w:r>
            <w:r w:rsidR="003D2993" w:rsidRPr="00E90022">
              <w:rPr>
                <w:lang w:val="es-ES"/>
              </w:rPr>
              <w:t>e informe</w:t>
            </w:r>
            <w:r w:rsidR="001F5F2A" w:rsidRPr="00E90022">
              <w:rPr>
                <w:lang w:val="es-ES"/>
              </w:rPr>
              <w:t xml:space="preserve"> cuantitativo, es decir, número de </w:t>
            </w:r>
            <w:r w:rsidR="007F1D81" w:rsidRPr="00E90022">
              <w:rPr>
                <w:lang w:val="es-ES"/>
              </w:rPr>
              <w:t xml:space="preserve">personas contratadas por medio de </w:t>
            </w:r>
            <w:r w:rsidR="001F5F2A" w:rsidRPr="00E90022">
              <w:rPr>
                <w:lang w:val="es-ES"/>
              </w:rPr>
              <w:t>fondos fiduciarios</w:t>
            </w:r>
            <w:r w:rsidR="00000823" w:rsidRPr="00E90022">
              <w:rPr>
                <w:lang w:val="es-ES"/>
              </w:rPr>
              <w:t xml:space="preserve"> (FIT)</w:t>
            </w:r>
            <w:r w:rsidR="001F5F2A" w:rsidRPr="00E90022">
              <w:rPr>
                <w:lang w:val="es-ES"/>
              </w:rPr>
              <w:t xml:space="preserve">, </w:t>
            </w:r>
            <w:r w:rsidR="00092BF9" w:rsidRPr="00E90022">
              <w:rPr>
                <w:lang w:val="es-ES"/>
              </w:rPr>
              <w:t>de</w:t>
            </w:r>
            <w:r w:rsidR="00694CDA" w:rsidRPr="00E90022">
              <w:rPr>
                <w:lang w:val="es-ES"/>
              </w:rPr>
              <w:t>l</w:t>
            </w:r>
            <w:r w:rsidR="00092BF9" w:rsidRPr="00E90022">
              <w:rPr>
                <w:lang w:val="es-ES"/>
              </w:rPr>
              <w:t xml:space="preserve"> programa de </w:t>
            </w:r>
            <w:r w:rsidR="00290F59" w:rsidRPr="00E90022">
              <w:rPr>
                <w:lang w:val="es-ES"/>
              </w:rPr>
              <w:t>funcionaros profesionales subalternos (</w:t>
            </w:r>
            <w:r w:rsidR="001F5F2A" w:rsidRPr="00E90022">
              <w:rPr>
                <w:lang w:val="es-ES"/>
              </w:rPr>
              <w:t>JPO</w:t>
            </w:r>
            <w:r w:rsidR="00290F59" w:rsidRPr="00E90022">
              <w:rPr>
                <w:lang w:val="es-ES"/>
              </w:rPr>
              <w:t>)</w:t>
            </w:r>
            <w:r w:rsidR="001F5F2A" w:rsidRPr="00E90022">
              <w:rPr>
                <w:lang w:val="es-ES"/>
              </w:rPr>
              <w:t xml:space="preserve">, </w:t>
            </w:r>
            <w:r w:rsidR="0074384E" w:rsidRPr="00E90022">
              <w:rPr>
                <w:lang w:val="es-ES"/>
              </w:rPr>
              <w:t xml:space="preserve">y de </w:t>
            </w:r>
            <w:r w:rsidR="001F5F2A" w:rsidRPr="00E90022">
              <w:rPr>
                <w:lang w:val="es-ES"/>
              </w:rPr>
              <w:t>transferencias/cesión de personal contratados a través de programas de asociaciones</w:t>
            </w:r>
            <w:r w:rsidRPr="00E90022">
              <w:rPr>
                <w:lang w:val="es-ES"/>
              </w:rPr>
              <w:t>)</w:t>
            </w:r>
            <w:r w:rsidR="004C3A95" w:rsidRPr="00E90022">
              <w:rPr>
                <w:lang w:val="es-ES"/>
              </w:rPr>
              <w:t>.</w:t>
            </w:r>
          </w:p>
        </w:tc>
        <w:tc>
          <w:tcPr>
            <w:tcW w:w="2511" w:type="pct"/>
            <w:vAlign w:val="center"/>
          </w:tcPr>
          <w:p w14:paraId="292E2159" w14:textId="45D5A19D" w:rsidR="00074714" w:rsidRPr="00E90022" w:rsidRDefault="00182AC7" w:rsidP="000F4735">
            <w:pPr>
              <w:pStyle w:val="Tabletext"/>
              <w:rPr>
                <w:lang w:val="es-ES" w:eastAsia="zh-CN"/>
              </w:rPr>
            </w:pPr>
            <w:r w:rsidRPr="00E90022">
              <w:rPr>
                <w:lang w:val="es-ES" w:eastAsia="zh-CN"/>
              </w:rPr>
              <w:t xml:space="preserve">Número de asociaciones </w:t>
            </w:r>
            <w:r w:rsidR="004A030B" w:rsidRPr="00E90022">
              <w:rPr>
                <w:lang w:val="es-ES" w:eastAsia="zh-CN"/>
              </w:rPr>
              <w:t xml:space="preserve">para </w:t>
            </w:r>
            <w:r w:rsidR="00074714" w:rsidRPr="00E90022">
              <w:rPr>
                <w:lang w:val="es-ES" w:eastAsia="zh-CN"/>
              </w:rPr>
              <w:t xml:space="preserve">FIT </w:t>
            </w:r>
            <w:r w:rsidR="004A030B" w:rsidRPr="00E90022">
              <w:rPr>
                <w:lang w:val="es-ES" w:eastAsia="zh-CN"/>
              </w:rPr>
              <w:t>y programas de transferencias</w:t>
            </w:r>
            <w:r w:rsidR="00074714" w:rsidRPr="00E90022">
              <w:rPr>
                <w:lang w:val="es-ES" w:eastAsia="zh-CN"/>
              </w:rPr>
              <w:t>: 8</w:t>
            </w:r>
          </w:p>
          <w:p w14:paraId="69C22407" w14:textId="6CD4CE22" w:rsidR="00074714" w:rsidRPr="00E90022" w:rsidRDefault="004A030B" w:rsidP="000F4735">
            <w:pPr>
              <w:pStyle w:val="Tabletext"/>
              <w:rPr>
                <w:lang w:val="es-ES" w:eastAsia="zh-CN"/>
              </w:rPr>
            </w:pPr>
            <w:r w:rsidRPr="00E90022">
              <w:rPr>
                <w:lang w:val="es-ES" w:eastAsia="zh-CN"/>
              </w:rPr>
              <w:t xml:space="preserve">Número de asociaciones para </w:t>
            </w:r>
            <w:r w:rsidR="00694CDA" w:rsidRPr="00E90022">
              <w:rPr>
                <w:lang w:val="es-ES" w:eastAsia="zh-CN"/>
              </w:rPr>
              <w:t xml:space="preserve">el </w:t>
            </w:r>
            <w:r w:rsidRPr="00E90022">
              <w:rPr>
                <w:lang w:val="es-ES" w:eastAsia="zh-CN"/>
              </w:rPr>
              <w:t xml:space="preserve">programa </w:t>
            </w:r>
            <w:r w:rsidR="00074714" w:rsidRPr="00E90022">
              <w:rPr>
                <w:lang w:val="es-ES" w:eastAsia="zh-CN"/>
              </w:rPr>
              <w:t>JPO: 8</w:t>
            </w:r>
          </w:p>
          <w:p w14:paraId="57ED126F" w14:textId="3BEC51A3" w:rsidR="00074714" w:rsidRPr="00E90022" w:rsidRDefault="000A696E" w:rsidP="000F4735">
            <w:pPr>
              <w:pStyle w:val="Tabletext"/>
              <w:rPr>
                <w:lang w:val="es-ES" w:eastAsia="zh-CN"/>
              </w:rPr>
            </w:pPr>
            <w:r w:rsidRPr="00E90022">
              <w:rPr>
                <w:lang w:val="es-ES" w:eastAsia="zh-CN"/>
              </w:rPr>
              <w:t>Número de asociaciones para el programa de pasantías patrocinadas</w:t>
            </w:r>
            <w:r w:rsidR="00074714" w:rsidRPr="00E90022">
              <w:rPr>
                <w:lang w:val="es-ES" w:eastAsia="zh-CN"/>
              </w:rPr>
              <w:t>: 2</w:t>
            </w:r>
          </w:p>
          <w:p w14:paraId="3CE909C3" w14:textId="31A72500" w:rsidR="00074714" w:rsidRPr="00E90022" w:rsidRDefault="000A696E" w:rsidP="000F4735">
            <w:pPr>
              <w:pStyle w:val="Tabletext"/>
              <w:rPr>
                <w:lang w:val="es-ES" w:eastAsia="zh-CN"/>
              </w:rPr>
            </w:pPr>
            <w:r w:rsidRPr="00E90022">
              <w:rPr>
                <w:lang w:val="es-ES"/>
              </w:rPr>
              <w:t xml:space="preserve">Número de </w:t>
            </w:r>
            <w:r w:rsidR="00074714" w:rsidRPr="00E90022">
              <w:rPr>
                <w:lang w:val="es-ES"/>
              </w:rPr>
              <w:t>FIT:</w:t>
            </w:r>
            <w:r w:rsidR="00074714" w:rsidRPr="00E90022">
              <w:rPr>
                <w:lang w:val="es-ES" w:eastAsia="zh-CN"/>
              </w:rPr>
              <w:t xml:space="preserve"> 8 (1 </w:t>
            </w:r>
            <w:r w:rsidR="00C61E75" w:rsidRPr="00E90022">
              <w:rPr>
                <w:lang w:val="es-ES" w:eastAsia="zh-CN"/>
              </w:rPr>
              <w:t xml:space="preserve">más a partir del </w:t>
            </w:r>
            <w:r w:rsidR="00074714" w:rsidRPr="00E90022">
              <w:rPr>
                <w:lang w:val="es-ES" w:eastAsia="zh-CN"/>
              </w:rPr>
              <w:t xml:space="preserve">1 </w:t>
            </w:r>
            <w:r w:rsidR="00C61E75" w:rsidRPr="00E90022">
              <w:rPr>
                <w:lang w:val="es-ES" w:eastAsia="zh-CN"/>
              </w:rPr>
              <w:t xml:space="preserve">de marzo de </w:t>
            </w:r>
            <w:r w:rsidR="00074714" w:rsidRPr="00E90022">
              <w:rPr>
                <w:lang w:val="es-ES" w:eastAsia="zh-CN"/>
              </w:rPr>
              <w:t>2026)</w:t>
            </w:r>
          </w:p>
          <w:p w14:paraId="532844B9" w14:textId="6E8AEB8D" w:rsidR="00074714" w:rsidRPr="00E90022" w:rsidRDefault="00C61E75" w:rsidP="000F4735">
            <w:pPr>
              <w:pStyle w:val="Tabletext"/>
              <w:rPr>
                <w:lang w:val="es-ES" w:eastAsia="zh-CN"/>
              </w:rPr>
            </w:pPr>
            <w:r w:rsidRPr="00E90022">
              <w:rPr>
                <w:lang w:val="es-ES"/>
              </w:rPr>
              <w:t xml:space="preserve">Número de </w:t>
            </w:r>
            <w:r w:rsidR="00074714" w:rsidRPr="00E90022">
              <w:rPr>
                <w:lang w:val="es-ES"/>
              </w:rPr>
              <w:t xml:space="preserve">JPO: </w:t>
            </w:r>
            <w:r w:rsidR="00074714" w:rsidRPr="00E90022">
              <w:rPr>
                <w:lang w:val="es-ES" w:eastAsia="zh-CN"/>
              </w:rPr>
              <w:t xml:space="preserve">5 </w:t>
            </w:r>
            <w:r w:rsidRPr="00E90022">
              <w:rPr>
                <w:lang w:val="es-ES" w:eastAsia="zh-CN"/>
              </w:rPr>
              <w:t xml:space="preserve">y </w:t>
            </w:r>
            <w:r w:rsidR="00074714" w:rsidRPr="00E90022">
              <w:rPr>
                <w:lang w:val="es-ES" w:eastAsia="zh-CN"/>
              </w:rPr>
              <w:t xml:space="preserve">3 </w:t>
            </w:r>
            <w:r w:rsidRPr="00E90022">
              <w:rPr>
                <w:lang w:val="es-ES" w:eastAsia="zh-CN"/>
              </w:rPr>
              <w:t xml:space="preserve">más a partir del </w:t>
            </w:r>
            <w:r w:rsidR="00074714" w:rsidRPr="00E90022">
              <w:rPr>
                <w:lang w:val="es-ES" w:eastAsia="zh-CN"/>
              </w:rPr>
              <w:t xml:space="preserve">1 </w:t>
            </w:r>
            <w:r w:rsidRPr="00E90022">
              <w:rPr>
                <w:lang w:val="es-ES" w:eastAsia="zh-CN"/>
              </w:rPr>
              <w:t xml:space="preserve">de marzo de </w:t>
            </w:r>
            <w:r w:rsidR="00074714" w:rsidRPr="00E90022">
              <w:rPr>
                <w:lang w:val="es-ES" w:eastAsia="zh-CN"/>
              </w:rPr>
              <w:t xml:space="preserve">2026 </w:t>
            </w:r>
            <w:r w:rsidRPr="00E90022">
              <w:rPr>
                <w:lang w:val="es-ES" w:eastAsia="zh-CN"/>
              </w:rPr>
              <w:t>y posteriormente</w:t>
            </w:r>
          </w:p>
          <w:p w14:paraId="4AE1409A" w14:textId="392BF345" w:rsidR="00074714" w:rsidRPr="00E90022" w:rsidRDefault="00C61E75" w:rsidP="000F4735">
            <w:pPr>
              <w:pStyle w:val="Tabletext"/>
              <w:rPr>
                <w:lang w:val="es-ES" w:eastAsia="zh-CN"/>
              </w:rPr>
            </w:pPr>
            <w:r w:rsidRPr="00E90022">
              <w:rPr>
                <w:lang w:val="es-ES"/>
              </w:rPr>
              <w:t xml:space="preserve">Número de </w:t>
            </w:r>
            <w:r w:rsidR="007A0319" w:rsidRPr="00E90022">
              <w:rPr>
                <w:lang w:val="es-ES"/>
              </w:rPr>
              <w:t>cesiones</w:t>
            </w:r>
            <w:r w:rsidR="00074714" w:rsidRPr="00E90022">
              <w:rPr>
                <w:lang w:val="es-ES"/>
              </w:rPr>
              <w:t xml:space="preserve">: </w:t>
            </w:r>
            <w:r w:rsidR="00074714" w:rsidRPr="00E90022">
              <w:rPr>
                <w:lang w:val="es-ES" w:eastAsia="zh-CN"/>
              </w:rPr>
              <w:t>9</w:t>
            </w:r>
          </w:p>
        </w:tc>
      </w:tr>
      <w:tr w:rsidR="00074714" w:rsidRPr="00C92D1F" w14:paraId="11A1605C" w14:textId="77777777" w:rsidTr="00C90203">
        <w:trPr>
          <w:trHeight w:val="20"/>
          <w:jc w:val="center"/>
        </w:trPr>
        <w:tc>
          <w:tcPr>
            <w:tcW w:w="207" w:type="pct"/>
            <w:shd w:val="clear" w:color="auto" w:fill="FFFFFF" w:themeFill="background1"/>
            <w:vAlign w:val="center"/>
          </w:tcPr>
          <w:p w14:paraId="24759EB3" w14:textId="77777777" w:rsidR="00074714" w:rsidRPr="00E90022" w:rsidRDefault="00074714" w:rsidP="000F4735">
            <w:pPr>
              <w:pStyle w:val="Tabletext"/>
              <w:rPr>
                <w:lang w:val="es-ES" w:eastAsia="zh-CN"/>
              </w:rPr>
            </w:pPr>
            <w:r w:rsidRPr="00E90022">
              <w:rPr>
                <w:lang w:val="es-ES" w:eastAsia="zh-CN"/>
              </w:rPr>
              <w:t>5</w:t>
            </w:r>
          </w:p>
        </w:tc>
        <w:tc>
          <w:tcPr>
            <w:tcW w:w="523" w:type="pct"/>
            <w:shd w:val="clear" w:color="auto" w:fill="FFFFFF" w:themeFill="background1"/>
            <w:vAlign w:val="center"/>
          </w:tcPr>
          <w:p w14:paraId="4F560D65" w14:textId="50340BA9" w:rsidR="00074714" w:rsidRPr="00E90022" w:rsidRDefault="00C91E6C" w:rsidP="000F4735">
            <w:pPr>
              <w:pStyle w:val="Tabletext"/>
              <w:rPr>
                <w:szCs w:val="22"/>
                <w:lang w:val="es-ES" w:eastAsia="zh-CN"/>
              </w:rPr>
            </w:pPr>
            <w:r w:rsidRPr="00E90022">
              <w:rPr>
                <w:szCs w:val="22"/>
                <w:lang w:val="es-ES" w:eastAsia="zh-CN"/>
              </w:rPr>
              <w:t>Asociaciones</w:t>
            </w:r>
          </w:p>
        </w:tc>
        <w:tc>
          <w:tcPr>
            <w:tcW w:w="1759" w:type="pct"/>
            <w:shd w:val="clear" w:color="auto" w:fill="FFFFFF" w:themeFill="background1"/>
            <w:vAlign w:val="center"/>
            <w:hideMark/>
          </w:tcPr>
          <w:p w14:paraId="334CC9C3" w14:textId="4EC3DBBD"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381F11" w:rsidRPr="00E90022">
              <w:rPr>
                <w:lang w:val="es-ES"/>
              </w:rPr>
              <w:t>Programas de jóvenes talentos diseñados y ejecutado</w:t>
            </w:r>
            <w:r w:rsidRPr="00E90022">
              <w:rPr>
                <w:lang w:val="es-ES"/>
              </w:rPr>
              <w:t>s</w:t>
            </w:r>
            <w:r w:rsidR="004C3A95" w:rsidRPr="00E90022">
              <w:rPr>
                <w:lang w:val="es-ES"/>
              </w:rPr>
              <w:t>.</w:t>
            </w:r>
          </w:p>
          <w:p w14:paraId="23E5112A" w14:textId="4AD1B308"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381F11" w:rsidRPr="00E90022">
              <w:rPr>
                <w:lang w:val="es-ES"/>
              </w:rPr>
              <w:t>N</w:t>
            </w:r>
            <w:r w:rsidR="006C1639" w:rsidRPr="00E90022">
              <w:rPr>
                <w:lang w:val="es-ES"/>
              </w:rPr>
              <w:t>úmero de pasantes</w:t>
            </w:r>
            <w:r w:rsidR="004C3A95" w:rsidRPr="00E90022">
              <w:rPr>
                <w:lang w:val="es-ES"/>
              </w:rPr>
              <w:t>.</w:t>
            </w:r>
          </w:p>
        </w:tc>
        <w:tc>
          <w:tcPr>
            <w:tcW w:w="2511" w:type="pct"/>
            <w:vAlign w:val="center"/>
          </w:tcPr>
          <w:p w14:paraId="25D02B23" w14:textId="5D8F618B" w:rsidR="00074714" w:rsidRPr="00E90022" w:rsidRDefault="000665D9" w:rsidP="000F4735">
            <w:pPr>
              <w:pStyle w:val="Tabletext"/>
              <w:rPr>
                <w:lang w:val="es-ES" w:eastAsia="zh-CN"/>
              </w:rPr>
            </w:pPr>
            <w:r w:rsidRPr="00E90022">
              <w:rPr>
                <w:lang w:val="es-ES" w:eastAsia="zh-CN"/>
              </w:rPr>
              <w:t xml:space="preserve">Número de </w:t>
            </w:r>
            <w:r w:rsidR="009C1088" w:rsidRPr="00E90022">
              <w:rPr>
                <w:lang w:val="es-ES" w:eastAsia="zh-CN"/>
              </w:rPr>
              <w:t>contratos de</w:t>
            </w:r>
            <w:r w:rsidR="00506D04" w:rsidRPr="00E90022">
              <w:rPr>
                <w:lang w:val="es-ES" w:eastAsia="zh-CN"/>
              </w:rPr>
              <w:t>l</w:t>
            </w:r>
            <w:r w:rsidR="009C1088" w:rsidRPr="00E90022">
              <w:rPr>
                <w:lang w:val="es-ES" w:eastAsia="zh-CN"/>
              </w:rPr>
              <w:t xml:space="preserve"> programa de jóvenes talentos</w:t>
            </w:r>
            <w:r w:rsidR="00506D04" w:rsidRPr="00E90022">
              <w:rPr>
                <w:lang w:val="es-ES" w:eastAsia="zh-CN"/>
              </w:rPr>
              <w:t xml:space="preserve"> profesionales</w:t>
            </w:r>
            <w:r w:rsidR="00074714" w:rsidRPr="00E90022">
              <w:rPr>
                <w:lang w:val="es-ES" w:eastAsia="zh-CN"/>
              </w:rPr>
              <w:t>:</w:t>
            </w:r>
            <w:r w:rsidR="00074714" w:rsidRPr="00E90022">
              <w:rPr>
                <w:lang w:val="es-ES"/>
              </w:rPr>
              <w:t xml:space="preserve"> </w:t>
            </w:r>
            <w:r w:rsidR="00074714" w:rsidRPr="00E90022">
              <w:rPr>
                <w:lang w:val="es-ES" w:eastAsia="zh-CN"/>
              </w:rPr>
              <w:t>6</w:t>
            </w:r>
          </w:p>
          <w:p w14:paraId="3E139E01" w14:textId="485C9A2D" w:rsidR="00074714" w:rsidRPr="00E90022" w:rsidRDefault="00506D04" w:rsidP="000F4735">
            <w:pPr>
              <w:pStyle w:val="Tabletext"/>
              <w:rPr>
                <w:lang w:val="es-ES" w:eastAsia="zh-CN"/>
              </w:rPr>
            </w:pPr>
            <w:r w:rsidRPr="00E90022">
              <w:rPr>
                <w:lang w:val="es-ES"/>
              </w:rPr>
              <w:t>Número de pasantes</w:t>
            </w:r>
            <w:r w:rsidR="00074714" w:rsidRPr="00E90022">
              <w:rPr>
                <w:lang w:val="es-ES"/>
              </w:rPr>
              <w:t>: 70</w:t>
            </w:r>
            <w:r w:rsidR="00074714" w:rsidRPr="00E90022">
              <w:rPr>
                <w:lang w:val="es-ES" w:eastAsia="zh-CN"/>
              </w:rPr>
              <w:t xml:space="preserve"> </w:t>
            </w:r>
            <w:r w:rsidR="00074714" w:rsidRPr="00E90022">
              <w:rPr>
                <w:lang w:val="es-ES"/>
              </w:rPr>
              <w:t>(22</w:t>
            </w:r>
            <w:r w:rsidR="00CC1653" w:rsidRPr="00E90022">
              <w:rPr>
                <w:lang w:val="es-ES"/>
              </w:rPr>
              <w:t xml:space="preserve"> en la SG</w:t>
            </w:r>
            <w:r w:rsidR="00074714" w:rsidRPr="00E90022">
              <w:rPr>
                <w:lang w:val="es-ES"/>
              </w:rPr>
              <w:t xml:space="preserve">; </w:t>
            </w:r>
            <w:r w:rsidR="00CC1653" w:rsidRPr="00E90022">
              <w:rPr>
                <w:lang w:val="es-ES"/>
              </w:rPr>
              <w:t xml:space="preserve">7 en la </w:t>
            </w:r>
            <w:r w:rsidR="00074714" w:rsidRPr="00E90022">
              <w:rPr>
                <w:lang w:val="es-ES"/>
              </w:rPr>
              <w:t xml:space="preserve">BR; </w:t>
            </w:r>
            <w:r w:rsidR="00CC1653" w:rsidRPr="00E90022">
              <w:rPr>
                <w:lang w:val="es-ES"/>
              </w:rPr>
              <w:t xml:space="preserve">28 en la </w:t>
            </w:r>
            <w:r w:rsidR="00074714" w:rsidRPr="00E90022">
              <w:rPr>
                <w:lang w:val="es-ES"/>
              </w:rPr>
              <w:t>BDT</w:t>
            </w:r>
            <w:r w:rsidR="00074714" w:rsidRPr="00E90022">
              <w:rPr>
                <w:lang w:val="es-ES" w:eastAsia="zh-CN"/>
              </w:rPr>
              <w:t>;</w:t>
            </w:r>
            <w:r w:rsidR="00074714" w:rsidRPr="00E90022">
              <w:rPr>
                <w:lang w:val="es-ES"/>
              </w:rPr>
              <w:t xml:space="preserve"> </w:t>
            </w:r>
            <w:r w:rsidR="00CC1653" w:rsidRPr="00E90022">
              <w:rPr>
                <w:lang w:val="es-ES"/>
              </w:rPr>
              <w:t xml:space="preserve">y </w:t>
            </w:r>
            <w:r w:rsidR="00074714" w:rsidRPr="00E90022">
              <w:rPr>
                <w:lang w:val="es-ES" w:eastAsia="zh-CN"/>
              </w:rPr>
              <w:t>13</w:t>
            </w:r>
            <w:r w:rsidR="00CC1653" w:rsidRPr="00E90022">
              <w:rPr>
                <w:lang w:val="es-ES" w:eastAsia="zh-CN"/>
              </w:rPr>
              <w:t xml:space="preserve"> en la TSB</w:t>
            </w:r>
            <w:r w:rsidR="00074714" w:rsidRPr="00E90022">
              <w:rPr>
                <w:lang w:val="es-ES"/>
              </w:rPr>
              <w:t>)</w:t>
            </w:r>
          </w:p>
        </w:tc>
      </w:tr>
      <w:bookmarkEnd w:id="4"/>
      <w:tr w:rsidR="00074714" w:rsidRPr="00C92D1F" w14:paraId="414BD5DF" w14:textId="77777777" w:rsidTr="00C90203">
        <w:trPr>
          <w:trHeight w:val="20"/>
          <w:jc w:val="center"/>
        </w:trPr>
        <w:tc>
          <w:tcPr>
            <w:tcW w:w="207" w:type="pct"/>
            <w:shd w:val="clear" w:color="auto" w:fill="FFFFFF" w:themeFill="background1"/>
            <w:vAlign w:val="center"/>
          </w:tcPr>
          <w:p w14:paraId="76FA74A6" w14:textId="77777777" w:rsidR="00074714" w:rsidRPr="00E90022" w:rsidRDefault="00074714" w:rsidP="000F4735">
            <w:pPr>
              <w:pStyle w:val="Tabletext"/>
              <w:rPr>
                <w:lang w:val="es-ES" w:eastAsia="zh-CN"/>
              </w:rPr>
            </w:pPr>
            <w:r w:rsidRPr="00E90022">
              <w:rPr>
                <w:lang w:val="es-ES" w:eastAsia="zh-CN"/>
              </w:rPr>
              <w:t>6</w:t>
            </w:r>
          </w:p>
        </w:tc>
        <w:tc>
          <w:tcPr>
            <w:tcW w:w="523" w:type="pct"/>
            <w:shd w:val="clear" w:color="auto" w:fill="FFFFFF" w:themeFill="background1"/>
            <w:vAlign w:val="center"/>
          </w:tcPr>
          <w:p w14:paraId="0159EC3C" w14:textId="66BF7270" w:rsidR="00074714" w:rsidRPr="00E90022" w:rsidRDefault="00CC1653" w:rsidP="000F4735">
            <w:pPr>
              <w:pStyle w:val="Tabletext"/>
              <w:rPr>
                <w:szCs w:val="22"/>
                <w:lang w:val="es-ES" w:eastAsia="zh-CN"/>
              </w:rPr>
            </w:pPr>
            <w:r w:rsidRPr="00E90022">
              <w:rPr>
                <w:szCs w:val="22"/>
                <w:lang w:val="es-ES" w:eastAsia="zh-CN"/>
              </w:rPr>
              <w:t>Becas</w:t>
            </w:r>
          </w:p>
        </w:tc>
        <w:tc>
          <w:tcPr>
            <w:tcW w:w="1759" w:type="pct"/>
            <w:shd w:val="clear" w:color="auto" w:fill="FFFFFF" w:themeFill="background1"/>
            <w:vAlign w:val="center"/>
          </w:tcPr>
          <w:p w14:paraId="71C86ADF" w14:textId="69CE1DC9" w:rsidR="00074714" w:rsidRPr="00E90022" w:rsidRDefault="00074714" w:rsidP="004C3A95">
            <w:pPr>
              <w:pStyle w:val="Tabletext"/>
              <w:ind w:left="284" w:hanging="284"/>
              <w:rPr>
                <w:rFonts w:cs="Calibri"/>
                <w:lang w:val="es-ES"/>
              </w:rPr>
            </w:pPr>
            <w:r w:rsidRPr="00E90022">
              <w:rPr>
                <w:lang w:val="es-ES" w:bidi="en-US"/>
              </w:rPr>
              <w:t>–</w:t>
            </w:r>
            <w:r w:rsidRPr="00E90022">
              <w:rPr>
                <w:lang w:val="es-ES" w:bidi="en-US"/>
              </w:rPr>
              <w:tab/>
            </w:r>
            <w:r w:rsidR="00CC1653" w:rsidRPr="00E90022">
              <w:rPr>
                <w:lang w:val="es-ES"/>
              </w:rPr>
              <w:t>Número de becas otorgadas</w:t>
            </w:r>
            <w:r w:rsidR="004C3A95" w:rsidRPr="00E90022">
              <w:rPr>
                <w:lang w:val="es-ES"/>
              </w:rPr>
              <w:t>.</w:t>
            </w:r>
          </w:p>
        </w:tc>
        <w:tc>
          <w:tcPr>
            <w:tcW w:w="2511" w:type="pct"/>
            <w:vAlign w:val="center"/>
          </w:tcPr>
          <w:p w14:paraId="30B8EC3E" w14:textId="64561306" w:rsidR="00074714" w:rsidRPr="00E90022" w:rsidRDefault="000912C1" w:rsidP="000F4735">
            <w:pPr>
              <w:pStyle w:val="Tabletext"/>
              <w:rPr>
                <w:lang w:val="es-ES" w:eastAsia="zh-CN"/>
              </w:rPr>
            </w:pPr>
            <w:r w:rsidRPr="00E90022">
              <w:rPr>
                <w:lang w:val="es-ES" w:eastAsia="zh-CN"/>
              </w:rPr>
              <w:t>De conformidad con la Resolución 213 (Dubái, 2018), en 2025 se concedieron un total de 1 056 becas, lo que supone un récord. De ellas, 447 fueron financiadas con cargo al presupuesto ordinario de la UIT y adjudicadas por las tres Oficinas, mientras que las 609 restantes se otorgaron en el marco de proyectos y contribuciones voluntarias</w:t>
            </w:r>
            <w:r w:rsidR="00074714" w:rsidRPr="00E90022">
              <w:rPr>
                <w:lang w:val="es-ES" w:eastAsia="zh-CN"/>
              </w:rPr>
              <w:t>.</w:t>
            </w:r>
          </w:p>
        </w:tc>
      </w:tr>
      <w:tr w:rsidR="00074714" w:rsidRPr="00C92D1F" w14:paraId="2653B6CD" w14:textId="77777777" w:rsidTr="00C90203">
        <w:trPr>
          <w:trHeight w:val="1140"/>
          <w:jc w:val="center"/>
        </w:trPr>
        <w:tc>
          <w:tcPr>
            <w:tcW w:w="207" w:type="pct"/>
            <w:shd w:val="clear" w:color="auto" w:fill="FFFFFF" w:themeFill="background1"/>
            <w:vAlign w:val="center"/>
          </w:tcPr>
          <w:p w14:paraId="1558B391" w14:textId="77777777" w:rsidR="00074714" w:rsidRPr="00E90022" w:rsidRDefault="00074714" w:rsidP="000F4735">
            <w:pPr>
              <w:pStyle w:val="Tabletext"/>
              <w:rPr>
                <w:lang w:val="es-ES" w:eastAsia="zh-CN"/>
              </w:rPr>
            </w:pPr>
            <w:r w:rsidRPr="00E90022">
              <w:rPr>
                <w:lang w:val="es-ES" w:eastAsia="zh-CN"/>
              </w:rPr>
              <w:lastRenderedPageBreak/>
              <w:t>7</w:t>
            </w:r>
          </w:p>
        </w:tc>
        <w:tc>
          <w:tcPr>
            <w:tcW w:w="523" w:type="pct"/>
            <w:shd w:val="clear" w:color="auto" w:fill="FFFFFF" w:themeFill="background1"/>
            <w:vAlign w:val="center"/>
          </w:tcPr>
          <w:p w14:paraId="06ED7634" w14:textId="583D7843" w:rsidR="00074714" w:rsidRPr="00E90022" w:rsidRDefault="00125006" w:rsidP="000F4735">
            <w:pPr>
              <w:pStyle w:val="Tabletext"/>
              <w:rPr>
                <w:szCs w:val="22"/>
                <w:lang w:val="es-ES" w:eastAsia="zh-CN"/>
              </w:rPr>
            </w:pPr>
            <w:r w:rsidRPr="00E90022">
              <w:rPr>
                <w:szCs w:val="22"/>
                <w:lang w:val="es-ES" w:eastAsia="zh-CN"/>
              </w:rPr>
              <w:t>Gestión del rendimiento</w:t>
            </w:r>
          </w:p>
        </w:tc>
        <w:tc>
          <w:tcPr>
            <w:tcW w:w="1759" w:type="pct"/>
            <w:shd w:val="clear" w:color="auto" w:fill="FFFFFF" w:themeFill="background1"/>
            <w:vAlign w:val="center"/>
            <w:hideMark/>
          </w:tcPr>
          <w:p w14:paraId="5EDC6907" w14:textId="235986BB"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125006" w:rsidRPr="00E90022">
              <w:rPr>
                <w:lang w:val="es-ES"/>
              </w:rPr>
              <w:t>Tasa de cumplimiento</w:t>
            </w:r>
            <w:r w:rsidR="004C3A95" w:rsidRPr="00E90022">
              <w:rPr>
                <w:lang w:val="es-ES"/>
              </w:rPr>
              <w:t>.</w:t>
            </w:r>
          </w:p>
          <w:p w14:paraId="48B61DF7" w14:textId="5AFFD180"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125006" w:rsidRPr="00E90022">
              <w:rPr>
                <w:lang w:val="es-ES"/>
              </w:rPr>
              <w:t>Número de miembros del personal con buen/mal rendimiento</w:t>
            </w:r>
            <w:r w:rsidR="004C3A95" w:rsidRPr="00E90022">
              <w:rPr>
                <w:lang w:val="es-ES"/>
              </w:rPr>
              <w:t>.</w:t>
            </w:r>
          </w:p>
        </w:tc>
        <w:tc>
          <w:tcPr>
            <w:tcW w:w="2511" w:type="pct"/>
            <w:vAlign w:val="center"/>
          </w:tcPr>
          <w:p w14:paraId="72CCDF9E" w14:textId="1B7E11F4" w:rsidR="00D16A11" w:rsidRPr="00E90022" w:rsidRDefault="00D16A11" w:rsidP="000F4735">
            <w:pPr>
              <w:pStyle w:val="Tabletext"/>
              <w:rPr>
                <w:lang w:val="es-ES" w:eastAsia="zh-CN"/>
              </w:rPr>
            </w:pPr>
            <w:r w:rsidRPr="00E90022">
              <w:rPr>
                <w:lang w:val="es-ES" w:eastAsia="zh-CN"/>
              </w:rPr>
              <w:t>El 90,1 % de los miembros del personal de la UIT ha finalizado la fase de elaboración del plan de trabajo para 2025 en el sistema ePMDS, y el 78,6</w:t>
            </w:r>
            <w:r w:rsidR="00567CFD" w:rsidRPr="00E90022">
              <w:rPr>
                <w:lang w:val="es-ES" w:eastAsia="zh-CN"/>
              </w:rPr>
              <w:t> </w:t>
            </w:r>
            <w:r w:rsidRPr="00E90022">
              <w:rPr>
                <w:lang w:val="es-ES" w:eastAsia="zh-CN"/>
              </w:rPr>
              <w:t xml:space="preserve">% ha completado la fase </w:t>
            </w:r>
            <w:r w:rsidR="005F128B" w:rsidRPr="00E90022">
              <w:rPr>
                <w:lang w:val="es-ES" w:eastAsia="zh-CN"/>
              </w:rPr>
              <w:t xml:space="preserve">en curso </w:t>
            </w:r>
            <w:r w:rsidRPr="00E90022">
              <w:rPr>
                <w:lang w:val="es-ES" w:eastAsia="zh-CN"/>
              </w:rPr>
              <w:t>de evaluación de fin de año (excluido el personal en baja por enfermedad de larga duración).</w:t>
            </w:r>
          </w:p>
          <w:p w14:paraId="0F7F6BB5" w14:textId="4E837D41" w:rsidR="00074714" w:rsidRPr="00E90022" w:rsidRDefault="00D16A11" w:rsidP="000F4735">
            <w:pPr>
              <w:pStyle w:val="Tabletext"/>
              <w:rPr>
                <w:lang w:val="es-ES" w:eastAsia="zh-CN"/>
              </w:rPr>
            </w:pPr>
            <w:r w:rsidRPr="00E90022">
              <w:rPr>
                <w:lang w:val="es-ES" w:eastAsia="zh-CN"/>
              </w:rPr>
              <w:t>Se han impartido seis sesiones de formación sobre gestión del rendimiento dirigidas a directivos y al resto del personal de toda la Unión</w:t>
            </w:r>
            <w:r w:rsidR="00074714" w:rsidRPr="00E90022">
              <w:rPr>
                <w:lang w:val="es-ES"/>
              </w:rPr>
              <w:t>.</w:t>
            </w:r>
          </w:p>
        </w:tc>
      </w:tr>
      <w:tr w:rsidR="00074714" w:rsidRPr="00C92D1F" w14:paraId="2F333AEC" w14:textId="77777777" w:rsidTr="00C90203">
        <w:trPr>
          <w:trHeight w:val="549"/>
          <w:jc w:val="center"/>
        </w:trPr>
        <w:tc>
          <w:tcPr>
            <w:tcW w:w="207" w:type="pct"/>
            <w:shd w:val="clear" w:color="auto" w:fill="FFFFFF" w:themeFill="background1"/>
            <w:vAlign w:val="center"/>
          </w:tcPr>
          <w:p w14:paraId="7498AB37" w14:textId="77777777" w:rsidR="00074714" w:rsidRPr="00E90022" w:rsidRDefault="00074714" w:rsidP="000F4735">
            <w:pPr>
              <w:pStyle w:val="Tabletext"/>
              <w:rPr>
                <w:lang w:val="es-ES" w:eastAsia="zh-CN"/>
              </w:rPr>
            </w:pPr>
            <w:r w:rsidRPr="00E90022">
              <w:rPr>
                <w:lang w:val="es-ES" w:eastAsia="zh-CN"/>
              </w:rPr>
              <w:t>8</w:t>
            </w:r>
          </w:p>
        </w:tc>
        <w:tc>
          <w:tcPr>
            <w:tcW w:w="523" w:type="pct"/>
            <w:shd w:val="clear" w:color="auto" w:fill="FFFFFF" w:themeFill="background1"/>
            <w:vAlign w:val="center"/>
          </w:tcPr>
          <w:p w14:paraId="1FED4788" w14:textId="0FCC88C7" w:rsidR="00074714" w:rsidRPr="00E90022" w:rsidRDefault="009A1B54" w:rsidP="000F4735">
            <w:pPr>
              <w:pStyle w:val="Tabletext"/>
              <w:rPr>
                <w:szCs w:val="22"/>
                <w:lang w:val="es-ES" w:eastAsia="zh-CN"/>
              </w:rPr>
            </w:pPr>
            <w:r w:rsidRPr="00E90022">
              <w:rPr>
                <w:szCs w:val="22"/>
                <w:lang w:val="es-ES" w:eastAsia="zh-CN"/>
              </w:rPr>
              <w:t>Gestión del rendimiento</w:t>
            </w:r>
          </w:p>
        </w:tc>
        <w:tc>
          <w:tcPr>
            <w:tcW w:w="1759" w:type="pct"/>
            <w:shd w:val="clear" w:color="auto" w:fill="FFFFFF" w:themeFill="background1"/>
            <w:vAlign w:val="center"/>
          </w:tcPr>
          <w:p w14:paraId="6CDDEB1E" w14:textId="23150214"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A75FA1" w:rsidRPr="00E90022">
              <w:rPr>
                <w:lang w:val="es-ES"/>
              </w:rPr>
              <w:t>Mejora de la eficiencia del ePMDS</w:t>
            </w:r>
            <w:r w:rsidR="004C3A95" w:rsidRPr="00E90022">
              <w:rPr>
                <w:lang w:val="es-ES"/>
              </w:rPr>
              <w:t>.</w:t>
            </w:r>
          </w:p>
        </w:tc>
        <w:tc>
          <w:tcPr>
            <w:tcW w:w="2511" w:type="pct"/>
            <w:vAlign w:val="center"/>
          </w:tcPr>
          <w:p w14:paraId="1891DF61" w14:textId="2D825F19" w:rsidR="00074714" w:rsidRPr="00E90022" w:rsidRDefault="008155A8" w:rsidP="000F4735">
            <w:pPr>
              <w:pStyle w:val="Tabletext"/>
              <w:rPr>
                <w:lang w:val="es-ES"/>
              </w:rPr>
            </w:pPr>
            <w:r w:rsidRPr="00E90022">
              <w:rPr>
                <w:lang w:val="es-ES"/>
              </w:rPr>
              <w:t xml:space="preserve">El tiempo dedicado por los supervisores a la evaluación del rendimiento se redujo a la mitad o menos gracias a </w:t>
            </w:r>
            <w:r w:rsidR="00560D80" w:rsidRPr="00E90022">
              <w:rPr>
                <w:lang w:val="es-ES"/>
              </w:rPr>
              <w:t xml:space="preserve">haber </w:t>
            </w:r>
            <w:r w:rsidR="00E90022" w:rsidRPr="00E90022">
              <w:rPr>
                <w:lang w:val="es-ES"/>
              </w:rPr>
              <w:t>simplificado</w:t>
            </w:r>
            <w:r w:rsidR="00560D80" w:rsidRPr="00E90022">
              <w:rPr>
                <w:lang w:val="es-ES"/>
              </w:rPr>
              <w:t xml:space="preserve"> </w:t>
            </w:r>
            <w:r w:rsidRPr="00E90022">
              <w:rPr>
                <w:lang w:val="es-ES"/>
              </w:rPr>
              <w:t>la herramienta</w:t>
            </w:r>
            <w:r w:rsidR="00074714" w:rsidRPr="00E90022">
              <w:rPr>
                <w:lang w:val="es-ES"/>
              </w:rPr>
              <w:t>.</w:t>
            </w:r>
          </w:p>
        </w:tc>
      </w:tr>
      <w:tr w:rsidR="00074714" w:rsidRPr="00C92D1F" w14:paraId="5E699B69" w14:textId="77777777" w:rsidTr="00C90203">
        <w:trPr>
          <w:trHeight w:val="448"/>
          <w:jc w:val="center"/>
        </w:trPr>
        <w:tc>
          <w:tcPr>
            <w:tcW w:w="207" w:type="pct"/>
            <w:shd w:val="clear" w:color="auto" w:fill="FFFFFF" w:themeFill="background1"/>
            <w:vAlign w:val="center"/>
          </w:tcPr>
          <w:p w14:paraId="5B68296E" w14:textId="77777777" w:rsidR="00074714" w:rsidRPr="00E90022" w:rsidRDefault="00074714" w:rsidP="000F4735">
            <w:pPr>
              <w:pStyle w:val="Tabletext"/>
              <w:rPr>
                <w:lang w:val="es-ES" w:eastAsia="zh-CN"/>
              </w:rPr>
            </w:pPr>
            <w:r w:rsidRPr="00E90022">
              <w:rPr>
                <w:lang w:val="es-ES" w:eastAsia="zh-CN"/>
              </w:rPr>
              <w:t>9</w:t>
            </w:r>
          </w:p>
        </w:tc>
        <w:tc>
          <w:tcPr>
            <w:tcW w:w="523" w:type="pct"/>
            <w:shd w:val="clear" w:color="auto" w:fill="FFFFFF" w:themeFill="background1"/>
            <w:vAlign w:val="center"/>
          </w:tcPr>
          <w:p w14:paraId="460A358E" w14:textId="2AF7E4F1" w:rsidR="00074714" w:rsidRPr="00E90022" w:rsidRDefault="009A1B54" w:rsidP="000F4735">
            <w:pPr>
              <w:pStyle w:val="Tabletext"/>
              <w:rPr>
                <w:szCs w:val="22"/>
                <w:lang w:val="es-ES" w:eastAsia="zh-CN"/>
              </w:rPr>
            </w:pPr>
            <w:r w:rsidRPr="00E90022">
              <w:rPr>
                <w:szCs w:val="22"/>
                <w:lang w:val="es-ES" w:eastAsia="zh-CN"/>
              </w:rPr>
              <w:t>Gestión del rendimiento</w:t>
            </w:r>
          </w:p>
        </w:tc>
        <w:tc>
          <w:tcPr>
            <w:tcW w:w="1759" w:type="pct"/>
            <w:shd w:val="clear" w:color="auto" w:fill="FFFFFF" w:themeFill="background1"/>
            <w:vAlign w:val="center"/>
          </w:tcPr>
          <w:p w14:paraId="10B56533" w14:textId="77FD864A"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CB23F9" w:rsidRPr="00E90022">
              <w:rPr>
                <w:lang w:val="es-ES"/>
              </w:rPr>
              <w:t>Porcentaje de reducción de consultas relacionadas con el rendimiento</w:t>
            </w:r>
            <w:r w:rsidR="004C3A95" w:rsidRPr="00E90022">
              <w:rPr>
                <w:lang w:val="es-ES"/>
              </w:rPr>
              <w:t>.</w:t>
            </w:r>
          </w:p>
        </w:tc>
        <w:tc>
          <w:tcPr>
            <w:tcW w:w="2511" w:type="pct"/>
            <w:vAlign w:val="center"/>
          </w:tcPr>
          <w:p w14:paraId="19F81C7D" w14:textId="3CA135EC" w:rsidR="00074714" w:rsidRPr="00E90022" w:rsidRDefault="0010230C" w:rsidP="000F4735">
            <w:pPr>
              <w:pStyle w:val="Tabletext"/>
              <w:rPr>
                <w:lang w:val="es-ES" w:eastAsia="zh-CN"/>
              </w:rPr>
            </w:pPr>
            <w:r w:rsidRPr="00E90022">
              <w:rPr>
                <w:lang w:val="es-ES" w:eastAsia="zh-CN"/>
              </w:rPr>
              <w:t>Las consultas sobre el sistema en las evaluaciones de fin de año disminuyeron un 26 % con respecto al año anterior</w:t>
            </w:r>
            <w:r w:rsidR="00074714" w:rsidRPr="00E90022">
              <w:rPr>
                <w:lang w:val="es-ES" w:eastAsia="zh-CN"/>
              </w:rPr>
              <w:t>.</w:t>
            </w:r>
          </w:p>
        </w:tc>
      </w:tr>
      <w:tr w:rsidR="00074714" w:rsidRPr="00C92D1F" w14:paraId="36F7C160" w14:textId="77777777" w:rsidTr="00C90203">
        <w:trPr>
          <w:trHeight w:val="400"/>
          <w:jc w:val="center"/>
        </w:trPr>
        <w:tc>
          <w:tcPr>
            <w:tcW w:w="207" w:type="pct"/>
            <w:shd w:val="clear" w:color="auto" w:fill="FFFFFF" w:themeFill="background1"/>
            <w:vAlign w:val="center"/>
          </w:tcPr>
          <w:p w14:paraId="147BE73C" w14:textId="77777777" w:rsidR="00074714" w:rsidRPr="00E90022" w:rsidRDefault="00074714" w:rsidP="000F4735">
            <w:pPr>
              <w:pStyle w:val="Tabletext"/>
              <w:rPr>
                <w:lang w:val="es-ES" w:eastAsia="zh-CN"/>
              </w:rPr>
            </w:pPr>
            <w:r w:rsidRPr="00E90022">
              <w:rPr>
                <w:lang w:val="es-ES" w:eastAsia="zh-CN"/>
              </w:rPr>
              <w:t>10</w:t>
            </w:r>
          </w:p>
        </w:tc>
        <w:tc>
          <w:tcPr>
            <w:tcW w:w="523" w:type="pct"/>
            <w:shd w:val="clear" w:color="auto" w:fill="FFFFFF" w:themeFill="background1"/>
            <w:vAlign w:val="center"/>
          </w:tcPr>
          <w:p w14:paraId="7062A556" w14:textId="4506DD30" w:rsidR="00074714" w:rsidRPr="00E90022" w:rsidRDefault="00ED44F8" w:rsidP="000F4735">
            <w:pPr>
              <w:pStyle w:val="Tabletext"/>
              <w:rPr>
                <w:szCs w:val="22"/>
                <w:lang w:val="es-ES" w:eastAsia="zh-CN"/>
              </w:rPr>
            </w:pPr>
            <w:r w:rsidRPr="00E90022">
              <w:rPr>
                <w:szCs w:val="22"/>
                <w:lang w:val="es-ES" w:eastAsia="zh-CN"/>
              </w:rPr>
              <w:t>Formación y desarrollo</w:t>
            </w:r>
          </w:p>
        </w:tc>
        <w:tc>
          <w:tcPr>
            <w:tcW w:w="1759" w:type="pct"/>
            <w:shd w:val="clear" w:color="auto" w:fill="FFFFFF" w:themeFill="background1"/>
            <w:vAlign w:val="center"/>
          </w:tcPr>
          <w:p w14:paraId="136DCB75" w14:textId="60A440D8"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2B0036" w:rsidRPr="00E90022">
              <w:rPr>
                <w:lang w:val="es-ES"/>
              </w:rPr>
              <w:t>Inversión en formación como porcentaje de los gastos de personal (objetivo = 3</w:t>
            </w:r>
            <w:r w:rsidR="004C3A95" w:rsidRPr="00E90022">
              <w:rPr>
                <w:lang w:val="es-ES"/>
              </w:rPr>
              <w:t xml:space="preserve"> </w:t>
            </w:r>
            <w:r w:rsidR="002B0036" w:rsidRPr="00E90022">
              <w:rPr>
                <w:lang w:val="es-ES"/>
              </w:rPr>
              <w:t>%)</w:t>
            </w:r>
            <w:r w:rsidR="004C3A95" w:rsidRPr="00E90022">
              <w:rPr>
                <w:lang w:val="es-ES"/>
              </w:rPr>
              <w:t>.</w:t>
            </w:r>
          </w:p>
        </w:tc>
        <w:tc>
          <w:tcPr>
            <w:tcW w:w="2511" w:type="pct"/>
            <w:vAlign w:val="center"/>
          </w:tcPr>
          <w:p w14:paraId="7622FAAD" w14:textId="497C85B7" w:rsidR="0004003C" w:rsidRPr="00E90022" w:rsidRDefault="00315C56" w:rsidP="000F4735">
            <w:pPr>
              <w:pStyle w:val="Tabletext"/>
              <w:rPr>
                <w:lang w:val="es-ES" w:eastAsia="zh-CN"/>
              </w:rPr>
            </w:pPr>
            <w:r w:rsidRPr="00E90022">
              <w:rPr>
                <w:lang w:val="es-ES" w:eastAsia="zh-CN"/>
              </w:rPr>
              <w:t>La i</w:t>
            </w:r>
            <w:r w:rsidR="0004003C" w:rsidRPr="00E90022">
              <w:rPr>
                <w:lang w:val="es-ES" w:eastAsia="zh-CN"/>
              </w:rPr>
              <w:t xml:space="preserve">nversión en formación </w:t>
            </w:r>
            <w:r w:rsidRPr="00E90022">
              <w:rPr>
                <w:lang w:val="es-ES" w:eastAsia="zh-CN"/>
              </w:rPr>
              <w:t>representa un 0,3</w:t>
            </w:r>
            <w:r w:rsidR="00567CFD" w:rsidRPr="00E90022">
              <w:rPr>
                <w:lang w:val="es-ES" w:eastAsia="zh-CN"/>
              </w:rPr>
              <w:t> </w:t>
            </w:r>
            <w:r w:rsidRPr="00E90022">
              <w:rPr>
                <w:lang w:val="es-ES" w:eastAsia="zh-CN"/>
              </w:rPr>
              <w:t xml:space="preserve">% </w:t>
            </w:r>
            <w:r w:rsidR="0004003C" w:rsidRPr="00E90022">
              <w:rPr>
                <w:lang w:val="es-ES" w:eastAsia="zh-CN"/>
              </w:rPr>
              <w:t>de los gastos de personal</w:t>
            </w:r>
            <w:r w:rsidRPr="00E90022">
              <w:rPr>
                <w:lang w:val="es-ES" w:eastAsia="zh-CN"/>
              </w:rPr>
              <w:t>.</w:t>
            </w:r>
            <w:r w:rsidR="0004003C" w:rsidRPr="00E90022">
              <w:rPr>
                <w:lang w:val="es-ES" w:eastAsia="zh-CN"/>
              </w:rPr>
              <w:t xml:space="preserve"> Nótese que la propia UIT se beneficia de la formación impartida por el personal de la UIT y de recursos gratuitos. La UIT aprovecha los recursos de aprendizaje autogestionado que ofrecemos a través de los acuerdos de licencia celebrados con plataformas como LinkedIn Learning, que proporcionan acceso escalable y rentable a contenido de alta calidad. La UIT también aprovecha la experiencia interna y la colaboración dentro de las Naciones Unidas para promover el intercambio</w:t>
            </w:r>
            <w:r w:rsidR="00567CFD" w:rsidRPr="00E90022">
              <w:rPr>
                <w:lang w:val="es-ES" w:eastAsia="zh-CN"/>
              </w:rPr>
              <w:t>.</w:t>
            </w:r>
          </w:p>
        </w:tc>
      </w:tr>
      <w:tr w:rsidR="00074714" w:rsidRPr="00C92D1F" w14:paraId="7196E68F" w14:textId="77777777" w:rsidTr="00C90203">
        <w:trPr>
          <w:trHeight w:val="579"/>
          <w:jc w:val="center"/>
        </w:trPr>
        <w:tc>
          <w:tcPr>
            <w:tcW w:w="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24362" w14:textId="77777777" w:rsidR="00074714" w:rsidRPr="00E90022" w:rsidRDefault="00074714" w:rsidP="000F4735">
            <w:pPr>
              <w:pStyle w:val="Tabletext"/>
              <w:rPr>
                <w:lang w:val="es-ES"/>
              </w:rPr>
            </w:pPr>
            <w:r w:rsidRPr="00E90022">
              <w:rPr>
                <w:lang w:val="es-ES" w:eastAsia="zh-CN"/>
              </w:rPr>
              <w:t>11</w:t>
            </w:r>
          </w:p>
        </w:tc>
        <w:tc>
          <w:tcPr>
            <w:tcW w:w="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FF9B2" w14:textId="7DB8BCF1" w:rsidR="00074714" w:rsidRPr="00E90022" w:rsidRDefault="00FC2012" w:rsidP="000F4735">
            <w:pPr>
              <w:pStyle w:val="Tabletext"/>
              <w:rPr>
                <w:szCs w:val="22"/>
                <w:lang w:val="es-ES"/>
              </w:rPr>
            </w:pPr>
            <w:r w:rsidRPr="00E90022">
              <w:rPr>
                <w:szCs w:val="22"/>
                <w:lang w:val="es-ES" w:eastAsia="zh-CN"/>
              </w:rPr>
              <w:t>Formación y desarrollo</w:t>
            </w:r>
          </w:p>
        </w:tc>
        <w:tc>
          <w:tcPr>
            <w:tcW w:w="17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AD523" w14:textId="18588054"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320213" w:rsidRPr="00E90022">
              <w:rPr>
                <w:lang w:val="es-ES" w:eastAsia="zh-CN"/>
              </w:rPr>
              <w:t xml:space="preserve">Número de Programas de desarrollo del liderazgo </w:t>
            </w:r>
            <w:r w:rsidR="00320213" w:rsidRPr="00E90022">
              <w:rPr>
                <w:lang w:val="es-ES"/>
              </w:rPr>
              <w:t>ofrecidos</w:t>
            </w:r>
            <w:r w:rsidR="004C3A95" w:rsidRPr="00E90022">
              <w:rPr>
                <w:lang w:val="es-ES"/>
              </w:rPr>
              <w:t>.</w:t>
            </w:r>
          </w:p>
          <w:p w14:paraId="1C0F97C1" w14:textId="163FD289"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FC2012" w:rsidRPr="00E90022">
              <w:rPr>
                <w:lang w:val="es-ES"/>
              </w:rPr>
              <w:t>Número de participantes en el Programa de desarrollo del liderazgo</w:t>
            </w:r>
            <w:r w:rsidR="004C3A95" w:rsidRPr="00E90022">
              <w:rPr>
                <w:lang w:val="es-ES"/>
              </w:rPr>
              <w:t>.</w:t>
            </w:r>
          </w:p>
        </w:tc>
        <w:tc>
          <w:tcPr>
            <w:tcW w:w="2511" w:type="pct"/>
            <w:tcBorders>
              <w:top w:val="single" w:sz="4" w:space="0" w:color="auto"/>
              <w:left w:val="single" w:sz="4" w:space="0" w:color="auto"/>
              <w:bottom w:val="single" w:sz="4" w:space="0" w:color="auto"/>
              <w:right w:val="single" w:sz="4" w:space="0" w:color="auto"/>
            </w:tcBorders>
            <w:vAlign w:val="center"/>
          </w:tcPr>
          <w:p w14:paraId="1D3D7A24" w14:textId="27D79924" w:rsidR="00074714" w:rsidRPr="00E90022" w:rsidRDefault="003111DC" w:rsidP="000F4735">
            <w:pPr>
              <w:pStyle w:val="Tabletext"/>
              <w:rPr>
                <w:lang w:val="es-ES" w:eastAsia="zh-CN"/>
              </w:rPr>
            </w:pPr>
            <w:r w:rsidRPr="00E90022">
              <w:rPr>
                <w:lang w:val="es-ES"/>
              </w:rPr>
              <w:t>Programa integral de desarrollo del liderazgo que comprende varias iniciativas de liderazgo, a saber</w:t>
            </w:r>
            <w:r w:rsidR="00074714" w:rsidRPr="00E90022">
              <w:rPr>
                <w:lang w:val="es-ES" w:eastAsia="zh-CN"/>
              </w:rPr>
              <w:t>:</w:t>
            </w:r>
          </w:p>
          <w:p w14:paraId="5A83854D" w14:textId="165DA38B" w:rsidR="00074714" w:rsidRPr="00E90022" w:rsidRDefault="00074714" w:rsidP="00567CFD">
            <w:pPr>
              <w:pStyle w:val="Tabletext"/>
              <w:ind w:left="284" w:hanging="284"/>
              <w:rPr>
                <w:lang w:val="es-ES" w:eastAsia="zh-CN"/>
              </w:rPr>
            </w:pPr>
            <w:r w:rsidRPr="00E90022">
              <w:rPr>
                <w:lang w:val="es-ES" w:eastAsia="zh-CN"/>
              </w:rPr>
              <w:t>1</w:t>
            </w:r>
            <w:r w:rsidR="00567CFD" w:rsidRPr="00E90022">
              <w:rPr>
                <w:lang w:val="es-ES" w:eastAsia="zh-CN"/>
              </w:rPr>
              <w:t>)</w:t>
            </w:r>
            <w:r w:rsidRPr="00E90022">
              <w:rPr>
                <w:lang w:val="es-ES" w:eastAsia="zh-CN"/>
              </w:rPr>
              <w:tab/>
            </w:r>
            <w:r w:rsidR="00504B66" w:rsidRPr="00E90022">
              <w:rPr>
                <w:lang w:val="es-ES" w:eastAsia="zh-CN"/>
              </w:rPr>
              <w:t xml:space="preserve">Programa de liderazgo inclusivo (estructurado en tres sesiones: </w:t>
            </w:r>
            <w:r w:rsidR="002E09F8" w:rsidRPr="00E90022">
              <w:rPr>
                <w:lang w:val="es-ES" w:eastAsia="zh-CN"/>
              </w:rPr>
              <w:t>gestión</w:t>
            </w:r>
            <w:r w:rsidR="00504B66" w:rsidRPr="00E90022">
              <w:rPr>
                <w:lang w:val="es-ES" w:eastAsia="zh-CN"/>
              </w:rPr>
              <w:t xml:space="preserve"> de sesgos, identificación y microagresiones; fomento de la seguridad psicológica: entorno abierto e inclusivo; promoción de la equidad e inclusión de género y racial) para P5 y superiores</w:t>
            </w:r>
            <w:r w:rsidRPr="00E90022">
              <w:rPr>
                <w:lang w:val="es-ES" w:eastAsia="zh-CN"/>
              </w:rPr>
              <w:t>.</w:t>
            </w:r>
          </w:p>
          <w:p w14:paraId="029DCD18" w14:textId="2157C558" w:rsidR="00074714" w:rsidRPr="00E90022" w:rsidRDefault="00074714" w:rsidP="00567CFD">
            <w:pPr>
              <w:pStyle w:val="Tabletext"/>
              <w:ind w:left="284" w:hanging="284"/>
              <w:rPr>
                <w:lang w:val="es-ES" w:eastAsia="zh-CN"/>
              </w:rPr>
            </w:pPr>
            <w:r w:rsidRPr="00E90022">
              <w:rPr>
                <w:lang w:val="es-ES" w:eastAsia="zh-CN"/>
              </w:rPr>
              <w:t>2</w:t>
            </w:r>
            <w:r w:rsidR="00567CFD" w:rsidRPr="00E90022">
              <w:rPr>
                <w:lang w:val="es-ES" w:eastAsia="zh-CN"/>
              </w:rPr>
              <w:t>)</w:t>
            </w:r>
            <w:r w:rsidRPr="00E90022">
              <w:rPr>
                <w:lang w:val="es-ES" w:eastAsia="zh-CN"/>
              </w:rPr>
              <w:tab/>
            </w:r>
            <w:r w:rsidR="004A3C1D" w:rsidRPr="00E90022">
              <w:rPr>
                <w:lang w:val="es-ES" w:eastAsia="zh-CN"/>
              </w:rPr>
              <w:t>Programa de liderazgo adaptativo, que incluye los siguientes componentes</w:t>
            </w:r>
            <w:r w:rsidRPr="00E90022">
              <w:rPr>
                <w:lang w:val="es-ES" w:eastAsia="zh-CN"/>
              </w:rPr>
              <w:t>:</w:t>
            </w:r>
          </w:p>
          <w:p w14:paraId="7AD1B754" w14:textId="6904BA02" w:rsidR="00074714" w:rsidRPr="00E90022" w:rsidRDefault="00074714" w:rsidP="00567CFD">
            <w:pPr>
              <w:pStyle w:val="Tabletext"/>
              <w:ind w:left="283"/>
              <w:rPr>
                <w:lang w:val="es-ES" w:eastAsia="zh-CN"/>
              </w:rPr>
            </w:pPr>
            <w:r w:rsidRPr="00E90022">
              <w:rPr>
                <w:lang w:val="es-ES" w:bidi="en-US"/>
              </w:rPr>
              <w:t>–</w:t>
            </w:r>
            <w:r w:rsidRPr="00E90022">
              <w:rPr>
                <w:lang w:val="es-ES" w:bidi="en-US"/>
              </w:rPr>
              <w:tab/>
            </w:r>
            <w:r w:rsidR="00E24C3A" w:rsidRPr="00E90022">
              <w:rPr>
                <w:lang w:val="es-ES" w:bidi="en-US"/>
              </w:rPr>
              <w:t>Taller de liderazgo adaptativo para el equipo de alta dirección</w:t>
            </w:r>
            <w:r w:rsidR="00567CFD" w:rsidRPr="00E90022">
              <w:rPr>
                <w:lang w:val="es-ES" w:bidi="en-US"/>
              </w:rPr>
              <w:t>.</w:t>
            </w:r>
          </w:p>
          <w:p w14:paraId="5A7318C3" w14:textId="7560BF88" w:rsidR="00074714" w:rsidRPr="00E90022" w:rsidRDefault="00074714" w:rsidP="00567CFD">
            <w:pPr>
              <w:pStyle w:val="Tabletext"/>
              <w:ind w:left="567" w:hanging="284"/>
              <w:rPr>
                <w:lang w:val="es-ES" w:eastAsia="zh-CN"/>
              </w:rPr>
            </w:pPr>
            <w:r w:rsidRPr="00E90022">
              <w:rPr>
                <w:lang w:val="es-ES" w:bidi="en-US"/>
              </w:rPr>
              <w:t>–</w:t>
            </w:r>
            <w:r w:rsidRPr="00E90022">
              <w:rPr>
                <w:lang w:val="es-ES" w:bidi="en-US"/>
              </w:rPr>
              <w:tab/>
            </w:r>
            <w:r w:rsidR="00601AF1" w:rsidRPr="00E90022">
              <w:rPr>
                <w:lang w:val="es-ES" w:bidi="en-US"/>
              </w:rPr>
              <w:t>T</w:t>
            </w:r>
            <w:r w:rsidR="00601AF1" w:rsidRPr="00E90022">
              <w:rPr>
                <w:lang w:val="es-ES" w:eastAsia="zh-CN"/>
              </w:rPr>
              <w:t xml:space="preserve">alleres de liderazgo adaptativo y sesiones de consultoría entre pares para el grupo </w:t>
            </w:r>
            <w:r w:rsidR="00FD0D82" w:rsidRPr="00E90022">
              <w:rPr>
                <w:lang w:val="es-ES" w:eastAsia="zh-CN"/>
              </w:rPr>
              <w:t>de agentes del cambio (</w:t>
            </w:r>
            <w:r w:rsidR="00601AF1" w:rsidRPr="00E90022">
              <w:rPr>
                <w:lang w:val="es-ES" w:eastAsia="zh-CN"/>
              </w:rPr>
              <w:t>ChangeMakers</w:t>
            </w:r>
            <w:r w:rsidR="00FD0D82" w:rsidRPr="00E90022">
              <w:rPr>
                <w:lang w:val="es-ES" w:eastAsia="zh-CN"/>
              </w:rPr>
              <w:t>) de la U</w:t>
            </w:r>
            <w:r w:rsidRPr="00E90022">
              <w:rPr>
                <w:lang w:val="es-ES" w:eastAsia="zh-CN"/>
              </w:rPr>
              <w:t>IT</w:t>
            </w:r>
            <w:r w:rsidR="00567CFD" w:rsidRPr="00E90022">
              <w:rPr>
                <w:lang w:val="es-ES" w:eastAsia="zh-CN"/>
              </w:rPr>
              <w:t>.</w:t>
            </w:r>
          </w:p>
          <w:p w14:paraId="0C89DC5E" w14:textId="1BA0B853" w:rsidR="00074714" w:rsidRPr="00E90022" w:rsidRDefault="00074714" w:rsidP="00567CFD">
            <w:pPr>
              <w:pStyle w:val="Tabletext"/>
              <w:ind w:left="283"/>
              <w:rPr>
                <w:lang w:val="es-ES" w:eastAsia="zh-CN"/>
              </w:rPr>
            </w:pPr>
            <w:r w:rsidRPr="00E90022">
              <w:rPr>
                <w:lang w:val="es-ES" w:bidi="en-US"/>
              </w:rPr>
              <w:lastRenderedPageBreak/>
              <w:t>–</w:t>
            </w:r>
            <w:r w:rsidRPr="00E90022">
              <w:rPr>
                <w:lang w:val="es-ES" w:bidi="en-US"/>
              </w:rPr>
              <w:tab/>
            </w:r>
            <w:r w:rsidR="00026E6C" w:rsidRPr="00E90022">
              <w:rPr>
                <w:lang w:val="es-ES" w:bidi="en-US"/>
              </w:rPr>
              <w:t>T</w:t>
            </w:r>
            <w:r w:rsidR="00026E6C" w:rsidRPr="00E90022">
              <w:rPr>
                <w:lang w:val="es-ES" w:eastAsia="zh-CN"/>
              </w:rPr>
              <w:t>aller de liderazgo adaptativo para P5 y superiores</w:t>
            </w:r>
            <w:r w:rsidR="00567CFD" w:rsidRPr="00E90022">
              <w:rPr>
                <w:lang w:val="es-ES" w:eastAsia="zh-CN"/>
              </w:rPr>
              <w:t>.</w:t>
            </w:r>
          </w:p>
          <w:p w14:paraId="1FD7A85D" w14:textId="7FCBFBA0" w:rsidR="00074714" w:rsidRPr="00E90022" w:rsidRDefault="00074714" w:rsidP="00567CFD">
            <w:pPr>
              <w:pStyle w:val="Tabletext"/>
              <w:ind w:left="283"/>
              <w:rPr>
                <w:lang w:val="es-ES" w:eastAsia="zh-CN"/>
              </w:rPr>
            </w:pPr>
            <w:r w:rsidRPr="00E90022">
              <w:rPr>
                <w:lang w:val="es-ES" w:bidi="en-US"/>
              </w:rPr>
              <w:t>–</w:t>
            </w:r>
            <w:r w:rsidRPr="00E90022">
              <w:rPr>
                <w:lang w:val="es-ES" w:bidi="en-US"/>
              </w:rPr>
              <w:tab/>
            </w:r>
            <w:r w:rsidR="00026E6C" w:rsidRPr="00E90022">
              <w:rPr>
                <w:lang w:val="es-ES" w:bidi="en-US"/>
              </w:rPr>
              <w:t>T</w:t>
            </w:r>
            <w:r w:rsidR="00026E6C" w:rsidRPr="00E90022">
              <w:rPr>
                <w:lang w:val="es-ES" w:eastAsia="zh-CN"/>
              </w:rPr>
              <w:t xml:space="preserve">aller de liderazgo adaptativo para </w:t>
            </w:r>
            <w:r w:rsidRPr="00E90022">
              <w:rPr>
                <w:lang w:val="es-ES" w:eastAsia="zh-CN"/>
              </w:rPr>
              <w:t>P4</w:t>
            </w:r>
            <w:r w:rsidR="00567CFD" w:rsidRPr="00E90022">
              <w:rPr>
                <w:lang w:val="es-ES" w:eastAsia="zh-CN"/>
              </w:rPr>
              <w:t>.</w:t>
            </w:r>
          </w:p>
          <w:p w14:paraId="2F62C3B0" w14:textId="4F812129" w:rsidR="00074714" w:rsidRPr="00E90022" w:rsidRDefault="00074714" w:rsidP="00567CFD">
            <w:pPr>
              <w:pStyle w:val="Tabletext"/>
              <w:ind w:left="283"/>
              <w:rPr>
                <w:lang w:val="es-ES" w:eastAsia="zh-CN"/>
              </w:rPr>
            </w:pPr>
            <w:r w:rsidRPr="00E90022">
              <w:rPr>
                <w:lang w:val="es-ES" w:bidi="en-US"/>
              </w:rPr>
              <w:t>–</w:t>
            </w:r>
            <w:r w:rsidRPr="00E90022">
              <w:rPr>
                <w:lang w:val="es-ES" w:bidi="en-US"/>
              </w:rPr>
              <w:tab/>
            </w:r>
            <w:r w:rsidR="007623F7" w:rsidRPr="00E90022">
              <w:rPr>
                <w:lang w:val="es-ES" w:bidi="en-US"/>
              </w:rPr>
              <w:t>T</w:t>
            </w:r>
            <w:r w:rsidR="007623F7" w:rsidRPr="00E90022">
              <w:rPr>
                <w:lang w:val="es-ES" w:eastAsia="zh-CN"/>
              </w:rPr>
              <w:t>aller de liderazgo adaptativo avanzado para funcionarios de elección</w:t>
            </w:r>
            <w:r w:rsidR="00567CFD" w:rsidRPr="00E90022">
              <w:rPr>
                <w:lang w:val="es-ES" w:eastAsia="zh-CN"/>
              </w:rPr>
              <w:t>.</w:t>
            </w:r>
          </w:p>
          <w:p w14:paraId="7AFA10D9" w14:textId="2377AD7D" w:rsidR="00074714" w:rsidRPr="00E90022" w:rsidRDefault="00074714" w:rsidP="00567CFD">
            <w:pPr>
              <w:pStyle w:val="Tabletext"/>
              <w:ind w:left="567" w:hanging="284"/>
              <w:rPr>
                <w:lang w:val="es-ES" w:eastAsia="zh-CN"/>
              </w:rPr>
            </w:pPr>
            <w:r w:rsidRPr="00E90022">
              <w:rPr>
                <w:lang w:val="es-ES" w:bidi="en-US"/>
              </w:rPr>
              <w:t>–</w:t>
            </w:r>
            <w:r w:rsidRPr="00E90022">
              <w:rPr>
                <w:lang w:val="es-ES" w:bidi="en-US"/>
              </w:rPr>
              <w:tab/>
            </w:r>
            <w:r w:rsidR="007623F7" w:rsidRPr="00E90022">
              <w:rPr>
                <w:lang w:val="es-ES" w:bidi="en-US"/>
              </w:rPr>
              <w:t>T</w:t>
            </w:r>
            <w:r w:rsidR="007623F7" w:rsidRPr="00E90022">
              <w:rPr>
                <w:lang w:val="es-ES" w:eastAsia="zh-CN"/>
              </w:rPr>
              <w:t xml:space="preserve">aller de liderazgo adaptativo avanzado para </w:t>
            </w:r>
            <w:r w:rsidRPr="00E90022">
              <w:rPr>
                <w:lang w:val="es-ES" w:eastAsia="zh-CN"/>
              </w:rPr>
              <w:t xml:space="preserve">P4 </w:t>
            </w:r>
            <w:r w:rsidR="007623F7" w:rsidRPr="00E90022">
              <w:rPr>
                <w:lang w:val="es-ES" w:eastAsia="zh-CN"/>
              </w:rPr>
              <w:t>y superiores y para los agentes del cambio de la UIT</w:t>
            </w:r>
            <w:r w:rsidR="00567CFD" w:rsidRPr="00E90022">
              <w:rPr>
                <w:lang w:val="es-ES" w:eastAsia="zh-CN"/>
              </w:rPr>
              <w:t>.</w:t>
            </w:r>
          </w:p>
          <w:p w14:paraId="36FBFC2E" w14:textId="414757EC" w:rsidR="00925A16" w:rsidRPr="00E90022" w:rsidRDefault="00074714" w:rsidP="00567CFD">
            <w:pPr>
              <w:pStyle w:val="Tabletext"/>
              <w:ind w:left="284" w:hanging="284"/>
              <w:rPr>
                <w:lang w:val="es-ES" w:eastAsia="zh-CN"/>
              </w:rPr>
            </w:pPr>
            <w:r w:rsidRPr="00E90022">
              <w:rPr>
                <w:lang w:val="es-ES" w:eastAsia="zh-CN"/>
              </w:rPr>
              <w:t>3</w:t>
            </w:r>
            <w:r w:rsidR="00567CFD" w:rsidRPr="00E90022">
              <w:rPr>
                <w:lang w:val="es-ES" w:eastAsia="zh-CN"/>
              </w:rPr>
              <w:t>)</w:t>
            </w:r>
            <w:r w:rsidRPr="00E90022">
              <w:rPr>
                <w:lang w:val="es-ES" w:eastAsia="zh-CN"/>
              </w:rPr>
              <w:tab/>
            </w:r>
            <w:r w:rsidR="00925A16" w:rsidRPr="00E90022">
              <w:rPr>
                <w:lang w:val="es-ES" w:eastAsia="zh-CN"/>
              </w:rPr>
              <w:t>Consultas mensuales y seminarios web de seguimiento diseñados para profundizar en la comprensión y reforzar la aplicación práctica del liderazgo adaptativo.</w:t>
            </w:r>
          </w:p>
          <w:p w14:paraId="584E0E16" w14:textId="7C0647A0" w:rsidR="00074714" w:rsidRPr="00E90022" w:rsidRDefault="00925A16" w:rsidP="000F4735">
            <w:pPr>
              <w:pStyle w:val="Tabletext"/>
              <w:rPr>
                <w:lang w:val="es-ES" w:eastAsia="zh-CN"/>
              </w:rPr>
            </w:pPr>
            <w:r w:rsidRPr="00E90022">
              <w:rPr>
                <w:lang w:val="es-ES" w:eastAsia="zh-CN"/>
              </w:rPr>
              <w:t>Número de participantes en el programa de desarrollo del liderazgo</w:t>
            </w:r>
            <w:r w:rsidR="00074714" w:rsidRPr="00E90022">
              <w:rPr>
                <w:lang w:val="es-ES" w:eastAsia="zh-CN"/>
              </w:rPr>
              <w:t>:</w:t>
            </w:r>
          </w:p>
          <w:p w14:paraId="457F378F" w14:textId="0E4ED970" w:rsidR="00074714" w:rsidRPr="00E90022" w:rsidRDefault="00074714" w:rsidP="00567CFD">
            <w:pPr>
              <w:pStyle w:val="Tabletext"/>
              <w:ind w:left="567" w:hanging="284"/>
              <w:rPr>
                <w:lang w:val="es-ES" w:eastAsia="zh-CN"/>
              </w:rPr>
            </w:pPr>
            <w:r w:rsidRPr="00E90022">
              <w:rPr>
                <w:lang w:val="es-ES" w:bidi="en-US"/>
              </w:rPr>
              <w:t>–</w:t>
            </w:r>
            <w:r w:rsidRPr="00E90022">
              <w:rPr>
                <w:lang w:val="es-ES" w:bidi="en-US"/>
              </w:rPr>
              <w:tab/>
            </w:r>
            <w:r w:rsidR="002F3FF5" w:rsidRPr="00E90022">
              <w:rPr>
                <w:lang w:val="es-ES" w:eastAsia="zh-CN"/>
              </w:rPr>
              <w:t>Programa de liderazgo inclusivo</w:t>
            </w:r>
            <w:r w:rsidRPr="00E90022">
              <w:rPr>
                <w:lang w:val="es-ES" w:eastAsia="zh-CN"/>
              </w:rPr>
              <w:t xml:space="preserve">: </w:t>
            </w:r>
            <w:r w:rsidR="002F3FF5" w:rsidRPr="00E90022">
              <w:rPr>
                <w:lang w:val="es-ES" w:eastAsia="zh-CN"/>
              </w:rPr>
              <w:t xml:space="preserve">el </w:t>
            </w:r>
            <w:r w:rsidRPr="00E90022">
              <w:rPr>
                <w:lang w:val="es-ES" w:eastAsia="zh-CN"/>
              </w:rPr>
              <w:t xml:space="preserve">50 % </w:t>
            </w:r>
            <w:r w:rsidR="002F3FF5" w:rsidRPr="00E90022">
              <w:rPr>
                <w:lang w:val="es-ES" w:eastAsia="zh-CN"/>
              </w:rPr>
              <w:t xml:space="preserve">de </w:t>
            </w:r>
            <w:r w:rsidRPr="00E90022">
              <w:rPr>
                <w:lang w:val="es-ES" w:eastAsia="zh-CN"/>
              </w:rPr>
              <w:t xml:space="preserve">P5 </w:t>
            </w:r>
            <w:r w:rsidR="002F3FF5" w:rsidRPr="00E90022">
              <w:rPr>
                <w:lang w:val="es-ES" w:eastAsia="zh-CN"/>
              </w:rPr>
              <w:t>y superiores</w:t>
            </w:r>
            <w:r w:rsidR="00774128" w:rsidRPr="00E90022">
              <w:rPr>
                <w:lang w:val="es-ES" w:eastAsia="zh-CN"/>
              </w:rPr>
              <w:t xml:space="preserve"> de la UIT</w:t>
            </w:r>
            <w:r w:rsidR="002F3FF5" w:rsidRPr="00E90022">
              <w:rPr>
                <w:lang w:val="es-ES" w:eastAsia="zh-CN"/>
              </w:rPr>
              <w:t xml:space="preserve"> </w:t>
            </w:r>
            <w:r w:rsidR="00774128" w:rsidRPr="00E90022">
              <w:rPr>
                <w:lang w:val="es-ES" w:eastAsia="zh-CN"/>
              </w:rPr>
              <w:t>completaron las tres sesiones</w:t>
            </w:r>
            <w:r w:rsidR="00567CFD" w:rsidRPr="00E90022">
              <w:rPr>
                <w:lang w:val="es-ES" w:eastAsia="zh-CN"/>
              </w:rPr>
              <w:t>.</w:t>
            </w:r>
          </w:p>
          <w:p w14:paraId="3C83536C" w14:textId="5420BF9B" w:rsidR="00074714" w:rsidRPr="00E90022" w:rsidRDefault="00074714" w:rsidP="00567CFD">
            <w:pPr>
              <w:pStyle w:val="Tabletext"/>
              <w:ind w:left="567" w:hanging="284"/>
              <w:rPr>
                <w:lang w:val="es-ES" w:eastAsia="zh-CN"/>
              </w:rPr>
            </w:pPr>
            <w:r w:rsidRPr="00E90022">
              <w:rPr>
                <w:lang w:val="es-ES" w:bidi="en-US"/>
              </w:rPr>
              <w:t>–</w:t>
            </w:r>
            <w:r w:rsidRPr="00E90022">
              <w:rPr>
                <w:lang w:val="es-ES" w:bidi="en-US"/>
              </w:rPr>
              <w:tab/>
            </w:r>
            <w:bookmarkStart w:id="5" w:name="OLE_LINK2"/>
            <w:r w:rsidR="00BE4C3D" w:rsidRPr="00E90022">
              <w:rPr>
                <w:lang w:val="es-ES" w:eastAsia="zh-CN"/>
              </w:rPr>
              <w:t xml:space="preserve">Taller de liderazgo adaptativo para </w:t>
            </w:r>
            <w:bookmarkEnd w:id="5"/>
            <w:r w:rsidR="00BE4C3D" w:rsidRPr="00E90022">
              <w:rPr>
                <w:lang w:val="es-ES" w:eastAsia="zh-CN"/>
              </w:rPr>
              <w:t>los agentes del cambio de la UIT</w:t>
            </w:r>
            <w:r w:rsidRPr="00E90022">
              <w:rPr>
                <w:lang w:val="es-ES" w:eastAsia="zh-CN"/>
              </w:rPr>
              <w:t>: 29</w:t>
            </w:r>
            <w:r w:rsidR="00567CFD" w:rsidRPr="00E90022">
              <w:rPr>
                <w:lang w:val="es-ES" w:eastAsia="zh-CN"/>
              </w:rPr>
              <w:t> </w:t>
            </w:r>
            <w:r w:rsidRPr="00E90022">
              <w:rPr>
                <w:lang w:val="es-ES" w:eastAsia="zh-CN"/>
              </w:rPr>
              <w:t>participant</w:t>
            </w:r>
            <w:r w:rsidR="00BE4C3D" w:rsidRPr="00E90022">
              <w:rPr>
                <w:lang w:val="es-ES" w:eastAsia="zh-CN"/>
              </w:rPr>
              <w:t>e</w:t>
            </w:r>
            <w:r w:rsidRPr="00E90022">
              <w:rPr>
                <w:lang w:val="es-ES" w:eastAsia="zh-CN"/>
              </w:rPr>
              <w:t>s</w:t>
            </w:r>
            <w:r w:rsidR="00567CFD" w:rsidRPr="00E90022">
              <w:rPr>
                <w:lang w:val="es-ES" w:eastAsia="zh-CN"/>
              </w:rPr>
              <w:t>.</w:t>
            </w:r>
          </w:p>
          <w:p w14:paraId="15243459" w14:textId="1EE862BD" w:rsidR="00074714" w:rsidRPr="00E90022" w:rsidRDefault="00074714" w:rsidP="00567CFD">
            <w:pPr>
              <w:pStyle w:val="Tabletext"/>
              <w:ind w:left="567" w:hanging="284"/>
              <w:rPr>
                <w:lang w:val="es-ES" w:eastAsia="zh-CN"/>
              </w:rPr>
            </w:pPr>
            <w:r w:rsidRPr="00E90022">
              <w:rPr>
                <w:lang w:val="es-ES" w:bidi="en-US"/>
              </w:rPr>
              <w:t>–</w:t>
            </w:r>
            <w:r w:rsidRPr="00E90022">
              <w:rPr>
                <w:lang w:val="es-ES" w:bidi="en-US"/>
              </w:rPr>
              <w:tab/>
            </w:r>
            <w:r w:rsidR="00BE4C3D" w:rsidRPr="00E90022">
              <w:rPr>
                <w:lang w:val="es-ES" w:eastAsia="zh-CN"/>
              </w:rPr>
              <w:t xml:space="preserve">Taller de liderazgo adaptativo para </w:t>
            </w:r>
            <w:r w:rsidRPr="00E90022">
              <w:rPr>
                <w:lang w:val="es-ES" w:eastAsia="zh-CN"/>
              </w:rPr>
              <w:t xml:space="preserve">P4 </w:t>
            </w:r>
            <w:r w:rsidR="00BE4C3D" w:rsidRPr="00E90022">
              <w:rPr>
                <w:lang w:val="es-ES" w:eastAsia="zh-CN"/>
              </w:rPr>
              <w:t>y superiores</w:t>
            </w:r>
            <w:r w:rsidRPr="00E90022">
              <w:rPr>
                <w:lang w:val="es-ES" w:eastAsia="zh-CN"/>
              </w:rPr>
              <w:t>: 58 participant</w:t>
            </w:r>
            <w:r w:rsidR="00BE4C3D" w:rsidRPr="00E90022">
              <w:rPr>
                <w:lang w:val="es-ES" w:eastAsia="zh-CN"/>
              </w:rPr>
              <w:t>e</w:t>
            </w:r>
            <w:r w:rsidRPr="00E90022">
              <w:rPr>
                <w:lang w:val="es-ES" w:eastAsia="zh-CN"/>
              </w:rPr>
              <w:t>s</w:t>
            </w:r>
            <w:r w:rsidR="00567CFD" w:rsidRPr="00E90022">
              <w:rPr>
                <w:lang w:val="es-ES" w:eastAsia="zh-CN"/>
              </w:rPr>
              <w:t>.</w:t>
            </w:r>
          </w:p>
          <w:p w14:paraId="28F8F334" w14:textId="703791FC" w:rsidR="00074714" w:rsidRPr="00E90022" w:rsidRDefault="00074714" w:rsidP="00567CFD">
            <w:pPr>
              <w:pStyle w:val="Tabletext"/>
              <w:ind w:left="567" w:hanging="284"/>
              <w:rPr>
                <w:lang w:val="es-ES" w:eastAsia="zh-CN"/>
              </w:rPr>
            </w:pPr>
            <w:r w:rsidRPr="00E90022">
              <w:rPr>
                <w:lang w:val="es-ES" w:bidi="en-US"/>
              </w:rPr>
              <w:t>–</w:t>
            </w:r>
            <w:r w:rsidRPr="00E90022">
              <w:rPr>
                <w:lang w:val="es-ES" w:bidi="en-US"/>
              </w:rPr>
              <w:tab/>
            </w:r>
            <w:r w:rsidR="00DB19A2" w:rsidRPr="00E90022">
              <w:rPr>
                <w:lang w:val="es-ES" w:eastAsia="zh-CN"/>
              </w:rPr>
              <w:t xml:space="preserve">Taller de liderazgo adaptativo avanzado para </w:t>
            </w:r>
            <w:r w:rsidRPr="00E90022">
              <w:rPr>
                <w:lang w:val="es-ES" w:eastAsia="zh-CN"/>
              </w:rPr>
              <w:t xml:space="preserve">P4 </w:t>
            </w:r>
            <w:r w:rsidR="00DB19A2" w:rsidRPr="00E90022">
              <w:rPr>
                <w:lang w:val="es-ES" w:eastAsia="zh-CN"/>
              </w:rPr>
              <w:t xml:space="preserve">y superiores y </w:t>
            </w:r>
            <w:r w:rsidR="00932EC3" w:rsidRPr="00E90022">
              <w:rPr>
                <w:lang w:val="es-ES" w:eastAsia="zh-CN"/>
              </w:rPr>
              <w:t>para agentes del cambio de la UIT</w:t>
            </w:r>
            <w:r w:rsidRPr="00E90022">
              <w:rPr>
                <w:lang w:val="es-ES" w:eastAsia="zh-CN"/>
              </w:rPr>
              <w:t>: 36 participant</w:t>
            </w:r>
            <w:r w:rsidR="00932EC3" w:rsidRPr="00E90022">
              <w:rPr>
                <w:lang w:val="es-ES" w:eastAsia="zh-CN"/>
              </w:rPr>
              <w:t>e</w:t>
            </w:r>
            <w:r w:rsidRPr="00E90022">
              <w:rPr>
                <w:lang w:val="es-ES" w:eastAsia="zh-CN"/>
              </w:rPr>
              <w:t>s</w:t>
            </w:r>
            <w:r w:rsidR="00567CFD" w:rsidRPr="00E90022">
              <w:rPr>
                <w:lang w:val="es-ES" w:eastAsia="zh-CN"/>
              </w:rPr>
              <w:t>.</w:t>
            </w:r>
          </w:p>
        </w:tc>
      </w:tr>
      <w:tr w:rsidR="00074714" w:rsidRPr="00C92D1F" w14:paraId="359C1BAB" w14:textId="77777777" w:rsidTr="00C90203">
        <w:trPr>
          <w:trHeight w:val="412"/>
          <w:jc w:val="center"/>
        </w:trPr>
        <w:tc>
          <w:tcPr>
            <w:tcW w:w="207" w:type="pct"/>
            <w:vMerge w:val="restart"/>
            <w:shd w:val="clear" w:color="auto" w:fill="FFFFFF" w:themeFill="background1"/>
            <w:vAlign w:val="center"/>
          </w:tcPr>
          <w:p w14:paraId="4517DF87" w14:textId="77777777" w:rsidR="00074714" w:rsidRPr="00E90022" w:rsidRDefault="00074714" w:rsidP="000F4735">
            <w:pPr>
              <w:pStyle w:val="Tabletext"/>
              <w:rPr>
                <w:lang w:val="es-ES"/>
              </w:rPr>
            </w:pPr>
            <w:r w:rsidRPr="00E90022">
              <w:rPr>
                <w:lang w:val="es-ES" w:eastAsia="zh-CN"/>
              </w:rPr>
              <w:lastRenderedPageBreak/>
              <w:t>12</w:t>
            </w:r>
          </w:p>
        </w:tc>
        <w:tc>
          <w:tcPr>
            <w:tcW w:w="523" w:type="pct"/>
            <w:vMerge w:val="restart"/>
            <w:shd w:val="clear" w:color="auto" w:fill="FFFFFF" w:themeFill="background1"/>
            <w:vAlign w:val="center"/>
          </w:tcPr>
          <w:p w14:paraId="3FE72751" w14:textId="776B47B5" w:rsidR="00074714" w:rsidRPr="00E90022" w:rsidRDefault="00773625" w:rsidP="000F4735">
            <w:pPr>
              <w:pStyle w:val="Tabletext"/>
              <w:rPr>
                <w:szCs w:val="22"/>
                <w:lang w:val="es-ES" w:eastAsia="zh-CN"/>
              </w:rPr>
            </w:pPr>
            <w:r w:rsidRPr="00E90022">
              <w:rPr>
                <w:szCs w:val="22"/>
                <w:lang w:val="es-ES" w:eastAsia="zh-CN"/>
              </w:rPr>
              <w:t>Formación y desarrollo</w:t>
            </w:r>
          </w:p>
        </w:tc>
        <w:tc>
          <w:tcPr>
            <w:tcW w:w="1759" w:type="pct"/>
            <w:shd w:val="clear" w:color="auto" w:fill="FFFFFF" w:themeFill="background1"/>
            <w:vAlign w:val="center"/>
            <w:hideMark/>
          </w:tcPr>
          <w:p w14:paraId="21DC3022" w14:textId="297C9834"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4C0909" w:rsidRPr="00E90022">
              <w:rPr>
                <w:lang w:val="es-ES"/>
              </w:rPr>
              <w:t>Porcentaje de finalización de los cursos de formación obligatorios</w:t>
            </w:r>
            <w:r w:rsidR="004C3A95" w:rsidRPr="00E90022">
              <w:rPr>
                <w:lang w:val="es-ES"/>
              </w:rPr>
              <w:t>.</w:t>
            </w:r>
          </w:p>
        </w:tc>
        <w:tc>
          <w:tcPr>
            <w:tcW w:w="2511" w:type="pct"/>
            <w:vAlign w:val="center"/>
          </w:tcPr>
          <w:p w14:paraId="172F5CCC" w14:textId="0C6CE928" w:rsidR="00074714" w:rsidRPr="00E90022" w:rsidRDefault="00B91594" w:rsidP="000F4735">
            <w:pPr>
              <w:pStyle w:val="Tabletext"/>
              <w:rPr>
                <w:rFonts w:eastAsia="Malgun Gothic"/>
                <w:lang w:val="es-ES" w:eastAsia="ko-KR"/>
              </w:rPr>
            </w:pPr>
            <w:r w:rsidRPr="00E90022">
              <w:rPr>
                <w:lang w:val="es-ES" w:eastAsia="zh-CN"/>
              </w:rPr>
              <w:t>Tasa de finalización para cada uno de los cursos de formación obligatorios</w:t>
            </w:r>
            <w:r w:rsidR="00074714" w:rsidRPr="00E90022">
              <w:rPr>
                <w:lang w:val="es-ES" w:eastAsia="zh-CN"/>
              </w:rPr>
              <w:t>:</w:t>
            </w:r>
          </w:p>
          <w:p w14:paraId="0F07CCCA" w14:textId="01F84973" w:rsidR="00074714" w:rsidRPr="00C92D1F" w:rsidRDefault="00074714" w:rsidP="00567CFD">
            <w:pPr>
              <w:pStyle w:val="Tabletext"/>
              <w:ind w:left="567" w:hanging="284"/>
              <w:rPr>
                <w:lang w:val="en-GB" w:eastAsia="zh-CN"/>
              </w:rPr>
            </w:pPr>
            <w:r w:rsidRPr="00C92D1F">
              <w:rPr>
                <w:lang w:val="en-GB" w:bidi="en-US"/>
              </w:rPr>
              <w:t>–</w:t>
            </w:r>
            <w:r w:rsidRPr="00C92D1F">
              <w:rPr>
                <w:lang w:val="en-GB" w:bidi="en-US"/>
              </w:rPr>
              <w:tab/>
            </w:r>
            <w:r w:rsidR="00373C27" w:rsidRPr="00C92D1F">
              <w:rPr>
                <w:lang w:val="en-GB" w:eastAsia="zh-CN"/>
              </w:rPr>
              <w:t>Cybersecurity</w:t>
            </w:r>
            <w:r w:rsidR="00373C27" w:rsidRPr="00C92D1F">
              <w:rPr>
                <w:lang w:val="en-GB" w:bidi="en-US"/>
              </w:rPr>
              <w:t xml:space="preserve"> Awareness Essentials Course</w:t>
            </w:r>
            <w:r w:rsidRPr="00C92D1F">
              <w:rPr>
                <w:lang w:val="en-GB" w:eastAsia="zh-CN"/>
              </w:rPr>
              <w:t>: 74</w:t>
            </w:r>
            <w:r w:rsidR="00613739" w:rsidRPr="00C92D1F">
              <w:rPr>
                <w:lang w:val="en-GB" w:eastAsia="zh-CN"/>
              </w:rPr>
              <w:t>,</w:t>
            </w:r>
            <w:r w:rsidRPr="00C92D1F">
              <w:rPr>
                <w:lang w:val="en-GB" w:eastAsia="zh-CN"/>
              </w:rPr>
              <w:t>8</w:t>
            </w:r>
            <w:r w:rsidR="00567CFD" w:rsidRPr="00C92D1F">
              <w:rPr>
                <w:lang w:val="en-GB" w:eastAsia="zh-CN"/>
              </w:rPr>
              <w:t> </w:t>
            </w:r>
            <w:r w:rsidRPr="00C92D1F">
              <w:rPr>
                <w:lang w:val="en-GB" w:eastAsia="zh-CN"/>
              </w:rPr>
              <w:t>%</w:t>
            </w:r>
            <w:r w:rsidR="00567CFD" w:rsidRPr="00C92D1F">
              <w:rPr>
                <w:lang w:val="en-GB" w:eastAsia="zh-CN"/>
              </w:rPr>
              <w:t>.</w:t>
            </w:r>
          </w:p>
          <w:p w14:paraId="39480A38" w14:textId="2D267740" w:rsidR="00074714" w:rsidRPr="00C92D1F" w:rsidRDefault="00074714" w:rsidP="00567CFD">
            <w:pPr>
              <w:pStyle w:val="Tabletext"/>
              <w:ind w:left="567" w:hanging="284"/>
              <w:rPr>
                <w:lang w:val="en-GB" w:eastAsia="zh-CN"/>
              </w:rPr>
            </w:pPr>
            <w:r w:rsidRPr="00C92D1F">
              <w:rPr>
                <w:lang w:val="en-GB" w:bidi="en-US"/>
              </w:rPr>
              <w:t>–</w:t>
            </w:r>
            <w:r w:rsidRPr="00C92D1F">
              <w:rPr>
                <w:lang w:val="en-GB" w:bidi="en-US"/>
              </w:rPr>
              <w:tab/>
            </w:r>
            <w:r w:rsidRPr="00C92D1F">
              <w:rPr>
                <w:lang w:val="en-GB" w:eastAsia="zh-CN"/>
              </w:rPr>
              <w:t>BSAFE (</w:t>
            </w:r>
            <w:r w:rsidR="00D025A2" w:rsidRPr="00C92D1F">
              <w:rPr>
                <w:lang w:val="en-GB" w:eastAsia="zh-CN"/>
              </w:rPr>
              <w:t>Security Awareness Training</w:t>
            </w:r>
            <w:r w:rsidRPr="00C92D1F">
              <w:rPr>
                <w:lang w:val="en-GB" w:eastAsia="zh-CN"/>
              </w:rPr>
              <w:t>): 74</w:t>
            </w:r>
            <w:r w:rsidR="00613739" w:rsidRPr="00C92D1F">
              <w:rPr>
                <w:lang w:val="en-GB" w:eastAsia="zh-CN"/>
              </w:rPr>
              <w:t>,</w:t>
            </w:r>
            <w:r w:rsidRPr="00C92D1F">
              <w:rPr>
                <w:lang w:val="en-GB" w:eastAsia="zh-CN"/>
              </w:rPr>
              <w:t>2</w:t>
            </w:r>
            <w:r w:rsidR="00567CFD" w:rsidRPr="00C92D1F">
              <w:rPr>
                <w:lang w:val="en-GB" w:eastAsia="zh-CN"/>
              </w:rPr>
              <w:t> </w:t>
            </w:r>
            <w:r w:rsidRPr="00C92D1F">
              <w:rPr>
                <w:lang w:val="en-GB" w:eastAsia="zh-CN"/>
              </w:rPr>
              <w:t>%</w:t>
            </w:r>
            <w:r w:rsidR="00567CFD" w:rsidRPr="00C92D1F">
              <w:rPr>
                <w:lang w:val="en-GB" w:eastAsia="zh-CN"/>
              </w:rPr>
              <w:t>.</w:t>
            </w:r>
          </w:p>
          <w:p w14:paraId="1BBCDFF6" w14:textId="37B9AE1E" w:rsidR="00074714" w:rsidRPr="00C92D1F" w:rsidRDefault="00074714" w:rsidP="00567CFD">
            <w:pPr>
              <w:pStyle w:val="Tabletext"/>
              <w:ind w:left="567" w:hanging="284"/>
              <w:rPr>
                <w:lang w:val="en-GB" w:eastAsia="zh-CN"/>
              </w:rPr>
            </w:pPr>
            <w:r w:rsidRPr="00C92D1F">
              <w:rPr>
                <w:lang w:val="en-GB" w:bidi="en-US"/>
              </w:rPr>
              <w:t>–</w:t>
            </w:r>
            <w:r w:rsidRPr="00C92D1F">
              <w:rPr>
                <w:lang w:val="en-GB" w:bidi="en-US"/>
              </w:rPr>
              <w:tab/>
            </w:r>
            <w:r w:rsidRPr="00C92D1F">
              <w:rPr>
                <w:lang w:val="en-GB" w:eastAsia="zh-CN"/>
              </w:rPr>
              <w:t>I Know Gender – M</w:t>
            </w:r>
            <w:r w:rsidR="00F92940" w:rsidRPr="00C92D1F">
              <w:rPr>
                <w:lang w:val="en-GB" w:eastAsia="zh-CN"/>
              </w:rPr>
              <w:t>ó</w:t>
            </w:r>
            <w:r w:rsidRPr="00C92D1F">
              <w:rPr>
                <w:lang w:val="en-GB" w:eastAsia="zh-CN"/>
              </w:rPr>
              <w:t>dul</w:t>
            </w:r>
            <w:r w:rsidR="00F92940" w:rsidRPr="00C92D1F">
              <w:rPr>
                <w:lang w:val="en-GB" w:eastAsia="zh-CN"/>
              </w:rPr>
              <w:t>o</w:t>
            </w:r>
            <w:r w:rsidRPr="00C92D1F">
              <w:rPr>
                <w:lang w:val="en-GB" w:eastAsia="zh-CN"/>
              </w:rPr>
              <w:t>s 1-2-3: 70</w:t>
            </w:r>
            <w:r w:rsidR="00613739" w:rsidRPr="00C92D1F">
              <w:rPr>
                <w:lang w:val="en-GB" w:eastAsia="zh-CN"/>
              </w:rPr>
              <w:t>,</w:t>
            </w:r>
            <w:r w:rsidRPr="00C92D1F">
              <w:rPr>
                <w:lang w:val="en-GB" w:eastAsia="zh-CN"/>
              </w:rPr>
              <w:t>7</w:t>
            </w:r>
            <w:r w:rsidR="00567CFD" w:rsidRPr="00C92D1F">
              <w:rPr>
                <w:lang w:val="en-GB" w:eastAsia="zh-CN"/>
              </w:rPr>
              <w:t> </w:t>
            </w:r>
            <w:r w:rsidRPr="00C92D1F">
              <w:rPr>
                <w:lang w:val="en-GB" w:eastAsia="zh-CN"/>
              </w:rPr>
              <w:t>%</w:t>
            </w:r>
            <w:r w:rsidR="00567CFD" w:rsidRPr="00C92D1F">
              <w:rPr>
                <w:lang w:val="en-GB" w:eastAsia="zh-CN"/>
              </w:rPr>
              <w:t>.</w:t>
            </w:r>
          </w:p>
          <w:p w14:paraId="37E89D23" w14:textId="0902655A" w:rsidR="00074714" w:rsidRPr="00C92D1F" w:rsidRDefault="00074714" w:rsidP="00567CFD">
            <w:pPr>
              <w:pStyle w:val="Tabletext"/>
              <w:ind w:left="567" w:hanging="284"/>
              <w:rPr>
                <w:lang w:val="en-GB" w:eastAsia="zh-CN"/>
              </w:rPr>
            </w:pPr>
            <w:r w:rsidRPr="00C92D1F">
              <w:rPr>
                <w:lang w:val="en-GB" w:bidi="en-US"/>
              </w:rPr>
              <w:t>–</w:t>
            </w:r>
            <w:r w:rsidRPr="00C92D1F">
              <w:rPr>
                <w:lang w:val="en-GB" w:bidi="en-US"/>
              </w:rPr>
              <w:tab/>
            </w:r>
            <w:r w:rsidRPr="00C92D1F">
              <w:rPr>
                <w:lang w:val="en-GB" w:eastAsia="zh-CN"/>
              </w:rPr>
              <w:t>United to Respect: Preventing Sexual Harassment and Other Prohibited Conduct: 67</w:t>
            </w:r>
            <w:r w:rsidR="00F92940" w:rsidRPr="00C92D1F">
              <w:rPr>
                <w:lang w:val="en-GB" w:eastAsia="zh-CN"/>
              </w:rPr>
              <w:t>,</w:t>
            </w:r>
            <w:r w:rsidRPr="00C92D1F">
              <w:rPr>
                <w:lang w:val="en-GB" w:eastAsia="zh-CN"/>
              </w:rPr>
              <w:t>9</w:t>
            </w:r>
            <w:r w:rsidR="00567CFD" w:rsidRPr="00C92D1F">
              <w:rPr>
                <w:lang w:val="en-GB" w:eastAsia="zh-CN"/>
              </w:rPr>
              <w:t> </w:t>
            </w:r>
            <w:r w:rsidRPr="00C92D1F">
              <w:rPr>
                <w:lang w:val="en-GB" w:eastAsia="zh-CN"/>
              </w:rPr>
              <w:t>%</w:t>
            </w:r>
            <w:r w:rsidR="00567CFD" w:rsidRPr="00C92D1F">
              <w:rPr>
                <w:lang w:val="en-GB" w:eastAsia="zh-CN"/>
              </w:rPr>
              <w:t>.</w:t>
            </w:r>
          </w:p>
          <w:p w14:paraId="71E1071A" w14:textId="27B24947" w:rsidR="00074714" w:rsidRPr="00C92D1F" w:rsidRDefault="00074714" w:rsidP="00567CFD">
            <w:pPr>
              <w:pStyle w:val="Tabletext"/>
              <w:ind w:left="567" w:hanging="284"/>
              <w:rPr>
                <w:lang w:val="en-GB" w:eastAsia="zh-CN"/>
              </w:rPr>
            </w:pPr>
            <w:r w:rsidRPr="00C92D1F">
              <w:rPr>
                <w:lang w:val="en-GB" w:bidi="en-US"/>
              </w:rPr>
              <w:t>–</w:t>
            </w:r>
            <w:r w:rsidRPr="00C92D1F">
              <w:rPr>
                <w:lang w:val="en-GB" w:bidi="en-US"/>
              </w:rPr>
              <w:tab/>
            </w:r>
            <w:r w:rsidRPr="00C92D1F">
              <w:rPr>
                <w:lang w:val="en-GB" w:eastAsia="zh-CN"/>
              </w:rPr>
              <w:t>Prevention of Sexual Exploitation and Abuse: 63</w:t>
            </w:r>
            <w:r w:rsidR="009B2023" w:rsidRPr="00C92D1F">
              <w:rPr>
                <w:lang w:val="en-GB" w:eastAsia="zh-CN"/>
              </w:rPr>
              <w:t>,</w:t>
            </w:r>
            <w:r w:rsidRPr="00C92D1F">
              <w:rPr>
                <w:lang w:val="en-GB" w:eastAsia="zh-CN"/>
              </w:rPr>
              <w:t>5</w:t>
            </w:r>
            <w:r w:rsidR="00567CFD" w:rsidRPr="00C92D1F">
              <w:rPr>
                <w:lang w:val="en-GB" w:eastAsia="zh-CN"/>
              </w:rPr>
              <w:t> </w:t>
            </w:r>
            <w:r w:rsidRPr="00C92D1F">
              <w:rPr>
                <w:lang w:val="en-GB" w:eastAsia="zh-CN"/>
              </w:rPr>
              <w:t>%</w:t>
            </w:r>
            <w:r w:rsidR="00567CFD" w:rsidRPr="00C92D1F">
              <w:rPr>
                <w:lang w:val="en-GB" w:eastAsia="zh-CN"/>
              </w:rPr>
              <w:t>.</w:t>
            </w:r>
          </w:p>
          <w:p w14:paraId="60DA63E8" w14:textId="7DB201F4" w:rsidR="00074714" w:rsidRPr="00C92D1F" w:rsidRDefault="00074714" w:rsidP="00567CFD">
            <w:pPr>
              <w:pStyle w:val="Tabletext"/>
              <w:ind w:left="567" w:hanging="284"/>
              <w:rPr>
                <w:lang w:val="en-GB" w:eastAsia="zh-CN"/>
              </w:rPr>
            </w:pPr>
            <w:r w:rsidRPr="00C92D1F">
              <w:rPr>
                <w:lang w:val="en-GB" w:bidi="en-US"/>
              </w:rPr>
              <w:t>–</w:t>
            </w:r>
            <w:r w:rsidRPr="00C92D1F">
              <w:rPr>
                <w:lang w:val="en-GB" w:bidi="en-US"/>
              </w:rPr>
              <w:tab/>
            </w:r>
            <w:r w:rsidRPr="00C92D1F">
              <w:rPr>
                <w:lang w:val="en-GB" w:eastAsia="zh-CN"/>
              </w:rPr>
              <w:t>Ethics &amp; Integrity at ITU: 62</w:t>
            </w:r>
            <w:r w:rsidR="009B2023" w:rsidRPr="00C92D1F">
              <w:rPr>
                <w:lang w:val="en-GB" w:eastAsia="zh-CN"/>
              </w:rPr>
              <w:t>,</w:t>
            </w:r>
            <w:r w:rsidRPr="00C92D1F">
              <w:rPr>
                <w:lang w:val="en-GB" w:eastAsia="zh-CN"/>
              </w:rPr>
              <w:t>0</w:t>
            </w:r>
            <w:r w:rsidR="00567CFD" w:rsidRPr="00C92D1F">
              <w:rPr>
                <w:lang w:val="en-GB" w:eastAsia="zh-CN"/>
              </w:rPr>
              <w:t> </w:t>
            </w:r>
            <w:r w:rsidRPr="00C92D1F">
              <w:rPr>
                <w:lang w:val="en-GB" w:eastAsia="zh-CN"/>
              </w:rPr>
              <w:t>%</w:t>
            </w:r>
            <w:r w:rsidR="00567CFD" w:rsidRPr="00C92D1F">
              <w:rPr>
                <w:lang w:val="en-GB" w:eastAsia="zh-CN"/>
              </w:rPr>
              <w:t>.</w:t>
            </w:r>
          </w:p>
          <w:p w14:paraId="3537B80A" w14:textId="3101F3B0" w:rsidR="00074714" w:rsidRPr="00C92D1F" w:rsidRDefault="00074714" w:rsidP="00567CFD">
            <w:pPr>
              <w:pStyle w:val="Tabletext"/>
              <w:ind w:left="567" w:hanging="284"/>
              <w:rPr>
                <w:rFonts w:eastAsia="Malgun Gothic"/>
                <w:lang w:val="en-GB" w:eastAsia="ko-KR"/>
              </w:rPr>
            </w:pPr>
            <w:r w:rsidRPr="00C92D1F">
              <w:rPr>
                <w:lang w:val="en-GB" w:bidi="en-US"/>
              </w:rPr>
              <w:t>–</w:t>
            </w:r>
            <w:r w:rsidRPr="00C92D1F">
              <w:rPr>
                <w:lang w:val="en-GB"/>
              </w:rPr>
              <w:tab/>
            </w:r>
            <w:r w:rsidRPr="00C92D1F">
              <w:rPr>
                <w:lang w:val="en-GB" w:eastAsia="zh-CN"/>
              </w:rPr>
              <w:t>Greening the Blue: 61</w:t>
            </w:r>
            <w:r w:rsidR="009B2023" w:rsidRPr="00C92D1F">
              <w:rPr>
                <w:lang w:val="en-GB" w:eastAsia="zh-CN"/>
              </w:rPr>
              <w:t>,</w:t>
            </w:r>
            <w:r w:rsidRPr="00C92D1F">
              <w:rPr>
                <w:lang w:val="en-GB" w:eastAsia="zh-CN"/>
              </w:rPr>
              <w:t>5</w:t>
            </w:r>
            <w:r w:rsidR="00567CFD" w:rsidRPr="00C92D1F">
              <w:rPr>
                <w:lang w:val="en-GB" w:eastAsia="zh-CN"/>
              </w:rPr>
              <w:t> </w:t>
            </w:r>
            <w:r w:rsidRPr="00C92D1F">
              <w:rPr>
                <w:lang w:val="en-GB" w:eastAsia="zh-CN"/>
              </w:rPr>
              <w:t>%</w:t>
            </w:r>
            <w:r w:rsidR="00567CFD" w:rsidRPr="00C92D1F">
              <w:rPr>
                <w:lang w:val="en-GB" w:eastAsia="zh-CN"/>
              </w:rPr>
              <w:t>.</w:t>
            </w:r>
          </w:p>
        </w:tc>
      </w:tr>
      <w:tr w:rsidR="00074714" w:rsidRPr="00C92D1F" w14:paraId="3DB5E294" w14:textId="77777777" w:rsidTr="00C90203">
        <w:trPr>
          <w:trHeight w:val="584"/>
          <w:jc w:val="center"/>
        </w:trPr>
        <w:tc>
          <w:tcPr>
            <w:tcW w:w="207" w:type="pct"/>
            <w:vMerge/>
            <w:vAlign w:val="center"/>
          </w:tcPr>
          <w:p w14:paraId="40DE4643" w14:textId="77777777" w:rsidR="00074714" w:rsidRPr="00C92D1F" w:rsidRDefault="00074714" w:rsidP="000F4735">
            <w:pPr>
              <w:pStyle w:val="Tabletext"/>
              <w:rPr>
                <w:lang w:val="en-GB"/>
              </w:rPr>
            </w:pPr>
          </w:p>
        </w:tc>
        <w:tc>
          <w:tcPr>
            <w:tcW w:w="523" w:type="pct"/>
            <w:vMerge/>
            <w:vAlign w:val="center"/>
          </w:tcPr>
          <w:p w14:paraId="2A3A5BB2" w14:textId="77777777" w:rsidR="00074714" w:rsidRPr="00C92D1F" w:rsidRDefault="00074714" w:rsidP="000F4735">
            <w:pPr>
              <w:pStyle w:val="Tabletext"/>
              <w:rPr>
                <w:szCs w:val="22"/>
                <w:lang w:val="en-GB" w:eastAsia="zh-CN"/>
              </w:rPr>
            </w:pPr>
          </w:p>
        </w:tc>
        <w:tc>
          <w:tcPr>
            <w:tcW w:w="1759" w:type="pct"/>
            <w:shd w:val="clear" w:color="auto" w:fill="FFFFFF" w:themeFill="background1"/>
            <w:vAlign w:val="center"/>
            <w:hideMark/>
          </w:tcPr>
          <w:p w14:paraId="1BDC8FF6" w14:textId="2BE7D2D7" w:rsidR="00074714" w:rsidRPr="00E90022" w:rsidRDefault="00074714" w:rsidP="004C3A95">
            <w:pPr>
              <w:pStyle w:val="Tabletext"/>
              <w:ind w:left="284" w:hanging="284"/>
              <w:rPr>
                <w:lang w:val="es-ES"/>
              </w:rPr>
            </w:pPr>
            <w:bookmarkStart w:id="6" w:name="_Hlk39134893"/>
            <w:r w:rsidRPr="00E90022">
              <w:rPr>
                <w:lang w:val="es-ES" w:bidi="en-US"/>
              </w:rPr>
              <w:t>–</w:t>
            </w:r>
            <w:r w:rsidRPr="00E90022">
              <w:rPr>
                <w:lang w:val="es-ES" w:bidi="en-US"/>
              </w:rPr>
              <w:tab/>
            </w:r>
            <w:r w:rsidR="00773625" w:rsidRPr="00E90022">
              <w:rPr>
                <w:lang w:val="es-ES"/>
              </w:rPr>
              <w:t>Porcentaje de personal que recibe capacitación en el empleo</w:t>
            </w:r>
            <w:bookmarkEnd w:id="6"/>
            <w:r w:rsidR="004C3A95" w:rsidRPr="00E90022">
              <w:rPr>
                <w:lang w:val="es-ES"/>
              </w:rPr>
              <w:t>.</w:t>
            </w:r>
          </w:p>
        </w:tc>
        <w:tc>
          <w:tcPr>
            <w:tcW w:w="2511" w:type="pct"/>
            <w:vAlign w:val="center"/>
          </w:tcPr>
          <w:p w14:paraId="778B911A" w14:textId="28832992" w:rsidR="00074714" w:rsidRPr="00E90022" w:rsidRDefault="00806342" w:rsidP="000F4735">
            <w:pPr>
              <w:pStyle w:val="Tabletext"/>
              <w:rPr>
                <w:lang w:val="es-ES" w:eastAsia="zh-CN"/>
              </w:rPr>
            </w:pPr>
            <w:bookmarkStart w:id="7" w:name="_Hlk67902942"/>
            <w:r w:rsidRPr="00E90022">
              <w:rPr>
                <w:lang w:val="es-ES" w:eastAsia="zh-CN"/>
              </w:rPr>
              <w:t>Las formaciones institucionales en el marco del Plan de formación de la UIT están disponibles para todos los empleados de la UIT, independientemente del tipo de contrato</w:t>
            </w:r>
            <w:r w:rsidR="00074714" w:rsidRPr="00E90022">
              <w:rPr>
                <w:lang w:val="es-ES" w:eastAsia="zh-CN"/>
              </w:rPr>
              <w:t xml:space="preserve">. </w:t>
            </w:r>
          </w:p>
          <w:p w14:paraId="509C022B" w14:textId="77777777" w:rsidR="00430803" w:rsidRPr="00E90022" w:rsidRDefault="00430803" w:rsidP="000F4735">
            <w:pPr>
              <w:pStyle w:val="Tabletext"/>
              <w:rPr>
                <w:lang w:val="es-ES" w:eastAsia="zh-CN"/>
              </w:rPr>
            </w:pPr>
            <w:r w:rsidRPr="00E90022">
              <w:rPr>
                <w:lang w:val="es-ES" w:eastAsia="zh-CN"/>
              </w:rPr>
              <w:t>En 2025, se impartieron un total de 38 formaciones institucionales a nivel interno que abarcaron diferentes temas, desde digital, desarrollo profesional, liderazgo, diversidad e inclusión, aceleradores de competencias hasta gestión del rendimiento, salud y bienestar y sesiones de sensibilización.</w:t>
            </w:r>
          </w:p>
          <w:p w14:paraId="078CC032" w14:textId="3BF6EC69" w:rsidR="00074714" w:rsidRPr="00E90022" w:rsidRDefault="00430803" w:rsidP="000F4735">
            <w:pPr>
              <w:pStyle w:val="Tabletext"/>
              <w:rPr>
                <w:lang w:val="es-ES" w:eastAsia="zh-CN"/>
              </w:rPr>
            </w:pPr>
            <w:r w:rsidRPr="00E90022">
              <w:rPr>
                <w:lang w:val="es-ES" w:eastAsia="zh-CN"/>
              </w:rPr>
              <w:t>Además de las formaciones en grupo, un total de 21 miembros del personal se beneficiaron de formaciones individuales, especializadas/técnicas</w:t>
            </w:r>
            <w:r w:rsidR="00074714" w:rsidRPr="00E90022">
              <w:rPr>
                <w:lang w:val="es-ES" w:eastAsia="zh-CN"/>
              </w:rPr>
              <w:t>.</w:t>
            </w:r>
            <w:bookmarkEnd w:id="7"/>
          </w:p>
        </w:tc>
      </w:tr>
      <w:tr w:rsidR="00074714" w:rsidRPr="00C92D1F" w14:paraId="361FD651" w14:textId="77777777" w:rsidTr="00C90203">
        <w:trPr>
          <w:trHeight w:val="20"/>
          <w:jc w:val="center"/>
        </w:trPr>
        <w:tc>
          <w:tcPr>
            <w:tcW w:w="207" w:type="pct"/>
            <w:shd w:val="clear" w:color="auto" w:fill="FFFFFF" w:themeFill="background1"/>
            <w:vAlign w:val="center"/>
          </w:tcPr>
          <w:p w14:paraId="05C22C40" w14:textId="77777777" w:rsidR="00074714" w:rsidRPr="00E90022" w:rsidRDefault="00074714" w:rsidP="000F4735">
            <w:pPr>
              <w:pStyle w:val="Tabletext"/>
              <w:rPr>
                <w:lang w:val="es-ES"/>
              </w:rPr>
            </w:pPr>
            <w:r w:rsidRPr="00E90022">
              <w:rPr>
                <w:lang w:val="es-ES" w:eastAsia="zh-CN"/>
              </w:rPr>
              <w:t>13</w:t>
            </w:r>
          </w:p>
        </w:tc>
        <w:tc>
          <w:tcPr>
            <w:tcW w:w="523" w:type="pct"/>
            <w:shd w:val="clear" w:color="auto" w:fill="FFFFFF" w:themeFill="background1"/>
            <w:vAlign w:val="center"/>
          </w:tcPr>
          <w:p w14:paraId="0528369F" w14:textId="47D647F6" w:rsidR="00074714" w:rsidRPr="00E90022" w:rsidRDefault="00773625" w:rsidP="000F4735">
            <w:pPr>
              <w:pStyle w:val="Tabletext"/>
              <w:rPr>
                <w:szCs w:val="22"/>
                <w:lang w:val="es-ES" w:eastAsia="zh-CN"/>
              </w:rPr>
            </w:pPr>
            <w:r w:rsidRPr="00E90022">
              <w:rPr>
                <w:szCs w:val="22"/>
                <w:lang w:val="es-ES" w:eastAsia="zh-CN"/>
              </w:rPr>
              <w:t>Formación y desarrollo</w:t>
            </w:r>
          </w:p>
        </w:tc>
        <w:tc>
          <w:tcPr>
            <w:tcW w:w="1759" w:type="pct"/>
            <w:shd w:val="clear" w:color="auto" w:fill="FFFFFF" w:themeFill="background1"/>
            <w:vAlign w:val="center"/>
          </w:tcPr>
          <w:p w14:paraId="72C41B0B" w14:textId="779054AC"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BD7807" w:rsidRPr="00E90022">
              <w:rPr>
                <w:lang w:val="es-ES"/>
              </w:rPr>
              <w:t>Rentabilidad de los programas lingüísticos</w:t>
            </w:r>
            <w:r w:rsidR="004C3A95" w:rsidRPr="00E90022">
              <w:rPr>
                <w:lang w:val="es-ES"/>
              </w:rPr>
              <w:t>.</w:t>
            </w:r>
          </w:p>
        </w:tc>
        <w:tc>
          <w:tcPr>
            <w:tcW w:w="2511" w:type="pct"/>
            <w:vAlign w:val="center"/>
          </w:tcPr>
          <w:p w14:paraId="3ACD3059" w14:textId="77777777" w:rsidR="00580F81" w:rsidRPr="00E90022" w:rsidRDefault="00580F81" w:rsidP="000F4735">
            <w:pPr>
              <w:pStyle w:val="Tabletext"/>
              <w:rPr>
                <w:lang w:val="es-ES" w:eastAsia="zh-CN"/>
              </w:rPr>
            </w:pPr>
            <w:r w:rsidRPr="00E90022">
              <w:rPr>
                <w:lang w:val="es-ES" w:eastAsia="zh-CN"/>
              </w:rPr>
              <w:t>Gracias a una mayor colaboración con la ONUG, las oportunidades de aprendizaje de idiomas se ampliaron de dos a tres trimestres al año, lo que permitió a un mayor número de empleados mejorar sus conocimientos lingüísticos para mejorar la eficacia de la organización y la prestación de servicios multilingües.</w:t>
            </w:r>
          </w:p>
          <w:p w14:paraId="6CC4A078" w14:textId="77777777" w:rsidR="00580F81" w:rsidRPr="00E90022" w:rsidRDefault="00580F81" w:rsidP="000F4735">
            <w:pPr>
              <w:pStyle w:val="Tabletext"/>
              <w:rPr>
                <w:lang w:val="es-ES" w:eastAsia="zh-CN"/>
              </w:rPr>
            </w:pPr>
            <w:r w:rsidRPr="00E90022">
              <w:rPr>
                <w:lang w:val="es-ES" w:eastAsia="zh-CN"/>
              </w:rPr>
              <w:t>En 2025 se registró un aumento de la participación (41 participantes en el primer trimestre, 53 en el segundo y 68 en el tercero), lo que revela un interés y un compromiso crecientes.</w:t>
            </w:r>
          </w:p>
          <w:p w14:paraId="1DD60238" w14:textId="0AD85343" w:rsidR="00074714" w:rsidRPr="00E90022" w:rsidRDefault="00580F81" w:rsidP="000F4735">
            <w:pPr>
              <w:pStyle w:val="Tabletext"/>
              <w:rPr>
                <w:lang w:val="es-ES" w:eastAsia="zh-CN"/>
              </w:rPr>
            </w:pPr>
            <w:r w:rsidRPr="00E90022">
              <w:rPr>
                <w:lang w:val="es-ES" w:eastAsia="zh-CN"/>
              </w:rPr>
              <w:t>Cabe destacar que esta expansión y la mayor participación se sufragaron totalmente con el presupuesto existente para el aprendizaje de idiomas, que no se ha incrementado en los últimos años y que, de hecho, se ha reducido en un 50</w:t>
            </w:r>
            <w:r w:rsidR="00567CFD" w:rsidRPr="00E90022">
              <w:rPr>
                <w:lang w:val="es-ES" w:eastAsia="zh-CN"/>
              </w:rPr>
              <w:t> </w:t>
            </w:r>
            <w:r w:rsidRPr="00E90022">
              <w:rPr>
                <w:lang w:val="es-ES" w:eastAsia="zh-CN"/>
              </w:rPr>
              <w:t>% en 2026.</w:t>
            </w:r>
          </w:p>
        </w:tc>
      </w:tr>
      <w:tr w:rsidR="00074714" w:rsidRPr="00C92D1F" w14:paraId="05AC7F4D" w14:textId="77777777" w:rsidTr="00C90203">
        <w:trPr>
          <w:trHeight w:val="20"/>
          <w:jc w:val="center"/>
        </w:trPr>
        <w:tc>
          <w:tcPr>
            <w:tcW w:w="207" w:type="pct"/>
            <w:shd w:val="clear" w:color="auto" w:fill="FFFFFF" w:themeFill="background1"/>
            <w:vAlign w:val="center"/>
          </w:tcPr>
          <w:p w14:paraId="7E6DAF33" w14:textId="77777777" w:rsidR="00074714" w:rsidRPr="00E90022" w:rsidRDefault="00074714" w:rsidP="000F4735">
            <w:pPr>
              <w:pStyle w:val="Tabletext"/>
              <w:rPr>
                <w:lang w:val="es-ES"/>
              </w:rPr>
            </w:pPr>
            <w:r w:rsidRPr="00E90022">
              <w:rPr>
                <w:lang w:val="es-ES" w:eastAsia="zh-CN"/>
              </w:rPr>
              <w:t>14</w:t>
            </w:r>
          </w:p>
        </w:tc>
        <w:tc>
          <w:tcPr>
            <w:tcW w:w="523" w:type="pct"/>
            <w:shd w:val="clear" w:color="auto" w:fill="FFFFFF" w:themeFill="background1"/>
            <w:vAlign w:val="center"/>
          </w:tcPr>
          <w:p w14:paraId="50E72632" w14:textId="2996E089" w:rsidR="00074714" w:rsidRPr="00E90022" w:rsidRDefault="00773625" w:rsidP="000F4735">
            <w:pPr>
              <w:pStyle w:val="Tabletext"/>
              <w:rPr>
                <w:szCs w:val="22"/>
                <w:lang w:val="es-ES" w:eastAsia="zh-CN"/>
              </w:rPr>
            </w:pPr>
            <w:r w:rsidRPr="00E90022">
              <w:rPr>
                <w:szCs w:val="22"/>
                <w:lang w:val="es-ES" w:eastAsia="zh-CN"/>
              </w:rPr>
              <w:t>Formación y desarrollo</w:t>
            </w:r>
          </w:p>
        </w:tc>
        <w:tc>
          <w:tcPr>
            <w:tcW w:w="1759" w:type="pct"/>
            <w:shd w:val="clear" w:color="auto" w:fill="FFFFFF" w:themeFill="background1"/>
            <w:vAlign w:val="center"/>
            <w:hideMark/>
          </w:tcPr>
          <w:p w14:paraId="4EB130F1" w14:textId="54EE4890"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6300F2" w:rsidRPr="00E90022">
              <w:rPr>
                <w:lang w:val="es-ES"/>
              </w:rPr>
              <w:t>Número de iniciaciones celebradas (porcentaje de personal nuevo participante)</w:t>
            </w:r>
            <w:r w:rsidR="004C3A95" w:rsidRPr="00E90022">
              <w:rPr>
                <w:lang w:val="es-ES"/>
              </w:rPr>
              <w:t>.</w:t>
            </w:r>
          </w:p>
        </w:tc>
        <w:tc>
          <w:tcPr>
            <w:tcW w:w="2511" w:type="pct"/>
            <w:vAlign w:val="center"/>
          </w:tcPr>
          <w:p w14:paraId="1E802114" w14:textId="77777777" w:rsidR="00687F57" w:rsidRPr="00E90022" w:rsidRDefault="00687F57" w:rsidP="000F4735">
            <w:pPr>
              <w:pStyle w:val="Tabletext"/>
              <w:rPr>
                <w:lang w:val="es-ES"/>
              </w:rPr>
            </w:pPr>
            <w:r w:rsidRPr="00E90022">
              <w:rPr>
                <w:lang w:val="es-ES"/>
              </w:rPr>
              <w:t>En 2025, se impartieron con éxito dos programas de iniciación (4 sesiones de media jornada cada una) que llegaron a 110 miembros del personal, consultores (SSA) y becarios recién contratados.</w:t>
            </w:r>
          </w:p>
          <w:p w14:paraId="2BE184B3" w14:textId="5EEA3E63" w:rsidR="00074714" w:rsidRPr="00E90022" w:rsidRDefault="00687F57" w:rsidP="000F4735">
            <w:pPr>
              <w:pStyle w:val="Tabletext"/>
              <w:rPr>
                <w:lang w:val="es-ES"/>
              </w:rPr>
            </w:pPr>
            <w:r w:rsidRPr="00E90022">
              <w:rPr>
                <w:lang w:val="es-ES"/>
              </w:rPr>
              <w:t>Estas sesiones desempeñaron un papel esencial a la hora de facilitar su integración en la organización, reforzar los valores y las normas institucionales y garantizar desde el principio una comprensión común de las políticas, los procedimientos y las expectativas.</w:t>
            </w:r>
          </w:p>
        </w:tc>
      </w:tr>
      <w:tr w:rsidR="00074714" w:rsidRPr="00C92D1F" w14:paraId="663ED471" w14:textId="77777777" w:rsidTr="00C90203">
        <w:trPr>
          <w:trHeight w:val="787"/>
          <w:jc w:val="center"/>
        </w:trPr>
        <w:tc>
          <w:tcPr>
            <w:tcW w:w="207" w:type="pct"/>
            <w:shd w:val="clear" w:color="auto" w:fill="FFFFFF" w:themeFill="background1"/>
            <w:vAlign w:val="center"/>
          </w:tcPr>
          <w:p w14:paraId="459C7042" w14:textId="77777777" w:rsidR="00074714" w:rsidRPr="00E90022" w:rsidRDefault="00074714" w:rsidP="000F4735">
            <w:pPr>
              <w:pStyle w:val="Tabletext"/>
              <w:rPr>
                <w:lang w:val="es-ES"/>
              </w:rPr>
            </w:pPr>
            <w:r w:rsidRPr="00E90022">
              <w:rPr>
                <w:lang w:val="es-ES" w:eastAsia="zh-CN"/>
              </w:rPr>
              <w:lastRenderedPageBreak/>
              <w:t>15</w:t>
            </w:r>
          </w:p>
        </w:tc>
        <w:tc>
          <w:tcPr>
            <w:tcW w:w="523" w:type="pct"/>
            <w:shd w:val="clear" w:color="auto" w:fill="FFFFFF" w:themeFill="background1"/>
            <w:vAlign w:val="center"/>
          </w:tcPr>
          <w:p w14:paraId="1D8B722A" w14:textId="41BF617B" w:rsidR="00074714" w:rsidRPr="00E90022" w:rsidRDefault="00AB0159" w:rsidP="000F4735">
            <w:pPr>
              <w:pStyle w:val="Tabletext"/>
              <w:rPr>
                <w:szCs w:val="22"/>
                <w:lang w:val="es-ES" w:eastAsia="zh-CN"/>
              </w:rPr>
            </w:pPr>
            <w:r w:rsidRPr="00E90022">
              <w:rPr>
                <w:szCs w:val="22"/>
                <w:lang w:val="es-ES" w:eastAsia="zh-CN"/>
              </w:rPr>
              <w:t xml:space="preserve">Política de </w:t>
            </w:r>
            <w:r w:rsidR="00C87C1E" w:rsidRPr="00E90022">
              <w:rPr>
                <w:szCs w:val="22"/>
                <w:lang w:val="es-ES" w:eastAsia="zh-CN"/>
              </w:rPr>
              <w:t>RRHH</w:t>
            </w:r>
          </w:p>
        </w:tc>
        <w:tc>
          <w:tcPr>
            <w:tcW w:w="1759" w:type="pct"/>
            <w:shd w:val="clear" w:color="auto" w:fill="FFFFFF" w:themeFill="background1"/>
            <w:vAlign w:val="center"/>
          </w:tcPr>
          <w:p w14:paraId="09A7751A" w14:textId="5462939A"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C87C1E" w:rsidRPr="00E90022">
              <w:rPr>
                <w:lang w:val="es-ES"/>
              </w:rPr>
              <w:t>Examen y actualización de las políticas y órdenes de servicio relacionadas con los recursos humanos</w:t>
            </w:r>
            <w:r w:rsidR="004C3A95" w:rsidRPr="00E90022">
              <w:rPr>
                <w:lang w:val="es-ES"/>
              </w:rPr>
              <w:t>.</w:t>
            </w:r>
          </w:p>
        </w:tc>
        <w:tc>
          <w:tcPr>
            <w:tcW w:w="2511" w:type="pct"/>
            <w:vAlign w:val="center"/>
          </w:tcPr>
          <w:p w14:paraId="784410A0" w14:textId="27FEE006" w:rsidR="00074714" w:rsidRPr="00E90022" w:rsidRDefault="003E5224" w:rsidP="000F4735">
            <w:pPr>
              <w:pStyle w:val="Tabletext"/>
              <w:rPr>
                <w:lang w:val="es-ES" w:eastAsia="zh-CN"/>
              </w:rPr>
            </w:pPr>
            <w:r w:rsidRPr="00E90022">
              <w:rPr>
                <w:lang w:val="es-ES" w:eastAsia="zh-CN"/>
              </w:rPr>
              <w:t xml:space="preserve">Se publicaron 17 directrices, políticas/órdenes de servicio nuevas o revisadas sobre cuestiones de RRHH (entre otras, sobre formación obligatoria, el </w:t>
            </w:r>
            <w:r w:rsidR="00504F09" w:rsidRPr="00E90022">
              <w:rPr>
                <w:lang w:val="es-ES" w:eastAsia="zh-CN"/>
              </w:rPr>
              <w:t>ómbudsman</w:t>
            </w:r>
            <w:r w:rsidRPr="00E90022">
              <w:rPr>
                <w:lang w:val="es-ES" w:eastAsia="zh-CN"/>
              </w:rPr>
              <w:t xml:space="preserve">, el sistema interno de justicia, los </w:t>
            </w:r>
            <w:r w:rsidR="00031798" w:rsidRPr="00E90022">
              <w:rPr>
                <w:lang w:val="es-ES" w:eastAsia="zh-CN"/>
              </w:rPr>
              <w:t>sueldos</w:t>
            </w:r>
            <w:r w:rsidRPr="00E90022">
              <w:rPr>
                <w:lang w:val="es-ES" w:eastAsia="zh-CN"/>
              </w:rPr>
              <w:t xml:space="preserve"> y la clasificación de los puestos, el pago de horas extraordinarias para el personal de </w:t>
            </w:r>
            <w:r w:rsidR="00031798" w:rsidRPr="00E90022">
              <w:rPr>
                <w:lang w:val="es-ES" w:eastAsia="zh-CN"/>
              </w:rPr>
              <w:t>servicios generales</w:t>
            </w:r>
            <w:r w:rsidRPr="00E90022">
              <w:rPr>
                <w:lang w:val="es-ES" w:eastAsia="zh-CN"/>
              </w:rPr>
              <w:t>, las vacaciones oficiales de las oficinas regionales, la remuneración de los SSA y el empleo de jubilados, los horarios de trabajo y l</w:t>
            </w:r>
            <w:r w:rsidR="00ED20B0" w:rsidRPr="00E90022">
              <w:rPr>
                <w:lang w:val="es-ES" w:eastAsia="zh-CN"/>
              </w:rPr>
              <w:t>a</w:t>
            </w:r>
            <w:r w:rsidRPr="00E90022">
              <w:rPr>
                <w:lang w:val="es-ES" w:eastAsia="zh-CN"/>
              </w:rPr>
              <w:t xml:space="preserve">s </w:t>
            </w:r>
            <w:r w:rsidR="00ED20B0" w:rsidRPr="00E90022">
              <w:rPr>
                <w:lang w:val="es-ES" w:eastAsia="zh-CN"/>
              </w:rPr>
              <w:t>modalidades</w:t>
            </w:r>
            <w:r w:rsidRPr="00E90022">
              <w:rPr>
                <w:lang w:val="es-ES" w:eastAsia="zh-CN"/>
              </w:rPr>
              <w:t xml:space="preserve"> de trabajo flexible...</w:t>
            </w:r>
            <w:r w:rsidR="00074714" w:rsidRPr="00E90022">
              <w:rPr>
                <w:lang w:val="es-ES" w:eastAsia="zh-CN"/>
              </w:rPr>
              <w:t>).</w:t>
            </w:r>
          </w:p>
        </w:tc>
      </w:tr>
      <w:tr w:rsidR="00074714" w:rsidRPr="00C92D1F" w14:paraId="29183D24" w14:textId="77777777" w:rsidTr="00C90203">
        <w:trPr>
          <w:trHeight w:val="383"/>
          <w:jc w:val="center"/>
        </w:trPr>
        <w:tc>
          <w:tcPr>
            <w:tcW w:w="207" w:type="pct"/>
            <w:shd w:val="clear" w:color="auto" w:fill="FFFFFF" w:themeFill="background1"/>
            <w:vAlign w:val="center"/>
          </w:tcPr>
          <w:p w14:paraId="1368D8BB" w14:textId="77777777" w:rsidR="00074714" w:rsidRPr="00E90022" w:rsidRDefault="00074714" w:rsidP="000F4735">
            <w:pPr>
              <w:pStyle w:val="Tabletext"/>
              <w:rPr>
                <w:lang w:val="es-ES" w:eastAsia="zh-CN"/>
              </w:rPr>
            </w:pPr>
            <w:r w:rsidRPr="00E90022">
              <w:rPr>
                <w:lang w:val="es-ES" w:eastAsia="zh-CN"/>
              </w:rPr>
              <w:t>16</w:t>
            </w:r>
          </w:p>
        </w:tc>
        <w:tc>
          <w:tcPr>
            <w:tcW w:w="523" w:type="pct"/>
            <w:shd w:val="clear" w:color="auto" w:fill="FFFFFF" w:themeFill="background1"/>
            <w:vAlign w:val="center"/>
          </w:tcPr>
          <w:p w14:paraId="384F4411" w14:textId="3B9D1E0F" w:rsidR="00074714" w:rsidRPr="00E90022" w:rsidRDefault="00A34C96" w:rsidP="000F4735">
            <w:pPr>
              <w:pStyle w:val="Tabletext"/>
              <w:rPr>
                <w:szCs w:val="22"/>
                <w:lang w:val="es-ES" w:eastAsia="zh-CN"/>
              </w:rPr>
            </w:pPr>
            <w:r w:rsidRPr="00E90022">
              <w:rPr>
                <w:szCs w:val="22"/>
                <w:lang w:val="es-ES" w:eastAsia="zh-CN"/>
              </w:rPr>
              <w:t>Política de RRHH</w:t>
            </w:r>
          </w:p>
        </w:tc>
        <w:tc>
          <w:tcPr>
            <w:tcW w:w="1759" w:type="pct"/>
            <w:shd w:val="clear" w:color="auto" w:fill="FFFFFF" w:themeFill="background1"/>
            <w:vAlign w:val="center"/>
          </w:tcPr>
          <w:p w14:paraId="53F31A9D" w14:textId="64C56C3C"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9E1AA5" w:rsidRPr="00E90022">
              <w:rPr>
                <w:lang w:val="es-ES"/>
              </w:rPr>
              <w:t>Políticas</w:t>
            </w:r>
            <w:r w:rsidR="009E1AA5" w:rsidRPr="00E90022">
              <w:rPr>
                <w:lang w:val="es-ES" w:eastAsia="zh-CN"/>
              </w:rPr>
              <w:t xml:space="preserve"> en proceso de revisión</w:t>
            </w:r>
            <w:r w:rsidR="004C3A95" w:rsidRPr="00E90022">
              <w:rPr>
                <w:lang w:val="es-ES" w:eastAsia="zh-CN"/>
              </w:rPr>
              <w:t>.</w:t>
            </w:r>
          </w:p>
        </w:tc>
        <w:tc>
          <w:tcPr>
            <w:tcW w:w="2511" w:type="pct"/>
            <w:vAlign w:val="center"/>
          </w:tcPr>
          <w:p w14:paraId="3050DC17" w14:textId="6DCDC2A6" w:rsidR="00074714" w:rsidRPr="00E90022" w:rsidRDefault="00074714" w:rsidP="000F4735">
            <w:pPr>
              <w:pStyle w:val="Tabletext"/>
              <w:rPr>
                <w:lang w:val="es-ES" w:eastAsia="zh-CN"/>
              </w:rPr>
            </w:pPr>
            <w:r w:rsidRPr="00E90022">
              <w:rPr>
                <w:lang w:val="es-ES" w:eastAsia="zh-CN"/>
              </w:rPr>
              <w:t xml:space="preserve">11 </w:t>
            </w:r>
            <w:r w:rsidR="00953992" w:rsidRPr="00E90022">
              <w:rPr>
                <w:lang w:val="es-ES" w:eastAsia="zh-CN"/>
              </w:rPr>
              <w:t xml:space="preserve">políticas en proceso de revisión </w:t>
            </w:r>
            <w:r w:rsidRPr="00E90022">
              <w:rPr>
                <w:lang w:val="es-ES" w:eastAsia="zh-CN"/>
              </w:rPr>
              <w:t>(</w:t>
            </w:r>
            <w:r w:rsidR="0044694F" w:rsidRPr="00E90022">
              <w:rPr>
                <w:lang w:val="es-ES" w:eastAsia="zh-CN"/>
              </w:rPr>
              <w:t>relativas a consultores</w:t>
            </w:r>
            <w:r w:rsidRPr="00E90022">
              <w:rPr>
                <w:lang w:val="es-ES" w:eastAsia="zh-CN"/>
              </w:rPr>
              <w:t xml:space="preserve">, </w:t>
            </w:r>
            <w:r w:rsidR="0044694F" w:rsidRPr="00E90022">
              <w:rPr>
                <w:lang w:val="es-ES" w:eastAsia="zh-CN"/>
              </w:rPr>
              <w:t>contratación</w:t>
            </w:r>
            <w:r w:rsidRPr="00E90022">
              <w:rPr>
                <w:lang w:val="es-ES" w:eastAsia="zh-CN"/>
              </w:rPr>
              <w:t>, etc.).</w:t>
            </w:r>
          </w:p>
        </w:tc>
      </w:tr>
      <w:tr w:rsidR="00074714" w:rsidRPr="00C92D1F" w14:paraId="4065F31E" w14:textId="77777777" w:rsidTr="00C90203">
        <w:trPr>
          <w:trHeight w:val="20"/>
          <w:jc w:val="center"/>
        </w:trPr>
        <w:tc>
          <w:tcPr>
            <w:tcW w:w="207" w:type="pct"/>
            <w:shd w:val="clear" w:color="auto" w:fill="FFFFFF" w:themeFill="background1"/>
            <w:vAlign w:val="center"/>
          </w:tcPr>
          <w:p w14:paraId="21EE5F4D" w14:textId="77777777" w:rsidR="00074714" w:rsidRPr="00E90022" w:rsidRDefault="00074714" w:rsidP="000F4735">
            <w:pPr>
              <w:pStyle w:val="Tabletext"/>
              <w:rPr>
                <w:lang w:val="es-ES" w:eastAsia="zh-CN"/>
              </w:rPr>
            </w:pPr>
            <w:r w:rsidRPr="00E90022">
              <w:rPr>
                <w:lang w:val="es-ES" w:eastAsia="zh-CN"/>
              </w:rPr>
              <w:t>17</w:t>
            </w:r>
          </w:p>
        </w:tc>
        <w:tc>
          <w:tcPr>
            <w:tcW w:w="523" w:type="pct"/>
            <w:shd w:val="clear" w:color="auto" w:fill="FFFFFF" w:themeFill="background1"/>
            <w:vAlign w:val="center"/>
          </w:tcPr>
          <w:p w14:paraId="50CAE2EA" w14:textId="798153AB" w:rsidR="00074714" w:rsidRPr="00E90022" w:rsidRDefault="00927997" w:rsidP="000F4735">
            <w:pPr>
              <w:pStyle w:val="Tabletext"/>
              <w:rPr>
                <w:szCs w:val="22"/>
                <w:lang w:val="es-ES"/>
              </w:rPr>
            </w:pPr>
            <w:r w:rsidRPr="00E90022">
              <w:rPr>
                <w:szCs w:val="22"/>
                <w:lang w:val="es-ES"/>
              </w:rPr>
              <w:t>Datos y presentación de informes</w:t>
            </w:r>
          </w:p>
        </w:tc>
        <w:tc>
          <w:tcPr>
            <w:tcW w:w="1759" w:type="pct"/>
            <w:shd w:val="clear" w:color="auto" w:fill="FFFFFF" w:themeFill="background1"/>
            <w:vAlign w:val="center"/>
          </w:tcPr>
          <w:p w14:paraId="127011F6" w14:textId="04D62C37"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FE7578" w:rsidRPr="00E90022">
              <w:rPr>
                <w:lang w:val="es-ES"/>
              </w:rPr>
              <w:t>Acceso</w:t>
            </w:r>
            <w:r w:rsidR="00FE7578" w:rsidRPr="00E90022">
              <w:rPr>
                <w:lang w:val="es-ES" w:eastAsia="zh-CN"/>
              </w:rPr>
              <w:t xml:space="preserve"> al tablero de análisis de los recursos humanos</w:t>
            </w:r>
            <w:r w:rsidR="004C3A95" w:rsidRPr="00E90022">
              <w:rPr>
                <w:lang w:val="es-ES" w:eastAsia="zh-CN"/>
              </w:rPr>
              <w:t>.</w:t>
            </w:r>
          </w:p>
        </w:tc>
        <w:tc>
          <w:tcPr>
            <w:tcW w:w="2511" w:type="pct"/>
            <w:vAlign w:val="center"/>
          </w:tcPr>
          <w:p w14:paraId="706DD3DF" w14:textId="5CCE9404" w:rsidR="00074714" w:rsidRPr="00E90022" w:rsidRDefault="00721746" w:rsidP="000F4735">
            <w:pPr>
              <w:pStyle w:val="Tabletext"/>
              <w:rPr>
                <w:rFonts w:eastAsia="Malgun Gothic"/>
                <w:lang w:val="es-ES" w:eastAsia="ko-KR"/>
              </w:rPr>
            </w:pPr>
            <w:r w:rsidRPr="00E90022">
              <w:rPr>
                <w:lang w:val="es-ES" w:eastAsia="zh-CN"/>
              </w:rPr>
              <w:t>Todos los miembros del personal y los Estados Miembros con cuenta TIES tienen acceso a este tablero</w:t>
            </w:r>
            <w:r w:rsidR="00074714" w:rsidRPr="00E90022">
              <w:rPr>
                <w:lang w:val="es-ES" w:eastAsia="zh-CN"/>
              </w:rPr>
              <w:t>.</w:t>
            </w:r>
          </w:p>
        </w:tc>
      </w:tr>
      <w:tr w:rsidR="00074714" w:rsidRPr="00C92D1F" w14:paraId="6BD6BFBF" w14:textId="77777777" w:rsidTr="00C90203">
        <w:trPr>
          <w:trHeight w:val="597"/>
          <w:jc w:val="center"/>
        </w:trPr>
        <w:tc>
          <w:tcPr>
            <w:tcW w:w="207" w:type="pct"/>
            <w:shd w:val="clear" w:color="auto" w:fill="FFFFFF" w:themeFill="background1"/>
            <w:vAlign w:val="center"/>
          </w:tcPr>
          <w:p w14:paraId="222CAF53" w14:textId="77777777" w:rsidR="00074714" w:rsidRPr="00E90022" w:rsidRDefault="00074714" w:rsidP="000F4735">
            <w:pPr>
              <w:pStyle w:val="Tabletext"/>
              <w:rPr>
                <w:lang w:val="es-ES" w:eastAsia="zh-CN"/>
              </w:rPr>
            </w:pPr>
            <w:r w:rsidRPr="00E90022">
              <w:rPr>
                <w:lang w:val="es-ES" w:eastAsia="zh-CN"/>
              </w:rPr>
              <w:t>18</w:t>
            </w:r>
          </w:p>
        </w:tc>
        <w:tc>
          <w:tcPr>
            <w:tcW w:w="523" w:type="pct"/>
            <w:shd w:val="clear" w:color="auto" w:fill="FFFFFF" w:themeFill="background1"/>
            <w:vAlign w:val="center"/>
          </w:tcPr>
          <w:p w14:paraId="274ECC6F" w14:textId="199B8A3E" w:rsidR="00074714" w:rsidRPr="00E90022" w:rsidRDefault="00927997" w:rsidP="000F4735">
            <w:pPr>
              <w:pStyle w:val="Tabletext"/>
              <w:rPr>
                <w:szCs w:val="22"/>
                <w:lang w:val="es-ES"/>
              </w:rPr>
            </w:pPr>
            <w:r w:rsidRPr="00E90022">
              <w:rPr>
                <w:szCs w:val="22"/>
                <w:lang w:val="es-ES"/>
              </w:rPr>
              <w:t>Datos y presentación de informes</w:t>
            </w:r>
          </w:p>
        </w:tc>
        <w:tc>
          <w:tcPr>
            <w:tcW w:w="1759" w:type="pct"/>
            <w:shd w:val="clear" w:color="auto" w:fill="FFFFFF" w:themeFill="background1"/>
            <w:vAlign w:val="center"/>
          </w:tcPr>
          <w:p w14:paraId="15058A87" w14:textId="276AFB78"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DF6D6B" w:rsidRPr="00E90022">
              <w:rPr>
                <w:lang w:val="es-ES"/>
              </w:rPr>
              <w:t>Porcentaje de conexiones de datos establecidas entre herramientas de presentación de informes y fuentes de datos</w:t>
            </w:r>
            <w:r w:rsidR="004C3A95" w:rsidRPr="00E90022">
              <w:rPr>
                <w:lang w:val="es-ES"/>
              </w:rPr>
              <w:t>.</w:t>
            </w:r>
          </w:p>
        </w:tc>
        <w:tc>
          <w:tcPr>
            <w:tcW w:w="2511" w:type="pct"/>
          </w:tcPr>
          <w:p w14:paraId="10A02C78" w14:textId="77E4FFDF" w:rsidR="00074714" w:rsidRPr="00E90022" w:rsidRDefault="009C3F0C" w:rsidP="000F4735">
            <w:pPr>
              <w:pStyle w:val="Tabletext"/>
              <w:rPr>
                <w:rFonts w:eastAsia="Malgun Gothic"/>
                <w:lang w:val="es-ES" w:eastAsia="ko-KR"/>
              </w:rPr>
            </w:pPr>
            <w:r w:rsidRPr="00E90022">
              <w:rPr>
                <w:lang w:val="es-ES" w:eastAsia="zh-CN"/>
              </w:rPr>
              <w:t>Conexiones de datos establecidas entre herramientas de presentación de informes y fuentes de datos: 100</w:t>
            </w:r>
            <w:r w:rsidR="00567CFD" w:rsidRPr="00E90022">
              <w:rPr>
                <w:lang w:val="es-ES" w:eastAsia="zh-CN"/>
              </w:rPr>
              <w:t> </w:t>
            </w:r>
            <w:r w:rsidRPr="00E90022">
              <w:rPr>
                <w:lang w:val="es-ES" w:eastAsia="zh-CN"/>
              </w:rPr>
              <w:t>%</w:t>
            </w:r>
            <w:r w:rsidR="00074714" w:rsidRPr="00E90022">
              <w:rPr>
                <w:rFonts w:eastAsia="Malgun Gothic"/>
                <w:lang w:val="es-ES" w:eastAsia="ko-KR"/>
              </w:rPr>
              <w:t>.</w:t>
            </w:r>
          </w:p>
        </w:tc>
      </w:tr>
      <w:tr w:rsidR="00074714" w:rsidRPr="00C92D1F" w14:paraId="098187A3" w14:textId="77777777" w:rsidTr="00C90203">
        <w:trPr>
          <w:trHeight w:val="430"/>
          <w:jc w:val="center"/>
        </w:trPr>
        <w:tc>
          <w:tcPr>
            <w:tcW w:w="207" w:type="pct"/>
            <w:shd w:val="clear" w:color="auto" w:fill="FFFFFF" w:themeFill="background1"/>
            <w:vAlign w:val="center"/>
          </w:tcPr>
          <w:p w14:paraId="2886FF85" w14:textId="77777777" w:rsidR="00074714" w:rsidRPr="00E90022" w:rsidRDefault="00074714" w:rsidP="000F4735">
            <w:pPr>
              <w:pStyle w:val="Tabletext"/>
              <w:rPr>
                <w:lang w:val="es-ES" w:eastAsia="zh-CN"/>
              </w:rPr>
            </w:pPr>
            <w:r w:rsidRPr="00E90022">
              <w:rPr>
                <w:lang w:val="es-ES" w:eastAsia="zh-CN"/>
              </w:rPr>
              <w:t>19</w:t>
            </w:r>
          </w:p>
        </w:tc>
        <w:tc>
          <w:tcPr>
            <w:tcW w:w="523" w:type="pct"/>
            <w:shd w:val="clear" w:color="auto" w:fill="FFFFFF" w:themeFill="background1"/>
            <w:vAlign w:val="center"/>
          </w:tcPr>
          <w:p w14:paraId="5E0551D4" w14:textId="24788054" w:rsidR="00074714" w:rsidRPr="00E90022" w:rsidRDefault="00927997" w:rsidP="000F4735">
            <w:pPr>
              <w:pStyle w:val="Tabletext"/>
              <w:rPr>
                <w:szCs w:val="22"/>
                <w:lang w:val="es-ES"/>
              </w:rPr>
            </w:pPr>
            <w:r w:rsidRPr="00E90022">
              <w:rPr>
                <w:szCs w:val="22"/>
                <w:lang w:val="es-ES"/>
              </w:rPr>
              <w:t>Datos y presentación de informes</w:t>
            </w:r>
          </w:p>
        </w:tc>
        <w:tc>
          <w:tcPr>
            <w:tcW w:w="1759" w:type="pct"/>
            <w:shd w:val="clear" w:color="auto" w:fill="FFFFFF" w:themeFill="background1"/>
            <w:vAlign w:val="center"/>
          </w:tcPr>
          <w:p w14:paraId="0D211AEB" w14:textId="4E3DFAFE" w:rsidR="00074714" w:rsidRPr="00E90022" w:rsidRDefault="00074714" w:rsidP="004C3A95">
            <w:pPr>
              <w:pStyle w:val="Tabletext"/>
              <w:ind w:left="284" w:hanging="284"/>
              <w:rPr>
                <w:lang w:val="es-ES"/>
              </w:rPr>
            </w:pPr>
            <w:r w:rsidRPr="00E90022">
              <w:rPr>
                <w:lang w:val="es-ES" w:bidi="en-US"/>
              </w:rPr>
              <w:t>–</w:t>
            </w:r>
            <w:r w:rsidRPr="00E90022">
              <w:rPr>
                <w:lang w:val="es-ES" w:bidi="en-US"/>
              </w:rPr>
              <w:tab/>
            </w:r>
            <w:r w:rsidR="00F932D1" w:rsidRPr="00E90022">
              <w:rPr>
                <w:lang w:val="es-ES"/>
              </w:rPr>
              <w:t>Actualización</w:t>
            </w:r>
            <w:r w:rsidR="00F932D1" w:rsidRPr="00E90022">
              <w:rPr>
                <w:lang w:val="es-ES" w:eastAsia="zh-CN"/>
              </w:rPr>
              <w:t xml:space="preserve"> de datos del seguro de salud</w:t>
            </w:r>
            <w:r w:rsidR="004C3A95" w:rsidRPr="00E90022">
              <w:rPr>
                <w:lang w:val="es-ES" w:eastAsia="zh-CN"/>
              </w:rPr>
              <w:t>.</w:t>
            </w:r>
          </w:p>
        </w:tc>
        <w:tc>
          <w:tcPr>
            <w:tcW w:w="2511" w:type="pct"/>
            <w:vAlign w:val="center"/>
          </w:tcPr>
          <w:p w14:paraId="4A12683C" w14:textId="5DB241D6" w:rsidR="00074714" w:rsidRPr="00E90022" w:rsidRDefault="00074714" w:rsidP="000F4735">
            <w:pPr>
              <w:pStyle w:val="Tabletext"/>
              <w:rPr>
                <w:lang w:val="es-ES" w:eastAsia="zh-CN"/>
              </w:rPr>
            </w:pPr>
            <w:r w:rsidRPr="00E90022">
              <w:rPr>
                <w:lang w:val="es-ES" w:eastAsia="zh-CN"/>
              </w:rPr>
              <w:t xml:space="preserve">385 </w:t>
            </w:r>
            <w:r w:rsidR="004B4F2A" w:rsidRPr="00E90022">
              <w:rPr>
                <w:lang w:val="es-ES" w:eastAsia="zh-CN"/>
              </w:rPr>
              <w:t>registros SAP de seguros de salud se revisaron y actualizaron</w:t>
            </w:r>
            <w:r w:rsidRPr="00E90022">
              <w:rPr>
                <w:lang w:val="es-ES" w:eastAsia="zh-CN"/>
              </w:rPr>
              <w:t>.</w:t>
            </w:r>
          </w:p>
          <w:p w14:paraId="3F35AED9" w14:textId="3EC0EA74" w:rsidR="00074714" w:rsidRPr="00E90022" w:rsidRDefault="00FB64B6" w:rsidP="000F4735">
            <w:pPr>
              <w:pStyle w:val="Tabletext"/>
              <w:rPr>
                <w:lang w:val="es-ES" w:eastAsia="zh-CN"/>
              </w:rPr>
            </w:pPr>
            <w:r w:rsidRPr="00E90022">
              <w:rPr>
                <w:lang w:val="es-ES" w:eastAsia="zh-CN"/>
              </w:rPr>
              <w:t>3 074 registros SAP del seguro de enfermedad se actualizaron en el marco de un ejercicio de depuración de datos finalizado en 2025</w:t>
            </w:r>
            <w:r w:rsidR="00074714" w:rsidRPr="00E90022">
              <w:rPr>
                <w:lang w:val="es-ES" w:eastAsia="zh-CN"/>
              </w:rPr>
              <w:t>.</w:t>
            </w:r>
          </w:p>
        </w:tc>
      </w:tr>
      <w:tr w:rsidR="00074714" w:rsidRPr="00C92D1F" w14:paraId="32A233C6" w14:textId="77777777" w:rsidTr="00C90203">
        <w:trPr>
          <w:trHeight w:val="20"/>
          <w:jc w:val="center"/>
        </w:trPr>
        <w:tc>
          <w:tcPr>
            <w:tcW w:w="207" w:type="pct"/>
            <w:shd w:val="clear" w:color="auto" w:fill="FFFFFF" w:themeFill="background1"/>
            <w:vAlign w:val="center"/>
          </w:tcPr>
          <w:p w14:paraId="493D32A9" w14:textId="77777777" w:rsidR="00074714" w:rsidRPr="00E90022" w:rsidRDefault="00074714" w:rsidP="000F4735">
            <w:pPr>
              <w:pStyle w:val="Tabletext"/>
              <w:rPr>
                <w:lang w:val="es-ES" w:eastAsia="zh-CN"/>
              </w:rPr>
            </w:pPr>
            <w:r w:rsidRPr="00E90022">
              <w:rPr>
                <w:lang w:val="es-ES" w:eastAsia="zh-CN"/>
              </w:rPr>
              <w:t>20</w:t>
            </w:r>
          </w:p>
        </w:tc>
        <w:tc>
          <w:tcPr>
            <w:tcW w:w="523" w:type="pct"/>
            <w:shd w:val="clear" w:color="auto" w:fill="FFFFFF" w:themeFill="background1"/>
            <w:vAlign w:val="center"/>
          </w:tcPr>
          <w:p w14:paraId="4BCD4AF2" w14:textId="79DAB488" w:rsidR="00074714" w:rsidRPr="00E90022" w:rsidRDefault="000E335E" w:rsidP="000F4735">
            <w:pPr>
              <w:pStyle w:val="Tabletext"/>
              <w:rPr>
                <w:szCs w:val="22"/>
                <w:lang w:val="es-ES"/>
              </w:rPr>
            </w:pPr>
            <w:r w:rsidRPr="00E90022">
              <w:rPr>
                <w:szCs w:val="22"/>
                <w:lang w:val="es-ES"/>
              </w:rPr>
              <w:t>Implicación y</w:t>
            </w:r>
            <w:r w:rsidR="00074714" w:rsidRPr="00E90022">
              <w:rPr>
                <w:szCs w:val="22"/>
                <w:lang w:val="es-ES" w:eastAsia="zh-CN"/>
              </w:rPr>
              <w:t xml:space="preserve"> </w:t>
            </w:r>
            <w:r w:rsidR="00074714" w:rsidRPr="00E90022">
              <w:rPr>
                <w:szCs w:val="22"/>
                <w:lang w:val="es-ES"/>
              </w:rPr>
              <w:t>cultur</w:t>
            </w:r>
            <w:r w:rsidRPr="00E90022">
              <w:rPr>
                <w:szCs w:val="22"/>
                <w:lang w:val="es-ES"/>
              </w:rPr>
              <w:t>a</w:t>
            </w:r>
          </w:p>
        </w:tc>
        <w:tc>
          <w:tcPr>
            <w:tcW w:w="1759" w:type="pct"/>
            <w:shd w:val="clear" w:color="auto" w:fill="FFFFFF" w:themeFill="background1"/>
            <w:vAlign w:val="center"/>
          </w:tcPr>
          <w:p w14:paraId="1DC0FFAE" w14:textId="3AD2B84B" w:rsidR="00074714" w:rsidRPr="00E90022" w:rsidRDefault="00074714" w:rsidP="004C3A95">
            <w:pPr>
              <w:pStyle w:val="Tabletext"/>
              <w:ind w:left="284" w:hanging="284"/>
              <w:rPr>
                <w:lang w:val="es-ES" w:eastAsia="zh-CN"/>
              </w:rPr>
            </w:pPr>
            <w:r w:rsidRPr="00E90022">
              <w:rPr>
                <w:lang w:val="es-ES" w:bidi="en-US"/>
              </w:rPr>
              <w:t>–</w:t>
            </w:r>
            <w:r w:rsidRPr="00E90022">
              <w:rPr>
                <w:lang w:val="es-ES" w:bidi="en-US"/>
              </w:rPr>
              <w:tab/>
            </w:r>
            <w:r w:rsidR="00711323" w:rsidRPr="00E90022">
              <w:rPr>
                <w:lang w:val="es-ES"/>
              </w:rPr>
              <w:t>Iniciativas de salud mental y bienestar</w:t>
            </w:r>
            <w:r w:rsidR="004C3A95" w:rsidRPr="00E90022">
              <w:rPr>
                <w:lang w:val="es-ES"/>
              </w:rPr>
              <w:t>.</w:t>
            </w:r>
          </w:p>
        </w:tc>
        <w:tc>
          <w:tcPr>
            <w:tcW w:w="2511" w:type="pct"/>
            <w:vAlign w:val="center"/>
          </w:tcPr>
          <w:p w14:paraId="1EE747A4" w14:textId="1E32B862" w:rsidR="0066413E" w:rsidRPr="00E90022" w:rsidRDefault="0066413E" w:rsidP="000F4735">
            <w:pPr>
              <w:pStyle w:val="Tabletext"/>
              <w:rPr>
                <w:lang w:val="es-ES" w:eastAsia="zh-CN"/>
              </w:rPr>
            </w:pPr>
            <w:r w:rsidRPr="00E90022">
              <w:rPr>
                <w:lang w:val="es-ES" w:eastAsia="zh-CN"/>
              </w:rPr>
              <w:t xml:space="preserve">Sesiones de atención plena y bienestar para el personal de la sede y sobre el terreno, </w:t>
            </w:r>
            <w:r w:rsidR="001F5BEC" w:rsidRPr="00E90022">
              <w:rPr>
                <w:lang w:val="es-ES" w:eastAsia="zh-CN"/>
              </w:rPr>
              <w:t>en particular sobre</w:t>
            </w:r>
            <w:r w:rsidRPr="00E90022">
              <w:rPr>
                <w:lang w:val="es-ES" w:eastAsia="zh-CN"/>
              </w:rPr>
              <w:t xml:space="preserve"> la gestión del estrés</w:t>
            </w:r>
            <w:r w:rsidR="001F5BEC" w:rsidRPr="00E90022">
              <w:rPr>
                <w:lang w:val="es-ES" w:eastAsia="zh-CN"/>
              </w:rPr>
              <w:t>, y</w:t>
            </w:r>
            <w:r w:rsidRPr="00E90022">
              <w:rPr>
                <w:lang w:val="es-ES" w:eastAsia="zh-CN"/>
              </w:rPr>
              <w:t xml:space="preserve"> recursos en línea (por ejemplo, una lista de reproducción sobre bienestar).</w:t>
            </w:r>
          </w:p>
          <w:p w14:paraId="29B41068" w14:textId="366913AB" w:rsidR="0066413E" w:rsidRPr="00E90022" w:rsidRDefault="0066413E" w:rsidP="000F4735">
            <w:pPr>
              <w:pStyle w:val="Tabletext"/>
              <w:rPr>
                <w:lang w:val="es-ES" w:eastAsia="zh-CN"/>
              </w:rPr>
            </w:pPr>
            <w:r w:rsidRPr="00E90022">
              <w:rPr>
                <w:lang w:val="es-ES" w:eastAsia="zh-CN"/>
              </w:rPr>
              <w:t xml:space="preserve">Acceso a asesoramiento confidencial, con 206 sesiones individuales en 2025 y mejores vías de </w:t>
            </w:r>
            <w:r w:rsidR="00F57900" w:rsidRPr="00E90022">
              <w:rPr>
                <w:lang w:val="es-ES" w:eastAsia="zh-CN"/>
              </w:rPr>
              <w:t>orientación</w:t>
            </w:r>
            <w:r w:rsidRPr="00E90022">
              <w:rPr>
                <w:lang w:val="es-ES" w:eastAsia="zh-CN"/>
              </w:rPr>
              <w:t>.</w:t>
            </w:r>
          </w:p>
          <w:p w14:paraId="7BE6379A" w14:textId="1E392205" w:rsidR="0066413E" w:rsidRPr="00E90022" w:rsidRDefault="0066413E" w:rsidP="000F4735">
            <w:pPr>
              <w:pStyle w:val="Tabletext"/>
              <w:rPr>
                <w:lang w:val="es-ES" w:eastAsia="zh-CN"/>
              </w:rPr>
            </w:pPr>
            <w:r w:rsidRPr="00E90022">
              <w:rPr>
                <w:lang w:val="es-ES" w:eastAsia="zh-CN"/>
              </w:rPr>
              <w:t xml:space="preserve">Función de </w:t>
            </w:r>
            <w:r w:rsidR="003878E5" w:rsidRPr="00E90022">
              <w:rPr>
                <w:lang w:val="es-ES" w:eastAsia="zh-CN"/>
              </w:rPr>
              <w:t>ómbudsman</w:t>
            </w:r>
            <w:r w:rsidRPr="00E90022">
              <w:rPr>
                <w:lang w:val="es-ES" w:eastAsia="zh-CN"/>
              </w:rPr>
              <w:t xml:space="preserve"> compartida</w:t>
            </w:r>
            <w:r w:rsidR="000E335E" w:rsidRPr="00E90022">
              <w:rPr>
                <w:lang w:val="es-ES" w:eastAsia="zh-CN"/>
              </w:rPr>
              <w:t>,</w:t>
            </w:r>
            <w:r w:rsidRPr="00E90022">
              <w:rPr>
                <w:lang w:val="es-ES" w:eastAsia="zh-CN"/>
              </w:rPr>
              <w:t xml:space="preserve"> establecida en enero de 2026.</w:t>
            </w:r>
          </w:p>
          <w:p w14:paraId="7BCAEAE4" w14:textId="24D1BF72" w:rsidR="00074714" w:rsidRPr="00E90022" w:rsidRDefault="0066413E" w:rsidP="000F4735">
            <w:pPr>
              <w:pStyle w:val="Tabletext"/>
              <w:rPr>
                <w:lang w:val="es-ES" w:eastAsia="zh-CN"/>
              </w:rPr>
            </w:pPr>
            <w:r w:rsidRPr="00E90022">
              <w:rPr>
                <w:lang w:val="es-ES" w:eastAsia="zh-CN"/>
              </w:rPr>
              <w:t>Sesiones de formación sobre microagresiones, prejuicios inconscientes y liderazgo inclusivo, etc.</w:t>
            </w:r>
          </w:p>
        </w:tc>
      </w:tr>
    </w:tbl>
    <w:p w14:paraId="23884A19" w14:textId="77777777" w:rsidR="00F92BED" w:rsidRPr="00E90022" w:rsidRDefault="00F92BED" w:rsidP="00F92BED">
      <w:pPr>
        <w:jc w:val="center"/>
        <w:rPr>
          <w:lang w:val="es-ES"/>
        </w:rPr>
      </w:pPr>
      <w:r w:rsidRPr="00E90022">
        <w:rPr>
          <w:lang w:val="es-ES"/>
        </w:rPr>
        <w:t>______________</w:t>
      </w:r>
    </w:p>
    <w:sectPr w:rsidR="00F92BED" w:rsidRPr="00E90022" w:rsidSect="002D0B73">
      <w:footerReference w:type="default" r:id="rId15"/>
      <w:headerReference w:type="first" r:id="rId16"/>
      <w:footerReference w:type="first" r:id="rId17"/>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6817" w14:textId="77777777" w:rsidR="00386C73" w:rsidRDefault="00386C73">
      <w:r>
        <w:separator/>
      </w:r>
    </w:p>
  </w:endnote>
  <w:endnote w:type="continuationSeparator" w:id="0">
    <w:p w14:paraId="6380547F" w14:textId="77777777" w:rsidR="00386C73" w:rsidRDefault="0038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2E97E1D" w14:textId="77777777" w:rsidTr="00E31DCE">
      <w:trPr>
        <w:jc w:val="center"/>
      </w:trPr>
      <w:tc>
        <w:tcPr>
          <w:tcW w:w="1803" w:type="dxa"/>
          <w:vAlign w:val="center"/>
        </w:tcPr>
        <w:p w14:paraId="158995DB" w14:textId="5E428E3D" w:rsidR="003273A4" w:rsidRDefault="00616D19" w:rsidP="003273A4">
          <w:pPr>
            <w:pStyle w:val="Header"/>
            <w:jc w:val="left"/>
            <w:rPr>
              <w:noProof/>
            </w:rPr>
          </w:pPr>
          <w:r>
            <w:rPr>
              <w:noProof/>
            </w:rPr>
            <w:t>2600751</w:t>
          </w:r>
        </w:p>
      </w:tc>
      <w:tc>
        <w:tcPr>
          <w:tcW w:w="8261" w:type="dxa"/>
        </w:tcPr>
        <w:p w14:paraId="5A46A309" w14:textId="57A5AAF6"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616D19">
            <w:rPr>
              <w:bCs/>
            </w:rPr>
            <w:t>66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2980351"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22DE02C" w14:textId="77777777" w:rsidTr="00E31DCE">
      <w:trPr>
        <w:jc w:val="center"/>
      </w:trPr>
      <w:tc>
        <w:tcPr>
          <w:tcW w:w="1803" w:type="dxa"/>
          <w:vAlign w:val="center"/>
        </w:tcPr>
        <w:p w14:paraId="170F88F3"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4A058E38" w14:textId="0B4EA6CA"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B861C8">
            <w:rPr>
              <w:bCs/>
            </w:rPr>
            <w:t>66</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44FDCC0E" w14:textId="77777777" w:rsidR="00760F1C" w:rsidRPr="00F24B71" w:rsidRDefault="00760F1C" w:rsidP="00F24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8261"/>
    </w:tblGrid>
    <w:tr w:rsidR="008C2CAB" w:rsidRPr="00784011" w14:paraId="6E1E934F" w14:textId="77777777" w:rsidTr="008C2CAB">
      <w:trPr>
        <w:jc w:val="center"/>
      </w:trPr>
      <w:tc>
        <w:tcPr>
          <w:tcW w:w="5772" w:type="dxa"/>
          <w:vAlign w:val="center"/>
        </w:tcPr>
        <w:p w14:paraId="0D693F80" w14:textId="77777777" w:rsidR="008C2CAB" w:rsidRDefault="008C2CAB" w:rsidP="003273A4">
          <w:pPr>
            <w:pStyle w:val="Header"/>
            <w:jc w:val="left"/>
            <w:rPr>
              <w:noProof/>
            </w:rPr>
          </w:pPr>
          <w:r>
            <w:rPr>
              <w:noProof/>
            </w:rPr>
            <w:t>2600751</w:t>
          </w:r>
        </w:p>
      </w:tc>
      <w:tc>
        <w:tcPr>
          <w:tcW w:w="8261" w:type="dxa"/>
        </w:tcPr>
        <w:p w14:paraId="19B5CA4C" w14:textId="77777777" w:rsidR="008C2CAB" w:rsidRPr="00E06FD5" w:rsidRDefault="008C2CAB"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66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6062567" w14:textId="77777777" w:rsidR="008C2CAB" w:rsidRPr="003273A4" w:rsidRDefault="008C2CAB" w:rsidP="003273A4">
    <w:pPr>
      <w:pStyle w:val="Footer"/>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8261"/>
    </w:tblGrid>
    <w:tr w:rsidR="008C2CAB" w:rsidRPr="00784011" w14:paraId="7A3C514B" w14:textId="77777777" w:rsidTr="008C2CAB">
      <w:trPr>
        <w:jc w:val="center"/>
      </w:trPr>
      <w:tc>
        <w:tcPr>
          <w:tcW w:w="5772" w:type="dxa"/>
          <w:vAlign w:val="center"/>
        </w:tcPr>
        <w:p w14:paraId="0F41AFA1" w14:textId="77777777" w:rsidR="008C2CAB" w:rsidRDefault="008C2CAB" w:rsidP="008C2CAB">
          <w:pPr>
            <w:pStyle w:val="Header"/>
            <w:jc w:val="left"/>
            <w:rPr>
              <w:noProof/>
            </w:rPr>
          </w:pPr>
          <w:r>
            <w:rPr>
              <w:noProof/>
            </w:rPr>
            <w:t>2600751</w:t>
          </w:r>
        </w:p>
      </w:tc>
      <w:tc>
        <w:tcPr>
          <w:tcW w:w="8261" w:type="dxa"/>
        </w:tcPr>
        <w:p w14:paraId="65FB7174" w14:textId="77777777" w:rsidR="008C2CAB" w:rsidRPr="00E06FD5" w:rsidRDefault="008C2CAB" w:rsidP="008C2CAB">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66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DED5CFD" w14:textId="77777777" w:rsidR="008C2CAB" w:rsidRPr="00F24B71" w:rsidRDefault="008C2CAB"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F5B0" w14:textId="77777777" w:rsidR="00386C73" w:rsidRDefault="00386C73">
      <w:r>
        <w:t>____________________</w:t>
      </w:r>
    </w:p>
  </w:footnote>
  <w:footnote w:type="continuationSeparator" w:id="0">
    <w:p w14:paraId="4B39ACA7" w14:textId="77777777" w:rsidR="00386C73" w:rsidRDefault="00386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D449" w14:textId="77777777" w:rsidR="001559F5" w:rsidRPr="00B1560D" w:rsidRDefault="00B1560D" w:rsidP="00B1560D">
    <w:pPr>
      <w:pStyle w:val="Header"/>
    </w:pPr>
    <w:r>
      <w:rPr>
        <w:noProof/>
      </w:rPr>
      <w:drawing>
        <wp:inline distT="0" distB="0" distL="0" distR="0" wp14:anchorId="52040D1C" wp14:editId="0077B98D">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6512" w14:textId="0C38E1C6" w:rsidR="001D5FCF" w:rsidRPr="00B1560D" w:rsidRDefault="001D5FCF" w:rsidP="00B15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C774B"/>
    <w:multiLevelType w:val="hybridMultilevel"/>
    <w:tmpl w:val="2AF8AFA2"/>
    <w:lvl w:ilvl="0" w:tplc="7CC63722">
      <w:start w:val="1"/>
      <w:numFmt w:val="bullet"/>
      <w:lvlText w:val=""/>
      <w:lvlJc w:val="left"/>
      <w:pPr>
        <w:ind w:left="360" w:hanging="360"/>
      </w:pPr>
      <w:rPr>
        <w:rFonts w:ascii="Symbol" w:hAnsi="Symbol" w:hint="default"/>
      </w:rPr>
    </w:lvl>
    <w:lvl w:ilvl="1" w:tplc="7F82FB58">
      <w:start w:val="1"/>
      <w:numFmt w:val="bullet"/>
      <w:lvlText w:val="o"/>
      <w:lvlJc w:val="left"/>
      <w:pPr>
        <w:ind w:left="1080" w:hanging="360"/>
      </w:pPr>
      <w:rPr>
        <w:rFonts w:ascii="Courier New" w:hAnsi="Courier New" w:hint="default"/>
      </w:rPr>
    </w:lvl>
    <w:lvl w:ilvl="2" w:tplc="04324E0A">
      <w:start w:val="1"/>
      <w:numFmt w:val="bullet"/>
      <w:lvlText w:val=""/>
      <w:lvlJc w:val="left"/>
      <w:pPr>
        <w:ind w:left="1800" w:hanging="360"/>
      </w:pPr>
      <w:rPr>
        <w:rFonts w:ascii="Wingdings" w:hAnsi="Wingdings" w:hint="default"/>
      </w:rPr>
    </w:lvl>
    <w:lvl w:ilvl="3" w:tplc="4B8215FC">
      <w:start w:val="1"/>
      <w:numFmt w:val="bullet"/>
      <w:lvlText w:val=""/>
      <w:lvlJc w:val="left"/>
      <w:pPr>
        <w:ind w:left="2520" w:hanging="360"/>
      </w:pPr>
      <w:rPr>
        <w:rFonts w:ascii="Symbol" w:hAnsi="Symbol" w:hint="default"/>
      </w:rPr>
    </w:lvl>
    <w:lvl w:ilvl="4" w:tplc="CEE0EB60">
      <w:start w:val="1"/>
      <w:numFmt w:val="bullet"/>
      <w:lvlText w:val="o"/>
      <w:lvlJc w:val="left"/>
      <w:pPr>
        <w:ind w:left="3240" w:hanging="360"/>
      </w:pPr>
      <w:rPr>
        <w:rFonts w:ascii="Courier New" w:hAnsi="Courier New" w:hint="default"/>
      </w:rPr>
    </w:lvl>
    <w:lvl w:ilvl="5" w:tplc="7152BB98">
      <w:start w:val="1"/>
      <w:numFmt w:val="bullet"/>
      <w:lvlText w:val=""/>
      <w:lvlJc w:val="left"/>
      <w:pPr>
        <w:ind w:left="3960" w:hanging="360"/>
      </w:pPr>
      <w:rPr>
        <w:rFonts w:ascii="Wingdings" w:hAnsi="Wingdings" w:hint="default"/>
      </w:rPr>
    </w:lvl>
    <w:lvl w:ilvl="6" w:tplc="44CA726E">
      <w:start w:val="1"/>
      <w:numFmt w:val="bullet"/>
      <w:lvlText w:val=""/>
      <w:lvlJc w:val="left"/>
      <w:pPr>
        <w:ind w:left="4680" w:hanging="360"/>
      </w:pPr>
      <w:rPr>
        <w:rFonts w:ascii="Symbol" w:hAnsi="Symbol" w:hint="default"/>
      </w:rPr>
    </w:lvl>
    <w:lvl w:ilvl="7" w:tplc="5A4471C4">
      <w:start w:val="1"/>
      <w:numFmt w:val="bullet"/>
      <w:lvlText w:val="o"/>
      <w:lvlJc w:val="left"/>
      <w:pPr>
        <w:ind w:left="5400" w:hanging="360"/>
      </w:pPr>
      <w:rPr>
        <w:rFonts w:ascii="Courier New" w:hAnsi="Courier New" w:hint="default"/>
      </w:rPr>
    </w:lvl>
    <w:lvl w:ilvl="8" w:tplc="E46C8380">
      <w:start w:val="1"/>
      <w:numFmt w:val="bullet"/>
      <w:lvlText w:val=""/>
      <w:lvlJc w:val="left"/>
      <w:pPr>
        <w:ind w:left="6120" w:hanging="360"/>
      </w:pPr>
      <w:rPr>
        <w:rFonts w:ascii="Wingdings" w:hAnsi="Wingdings" w:hint="default"/>
      </w:rPr>
    </w:lvl>
  </w:abstractNum>
  <w:num w:numId="1" w16cid:durableId="81260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64"/>
    <w:rsid w:val="0000041D"/>
    <w:rsid w:val="000007D1"/>
    <w:rsid w:val="00000823"/>
    <w:rsid w:val="00001F8C"/>
    <w:rsid w:val="00007B87"/>
    <w:rsid w:val="00026E6C"/>
    <w:rsid w:val="00031798"/>
    <w:rsid w:val="000347CC"/>
    <w:rsid w:val="00035E8B"/>
    <w:rsid w:val="0004003C"/>
    <w:rsid w:val="00040C9D"/>
    <w:rsid w:val="00041A30"/>
    <w:rsid w:val="00045462"/>
    <w:rsid w:val="00047D5D"/>
    <w:rsid w:val="00050436"/>
    <w:rsid w:val="00053213"/>
    <w:rsid w:val="0006007D"/>
    <w:rsid w:val="000624E1"/>
    <w:rsid w:val="00064F2A"/>
    <w:rsid w:val="000665D9"/>
    <w:rsid w:val="00070A50"/>
    <w:rsid w:val="00074714"/>
    <w:rsid w:val="00080511"/>
    <w:rsid w:val="00081EE5"/>
    <w:rsid w:val="000912C1"/>
    <w:rsid w:val="00091B66"/>
    <w:rsid w:val="000920FE"/>
    <w:rsid w:val="00092BF9"/>
    <w:rsid w:val="00093EEB"/>
    <w:rsid w:val="000A696E"/>
    <w:rsid w:val="000B0D00"/>
    <w:rsid w:val="000B11A6"/>
    <w:rsid w:val="000B4A94"/>
    <w:rsid w:val="000B7C15"/>
    <w:rsid w:val="000C25FA"/>
    <w:rsid w:val="000D1D0F"/>
    <w:rsid w:val="000E335E"/>
    <w:rsid w:val="000E3F07"/>
    <w:rsid w:val="000F4735"/>
    <w:rsid w:val="000F5290"/>
    <w:rsid w:val="000F5A95"/>
    <w:rsid w:val="0010165C"/>
    <w:rsid w:val="0010230C"/>
    <w:rsid w:val="00102370"/>
    <w:rsid w:val="00122335"/>
    <w:rsid w:val="0012320D"/>
    <w:rsid w:val="00125006"/>
    <w:rsid w:val="00146BFB"/>
    <w:rsid w:val="00151F61"/>
    <w:rsid w:val="001559F5"/>
    <w:rsid w:val="00157AC4"/>
    <w:rsid w:val="0016169C"/>
    <w:rsid w:val="00172DA3"/>
    <w:rsid w:val="00173EC3"/>
    <w:rsid w:val="00182AC7"/>
    <w:rsid w:val="001958F5"/>
    <w:rsid w:val="00197207"/>
    <w:rsid w:val="00197786"/>
    <w:rsid w:val="001A2500"/>
    <w:rsid w:val="001B21DE"/>
    <w:rsid w:val="001B6D3C"/>
    <w:rsid w:val="001B6E2B"/>
    <w:rsid w:val="001D5FCF"/>
    <w:rsid w:val="001E21A0"/>
    <w:rsid w:val="001F0109"/>
    <w:rsid w:val="001F14A2"/>
    <w:rsid w:val="001F5BEC"/>
    <w:rsid w:val="001F5F2A"/>
    <w:rsid w:val="001F682C"/>
    <w:rsid w:val="00211ED0"/>
    <w:rsid w:val="00213E75"/>
    <w:rsid w:val="002252B6"/>
    <w:rsid w:val="002370C6"/>
    <w:rsid w:val="00240D8E"/>
    <w:rsid w:val="00262DA7"/>
    <w:rsid w:val="00273ED8"/>
    <w:rsid w:val="00277DEA"/>
    <w:rsid w:val="002801AA"/>
    <w:rsid w:val="00282291"/>
    <w:rsid w:val="00290F59"/>
    <w:rsid w:val="002946E2"/>
    <w:rsid w:val="002979FC"/>
    <w:rsid w:val="002A7024"/>
    <w:rsid w:val="002B0036"/>
    <w:rsid w:val="002B571B"/>
    <w:rsid w:val="002B6724"/>
    <w:rsid w:val="002C12C5"/>
    <w:rsid w:val="002C3F32"/>
    <w:rsid w:val="002C4676"/>
    <w:rsid w:val="002C4B1E"/>
    <w:rsid w:val="002C70B0"/>
    <w:rsid w:val="002D0B73"/>
    <w:rsid w:val="002E09F8"/>
    <w:rsid w:val="002F3CC4"/>
    <w:rsid w:val="002F3FF5"/>
    <w:rsid w:val="002F61B2"/>
    <w:rsid w:val="003032E2"/>
    <w:rsid w:val="003111DC"/>
    <w:rsid w:val="0031300A"/>
    <w:rsid w:val="00315C56"/>
    <w:rsid w:val="00320213"/>
    <w:rsid w:val="003273A4"/>
    <w:rsid w:val="0033135B"/>
    <w:rsid w:val="003325D8"/>
    <w:rsid w:val="00345552"/>
    <w:rsid w:val="0034796E"/>
    <w:rsid w:val="003549A4"/>
    <w:rsid w:val="00356686"/>
    <w:rsid w:val="00361FEA"/>
    <w:rsid w:val="00370A27"/>
    <w:rsid w:val="00373379"/>
    <w:rsid w:val="00373C27"/>
    <w:rsid w:val="0037669A"/>
    <w:rsid w:val="00377278"/>
    <w:rsid w:val="00380F60"/>
    <w:rsid w:val="00381F11"/>
    <w:rsid w:val="003838D0"/>
    <w:rsid w:val="00386C73"/>
    <w:rsid w:val="003878E5"/>
    <w:rsid w:val="00387D64"/>
    <w:rsid w:val="003970B2"/>
    <w:rsid w:val="003B3651"/>
    <w:rsid w:val="003C1A9D"/>
    <w:rsid w:val="003D2993"/>
    <w:rsid w:val="003E463D"/>
    <w:rsid w:val="003E5224"/>
    <w:rsid w:val="003F7A37"/>
    <w:rsid w:val="0040111A"/>
    <w:rsid w:val="00420775"/>
    <w:rsid w:val="00422A5A"/>
    <w:rsid w:val="00430803"/>
    <w:rsid w:val="0044694F"/>
    <w:rsid w:val="00454419"/>
    <w:rsid w:val="004571B0"/>
    <w:rsid w:val="00462CF6"/>
    <w:rsid w:val="00463D85"/>
    <w:rsid w:val="00465C35"/>
    <w:rsid w:val="00473962"/>
    <w:rsid w:val="00487177"/>
    <w:rsid w:val="00496F37"/>
    <w:rsid w:val="004A030B"/>
    <w:rsid w:val="004A3C1D"/>
    <w:rsid w:val="004A51A1"/>
    <w:rsid w:val="004B3775"/>
    <w:rsid w:val="004B4F2A"/>
    <w:rsid w:val="004B5D49"/>
    <w:rsid w:val="004C0909"/>
    <w:rsid w:val="004C3A95"/>
    <w:rsid w:val="004D3A3C"/>
    <w:rsid w:val="004D528B"/>
    <w:rsid w:val="004E66B7"/>
    <w:rsid w:val="004F052B"/>
    <w:rsid w:val="00503B73"/>
    <w:rsid w:val="00504B66"/>
    <w:rsid w:val="00504F09"/>
    <w:rsid w:val="005057E6"/>
    <w:rsid w:val="00506D04"/>
    <w:rsid w:val="00513630"/>
    <w:rsid w:val="005269F4"/>
    <w:rsid w:val="0053623E"/>
    <w:rsid w:val="0054394A"/>
    <w:rsid w:val="005527F6"/>
    <w:rsid w:val="00560125"/>
    <w:rsid w:val="00560D80"/>
    <w:rsid w:val="00562380"/>
    <w:rsid w:val="00565E38"/>
    <w:rsid w:val="00567CFD"/>
    <w:rsid w:val="00580F81"/>
    <w:rsid w:val="00582F05"/>
    <w:rsid w:val="00583B0F"/>
    <w:rsid w:val="00585553"/>
    <w:rsid w:val="005873CA"/>
    <w:rsid w:val="005A3224"/>
    <w:rsid w:val="005A4B17"/>
    <w:rsid w:val="005B2727"/>
    <w:rsid w:val="005B34D9"/>
    <w:rsid w:val="005D0CCF"/>
    <w:rsid w:val="005D5462"/>
    <w:rsid w:val="005E6F1F"/>
    <w:rsid w:val="005F0915"/>
    <w:rsid w:val="005F128B"/>
    <w:rsid w:val="005F3BCB"/>
    <w:rsid w:val="005F410F"/>
    <w:rsid w:val="005F7370"/>
    <w:rsid w:val="0060149A"/>
    <w:rsid w:val="006015BB"/>
    <w:rsid w:val="00601924"/>
    <w:rsid w:val="00601AF1"/>
    <w:rsid w:val="00606358"/>
    <w:rsid w:val="0061341B"/>
    <w:rsid w:val="00613739"/>
    <w:rsid w:val="00616D19"/>
    <w:rsid w:val="006300F2"/>
    <w:rsid w:val="00630734"/>
    <w:rsid w:val="00630D82"/>
    <w:rsid w:val="00644747"/>
    <w:rsid w:val="006447EA"/>
    <w:rsid w:val="0064481D"/>
    <w:rsid w:val="0064731F"/>
    <w:rsid w:val="0066413E"/>
    <w:rsid w:val="00664572"/>
    <w:rsid w:val="00666D09"/>
    <w:rsid w:val="00670579"/>
    <w:rsid w:val="006710F6"/>
    <w:rsid w:val="00677A97"/>
    <w:rsid w:val="00687F57"/>
    <w:rsid w:val="0069224D"/>
    <w:rsid w:val="00694CDA"/>
    <w:rsid w:val="0069500C"/>
    <w:rsid w:val="0069781F"/>
    <w:rsid w:val="006C1639"/>
    <w:rsid w:val="006C1B56"/>
    <w:rsid w:val="006C6F63"/>
    <w:rsid w:val="006D4761"/>
    <w:rsid w:val="006D6ECF"/>
    <w:rsid w:val="006E7AC8"/>
    <w:rsid w:val="006F0559"/>
    <w:rsid w:val="006F173C"/>
    <w:rsid w:val="006F2065"/>
    <w:rsid w:val="006F2D1B"/>
    <w:rsid w:val="006F77F6"/>
    <w:rsid w:val="00702C9B"/>
    <w:rsid w:val="007031D7"/>
    <w:rsid w:val="00711323"/>
    <w:rsid w:val="007174EB"/>
    <w:rsid w:val="00721746"/>
    <w:rsid w:val="00726872"/>
    <w:rsid w:val="00740710"/>
    <w:rsid w:val="0074384E"/>
    <w:rsid w:val="00746F64"/>
    <w:rsid w:val="00754803"/>
    <w:rsid w:val="00760F1C"/>
    <w:rsid w:val="007623F7"/>
    <w:rsid w:val="0076423C"/>
    <w:rsid w:val="007657F0"/>
    <w:rsid w:val="0077110E"/>
    <w:rsid w:val="0077252D"/>
    <w:rsid w:val="00773625"/>
    <w:rsid w:val="00774128"/>
    <w:rsid w:val="00782027"/>
    <w:rsid w:val="00785467"/>
    <w:rsid w:val="007955DA"/>
    <w:rsid w:val="007A0319"/>
    <w:rsid w:val="007A4E89"/>
    <w:rsid w:val="007B5626"/>
    <w:rsid w:val="007C1BAF"/>
    <w:rsid w:val="007C2AE0"/>
    <w:rsid w:val="007C4A70"/>
    <w:rsid w:val="007D1670"/>
    <w:rsid w:val="007E5DD3"/>
    <w:rsid w:val="007F044A"/>
    <w:rsid w:val="007F1D81"/>
    <w:rsid w:val="007F350B"/>
    <w:rsid w:val="007F4C42"/>
    <w:rsid w:val="00806342"/>
    <w:rsid w:val="00813063"/>
    <w:rsid w:val="008155A8"/>
    <w:rsid w:val="00816784"/>
    <w:rsid w:val="00820BE4"/>
    <w:rsid w:val="00820C75"/>
    <w:rsid w:val="00822B37"/>
    <w:rsid w:val="008451E8"/>
    <w:rsid w:val="0084546D"/>
    <w:rsid w:val="0085639B"/>
    <w:rsid w:val="00860291"/>
    <w:rsid w:val="00865020"/>
    <w:rsid w:val="008711C8"/>
    <w:rsid w:val="00875D90"/>
    <w:rsid w:val="008817B1"/>
    <w:rsid w:val="008877F7"/>
    <w:rsid w:val="00891EC3"/>
    <w:rsid w:val="008B2204"/>
    <w:rsid w:val="008B51F8"/>
    <w:rsid w:val="008B5B94"/>
    <w:rsid w:val="008C04C8"/>
    <w:rsid w:val="008C2CAB"/>
    <w:rsid w:val="008E0710"/>
    <w:rsid w:val="008E79D0"/>
    <w:rsid w:val="008F6ABC"/>
    <w:rsid w:val="00901C3C"/>
    <w:rsid w:val="00912325"/>
    <w:rsid w:val="00913B9C"/>
    <w:rsid w:val="00925A16"/>
    <w:rsid w:val="009274E5"/>
    <w:rsid w:val="00927997"/>
    <w:rsid w:val="00927F93"/>
    <w:rsid w:val="00932EC3"/>
    <w:rsid w:val="00953992"/>
    <w:rsid w:val="00956E77"/>
    <w:rsid w:val="00965889"/>
    <w:rsid w:val="0097232C"/>
    <w:rsid w:val="009849D9"/>
    <w:rsid w:val="00987ED6"/>
    <w:rsid w:val="00994078"/>
    <w:rsid w:val="009956D9"/>
    <w:rsid w:val="00997E71"/>
    <w:rsid w:val="009A1B54"/>
    <w:rsid w:val="009A338E"/>
    <w:rsid w:val="009A76A8"/>
    <w:rsid w:val="009B0074"/>
    <w:rsid w:val="009B2023"/>
    <w:rsid w:val="009B47B0"/>
    <w:rsid w:val="009B6B4C"/>
    <w:rsid w:val="009C1088"/>
    <w:rsid w:val="009C3F0C"/>
    <w:rsid w:val="009D168D"/>
    <w:rsid w:val="009D2B87"/>
    <w:rsid w:val="009D35E4"/>
    <w:rsid w:val="009E1AA5"/>
    <w:rsid w:val="009E660F"/>
    <w:rsid w:val="009F4811"/>
    <w:rsid w:val="00A01F4F"/>
    <w:rsid w:val="00A109AF"/>
    <w:rsid w:val="00A20F7D"/>
    <w:rsid w:val="00A260C1"/>
    <w:rsid w:val="00A34C96"/>
    <w:rsid w:val="00A5382F"/>
    <w:rsid w:val="00A75FA1"/>
    <w:rsid w:val="00A777A1"/>
    <w:rsid w:val="00A82783"/>
    <w:rsid w:val="00A83576"/>
    <w:rsid w:val="00A83DE5"/>
    <w:rsid w:val="00A9108B"/>
    <w:rsid w:val="00A91B0A"/>
    <w:rsid w:val="00A92308"/>
    <w:rsid w:val="00A9314F"/>
    <w:rsid w:val="00A94438"/>
    <w:rsid w:val="00A95818"/>
    <w:rsid w:val="00AA390C"/>
    <w:rsid w:val="00AA6C19"/>
    <w:rsid w:val="00AB0159"/>
    <w:rsid w:val="00AB1C7E"/>
    <w:rsid w:val="00AC1543"/>
    <w:rsid w:val="00AD2E1C"/>
    <w:rsid w:val="00AD5A4D"/>
    <w:rsid w:val="00AE1A21"/>
    <w:rsid w:val="00AE2A90"/>
    <w:rsid w:val="00AF0D97"/>
    <w:rsid w:val="00AF0EAC"/>
    <w:rsid w:val="00B0200A"/>
    <w:rsid w:val="00B0546E"/>
    <w:rsid w:val="00B060DF"/>
    <w:rsid w:val="00B1560D"/>
    <w:rsid w:val="00B22BD8"/>
    <w:rsid w:val="00B333A8"/>
    <w:rsid w:val="00B43D88"/>
    <w:rsid w:val="00B44804"/>
    <w:rsid w:val="00B574DB"/>
    <w:rsid w:val="00B71133"/>
    <w:rsid w:val="00B826C2"/>
    <w:rsid w:val="00B8298E"/>
    <w:rsid w:val="00B861C8"/>
    <w:rsid w:val="00B86BEA"/>
    <w:rsid w:val="00B91594"/>
    <w:rsid w:val="00B948D5"/>
    <w:rsid w:val="00BA6CF3"/>
    <w:rsid w:val="00BA79F2"/>
    <w:rsid w:val="00BB6FD8"/>
    <w:rsid w:val="00BC1A58"/>
    <w:rsid w:val="00BD0723"/>
    <w:rsid w:val="00BD2518"/>
    <w:rsid w:val="00BD5F2B"/>
    <w:rsid w:val="00BD7371"/>
    <w:rsid w:val="00BD7807"/>
    <w:rsid w:val="00BE4C3D"/>
    <w:rsid w:val="00BE6B61"/>
    <w:rsid w:val="00BF1D1C"/>
    <w:rsid w:val="00C041CC"/>
    <w:rsid w:val="00C14A36"/>
    <w:rsid w:val="00C20C59"/>
    <w:rsid w:val="00C2727F"/>
    <w:rsid w:val="00C33350"/>
    <w:rsid w:val="00C34C59"/>
    <w:rsid w:val="00C4421B"/>
    <w:rsid w:val="00C45523"/>
    <w:rsid w:val="00C538FC"/>
    <w:rsid w:val="00C55B1F"/>
    <w:rsid w:val="00C61E75"/>
    <w:rsid w:val="00C748F9"/>
    <w:rsid w:val="00C74FD5"/>
    <w:rsid w:val="00C85B8D"/>
    <w:rsid w:val="00C87C1E"/>
    <w:rsid w:val="00C91E6C"/>
    <w:rsid w:val="00C92B25"/>
    <w:rsid w:val="00C92D1F"/>
    <w:rsid w:val="00C97EAF"/>
    <w:rsid w:val="00CB23F9"/>
    <w:rsid w:val="00CC1653"/>
    <w:rsid w:val="00CC2402"/>
    <w:rsid w:val="00CD3888"/>
    <w:rsid w:val="00CF0141"/>
    <w:rsid w:val="00CF1A67"/>
    <w:rsid w:val="00D0173A"/>
    <w:rsid w:val="00D025A2"/>
    <w:rsid w:val="00D07C00"/>
    <w:rsid w:val="00D16A11"/>
    <w:rsid w:val="00D2619B"/>
    <w:rsid w:val="00D2659E"/>
    <w:rsid w:val="00D2750E"/>
    <w:rsid w:val="00D3138D"/>
    <w:rsid w:val="00D35072"/>
    <w:rsid w:val="00D35ED4"/>
    <w:rsid w:val="00D375E0"/>
    <w:rsid w:val="00D45870"/>
    <w:rsid w:val="00D50A36"/>
    <w:rsid w:val="00D57D0B"/>
    <w:rsid w:val="00D61399"/>
    <w:rsid w:val="00D62446"/>
    <w:rsid w:val="00D6794C"/>
    <w:rsid w:val="00D86EF1"/>
    <w:rsid w:val="00D96B5C"/>
    <w:rsid w:val="00D977AD"/>
    <w:rsid w:val="00DA4EA2"/>
    <w:rsid w:val="00DB19A2"/>
    <w:rsid w:val="00DB5830"/>
    <w:rsid w:val="00DC3D3E"/>
    <w:rsid w:val="00DD600B"/>
    <w:rsid w:val="00DE2C90"/>
    <w:rsid w:val="00DE3B24"/>
    <w:rsid w:val="00DE652E"/>
    <w:rsid w:val="00DE7376"/>
    <w:rsid w:val="00DF2DCE"/>
    <w:rsid w:val="00DF6A90"/>
    <w:rsid w:val="00DF6D6B"/>
    <w:rsid w:val="00E001EC"/>
    <w:rsid w:val="00E06947"/>
    <w:rsid w:val="00E11319"/>
    <w:rsid w:val="00E21444"/>
    <w:rsid w:val="00E24C3A"/>
    <w:rsid w:val="00E26042"/>
    <w:rsid w:val="00E34072"/>
    <w:rsid w:val="00E3592D"/>
    <w:rsid w:val="00E43D04"/>
    <w:rsid w:val="00E50B30"/>
    <w:rsid w:val="00E50D76"/>
    <w:rsid w:val="00E736D0"/>
    <w:rsid w:val="00E8018B"/>
    <w:rsid w:val="00E81A08"/>
    <w:rsid w:val="00E90022"/>
    <w:rsid w:val="00E91675"/>
    <w:rsid w:val="00E92DE8"/>
    <w:rsid w:val="00E9332E"/>
    <w:rsid w:val="00EB0AE0"/>
    <w:rsid w:val="00EB1212"/>
    <w:rsid w:val="00EB5E2C"/>
    <w:rsid w:val="00EC1387"/>
    <w:rsid w:val="00EC15AA"/>
    <w:rsid w:val="00EC7A1C"/>
    <w:rsid w:val="00ED20B0"/>
    <w:rsid w:val="00ED44F8"/>
    <w:rsid w:val="00ED65AB"/>
    <w:rsid w:val="00EE25B7"/>
    <w:rsid w:val="00EE5A82"/>
    <w:rsid w:val="00EF09F4"/>
    <w:rsid w:val="00EF1292"/>
    <w:rsid w:val="00EF4BF4"/>
    <w:rsid w:val="00F073DB"/>
    <w:rsid w:val="00F12850"/>
    <w:rsid w:val="00F16753"/>
    <w:rsid w:val="00F21CDD"/>
    <w:rsid w:val="00F24B71"/>
    <w:rsid w:val="00F328ED"/>
    <w:rsid w:val="00F33BF4"/>
    <w:rsid w:val="00F36163"/>
    <w:rsid w:val="00F57900"/>
    <w:rsid w:val="00F60338"/>
    <w:rsid w:val="00F66F7F"/>
    <w:rsid w:val="00F7105E"/>
    <w:rsid w:val="00F71595"/>
    <w:rsid w:val="00F75F57"/>
    <w:rsid w:val="00F8145F"/>
    <w:rsid w:val="00F82FEE"/>
    <w:rsid w:val="00F84AC5"/>
    <w:rsid w:val="00F85E5C"/>
    <w:rsid w:val="00F92940"/>
    <w:rsid w:val="00F92BED"/>
    <w:rsid w:val="00F932D1"/>
    <w:rsid w:val="00F95349"/>
    <w:rsid w:val="00FA0801"/>
    <w:rsid w:val="00FB64B6"/>
    <w:rsid w:val="00FC0AAA"/>
    <w:rsid w:val="00FC2012"/>
    <w:rsid w:val="00FC2ED1"/>
    <w:rsid w:val="00FC3280"/>
    <w:rsid w:val="00FD0D82"/>
    <w:rsid w:val="00FD57D3"/>
    <w:rsid w:val="00FE57F6"/>
    <w:rsid w:val="00FE7578"/>
    <w:rsid w:val="00FE7F6F"/>
    <w:rsid w:val="00FF11BD"/>
    <w:rsid w:val="00FF46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29F6"/>
  <w15:docId w15:val="{076F7948-15D5-4EC7-9AFC-6F9BA7D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B0546E"/>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5873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3474">
      <w:bodyDiv w:val="1"/>
      <w:marLeft w:val="0"/>
      <w:marRight w:val="0"/>
      <w:marTop w:val="0"/>
      <w:marBottom w:val="0"/>
      <w:divBdr>
        <w:top w:val="none" w:sz="0" w:space="0" w:color="auto"/>
        <w:left w:val="none" w:sz="0" w:space="0" w:color="auto"/>
        <w:bottom w:val="none" w:sz="0" w:space="0" w:color="auto"/>
        <w:right w:val="none" w:sz="0" w:space="0" w:color="auto"/>
      </w:divBdr>
    </w:div>
    <w:div w:id="230165382">
      <w:bodyDiv w:val="1"/>
      <w:marLeft w:val="0"/>
      <w:marRight w:val="0"/>
      <w:marTop w:val="0"/>
      <w:marBottom w:val="0"/>
      <w:divBdr>
        <w:top w:val="none" w:sz="0" w:space="0" w:color="auto"/>
        <w:left w:val="none" w:sz="0" w:space="0" w:color="auto"/>
        <w:bottom w:val="none" w:sz="0" w:space="0" w:color="auto"/>
        <w:right w:val="none" w:sz="0" w:space="0" w:color="auto"/>
      </w:divBdr>
    </w:div>
    <w:div w:id="1004358332">
      <w:bodyDiv w:val="1"/>
      <w:marLeft w:val="0"/>
      <w:marRight w:val="0"/>
      <w:marTop w:val="0"/>
      <w:marBottom w:val="0"/>
      <w:divBdr>
        <w:top w:val="none" w:sz="0" w:space="0" w:color="auto"/>
        <w:left w:val="none" w:sz="0" w:space="0" w:color="auto"/>
        <w:bottom w:val="none" w:sz="0" w:space="0" w:color="auto"/>
        <w:right w:val="none" w:sz="0" w:space="0" w:color="auto"/>
      </w:divBdr>
    </w:div>
    <w:div w:id="18926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029/e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S23-CL-INF-0013/en"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council/Documents/basic-texts-2023/RES-048-S.pd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itu.int/md/S25-CL-C-0066/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4-CL-C-0029/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12</TotalTime>
  <Pages>15</Pages>
  <Words>6492</Words>
  <Characters>35355</Characters>
  <Application>Microsoft Office Word</Application>
  <DocSecurity>0</DocSecurity>
  <Lines>3535</Lines>
  <Paragraphs>2615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39232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los progresos en la ejecución del plan de transformación de recursos humanos y la Resolución 48 (Rev. Bucarest, 2022)</dc:title>
  <dc:subject>Consejo 2026 de la UIT</dc:subject>
  <cp:keywords>C26; C2026; Council 2026; PP26</cp:keywords>
  <dc:description/>
  <cp:lastPrinted>2006-03-24T09:51:00Z</cp:lastPrinted>
  <dcterms:created xsi:type="dcterms:W3CDTF">2026-04-22T09:19:00Z</dcterms:created>
  <dcterms:modified xsi:type="dcterms:W3CDTF">2026-04-22T09:23:00Z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