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51466" w14:paraId="3FF08275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225488" w14:textId="049F36A3" w:rsidR="00796BD3" w:rsidRPr="0075146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51466">
              <w:rPr>
                <w:b/>
                <w:lang w:val="ru-RU"/>
              </w:rPr>
              <w:t>Пункт повестки дня:</w:t>
            </w:r>
            <w:r w:rsidR="00827A4B" w:rsidRPr="00751466">
              <w:rPr>
                <w:b/>
                <w:bCs/>
                <w:color w:val="000000"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4D11D3A0" w14:textId="045D4418" w:rsidR="00796BD3" w:rsidRPr="0075146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51466">
              <w:rPr>
                <w:b/>
                <w:lang w:val="ru-RU"/>
              </w:rPr>
              <w:t xml:space="preserve">Документ </w:t>
            </w:r>
            <w:r w:rsidR="00796BD3" w:rsidRPr="00751466">
              <w:rPr>
                <w:b/>
                <w:lang w:val="ru-RU"/>
              </w:rPr>
              <w:t>C2</w:t>
            </w:r>
            <w:r w:rsidR="00BE00DD" w:rsidRPr="00751466">
              <w:rPr>
                <w:b/>
                <w:lang w:val="ru-RU"/>
              </w:rPr>
              <w:t>6</w:t>
            </w:r>
            <w:r w:rsidR="00796BD3" w:rsidRPr="00751466">
              <w:rPr>
                <w:b/>
                <w:lang w:val="ru-RU"/>
              </w:rPr>
              <w:t>/</w:t>
            </w:r>
            <w:r w:rsidR="00827A4B" w:rsidRPr="00751466">
              <w:rPr>
                <w:b/>
                <w:lang w:val="ru-RU"/>
              </w:rPr>
              <w:t>66</w:t>
            </w:r>
            <w:r w:rsidR="00796BD3" w:rsidRPr="00751466">
              <w:rPr>
                <w:b/>
                <w:lang w:val="ru-RU"/>
              </w:rPr>
              <w:t>-R</w:t>
            </w:r>
          </w:p>
        </w:tc>
      </w:tr>
      <w:tr w:rsidR="00796BD3" w:rsidRPr="00751466" w14:paraId="2D54EEB4" w14:textId="77777777" w:rsidTr="00D17718">
        <w:trPr>
          <w:cantSplit/>
        </w:trPr>
        <w:tc>
          <w:tcPr>
            <w:tcW w:w="3969" w:type="dxa"/>
            <w:vMerge/>
          </w:tcPr>
          <w:p w14:paraId="08C99A79" w14:textId="77777777" w:rsidR="00796BD3" w:rsidRPr="0075146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937D0E0" w14:textId="7FFB5B9B" w:rsidR="00796BD3" w:rsidRPr="00751466" w:rsidRDefault="00827A4B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51466">
              <w:rPr>
                <w:b/>
                <w:lang w:val="ru-RU"/>
              </w:rPr>
              <w:t>30 марта 2026 года</w:t>
            </w:r>
          </w:p>
        </w:tc>
      </w:tr>
      <w:tr w:rsidR="00796BD3" w:rsidRPr="00751466" w14:paraId="18A5C9D1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E563440" w14:textId="77777777" w:rsidR="00796BD3" w:rsidRPr="0075146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C1F5251" w14:textId="77777777" w:rsidR="00796BD3" w:rsidRPr="0075146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5146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51466" w14:paraId="3245E6D3" w14:textId="77777777" w:rsidTr="00D17718">
        <w:trPr>
          <w:cantSplit/>
          <w:trHeight w:val="23"/>
        </w:trPr>
        <w:tc>
          <w:tcPr>
            <w:tcW w:w="3969" w:type="dxa"/>
          </w:tcPr>
          <w:p w14:paraId="2B3C08FB" w14:textId="77777777" w:rsidR="00796BD3" w:rsidRPr="0075146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931458C" w14:textId="77777777" w:rsidR="00796BD3" w:rsidRPr="0075146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751466" w14:paraId="3EF841C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B4F3C2" w14:textId="77777777" w:rsidR="00796BD3" w:rsidRPr="00751466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751466">
              <w:t>Отчет Генерального секретаря</w:t>
            </w:r>
          </w:p>
        </w:tc>
      </w:tr>
      <w:tr w:rsidR="00796BD3" w:rsidRPr="00751466" w14:paraId="061C7960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004323" w14:textId="3F6E2C83" w:rsidR="00796BD3" w:rsidRPr="00751466" w:rsidRDefault="00827A4B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_Hlk160613238"/>
            <w:bookmarkStart w:id="7" w:name="dtitle1" w:colFirst="0" w:colLast="0"/>
            <w:bookmarkEnd w:id="5"/>
            <w:r w:rsidRPr="00751466">
              <w:rPr>
                <w:color w:val="000000"/>
              </w:rPr>
              <w:t>ОТЧЕТ О ХОДЕ РАБОТЫ ПО ВЫПОЛНЕНИЮ ПЛАНА ТРАНСФОРМАЦИИ ЛЮДСКИХ РЕСУРСОВ И РЕЗОЛЮЦИИ 48 (ПЕРЕСМ. БУХАРЕСТ, 2022 Г.) ПК</w:t>
            </w:r>
            <w:bookmarkEnd w:id="6"/>
          </w:p>
        </w:tc>
      </w:tr>
      <w:tr w:rsidR="00796BD3" w:rsidRPr="00751466" w14:paraId="6BEA246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D68FB52" w14:textId="77777777" w:rsidR="00796BD3" w:rsidRPr="0075146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146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6C795D92" w14:textId="4E373D12" w:rsidR="00827A4B" w:rsidRPr="00751466" w:rsidRDefault="00827A4B" w:rsidP="00751466">
            <w:pPr>
              <w:rPr>
                <w:lang w:val="ru-RU"/>
              </w:rPr>
            </w:pPr>
            <w:r w:rsidRPr="00751466">
              <w:rPr>
                <w:lang w:val="ru-RU"/>
              </w:rPr>
              <w:t>Цель Плана трансформации людских ресурсов (ПТЛР) – повысить организационную эффективность, действуя в трех областях: люди, культура и услуги. Эта стратегическая инициатива направлена на создание гибкой, способной и имеющей все возможности рабочей силы, формирование культуры, в которой люди чувствуют себя в безопасности, ценятся и способны работать максимально эффективно, а также на повышение эффективности оказания услуг в области ЛР для лучшей поддержки наших сотрудников. К показателям успеха относятся создание благоприятной рабочей среды, эффективное управление кадровым потенциалом, общая для всей организации концепция, усовершенствованная политика в области ЛР, четко определенные функции и обязанности и повышенная оперативная гибкость.</w:t>
            </w:r>
          </w:p>
          <w:p w14:paraId="0F7E290C" w14:textId="0707909F" w:rsidR="00796BD3" w:rsidRPr="00751466" w:rsidRDefault="00827A4B" w:rsidP="00751466">
            <w:pPr>
              <w:rPr>
                <w:lang w:val="ru-RU"/>
              </w:rPr>
            </w:pPr>
            <w:r w:rsidRPr="00751466">
              <w:rPr>
                <w:lang w:val="ru-RU"/>
              </w:rPr>
              <w:t>ПТЛР разработан и принят в соответствии с Резолюцией 48 (Пересм. Бухарест, 2022 г.) и служит важнейшей движущей силой реализации Дорожной карты трансформации МСЭ. В настоящем отчете о ходе работы представлены важнейшие результаты, достигнутые в каждой из областей в 2025 году и в начале 2026 года, что способствует как реализации Дорожной карты трансформации, так и выполнению Резолюции 48 (Пересм. Бухарест, 2022 г.).</w:t>
            </w:r>
          </w:p>
          <w:p w14:paraId="75F963EF" w14:textId="77777777" w:rsidR="00796BD3" w:rsidRPr="0075146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146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7B7BB8F6" w14:textId="66E7BF61" w:rsidR="00796BD3" w:rsidRPr="00751466" w:rsidRDefault="00827A4B" w:rsidP="00751466">
            <w:pPr>
              <w:rPr>
                <w:lang w:val="ru-RU"/>
              </w:rPr>
            </w:pPr>
            <w:r w:rsidRPr="00751466">
              <w:rPr>
                <w:lang w:val="ru-RU"/>
              </w:rPr>
              <w:t xml:space="preserve">Совету предлагается </w:t>
            </w:r>
            <w:r w:rsidRPr="00751466">
              <w:rPr>
                <w:b/>
                <w:bCs/>
                <w:lang w:val="ru-RU"/>
              </w:rPr>
              <w:t>принять к сведению</w:t>
            </w:r>
            <w:r w:rsidRPr="00751466">
              <w:rPr>
                <w:lang w:val="ru-RU"/>
              </w:rPr>
              <w:t xml:space="preserve"> Отчет о ходе работы по выполнению Стратегического плана в области людских ресурсов и Резолюции 48 (Пересм. Бухарест, 2022 г.).</w:t>
            </w:r>
          </w:p>
          <w:p w14:paraId="5473C05C" w14:textId="77777777" w:rsidR="00796BD3" w:rsidRPr="0075146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1466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77A76129" w14:textId="57DF0856" w:rsidR="00796BD3" w:rsidRPr="00751466" w:rsidRDefault="00827A4B" w:rsidP="00751466">
            <w:pPr>
              <w:rPr>
                <w:lang w:val="ru-RU"/>
              </w:rPr>
            </w:pPr>
            <w:r w:rsidRPr="00751466">
              <w:rPr>
                <w:lang w:val="ru-RU"/>
              </w:rPr>
              <w:t>Развитие людских ресурсов и организационные инновации.</w:t>
            </w:r>
          </w:p>
          <w:p w14:paraId="6B4756A1" w14:textId="77777777" w:rsidR="00796BD3" w:rsidRPr="0075146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51466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2AD35EB1" w14:textId="0C3BE59F" w:rsidR="00345D2A" w:rsidRPr="00751466" w:rsidRDefault="00827A4B" w:rsidP="00751466">
            <w:pPr>
              <w:rPr>
                <w:szCs w:val="22"/>
                <w:lang w:val="ru-RU"/>
              </w:rPr>
            </w:pPr>
            <w:r w:rsidRPr="00751466">
              <w:rPr>
                <w:lang w:val="ru-RU"/>
              </w:rPr>
              <w:t>В рамках выделенных бюджетов на 2024–2025 и 2026−2027 годы.</w:t>
            </w:r>
          </w:p>
          <w:p w14:paraId="09E47E0D" w14:textId="77777777" w:rsidR="00796BD3" w:rsidRPr="00751466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751466">
              <w:rPr>
                <w:sz w:val="20"/>
                <w:szCs w:val="18"/>
                <w:lang w:val="ru-RU"/>
              </w:rPr>
              <w:t>__________________</w:t>
            </w:r>
          </w:p>
          <w:p w14:paraId="1DC472B8" w14:textId="77777777" w:rsidR="00796BD3" w:rsidRPr="00751466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75146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471C6F3" w14:textId="1AF2FC93" w:rsidR="00796BD3" w:rsidRPr="00751466" w:rsidRDefault="00827A4B" w:rsidP="00D17718">
            <w:pPr>
              <w:spacing w:after="160"/>
              <w:rPr>
                <w:i/>
                <w:iCs/>
                <w:lang w:val="ru-RU"/>
              </w:rPr>
            </w:pPr>
            <w:r w:rsidRPr="00751466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7" w:history="1">
              <w:r w:rsidRPr="00751466">
                <w:rPr>
                  <w:rStyle w:val="Hyperlink"/>
                  <w:i/>
                  <w:iCs/>
                  <w:lang w:val="ru-RU"/>
                </w:rPr>
                <w:t>C23/INF/13</w:t>
              </w:r>
            </w:hyperlink>
            <w:r w:rsidRPr="0075146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8" w:history="1">
              <w:hyperlink r:id="rId9" w:history="1">
                <w:r w:rsidRPr="00751466">
                  <w:rPr>
                    <w:rStyle w:val="Hyperlink"/>
                    <w:i/>
                    <w:iCs/>
                    <w:lang w:val="ru-RU"/>
                  </w:rPr>
                  <w:t>C24/29</w:t>
                </w:r>
              </w:hyperlink>
            </w:hyperlink>
            <w:r w:rsidRPr="00751466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0" w:history="1">
              <w:r w:rsidRPr="00751466">
                <w:rPr>
                  <w:rStyle w:val="Hyperlink"/>
                  <w:i/>
                  <w:iCs/>
                  <w:lang w:val="ru-RU"/>
                </w:rPr>
                <w:t>C25/66</w:t>
              </w:r>
            </w:hyperlink>
            <w:r w:rsidRPr="00751466">
              <w:rPr>
                <w:i/>
                <w:iCs/>
                <w:color w:val="000000"/>
                <w:lang w:val="ru-RU"/>
              </w:rPr>
              <w:t xml:space="preserve"> Совета; </w:t>
            </w:r>
            <w:hyperlink r:id="rId11" w:history="1">
              <w:r w:rsidRPr="00751466">
                <w:rPr>
                  <w:rStyle w:val="Hyperlink"/>
                  <w:i/>
                  <w:iCs/>
                  <w:lang w:val="ru-RU"/>
                </w:rPr>
                <w:t>Резолюция 48 (Пересм. Бухарест, 2022 г.)</w:t>
              </w:r>
            </w:hyperlink>
            <w:r w:rsidRPr="00751466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</w:p>
        </w:tc>
      </w:tr>
      <w:bookmarkEnd w:id="2"/>
      <w:bookmarkEnd w:id="7"/>
    </w:tbl>
    <w:p w14:paraId="1083723D" w14:textId="77777777" w:rsidR="00796BD3" w:rsidRPr="00751466" w:rsidRDefault="00796BD3" w:rsidP="00796BD3">
      <w:pPr>
        <w:rPr>
          <w:lang w:val="ru-RU"/>
        </w:rPr>
      </w:pPr>
    </w:p>
    <w:p w14:paraId="441730F3" w14:textId="77777777" w:rsidR="00165D06" w:rsidRPr="00751466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51466">
        <w:rPr>
          <w:lang w:val="ru-RU"/>
        </w:rPr>
        <w:br w:type="page"/>
      </w:r>
    </w:p>
    <w:p w14:paraId="5CB119A7" w14:textId="77777777" w:rsidR="00827A4B" w:rsidRPr="00751466" w:rsidRDefault="00827A4B" w:rsidP="00827A4B">
      <w:pPr>
        <w:pStyle w:val="Headingb"/>
        <w:rPr>
          <w:lang w:val="ru-RU"/>
        </w:rPr>
      </w:pPr>
      <w:bookmarkStart w:id="8" w:name="_Hlk195627763"/>
      <w:r w:rsidRPr="00751466">
        <w:rPr>
          <w:bCs/>
          <w:lang w:val="ru-RU"/>
        </w:rPr>
        <w:lastRenderedPageBreak/>
        <w:t>Люди: создание гибкой, способной и обладающей всеми необходимыми возможностями рабочей силы</w:t>
      </w:r>
    </w:p>
    <w:bookmarkEnd w:id="8"/>
    <w:p w14:paraId="1131F164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Люди – первое направление деятельности, предусмотренной Планом трансформации людских ресурсов (ПТЛР), где целью является формирование гибкой, высококвалифицированной и готовой к изменениям рабочей силы, способной брать на себя ответственность за результаты. Это предполагает привлечение, адаптацию и удержание способных и высококвалифицированных сотрудников, соответствующих самым высоким стандартам эффективности, компетентности и добросовестности.</w:t>
      </w:r>
    </w:p>
    <w:p w14:paraId="44063503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Кроме того, план предусматривает более активный набор молодых сотрудников, привносящих новые способности, навыки и идеи, но это необходимо балансировать с опытом существующих сотрудников и их преданностью своему делу.</w:t>
      </w:r>
    </w:p>
    <w:p w14:paraId="3D2C89F5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Реализуя ПТЛР, МСЭ стремится не только создать благоприятную рабочую среду, но и повысить эффективность работы организации и предоставить сотрудникам возможность постоянно пополнять свои знания, повышать свою квалификацию и обретать новые навыки в соответствии со стратегическими целями МСЭ.</w:t>
      </w:r>
    </w:p>
    <w:p w14:paraId="70B55BFC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Основные моменты:</w:t>
      </w:r>
    </w:p>
    <w:p w14:paraId="7896C688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</w:t>
      </w:r>
      <w:r w:rsidRPr="00751466">
        <w:rPr>
          <w:lang w:val="ru-RU"/>
        </w:rPr>
        <w:tab/>
        <w:t>Был представлен комплексный и экономически эффективный годовой план обучения, при этом наглядность деятельности значительно улучшилась благодаря тематическому новостному бюллетеню "Let’s Learn" и централизованному веб-сайту SharePoint. Эти платформы обеспечивают сотрудникам доступ в режиме реального времени к годовому плану обучения и возможностям непрерывного профессионального развития, а также активно пропагандируют самостоятельное обучение как одну из основ культуры инициативного обучения. Мы предоставляем сотрудникам возможность самостоятельно управлять своим развитием и использовать ресурсы обучения в удобном для них темпе и тем самым способствуем повышению подотчетности, гибкости и постоянному росту в рамках всего Союза. План обучения остается динамичным, регулярно отслеживается и обновляется в целях упреждающего реагирования на появляющиеся потребности и изменяющиеся приоритеты организации.</w:t>
      </w:r>
    </w:p>
    <w:p w14:paraId="4B4B5680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2</w:t>
      </w:r>
      <w:r w:rsidRPr="00751466">
        <w:rPr>
          <w:lang w:val="ru-RU"/>
        </w:rPr>
        <w:tab/>
        <w:t>Соблюдение требований об обязательном обучении было значительно улучшено благодаря укреплению партнерских отношений с координаторами по вопросам ЛР и использованию цифровых инструментов для улучшения регулярного отслеживания и коммуникации. Уровень соблюдения увеличился с 5 процентов в сентябре 2024 года до 52 процентов к концу февраля 2026 года, при этом для обеспечения устойчивого прогресса создан механизм систематического отслеживания и назначен специальный координатор HRMD.</w:t>
      </w:r>
    </w:p>
    <w:p w14:paraId="24425986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3</w:t>
      </w:r>
      <w:r w:rsidRPr="00751466">
        <w:rPr>
          <w:lang w:val="ru-RU"/>
        </w:rPr>
        <w:tab/>
        <w:t xml:space="preserve">Повышение квалификации в области цифровых технологий осуществлялось с помощью основных инструментов и в тесном сотрудничестве с группой по трансформации для повышения квалификации сотрудников в области ИИ. В число мероприятий входили различные практические учебные занятия для участников программы Copilot Champions; было проведено дополнительное очное мероприятие с участием Генерального секретаря, а также были организованы структурированные ежемесячные последующие мероприятия для поддержания динамики и укрепления внедрения. Помимо этого, среди всех сотрудников была развернута целевая коммуникационная кампания, которая привлекла внимание к курируемым схемам самостоятельного обучения и ряду возможностей обучения с использованием ИИ. Этот подход был направлен на содействие постоянному повышению квалификации, поощрение активного использования появляющихся технологий и внедрение грамотности в области ИИ в качестве основной способности в масштабе всей организации. Первая сессия "ИИ для управления людскими ресурсами" была успешно проведена на </w:t>
      </w:r>
      <w:r w:rsidRPr="00751466">
        <w:rPr>
          <w:lang w:val="ru-RU"/>
        </w:rPr>
        <w:lastRenderedPageBreak/>
        <w:t>Глобальном саммите "ИИ во благо", в ней приняли участие 92 директора по ЛР и специалисты по ЛР из учреждений ООН и международных организаций; в отношении сессии были получены чрезвычайно положительные отзывы.</w:t>
      </w:r>
    </w:p>
    <w:p w14:paraId="2071282C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4</w:t>
      </w:r>
      <w:r w:rsidRPr="00751466">
        <w:rPr>
          <w:lang w:val="ru-RU"/>
        </w:rPr>
        <w:tab/>
        <w:t>Возможности карьерного роста и основные компетенции были расширены за счет проведения целевых мастер-классов и обучения функциональным навыкам с предоставлением записей и ресурсов по запросу. Для сотрудников категории общего обслуживания были предоставлены целевые возможности обучения для укрепления перспективных способностей и поддержки меняющихся потребностей организации. Это включало реализацию программы Gameshifter, предназначенной для формирования адаптивности, инноваций и мышления, ориентированного на развитие. В сотрудничестве с Международным учебным центром Международной организации труда (МУЦ МОТ) был проведен специализированный курс подготовки "Цифровые навыки и инструменты ИИ для реализации программ", в ходе которого участники приобрели практические навыки использования появляющихся технологий. Цель инициативы заключалась в предоставлении сотрудникам категории общего обслуживания навыков, уверенности и свободного владения цифровыми технологиями, необходимыми для успешной работы в стремительно меняющейся рабочей среде. Одновременно HRMD продолжает наращивать потенциал в области ЛР путем сертификации, в соответствующих случаях, для укрепления внутренней компетенции.</w:t>
      </w:r>
    </w:p>
    <w:p w14:paraId="301EE632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5</w:t>
      </w:r>
      <w:r w:rsidRPr="00751466">
        <w:rPr>
          <w:lang w:val="ru-RU"/>
        </w:rPr>
        <w:tab/>
        <w:t>Для обеспечения плавной интеграции персонала в 2025 году был дважды проведен вводный курс для новых сотрудников (в марте и в сентябре). К концу 2026 года программа будет переведена в цифровой формат с помощью решения для виртуализации и обновления ресурсов внутренней сети.</w:t>
      </w:r>
    </w:p>
    <w:p w14:paraId="2C71C736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6</w:t>
      </w:r>
      <w:r w:rsidRPr="00751466">
        <w:rPr>
          <w:lang w:val="ru-RU"/>
        </w:rPr>
        <w:tab/>
        <w:t>Бюро и региональным отделениям была оказана целевая поддержка для удовлетворения конкретных оперативных потребностей. Поддержка включала специализированные инициативы по созданию потенциала, в частности специализированное обучение по оценке проектов для недавно созданного сообщества оценщиков в сотрудничестве с группой по оценке "Проводников перемен" и специалистом по оценке, а также обучение по вопросам безопасности, проведенное в координации с БРЭ и группой по безопасности, что способствовало подготовке персонала к ВКРЭ-25. Помимо этого, была расширена поддержка для удовлетворения индивидуальных потребностей в специализированной подготовке.</w:t>
      </w:r>
    </w:p>
    <w:p w14:paraId="23F41B31" w14:textId="6B014D13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7</w:t>
      </w:r>
      <w:r w:rsidRPr="00751466">
        <w:rPr>
          <w:lang w:val="ru-RU"/>
        </w:rPr>
        <w:tab/>
        <w:t>Процесс управления показателями деятельности был упорядочен на всех этапах путем упрощения форм, исключения лишних действий и синтеза информации. Это делает процесс менее обременительным, что позволяет сотрудникам и руководителям сосредоточиться на диалоге и обычной обратной связи. Упрощенный инструмент ePMDS сократил время, затрачиваемое руководителем на оценку работы, как минимум, на 50%, что позволяет более эффективно обсуждать результаты работы, а</w:t>
      </w:r>
      <w:r w:rsidR="00751466">
        <w:rPr>
          <w:lang w:val="ru-RU"/>
        </w:rPr>
        <w:t> </w:t>
      </w:r>
      <w:r w:rsidRPr="00751466">
        <w:rPr>
          <w:lang w:val="ru-RU"/>
        </w:rPr>
        <w:t>не</w:t>
      </w:r>
      <w:r w:rsidR="00751466">
        <w:rPr>
          <w:lang w:val="ru-RU"/>
        </w:rPr>
        <w:t> </w:t>
      </w:r>
      <w:r w:rsidRPr="00751466">
        <w:rPr>
          <w:lang w:val="ru-RU"/>
        </w:rPr>
        <w:t>сосредотачиваться на инструменте в рамках системы.</w:t>
      </w:r>
    </w:p>
    <w:p w14:paraId="66C3DF98" w14:textId="77777777" w:rsidR="00827A4B" w:rsidRPr="00751466" w:rsidRDefault="00827A4B" w:rsidP="002C3729">
      <w:pPr>
        <w:pStyle w:val="enumlev1"/>
        <w:ind w:left="562" w:hanging="562"/>
        <w:jc w:val="both"/>
        <w:rPr>
          <w:lang w:val="ru-RU"/>
        </w:rPr>
      </w:pPr>
      <w:r w:rsidRPr="00751466">
        <w:rPr>
          <w:lang w:val="ru-RU"/>
        </w:rPr>
        <w:t>8</w:t>
      </w:r>
      <w:r w:rsidRPr="00751466">
        <w:rPr>
          <w:lang w:val="ru-RU"/>
        </w:rPr>
        <w:tab/>
        <w:t>Текущий пересмотр процесса управления показателями работы предусматривает принятие совместного подхода с помощью лабораторий инноваций для совершенствования процесса и инструментов решения проблемы неудовлетворительного выполнения должностных обязанностей, увязки обучения с показателями деятельности, признания индивидуальных и групповых достижений и содействия открытому диалогу и постоянной обратной связи; реализация намечена на 2026 год.</w:t>
      </w:r>
    </w:p>
    <w:p w14:paraId="0365BE49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9</w:t>
      </w:r>
      <w:r w:rsidRPr="00751466">
        <w:rPr>
          <w:lang w:val="ru-RU"/>
        </w:rPr>
        <w:tab/>
        <w:t xml:space="preserve">Система набора персонала в МСЭ укрепляется в целях повышения эффективности в отношении времени набора персонала и административной работы, а также снижения рисков в области соответствия требованиям и подотчетности. На первом этапе трансформации системы набора персонала на срочные контракты на основе внутренних консультаций и сравнительного анализа ООН были разработаны новые рабочие </w:t>
      </w:r>
      <w:r w:rsidRPr="00751466">
        <w:rPr>
          <w:lang w:val="ru-RU"/>
        </w:rPr>
        <w:lastRenderedPageBreak/>
        <w:t>процессы, ключевые показатели эффективности (KPI), система подотчетности и проект политики. Ожидается, что политика набора персонала будет окончательно доработана в 2026 году, и МСЭ перейдет на INSPIRA в своей основной платформы набора персонала в соответствии с целями инициативы "ООН-80" и задачами совместного обслуживания, с тем чтобы обеспечить снижение ежегодных эксплуатационных затрат и значительное повышение ценности, подготовить модель предсказуемых затрат, снизить операционную нагрузку, а также обеспечить своевременное согласование с модернизацией организации. Кроме того, ведется работа по укреплению информационно-пропагандистской деятельности и образу работодателя в целях привлечения разнообразных и высококвалифицированных перспективных специалистов.</w:t>
      </w:r>
    </w:p>
    <w:p w14:paraId="7141B7DB" w14:textId="5DE59944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10</w:t>
      </w:r>
      <w:r w:rsidRPr="00751466">
        <w:rPr>
          <w:lang w:val="ru-RU"/>
        </w:rPr>
        <w:tab/>
        <w:t>Ведется работа по укреплению стратегического кадрового планирования для поддержки эффективного распределения людских ресурсов и удовлетворения меняющихся потребностей МСЭ. На основании внутренних консультаций и сравнительного анализа в рамках системы ООН ведется работа по созданию системы компетенций, матрицы навыков, потребностей в подготовке и модели планирования преемственности. Эта работа будет продолжена в третьем квартале 2026 года. В</w:t>
      </w:r>
      <w:r w:rsidR="00681F5B">
        <w:rPr>
          <w:lang w:val="ru-RU"/>
        </w:rPr>
        <w:t> </w:t>
      </w:r>
      <w:r w:rsidRPr="00751466">
        <w:rPr>
          <w:lang w:val="ru-RU"/>
        </w:rPr>
        <w:t>рамках системы планирования людских ресурсов (WFP) МСЭ развивает стандартизированную систему в масштабах всего Союза для оценки наиболее подходящего места и условий контракта для должностей, когда они открыты для набора персонала, что обеспечивает согласованность решений о наборе и расстановке кадров как с приоритетами организации, так и с реалиями общей операционной модели, при укреплении регионального присутствия путем обеспечения более тесного взаимодействия персонала с Государствами-Членами. Эта система на основе данных укрепляет справедливость, прозрачность и адаптивность, позволяя организации решать будущие проблемы и более эффективно и результативно удовлетворять потребности Государств-Членов.</w:t>
      </w:r>
    </w:p>
    <w:p w14:paraId="01373563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11</w:t>
      </w:r>
      <w:r w:rsidRPr="00751466">
        <w:rPr>
          <w:lang w:val="ru-RU"/>
        </w:rPr>
        <w:tab/>
        <w:t>По состоянию на февраль 2026 года число младших сотрудников категории специалистов (МСС) составляет 5, и ожидается, что позднее в этом году будут приняты еще 4–6 человек. Этот рост укрепляет кадровый резерв МСЭ, способствуя формированию готовых к будущему кадров одновременно с повышением институциональной эффективности и гибкости.</w:t>
      </w:r>
    </w:p>
    <w:p w14:paraId="3E07CEF0" w14:textId="4C35A097" w:rsidR="00827A4B" w:rsidRPr="00751466" w:rsidRDefault="00827A4B" w:rsidP="002C3729">
      <w:pPr>
        <w:pStyle w:val="enumlev1"/>
        <w:jc w:val="both"/>
        <w:rPr>
          <w:spacing w:val="-3"/>
          <w:lang w:val="ru-RU"/>
        </w:rPr>
      </w:pPr>
      <w:bookmarkStart w:id="9" w:name="_Hlk195106213"/>
      <w:r w:rsidRPr="00751466">
        <w:rPr>
          <w:lang w:val="ru-RU"/>
        </w:rPr>
        <w:t>12</w:t>
      </w:r>
      <w:r w:rsidRPr="00751466">
        <w:rPr>
          <w:lang w:val="ru-RU"/>
        </w:rPr>
        <w:tab/>
        <w:t>Программа "Молодые специалисты", представленная в 2024 году, является краеугольным камнем приверженности МСЭ активизации кадрового потенциала и вовлечению молодежи. После принятия на работу в 2025 году шести специалистов из наименее развитых стран (НРС), что содействовало расширению географического представительства, Союз сохранит этот импульс, что представит в МСЭ новые точки зрения и перспективные цифровые навыки.</w:t>
      </w:r>
    </w:p>
    <w:bookmarkEnd w:id="9"/>
    <w:p w14:paraId="4C9A9AF7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13</w:t>
      </w:r>
      <w:r w:rsidRPr="00751466">
        <w:rPr>
          <w:lang w:val="ru-RU"/>
        </w:rPr>
        <w:tab/>
        <w:t>Гендерный паритет при наборе персонала был укреплен за счет сбалансированности комиссий по набору персонала, обеспечивающей представленность как мужчин, так и женщин в каждой комиссии на каждом этапе процесса набора персонала. Для поддержки паритета и географического разнообразия были определены специальные меры по набору персонала и целевая информационно-пропагандистская деятельность. К ним относятся требование включать в конечные списки, по возможности, 50% представленных в недостаточной степени мужчин или женщин (где паритет не соблюдается) и усиление подотчетности руководства. Ведется работа по дальнейшему согласованию коммуникации и практики набора персонала с инклюзивными стандартами.</w:t>
      </w:r>
    </w:p>
    <w:p w14:paraId="6237C980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14</w:t>
      </w:r>
      <w:r w:rsidRPr="00751466">
        <w:rPr>
          <w:lang w:val="ru-RU"/>
        </w:rPr>
        <w:tab/>
        <w:t xml:space="preserve">Второй этап программы добровольного прекращения службы (ДПС) был осуществлен в целях оптимизации бюджетных расходов, реорганизации структур Союза и </w:t>
      </w:r>
      <w:r w:rsidRPr="00751466">
        <w:rPr>
          <w:lang w:val="ru-RU"/>
        </w:rPr>
        <w:lastRenderedPageBreak/>
        <w:t xml:space="preserve">распределения ресурсов, а также расширения возможностей МСЭ по набору специалистов с необходимыми навыками. В соответствии с рекомендацией Координационного комитета (КК) и с одобрения Генерального секретаря в 2024 году в рамках ДПС прекратили службу 15 сотрудников (что составляет примерно 2,5% штатного персонала), а процедуры увольнения были завершены в 2025 году. </w:t>
      </w:r>
    </w:p>
    <w:p w14:paraId="113A1031" w14:textId="77777777" w:rsidR="00827A4B" w:rsidRPr="00751466" w:rsidRDefault="00827A4B" w:rsidP="00827A4B">
      <w:pPr>
        <w:pStyle w:val="Headingb"/>
        <w:rPr>
          <w:lang w:val="ru-RU"/>
        </w:rPr>
      </w:pPr>
      <w:r w:rsidRPr="00751466">
        <w:rPr>
          <w:bCs/>
          <w:lang w:val="ru-RU"/>
        </w:rPr>
        <w:t>Культура: формирование культуры, в которой люди чувствуют себя в безопасности, ценятся и способны работать максимально эффективно</w:t>
      </w:r>
    </w:p>
    <w:p w14:paraId="7B8BCF5C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Культура, второе направление деятельности, предусмотренной ПТЛР, отражает приверженность МСЭ стимулированию инклюзивной культуры, формируемой руководством, создающим для этого благоприятные условия, и созданию уважительных, этичных и справедливых условий работы, в которых люди чувствуют себя в безопасности, им доверяют, их ценят и они способны работать максимально эффективно. Создание такой среды способствует раскрытию творческого потенциала, а также тому, что люди чувствуют себя в безопасности, работают с высокой производительностью и мотивированно.</w:t>
      </w:r>
    </w:p>
    <w:p w14:paraId="3D9EF907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В ПТЛР приоритетное внимание уделено условиям службы, благополучию сотрудников и балансу между работой и личной жизнью с помощью мер поддержания гигиены труда и психического здоровья и политики, ориентированной на защиту семейных ценностей.</w:t>
      </w:r>
    </w:p>
    <w:p w14:paraId="16C45E15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Кроме того, МСЭ стремится быть доступным и привлекательным работодателем для всех.</w:t>
      </w:r>
    </w:p>
    <w:p w14:paraId="065A0B9F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Основные моменты:</w:t>
      </w:r>
    </w:p>
    <w:p w14:paraId="477C8AE2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</w:t>
      </w:r>
      <w:r w:rsidRPr="00751466">
        <w:rPr>
          <w:lang w:val="ru-RU"/>
        </w:rPr>
        <w:tab/>
        <w:t xml:space="preserve">В начале 2025 года в рамках ПТЛР МСЭ провел первый опрос о вовлеченности сотрудников (EES), что обеспечило прочную доказательную базу для определения преимуществ и областей, требующих большего внимания. МСЭ, опираясь на результаты опроса, реализовал план последующих действий с уделением особого внимания культуре поведения на рабочем месте, практике управления и оперативной эффективности. План сочетает инициативы в масштабах всей организации, в том числе сессии открытых дверей с участием избираемых должностных лиц, программу инноваций и обучения, серию кратких презентаций в обеденный перерыв и программу наставничества в масштабах всего МСЭ, а также мероприятия на уровне департаментов и Бюро, разработанные на низовом уровне. </w:t>
      </w:r>
    </w:p>
    <w:p w14:paraId="0FE8DBD1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2</w:t>
      </w:r>
      <w:r w:rsidRPr="00751466">
        <w:rPr>
          <w:lang w:val="ru-RU"/>
        </w:rPr>
        <w:tab/>
        <w:t>Была введена система поощрений для признания заслуг непосредственно в соответствии с ответами, полученными по итогам опроса, и рекомендациями Совета персонала. 8 декабря 2025 года состоялась церемония признания заслуг за многолетнюю деятельность, на которой были отмечены 210 коллег, стаж которых составил более 20 лет. В 2026 году система будет расширена с представлением второго компонента групповых наград для признания коллективных достижений и укрепления чувства принадлежности; он будет дополнен неофициальными упоминаниями с выражением признательности от руководителей, чтобы люди чувствовали, что их ценят. Такой упреждающий подход преобразует обратную связь сотрудников в видимое признание, что укрепляет чувство единой цели и углубляет долгосрочную приверженность Союзу.</w:t>
      </w:r>
    </w:p>
    <w:p w14:paraId="7345A0FD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3</w:t>
      </w:r>
      <w:r w:rsidRPr="00751466">
        <w:rPr>
          <w:lang w:val="ru-RU"/>
        </w:rPr>
        <w:tab/>
        <w:t xml:space="preserve">Была реализована структурированная программа развития лидерства для укрепления лидерских качеств и поддержки планирования преемственности, включая инклюзивное лидерство (для руководителей категории P5 и выше) со специальными модулями по укреплению психологической безопасности, управлению предвзятостью и микроагрессией и продвижению учета гендерных и расовых аспектов. Эти усилия были подкреплены семинарами-практикумами на тему "Адаптивное руководство" для сотрудников категории P4 и выше, включая избираемых должностных лиц, и программой "Будущие лидеры МСЭ" для "Проводников перемен". На основании той </w:t>
      </w:r>
      <w:r w:rsidRPr="00751466">
        <w:rPr>
          <w:lang w:val="ru-RU"/>
        </w:rPr>
        <w:lastRenderedPageBreak/>
        <w:t xml:space="preserve">работы учебная программа расширяется в начале 2026 года и включает семинары-практикумы "Адаптивное руководство" продвинутого уровня и обучение управлению людьми. </w:t>
      </w:r>
    </w:p>
    <w:p w14:paraId="513DEF5D" w14:textId="77777777" w:rsidR="00827A4B" w:rsidRPr="00751466" w:rsidRDefault="00827A4B" w:rsidP="002C3729">
      <w:pPr>
        <w:pStyle w:val="enumlev1"/>
        <w:jc w:val="both"/>
        <w:rPr>
          <w:spacing w:val="-2"/>
          <w:lang w:val="ru-RU"/>
        </w:rPr>
      </w:pPr>
      <w:r w:rsidRPr="00751466">
        <w:rPr>
          <w:lang w:val="ru-RU"/>
        </w:rPr>
        <w:t>4</w:t>
      </w:r>
      <w:r w:rsidRPr="00751466">
        <w:rPr>
          <w:lang w:val="ru-RU"/>
        </w:rPr>
        <w:tab/>
        <w:t>В соответствии с меморандумами о взаимопонимании, подписанными МСЭ в партнерстве со Всемирной организацией интеллектуальной собственности (ВОИС) и Канцелярией Омбудсмена и посредников Организации Объединенных Наций (ЮНОМС), в январе 2026 года совместный омбудсмен приступила к выполнению своих обязанностей в МСЭ. Эта инициатива обеспечивает доступ к нейтральным, независимым и конфиденциальным услугам по разрешению конфликтов, что способствует формированию уважительной и доверительной рабочей среды. Для повышения наглядности и укрепления доверия была проведена информационная сессия в смешанном формате для всех сотрудников, в том числе в региональных отделениях, на которой были представлены доступные услуги. Кроме того, в феврале 2026 года в масштабах всего Союза была проведена сессия "Дорожная карта рабочих мест", которая предоставила сотрудникам четкое руководство по инстанциям для ориентирования в вариантах поддержки, уточнения координаторов и эффективного доступа к основным ресурсам. Дополнительные последующие сессии будут организованы в течение 2026 года.</w:t>
      </w:r>
    </w:p>
    <w:p w14:paraId="50149A87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5</w:t>
      </w:r>
      <w:r w:rsidRPr="00751466">
        <w:rPr>
          <w:lang w:val="ru-RU"/>
        </w:rPr>
        <w:tab/>
        <w:t>План обеспечения гендерного паритета МСЭ основан на Стратегии МСЭ по обеспечению гендерного равенства, одобренной Советом в 2018 году, и поддерживает цели Общесистемной стратегии по обеспечению гендерного паритета Организации Объединенных Наций. План не ограничивается численными целевыми показателями; он предусматривает учет гендерной проблематики во всех процессах и практике организации в области ЛР. В нем установлены меры по укреплению подотчетности, улучшению представительства персонала, продвижению по службе и целевой подготовке с четкими сроками исполнения, что позиционирует МСЭ как образцовую организацию для достижения гендерного паритета.</w:t>
      </w:r>
    </w:p>
    <w:p w14:paraId="4178FB6B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6</w:t>
      </w:r>
      <w:r w:rsidRPr="00751466">
        <w:rPr>
          <w:lang w:val="ru-RU"/>
        </w:rPr>
        <w:tab/>
        <w:t>Гендерное представительство на уровне высшего руководства остается сбалансированным: по состоянию на февраль 2026 года женщины занимают 60% должностей категории D2. Женщины также хорошо представлены на младших должностях категории специалистов (P1–P2) и составляют, 47% и 45% персонала категорий P3 и P4, соответственно. Женщины по-прежнему менее представлены на должностях категорий P5 и D1 (33% и 32%, соответственно); будут и далее приниматься целенаправленные меры для укрепления паритета в этих категориях.</w:t>
      </w:r>
    </w:p>
    <w:p w14:paraId="5952118F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7</w:t>
      </w:r>
      <w:r w:rsidRPr="00751466">
        <w:rPr>
          <w:lang w:val="ru-RU"/>
        </w:rPr>
        <w:tab/>
        <w:t>После проведенного в 2023 году в рамках системы ООН обследования состояния здоровья МСЭ в начале 2025 года приступил к реализации Плана действий в области психического здоровья и благополучия, построенного на принципах профилактики, поощрения и поддержки. Осуществление началось с проведения опроса персонала, а также создания и начала функционирования должности омбудсмена. Другие инициативы включали серию видеоматериалов по благополучию, мероприятия по борьбе с негативными стереотипами, курсы грамотности в области психического здоровья и обучение эффективному общению.</w:t>
      </w:r>
    </w:p>
    <w:p w14:paraId="3C78850C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8</w:t>
      </w:r>
      <w:r w:rsidRPr="00751466">
        <w:rPr>
          <w:lang w:val="ru-RU"/>
        </w:rPr>
        <w:tab/>
        <w:t>Услуги по повышению благополучия были укреплены благодаря целенаправленной поддержке, включая индивидуальные консультации, занятия по медитации осознанности на трех языках и ведение конкретных случаев; эта работа была дополнена целевыми сессиями в координации с направлением "Обучение и повышение квалификации". Кроме того, были разработаны руководящие указания по возвращению на работу (RTW) для поддержки персонала, возвращающегося на рабочее место после длительного отпуска по болезни.</w:t>
      </w:r>
    </w:p>
    <w:p w14:paraId="7694FEFD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lastRenderedPageBreak/>
        <w:t>9</w:t>
      </w:r>
      <w:r w:rsidRPr="00751466">
        <w:rPr>
          <w:lang w:val="ru-RU"/>
        </w:rPr>
        <w:tab/>
        <w:t>Политика в отношении рабочего времени и гибкого рабочего графика была опубликована 25 февраля 2026 года. Эта политика объединяет рабочее время и гибкий график работы, включая телеработу, в единую четкую и всеобъемлющую структуру, соответствующую передовому опыту общей системы ООН. МСЭ сохранил существующие договоренности в отношении телеработы и внимательно отслеживает развитие ситуации в других организациях системы ООН, что может лечь в основу будущих корректировок политики. В политике также определены обязанности персонала и руководителей и поддерживается баланс между работой и личной жизнью, при этом обеспечивается выполнение МСЭ своих оперативных требований.</w:t>
      </w:r>
    </w:p>
    <w:p w14:paraId="4D0723C0" w14:textId="77777777" w:rsidR="00827A4B" w:rsidRPr="00751466" w:rsidRDefault="00827A4B" w:rsidP="00827A4B">
      <w:pPr>
        <w:pStyle w:val="Headingb"/>
        <w:rPr>
          <w:lang w:val="ru-RU"/>
        </w:rPr>
      </w:pPr>
      <w:r w:rsidRPr="00751466">
        <w:rPr>
          <w:bCs/>
          <w:lang w:val="ru-RU"/>
        </w:rPr>
        <w:t>Услуги: повышение эффективности оказания услуг в области ЛР для лучшей поддержки наших сотрудников</w:t>
      </w:r>
    </w:p>
    <w:p w14:paraId="25F34FB3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 xml:space="preserve">Работа по третьему предусмотренному ПТЛР направлению деятельности – услуги − укрепляет приверженность организации использованию технологий, отвечающих целевому назначению, для обеспечения высокого качества обслуживания сотрудников и предоставления оптимизированных и эффективных услуг в области ЛР, которые наилучшим образом отвечают потребностям наших сотрудников. </w:t>
      </w:r>
    </w:p>
    <w:p w14:paraId="02453C6E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В рамках этого компонента ПТЛР также признается необходимость совершенствования процессов путем устранения излишних бюрократических процедур, повышения прозрачности и подотчетности. Важнейшим приоритетом является создание рабочей среды, в которой решения принимаются на основе фактических данных, на правильном уровне, на основе информации о людях и в соответствии с потребностями организации.</w:t>
      </w:r>
    </w:p>
    <w:p w14:paraId="352BF67E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МСЭ привержен идее создания надежной и справедливой нормативной базы в сотрудничестве с заинтересованными сторонами, включая представителей руководства и персонала, что обеспечивает соответствие политики и услуг в области ЛР потребностям как персонала, так и руководителей.</w:t>
      </w:r>
    </w:p>
    <w:p w14:paraId="729C11E5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Основные моменты:</w:t>
      </w:r>
    </w:p>
    <w:p w14:paraId="68677207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</w:t>
      </w:r>
      <w:r w:rsidRPr="00751466">
        <w:rPr>
          <w:lang w:val="ru-RU"/>
        </w:rPr>
        <w:tab/>
        <w:t>HRMD продолжает укреплять нормативную базу МСЭ для приведения ее в соответствие с меняющимися потребностями в области кадров с учетом обновлений политики в области набора персонала, временных назначений, единовременной выплаты при переезде и субсидий на аренду жилья. Основным направлением политики является замена специальных соглашений об услугах (SSA) новой политикой консультантов, согласованной с передовым опытом ООН. Эта новая политика вводит делегирование полномочий руководителям, вводит единую шкалу гонораров и расширяет использование реестров, что обеспечивает более своевременный доступ к специализированным знаниям и резервным потенциалам.</w:t>
      </w:r>
    </w:p>
    <w:p w14:paraId="638E6FDA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2</w:t>
      </w:r>
      <w:r w:rsidRPr="00751466">
        <w:rPr>
          <w:lang w:val="ru-RU"/>
        </w:rPr>
        <w:tab/>
        <w:t>HRMD возглавляет усилия в масштабах всего Союза по разработке системы делегирования полномочий для МСЭ в целях децентрализации процесса принятия решений и согласования полномочий с обязанностями. Эта система, основанная на передовом опыте ООН, обеспечивает надлежащее и прозрачное делегирование полномочий, и в настоящее время проходит заключительный внутренний обзор.</w:t>
      </w:r>
    </w:p>
    <w:p w14:paraId="6A65DAF4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3</w:t>
      </w:r>
      <w:r w:rsidRPr="00751466">
        <w:rPr>
          <w:lang w:val="ru-RU"/>
        </w:rPr>
        <w:tab/>
        <w:t>HRMD запустил серию бесед по вопросам ЛР, в рамках которых проводятся сессии по повышению осведомленности о политике и процедурах в области ЛР. Первое мероприятие было проведено в ноябре 2025 года в рамках процесса набора SSA. Планируются дополнительные мероприятия.</w:t>
      </w:r>
    </w:p>
    <w:p w14:paraId="608DBDE5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4</w:t>
      </w:r>
      <w:r w:rsidRPr="00751466">
        <w:rPr>
          <w:lang w:val="ru-RU"/>
        </w:rPr>
        <w:tab/>
        <w:t xml:space="preserve">Целевая подготовка по вопросам управления показателями деятельности и соответствующие усилия по управлению изменениями поддерживались в рамках шести информационных сессий, проведенных для руководителей и сотрудников в масштабе всего Союза. Была представлена современная, удобная для пользователей страница </w:t>
      </w:r>
      <w:r w:rsidRPr="00751466">
        <w:rPr>
          <w:lang w:val="ru-RU"/>
        </w:rPr>
        <w:lastRenderedPageBreak/>
        <w:t>управления показателями деятельности, способствующая уменьшению количества системных запросов по оценкам в конце года.</w:t>
      </w:r>
      <w:bookmarkStart w:id="10" w:name="_Hlk195088523"/>
    </w:p>
    <w:p w14:paraId="38BAF2AD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5</w:t>
      </w:r>
      <w:r w:rsidRPr="00751466">
        <w:rPr>
          <w:lang w:val="ru-RU"/>
        </w:rPr>
        <w:tab/>
        <w:t>Поддержка на местах была усилена благодаря укреплению связей между HRMD и региональными отделениями. HRMD провел собрания по пособиям по социальному обеспечению в различных регионах и направил озвученные проблемы на местах в Общество взаимного страхования сотрудников Организации Объединенных Наций (ЮНСМИС) перед собраниями персонала. После этого обмена информацией портал управления людскими ресурсами и веб-сайт SharePoint были обновлены; добавлены оптимизированные указания по экстренной госпитализации и медицинским процедурам, дополнен раздел часто задаваемых вопросов, чтобы обеспечить сотрудникам на местах четкую и доступную поддержку. Помимо этого, совместно с HRMD, ЮНСМИС и службой безопасности готовятся специальные вебинары по чрезвычайным ситуациям медицинского характера для предоставления рекомендаций сотрудникам на местах.</w:t>
      </w:r>
    </w:p>
    <w:bookmarkEnd w:id="10"/>
    <w:p w14:paraId="76FCB3AE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6</w:t>
      </w:r>
      <w:r w:rsidRPr="00751466">
        <w:rPr>
          <w:lang w:val="ru-RU"/>
        </w:rPr>
        <w:tab/>
        <w:t>Деятельность службы ЛР в области социального обеспечения, страхования и соблюдения требований велась на основе тесного сотрудничества с партнерами, включая ЮНСМИС и Объединенный пенсионный фонд персонала Организации Объединенных Наций (ОПФП ООН). Это включало общие собрания для сотрудников и пенсионеров, проверку данных о регистрации пенсий и специальную поддержку клиентов.</w:t>
      </w:r>
    </w:p>
    <w:p w14:paraId="57861C6F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7</w:t>
      </w:r>
      <w:r w:rsidRPr="00751466">
        <w:rPr>
          <w:lang w:val="ru-RU"/>
        </w:rPr>
        <w:tab/>
        <w:t>Обслуживание клиентов по финансовым вопросам персонала было укреплено путем обеспечения постоянного консультирования по глобальной службе заработной платы и финансового вознаграждения персонала, включая руководящие указания по банковским операциям и взаимодействие с ПРООН по платежным требованиям. Для дальнейшей оптимизации операций были разработаны новые стандартные рабочие процедуры, повышающие эффективность и согласованность деятельности по начислению заработной платы.</w:t>
      </w:r>
    </w:p>
    <w:p w14:paraId="4EFDC2D6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8</w:t>
      </w:r>
      <w:r w:rsidRPr="00751466">
        <w:rPr>
          <w:lang w:val="ru-RU"/>
        </w:rPr>
        <w:tab/>
        <w:t xml:space="preserve">HRMD поддерживал руководство заместителя Генерального секретаря в Целевой группе Координационного совета руководителей системы ООН (КСР) по предотвращению сексуальных домогательств и реагированию на них. Кроме того, в течение года HRMD предоставлял руководящие указания сотрудникам и руководителям по сложным оперативным и административным вопросам, способствуя повышению эффективности, последовательности и прозрачности процессов, связанных, в частности, с выходом в отставку, выходом на пенсию, а также планами повышения эффективности работы. В 2025 году к одному сотруднику МСЭ было применено дисциплинарное взыскание – устный выговор за несанкционированное использование ресурсов МСЭ. В отношении обвинений в сексуальной эксплуатации и сексуальных надругательствах, сексуальных домогательствах или любых других проступках санкции не применялись. </w:t>
      </w:r>
    </w:p>
    <w:p w14:paraId="782876E3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9</w:t>
      </w:r>
      <w:r w:rsidRPr="00751466">
        <w:rPr>
          <w:lang w:val="ru-RU"/>
        </w:rPr>
        <w:tab/>
        <w:t>Продолжалась работа по сопоставлению и анализу процессов ведения деятельности в области ЛР, при этом особое внимание уделялось упорядочению и упрощению основных этапов и процедур. В соответствии с приоритетами HRMD в области эффективности и автоматизации деятельности в сотрудничестве с группой ISD/ERP был реализован ряд усовершенствований в системе SAP ЛР; дополнительные улучшения находятся в процессе разработки. HRMD разработал руководящие указания по архивированию и инициирует процесс архивирования важных документов для повышения прослеживаемости и совершенствования управления знаниями.</w:t>
      </w:r>
    </w:p>
    <w:p w14:paraId="4365D8ED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10</w:t>
      </w:r>
      <w:r w:rsidRPr="00751466">
        <w:rPr>
          <w:lang w:val="ru-RU"/>
        </w:rPr>
        <w:tab/>
        <w:t xml:space="preserve">Были улучшены аналитика и качество данных в области ЛР для поддержки принятия решений на основе фактических данных. Возможности бизнес-аналитики с помощью приложений Power BI и SAP Business Warehouse (BW) были дополнительно расширены, включая постоянное совершенствование аналитического отчета о трудовых ресурсах </w:t>
      </w:r>
      <w:r w:rsidRPr="00751466">
        <w:rPr>
          <w:lang w:val="ru-RU"/>
        </w:rPr>
        <w:lastRenderedPageBreak/>
        <w:t xml:space="preserve">для Совета. Помимо ответов примерно на 200 внутренних и внешних запросов об отчетности, HRMD усовершенствовал интеграцию данных между SAP, ePMDS, системой управления набором персонала (RMS) и системой управления обучением (LMS). Целенаправленная очистка данных также повысила общую надежность. </w:t>
      </w:r>
    </w:p>
    <w:p w14:paraId="353FDCAE" w14:textId="77777777" w:rsidR="00827A4B" w:rsidRPr="00751466" w:rsidRDefault="00827A4B" w:rsidP="002C3729">
      <w:pPr>
        <w:pStyle w:val="enumlev1"/>
        <w:jc w:val="both"/>
        <w:rPr>
          <w:lang w:val="ru-RU"/>
        </w:rPr>
      </w:pPr>
      <w:r w:rsidRPr="00751466">
        <w:rPr>
          <w:lang w:val="ru-RU"/>
        </w:rPr>
        <w:t>11</w:t>
      </w:r>
      <w:r w:rsidRPr="00751466">
        <w:rPr>
          <w:lang w:val="ru-RU"/>
        </w:rPr>
        <w:tab/>
        <w:t>HRMD продолжал повышать подотчетность, содействуя выполнению невыполненных рекомендаций, касающихся сферы его ответственности, в том числе рекомендаций, следующих из результатов внутреннего аудита, внешнего аудита, ОИГ и IMAC, в соответствии с приоритетами в области управления рисками. С августа 2023 года было успешно выполнено 58 таких рекомендаций. Было проведено тщательное сопоставление по темам и приоритетам. Прогресс обусловлен следующими элементами: i) конкретная подотчетность, задачи по которой включены в годовой план работы; ii) систематическое отслеживание посредством периодических обзоров для выявления проблемных мест; и iii) установление приоритетов на основе рисков с уделением особого внимания "критически важным нерешенным" вопросам.</w:t>
      </w:r>
    </w:p>
    <w:p w14:paraId="6E01DE38" w14:textId="77777777" w:rsidR="00827A4B" w:rsidRPr="00751466" w:rsidRDefault="00827A4B" w:rsidP="002C3729">
      <w:pPr>
        <w:pStyle w:val="Headingb"/>
        <w:jc w:val="both"/>
        <w:rPr>
          <w:lang w:val="ru-RU"/>
        </w:rPr>
      </w:pPr>
      <w:r w:rsidRPr="00751466">
        <w:rPr>
          <w:bCs/>
          <w:lang w:val="ru-RU"/>
        </w:rPr>
        <w:t>Переход к Стратегическому плану МСЭ в области людских ресурсов на 2026−2027 годы</w:t>
      </w:r>
    </w:p>
    <w:p w14:paraId="58B6F078" w14:textId="77777777" w:rsidR="00827A4B" w:rsidRPr="00751466" w:rsidRDefault="00827A4B" w:rsidP="002C3729">
      <w:pPr>
        <w:jc w:val="both"/>
        <w:rPr>
          <w:lang w:val="ru-RU"/>
        </w:rPr>
      </w:pPr>
      <w:r w:rsidRPr="00751466">
        <w:rPr>
          <w:lang w:val="ru-RU"/>
        </w:rPr>
        <w:t>Завершив разработку Плана трансформации людских ресурсов (ПТЛР), МСЭ переходит к Стратегическому плану МСЭ в области людских ресурсов на 2026−2027 годы (подлежит утверждению Советом), который завершает четырехгодичный цикл планирования, требуемый в соответствии с Резолюцией 48. Этот промежуточный двухлетний план консолидирует и внедрит конечные результаты трансформации ЛР − от разработки и развертывания к устойчивому внедрению и измеримому воздействию − параллельно с обеспечением беспрепятственного согласования со следующим четырехгодичным циклом стратегического планирования МСЭ.</w:t>
      </w:r>
    </w:p>
    <w:p w14:paraId="3290DF1A" w14:textId="6EAC1782" w:rsidR="00C462C5" w:rsidRPr="00751466" w:rsidRDefault="00827A4B" w:rsidP="00827A4B">
      <w:pPr>
        <w:pStyle w:val="Normalaftertitle"/>
        <w:spacing w:before="2400"/>
        <w:rPr>
          <w:lang w:val="ru-RU"/>
        </w:rPr>
      </w:pPr>
      <w:r w:rsidRPr="00751466">
        <w:rPr>
          <w:b/>
          <w:bCs/>
          <w:lang w:val="ru-RU"/>
        </w:rPr>
        <w:t>Приложение</w:t>
      </w:r>
      <w:r w:rsidRPr="00751466">
        <w:rPr>
          <w:lang w:val="ru-RU"/>
        </w:rPr>
        <w:t>: 1</w:t>
      </w:r>
    </w:p>
    <w:p w14:paraId="3E65D300" w14:textId="77777777" w:rsidR="00827A4B" w:rsidRPr="00751466" w:rsidRDefault="00827A4B" w:rsidP="00827A4B">
      <w:pPr>
        <w:rPr>
          <w:lang w:val="ru-RU"/>
        </w:rPr>
        <w:sectPr w:rsidR="00827A4B" w:rsidRPr="00751466" w:rsidSect="00796BD3">
          <w:footerReference w:type="default" r:id="rId12"/>
          <w:headerReference w:type="first" r:id="rId13"/>
          <w:footerReference w:type="first" r:id="rId14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360F13A7" w14:textId="77777777" w:rsidR="00827A4B" w:rsidRPr="00751466" w:rsidRDefault="00827A4B" w:rsidP="00827A4B">
      <w:pPr>
        <w:pStyle w:val="AnnexNo"/>
        <w:spacing w:before="0"/>
        <w:rPr>
          <w:lang w:val="ru-RU"/>
        </w:rPr>
      </w:pPr>
      <w:r w:rsidRPr="00751466">
        <w:rPr>
          <w:lang w:val="ru-RU"/>
        </w:rPr>
        <w:lastRenderedPageBreak/>
        <w:t>Приложение I</w:t>
      </w:r>
    </w:p>
    <w:p w14:paraId="7B71C255" w14:textId="32EC2C7A" w:rsidR="00827A4B" w:rsidRPr="00751466" w:rsidRDefault="00827A4B" w:rsidP="00827A4B">
      <w:pPr>
        <w:pStyle w:val="Annextitle"/>
        <w:rPr>
          <w:lang w:val="ru-RU"/>
        </w:rPr>
      </w:pPr>
      <w:r w:rsidRPr="00751466">
        <w:rPr>
          <w:bCs/>
          <w:lang w:val="ru-RU"/>
        </w:rPr>
        <w:t xml:space="preserve">Выполнение Резолюции 48 – Показатели в области ЛР и обновленная информация о результатах работы </w:t>
      </w:r>
      <w:r w:rsidRPr="00751466">
        <w:rPr>
          <w:bCs/>
          <w:lang w:val="ru-RU"/>
        </w:rPr>
        <w:br/>
        <w:t>(по состоянию на конец февраля 2026 г.)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1962"/>
        <w:gridCol w:w="3683"/>
        <w:gridCol w:w="7944"/>
      </w:tblGrid>
      <w:tr w:rsidR="00827A4B" w:rsidRPr="00D66219" w14:paraId="504D6804" w14:textId="77777777" w:rsidTr="00827A4B">
        <w:trPr>
          <w:cantSplit/>
          <w:trHeight w:val="401"/>
          <w:tblHeader/>
          <w:jc w:val="center"/>
        </w:trPr>
        <w:tc>
          <w:tcPr>
            <w:tcW w:w="207" w:type="pct"/>
            <w:shd w:val="clear" w:color="auto" w:fill="B8CCE4" w:themeFill="accent1" w:themeFillTint="66"/>
            <w:vAlign w:val="center"/>
            <w:hideMark/>
          </w:tcPr>
          <w:p w14:paraId="563940D2" w14:textId="77777777" w:rsidR="00827A4B" w:rsidRPr="00751466" w:rsidRDefault="00827A4B" w:rsidP="00827A4B">
            <w:pPr>
              <w:pStyle w:val="Tablehead"/>
              <w:rPr>
                <w:lang w:val="ru-RU"/>
              </w:rPr>
            </w:pPr>
            <w:r w:rsidRPr="00751466">
              <w:rPr>
                <w:lang w:val="ru-RU"/>
              </w:rPr>
              <w:t>№ п/п</w:t>
            </w:r>
          </w:p>
        </w:tc>
        <w:tc>
          <w:tcPr>
            <w:tcW w:w="692" w:type="pct"/>
            <w:shd w:val="clear" w:color="auto" w:fill="B8CCE4" w:themeFill="accent1" w:themeFillTint="66"/>
            <w:vAlign w:val="center"/>
          </w:tcPr>
          <w:p w14:paraId="6D78A190" w14:textId="77777777" w:rsidR="00827A4B" w:rsidRPr="00751466" w:rsidRDefault="00827A4B" w:rsidP="00827A4B">
            <w:pPr>
              <w:pStyle w:val="Tablehead"/>
              <w:rPr>
                <w:lang w:val="ru-RU"/>
              </w:rPr>
            </w:pPr>
            <w:r w:rsidRPr="00751466">
              <w:rPr>
                <w:lang w:val="ru-RU"/>
              </w:rPr>
              <w:t>Пункты</w:t>
            </w:r>
          </w:p>
        </w:tc>
        <w:tc>
          <w:tcPr>
            <w:tcW w:w="1299" w:type="pct"/>
            <w:shd w:val="clear" w:color="auto" w:fill="B8CCE4" w:themeFill="accent1" w:themeFillTint="66"/>
            <w:vAlign w:val="center"/>
          </w:tcPr>
          <w:p w14:paraId="47DAF305" w14:textId="77777777" w:rsidR="00827A4B" w:rsidRPr="00751466" w:rsidRDefault="00827A4B" w:rsidP="00827A4B">
            <w:pPr>
              <w:pStyle w:val="Tablehead"/>
              <w:rPr>
                <w:lang w:val="ru-RU"/>
              </w:rPr>
            </w:pPr>
            <w:r w:rsidRPr="00751466">
              <w:rPr>
                <w:lang w:val="ru-RU"/>
              </w:rPr>
              <w:t>Показатели</w:t>
            </w:r>
          </w:p>
        </w:tc>
        <w:tc>
          <w:tcPr>
            <w:tcW w:w="2802" w:type="pct"/>
            <w:shd w:val="clear" w:color="auto" w:fill="B8CCE4" w:themeFill="accent1" w:themeFillTint="66"/>
            <w:vAlign w:val="center"/>
          </w:tcPr>
          <w:p w14:paraId="35A9DB43" w14:textId="77777777" w:rsidR="00827A4B" w:rsidRPr="00751466" w:rsidRDefault="00827A4B" w:rsidP="00827A4B">
            <w:pPr>
              <w:pStyle w:val="Tablehead"/>
              <w:rPr>
                <w:lang w:val="ru-RU"/>
              </w:rPr>
            </w:pPr>
            <w:r w:rsidRPr="00751466">
              <w:rPr>
                <w:lang w:val="ru-RU"/>
              </w:rPr>
              <w:t>Отчетность (по состоянию на конец февраля 2026 г.)</w:t>
            </w:r>
          </w:p>
        </w:tc>
      </w:tr>
      <w:tr w:rsidR="00827A4B" w:rsidRPr="00D66219" w14:paraId="5AC7D518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  <w:hideMark/>
          </w:tcPr>
          <w:p w14:paraId="449C30A7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692" w:type="pct"/>
            <w:shd w:val="clear" w:color="auto" w:fill="FFFFFF" w:themeFill="background1"/>
            <w:vAlign w:val="center"/>
            <w:hideMark/>
          </w:tcPr>
          <w:p w14:paraId="3703504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Набор персонала и представительство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152BBD4A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Количественный и качественный анализ изменения должностей (рассмотрение, повышение, понижение, перевод и создание)/общее число должностей, прошедших классификацию.</w:t>
            </w:r>
          </w:p>
          <w:p w14:paraId="4A097F46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Использование стандартов классификации должностей, введенных КМГС.</w:t>
            </w:r>
          </w:p>
        </w:tc>
        <w:tc>
          <w:tcPr>
            <w:tcW w:w="2802" w:type="pct"/>
            <w:vAlign w:val="center"/>
          </w:tcPr>
          <w:p w14:paraId="69646D87" w14:textId="574F1114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Действия по классификации, предпринятые в период с 2025 года по февраль 2026 года (</w:t>
            </w:r>
            <w:r w:rsidR="00EE43D8">
              <w:rPr>
                <w:color w:val="000000"/>
                <w:lang w:val="ru-RU"/>
              </w:rPr>
              <w:t>*</w:t>
            </w:r>
            <w:r w:rsidRPr="00751466">
              <w:rPr>
                <w:color w:val="000000"/>
                <w:lang w:val="ru-RU"/>
              </w:rPr>
              <w:t xml:space="preserve">не считая подтверждения классов сотрудников по краткосрочным контрактам и реорганизации): </w:t>
            </w:r>
          </w:p>
          <w:p w14:paraId="4CCAD0B9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создано 12 штатных должностей;</w:t>
            </w:r>
          </w:p>
          <w:p w14:paraId="1BB62CA4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создано 20 внебюджетных должностей;</w:t>
            </w:r>
          </w:p>
          <w:p w14:paraId="36DB447A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0 понижений в классе;</w:t>
            </w:r>
          </w:p>
          <w:p w14:paraId="14DEDF4E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9 повышений в классе;</w:t>
            </w:r>
          </w:p>
          <w:p w14:paraId="452964CA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20 переводов;</w:t>
            </w:r>
          </w:p>
          <w:p w14:paraId="600C6EB9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46 пересмотров</w:t>
            </w:r>
          </w:p>
          <w:p w14:paraId="5800AB23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6 отмен;</w:t>
            </w:r>
          </w:p>
          <w:p w14:paraId="2CB24830" w14:textId="77777777" w:rsidR="00827A4B" w:rsidRPr="00751466" w:rsidRDefault="00827A4B" w:rsidP="00827A4B">
            <w:pPr>
              <w:pStyle w:val="Tabletext"/>
              <w:numPr>
                <w:ilvl w:val="0"/>
                <w:numId w:val="2"/>
              </w:num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26 решений о специальных должностных надбавках.</w:t>
            </w:r>
          </w:p>
          <w:p w14:paraId="4E88378C" w14:textId="77777777" w:rsidR="00827A4B" w:rsidRPr="00751466" w:rsidRDefault="00827A4B" w:rsidP="00827A4B">
            <w:pPr>
              <w:pStyle w:val="Tabletext"/>
              <w:spacing w:before="120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Все описания должностей/позиции были оценены согласно стандартам классификации КМГС.</w:t>
            </w:r>
          </w:p>
        </w:tc>
      </w:tr>
      <w:tr w:rsidR="00827A4B" w:rsidRPr="00D66219" w14:paraId="204B82FC" w14:textId="77777777" w:rsidTr="00827A4B">
        <w:trPr>
          <w:cantSplit/>
          <w:trHeight w:val="57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3F46CE63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A688F8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Набор персонала и представительство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3857B0B2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Среднее число заявлений на одну должность.</w:t>
            </w:r>
          </w:p>
        </w:tc>
        <w:tc>
          <w:tcPr>
            <w:tcW w:w="2802" w:type="pct"/>
            <w:vAlign w:val="center"/>
          </w:tcPr>
          <w:p w14:paraId="1722776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110,3 заявления на одну должность по срочным контрактам</w:t>
            </w:r>
          </w:p>
        </w:tc>
      </w:tr>
      <w:tr w:rsidR="00827A4B" w:rsidRPr="00D66219" w14:paraId="27FF5B12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0BECCBDA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655168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Набор персонала и представительство</w:t>
            </w: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594F0D71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Географический и гендерный состав кадров, в разбивке по месту службы, секторам и классам должностей (%).</w:t>
            </w:r>
          </w:p>
          <w:p w14:paraId="48C3894F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Гендерное распределение в разбивке по профессиональным группам (%).</w:t>
            </w:r>
          </w:p>
          <w:p w14:paraId="10776CB3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 xml:space="preserve">Регулярный контроль ключевых показателей многообразия кадров, таких как географическое распределение и гендерный паритет. </w:t>
            </w:r>
          </w:p>
        </w:tc>
        <w:tc>
          <w:tcPr>
            <w:tcW w:w="2802" w:type="pct"/>
            <w:vAlign w:val="center"/>
          </w:tcPr>
          <w:p w14:paraId="5091D010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Динамическая информационная панель, постоянно обновляемая с использованием данных из хранилища данных системы SAP HR и предоставляющая обновленные статистические данные по всему персоналу МСЭ, в том числе в разбивке по гендерной принадлежности и географическим регионам.</w:t>
            </w:r>
          </w:p>
          <w:p w14:paraId="04E7E922" w14:textId="1349E1AD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Гендерное распределение по </w:t>
            </w:r>
            <w:r w:rsidR="00EE43D8">
              <w:rPr>
                <w:color w:val="000000"/>
                <w:lang w:val="ru-RU"/>
              </w:rPr>
              <w:t>С</w:t>
            </w:r>
            <w:r w:rsidRPr="00751466">
              <w:rPr>
                <w:color w:val="000000"/>
                <w:lang w:val="ru-RU"/>
              </w:rPr>
              <w:t>екторам (штатные сотрудники):</w:t>
            </w:r>
          </w:p>
          <w:p w14:paraId="4FE75F5E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БРЭ: 53,9% женщины/46,1% мужчины;</w:t>
            </w:r>
          </w:p>
          <w:p w14:paraId="7A4284D1" w14:textId="6A79A22A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БР: 42,6% женщины/57,4% мужчины;</w:t>
            </w:r>
          </w:p>
          <w:p w14:paraId="64EE46CD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ГС: 54,6% женщины/45,4% мужчины;</w:t>
            </w:r>
          </w:p>
          <w:p w14:paraId="241F1080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БСЭ: 52,0% женщины/48,0% мужчины;</w:t>
            </w:r>
          </w:p>
          <w:p w14:paraId="56C8B2CD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Гендерное распределение в разбивке по профессиональным группам (штатные сотрудники):</w:t>
            </w:r>
          </w:p>
          <w:p w14:paraId="6C803411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категория специалистов и выше: 44,6% женщины/ 55,4% мужчины;</w:t>
            </w:r>
          </w:p>
          <w:p w14:paraId="0D5A68F7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категория общего обслуживания: 66,8% женщины/ 33,2% мужчины.</w:t>
            </w:r>
          </w:p>
          <w:p w14:paraId="607977B6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Географическое распределение (штатные сотрудники): граждане 114 стран.</w:t>
            </w:r>
          </w:p>
          <w:p w14:paraId="2EF272DC" w14:textId="77777777" w:rsidR="00827A4B" w:rsidRPr="00751466" w:rsidRDefault="00827A4B" w:rsidP="00827A4B">
            <w:pPr>
              <w:spacing w:before="0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_______________</w:t>
            </w:r>
          </w:p>
          <w:p w14:paraId="262D316C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i/>
                <w:iCs/>
                <w:sz w:val="18"/>
                <w:szCs w:val="18"/>
                <w:lang w:val="ru-RU"/>
              </w:rPr>
            </w:pPr>
            <w:r w:rsidRPr="00751466">
              <w:rPr>
                <w:color w:val="000000"/>
                <w:lang w:val="ru-RU"/>
              </w:rPr>
              <w:t>*</w:t>
            </w:r>
            <w:r w:rsidRPr="00751466">
              <w:rPr>
                <w:color w:val="000000"/>
                <w:lang w:val="ru-RU"/>
              </w:rPr>
              <w:tab/>
            </w:r>
            <w:r w:rsidRPr="00751466">
              <w:rPr>
                <w:i/>
                <w:iCs/>
                <w:color w:val="000000"/>
                <w:lang w:val="ru-RU"/>
              </w:rPr>
              <w:t>Данные по состоянию на 6 февраля 2026 года.</w:t>
            </w:r>
          </w:p>
          <w:p w14:paraId="2ECDCB5C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**</w:t>
            </w:r>
            <w:r w:rsidRPr="00751466">
              <w:rPr>
                <w:color w:val="000000"/>
                <w:lang w:val="ru-RU"/>
              </w:rPr>
              <w:tab/>
            </w:r>
            <w:r w:rsidRPr="00751466">
              <w:rPr>
                <w:i/>
                <w:iCs/>
                <w:color w:val="000000"/>
                <w:lang w:val="ru-RU"/>
              </w:rPr>
              <w:t>Избираемые должностные лица и сотрудники, находящиеся в специальном отпуске без сохранения содержания, исключаются из всех приведенных выше показателей.</w:t>
            </w:r>
          </w:p>
        </w:tc>
      </w:tr>
      <w:tr w:rsidR="00827A4B" w:rsidRPr="00751466" w14:paraId="382ED0BA" w14:textId="77777777" w:rsidTr="00827A4B">
        <w:trPr>
          <w:cantSplit/>
          <w:trHeight w:val="898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0A55826E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bookmarkStart w:id="11" w:name="_Hlk95295505"/>
            <w:r w:rsidRPr="00751466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0D7974F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Партнерские отношения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07896B72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Количество установленных партнерских отношений с администрациями (представление отчетов, содержащих качественные параметры, об инициативах и отчетов, содержащих количественные параметры, т. е. количество целевых фондов (FIT), младших сотрудников категории специалистов (МСС), временно привлеченного и прикомандированного персонала, набранного в рамках программ партнерства).</w:t>
            </w:r>
          </w:p>
        </w:tc>
        <w:tc>
          <w:tcPr>
            <w:tcW w:w="2802" w:type="pct"/>
            <w:vAlign w:val="center"/>
          </w:tcPr>
          <w:p w14:paraId="3DEBB8F9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Число партнеров в рамках программ FIT и временного привлечения сотрудников: 8.</w:t>
            </w:r>
          </w:p>
          <w:p w14:paraId="17240A04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Число партнеров в рамках программы МСС: 8.</w:t>
            </w:r>
          </w:p>
          <w:p w14:paraId="5CA101F6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Число партнеров в рамках спонсируемой программы стажировок: 2.</w:t>
            </w:r>
          </w:p>
          <w:p w14:paraId="27D51149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целевых фондов: 8 (еще один начнет функционировать с 1 марта 2026 г.)</w:t>
            </w:r>
          </w:p>
          <w:p w14:paraId="3404EBF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МСС: 5, еще 3 начнут работу с 1 марта 2026 года, а также еще несколько позднее.</w:t>
            </w:r>
          </w:p>
          <w:p w14:paraId="3BDD69C0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временно привлеченных сотрудников: 9</w:t>
            </w:r>
          </w:p>
        </w:tc>
      </w:tr>
      <w:tr w:rsidR="00827A4B" w:rsidRPr="00D66219" w14:paraId="657D2BB4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770A5193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1E864B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Партнерские отношения</w:t>
            </w: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2B6CCB79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Разработаны и выполняются программы для молодых перспективных кадров.</w:t>
            </w:r>
          </w:p>
          <w:p w14:paraId="07C6B8A0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Количество стажеров.</w:t>
            </w:r>
          </w:p>
        </w:tc>
        <w:tc>
          <w:tcPr>
            <w:tcW w:w="2802" w:type="pct"/>
            <w:vAlign w:val="center"/>
          </w:tcPr>
          <w:p w14:paraId="6DA59987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сотрудников по программе "молодые специалисты": 6</w:t>
            </w:r>
          </w:p>
          <w:p w14:paraId="04FFD43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стажеров – 70 (ГС – 22; БР – 7; БРЭ – 28; БСЭ – 13)</w:t>
            </w:r>
          </w:p>
        </w:tc>
      </w:tr>
      <w:bookmarkEnd w:id="11"/>
      <w:tr w:rsidR="00827A4B" w:rsidRPr="00D66219" w14:paraId="62085695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0E027D8C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971F95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Стипендии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10A341B1" w14:textId="77777777" w:rsidR="00827A4B" w:rsidRPr="00751466" w:rsidRDefault="00827A4B" w:rsidP="00827A4B">
            <w:pPr>
              <w:pStyle w:val="Tabletext"/>
              <w:ind w:left="284" w:hanging="284"/>
              <w:rPr>
                <w:rFonts w:cs="Calibri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Количество предоставленных стипендий.</w:t>
            </w:r>
          </w:p>
        </w:tc>
        <w:tc>
          <w:tcPr>
            <w:tcW w:w="2802" w:type="pct"/>
            <w:vAlign w:val="center"/>
          </w:tcPr>
          <w:p w14:paraId="621BDD5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 соответствии с Резолюцией 213 (Дубай, 2018 г.) в 2025 году было предоставлено рекордное количество стипендий – 1056. Из них 447 были профинансированы из регулярного бюджета МСЭ и предоставлены тремя Бюро, а остальные 609 были предоставлены в рамках проектов и добровольных взносов.</w:t>
            </w:r>
          </w:p>
        </w:tc>
      </w:tr>
      <w:tr w:rsidR="00827A4B" w:rsidRPr="00D66219" w14:paraId="462F0DFD" w14:textId="77777777" w:rsidTr="00827A4B">
        <w:trPr>
          <w:cantSplit/>
          <w:trHeight w:val="114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74EE807F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CC47754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Управление показателями деятельности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1822C0A3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Коэффициенты соответствия.</w:t>
            </w:r>
          </w:p>
          <w:p w14:paraId="0844EF15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Соотношение числа эффективных и неэффективных сотрудников.</w:t>
            </w:r>
          </w:p>
        </w:tc>
        <w:tc>
          <w:tcPr>
            <w:tcW w:w="2802" w:type="pct"/>
            <w:vAlign w:val="center"/>
          </w:tcPr>
          <w:p w14:paraId="57949F24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90,1% сотрудников МСЭ завершили этап установления параметров ePMDS в рамках плана работы на 2025 год, а 78,6% завершили этап оценки в конце года (за исключением сотрудников, находящихся в длительном отпуске по болезни).</w:t>
            </w:r>
          </w:p>
          <w:p w14:paraId="7BAA0FDA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Для персонала и руководителей Союза организовано шесть учебных сессий по вопросам управления показателями деятельности. </w:t>
            </w:r>
          </w:p>
        </w:tc>
      </w:tr>
      <w:tr w:rsidR="00827A4B" w:rsidRPr="00D66219" w14:paraId="1126C4ED" w14:textId="77777777" w:rsidTr="00827A4B">
        <w:trPr>
          <w:cantSplit/>
          <w:trHeight w:val="549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16387D0D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2222E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Управление показателями деятельности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08A1E731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Повышение эффективности ePMDS.</w:t>
            </w:r>
          </w:p>
        </w:tc>
        <w:tc>
          <w:tcPr>
            <w:tcW w:w="2802" w:type="pct"/>
            <w:vAlign w:val="center"/>
          </w:tcPr>
          <w:p w14:paraId="462EEC29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Время, необходимое руководителям для оценки эффективности работы, сократилось по меньшей мере на 50% благодаря упрощенному инструменту.</w:t>
            </w:r>
          </w:p>
        </w:tc>
      </w:tr>
      <w:tr w:rsidR="00827A4B" w:rsidRPr="00D66219" w14:paraId="4D747054" w14:textId="77777777" w:rsidTr="00827A4B">
        <w:trPr>
          <w:cantSplit/>
          <w:trHeight w:val="448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175D7E62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8C6379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Управление показателями деятельности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67505CD9" w14:textId="67DA9243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Сокращение количества запросов, связанных с оценкой эффективности (в</w:t>
            </w:r>
            <w:r w:rsidR="00EE43D8">
              <w:rPr>
                <w:color w:val="000000"/>
                <w:lang w:val="ru-RU"/>
              </w:rPr>
              <w:t> </w:t>
            </w:r>
            <w:r w:rsidRPr="00751466">
              <w:rPr>
                <w:color w:val="000000"/>
                <w:lang w:val="ru-RU"/>
              </w:rPr>
              <w:t>%).</w:t>
            </w:r>
          </w:p>
        </w:tc>
        <w:tc>
          <w:tcPr>
            <w:tcW w:w="2802" w:type="pct"/>
            <w:vAlign w:val="center"/>
          </w:tcPr>
          <w:p w14:paraId="1106D05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Количество запросов, связанных с оценками по итогам года, сократилось на 26% по сравнению с предыдущим годом</w:t>
            </w:r>
          </w:p>
        </w:tc>
      </w:tr>
      <w:tr w:rsidR="00827A4B" w:rsidRPr="00D66219" w14:paraId="3FAD9EC8" w14:textId="77777777" w:rsidTr="00827A4B">
        <w:trPr>
          <w:cantSplit/>
          <w:trHeight w:val="40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0706199D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11605F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Обучение и повышение квалификации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05AAE92B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Инвестиции в обучение в процентном отношении расходов на персонал (целевой показатель = 3%).</w:t>
            </w:r>
          </w:p>
        </w:tc>
        <w:tc>
          <w:tcPr>
            <w:tcW w:w="2802" w:type="pct"/>
            <w:vAlign w:val="center"/>
          </w:tcPr>
          <w:p w14:paraId="08BFC322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Инвестиции в профессиональную подготовку составляют 0,3% от затрат по персоналу. Следует отметить, что обучение в МСЭ проводится сотрудниками МСЭ на безвозмездной основе. МСЭ использует ресурсы для самостоятельного обучения, доступные благодаря нашим лицензионным соглашениям с такими платформами, как LinkedIn Learning, которые обеспечивают масштабируемый и экономичный доступ к высококачественному контенту. МСЭ также опирается на внутренний опыт и сотрудничество между организациями системы ООН для содействия обмену знаниями и повышения эффективности в рамках всей системы ООН.</w:t>
            </w:r>
          </w:p>
        </w:tc>
      </w:tr>
      <w:tr w:rsidR="00827A4B" w:rsidRPr="00D66219" w14:paraId="1A86AC81" w14:textId="77777777" w:rsidTr="00827A4B">
        <w:trPr>
          <w:cantSplit/>
          <w:trHeight w:val="579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137AD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11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933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Обучение и повышение квалификации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A1ECC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Число организованных программ в области развития потенциала руководителей.</w:t>
            </w:r>
          </w:p>
          <w:p w14:paraId="382C32DB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Число участников программ в области развития потенциала руководителей.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E9F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Комплексная программа развития лидерских качеств, включающая ряд инициатив в области лидерства:</w:t>
            </w:r>
          </w:p>
          <w:p w14:paraId="4848A30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1</w:t>
            </w:r>
            <w:r w:rsidRPr="00751466">
              <w:rPr>
                <w:color w:val="000000"/>
                <w:lang w:val="ru-RU"/>
              </w:rPr>
              <w:tab/>
              <w:t>Программа "Инклюзивное руководство" (включает тир сессии: "Исключение предвзятости, выявление микроагрессии"; "Обеспечение психологической безопасности: открытая и инклюзивная среда"; "Обеспечение гендерной, расовой справедливости и инклюзивности") для руководителей уровня P5 и выше.</w:t>
            </w:r>
          </w:p>
          <w:p w14:paraId="25A3A933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2</w:t>
            </w:r>
            <w:r w:rsidRPr="00751466">
              <w:rPr>
                <w:color w:val="000000"/>
                <w:lang w:val="ru-RU"/>
              </w:rPr>
              <w:tab/>
              <w:t>Программа "Адаптивное руководство", состоящая из следующих компонентов:</w:t>
            </w:r>
          </w:p>
          <w:p w14:paraId="129ED8F4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для высшего руководства;</w:t>
            </w:r>
          </w:p>
          <w:p w14:paraId="72F5D0CB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 xml:space="preserve">семинары-практикумы на тему "Адаптивное руководство" и взаимные консультации для группы "Проводники перемен" МСЭ; </w:t>
            </w:r>
          </w:p>
          <w:p w14:paraId="5B57F8E0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для руководителей уровня P5 и выше;</w:t>
            </w:r>
          </w:p>
          <w:p w14:paraId="58F39066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для руководителей уровня P4;</w:t>
            </w:r>
          </w:p>
          <w:p w14:paraId="12F78FE5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(продвинутый уровень) для избираемых должностных лиц;</w:t>
            </w:r>
          </w:p>
          <w:p w14:paraId="3E57FAD1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(продвинутый уровень) для руководителей уровня P4 и выше, а также группы "Проводники перемен" МСЭ.</w:t>
            </w:r>
          </w:p>
          <w:p w14:paraId="503DE75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3</w:t>
            </w:r>
            <w:r w:rsidRPr="00751466">
              <w:rPr>
                <w:color w:val="000000"/>
                <w:lang w:val="ru-RU"/>
              </w:rPr>
              <w:tab/>
              <w:t>Ежемесячное проведение консультационных мероприятий и последующих вебинаров, направленных на углубление понимания и укрепление практического применения адаптивного лидерства.</w:t>
            </w:r>
          </w:p>
          <w:p w14:paraId="71E1A08A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Число участников программ в области развития потенциала руководителей:</w:t>
            </w:r>
          </w:p>
          <w:p w14:paraId="77D8D274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программа "Инклюзивное руководство": 50% руководителей уровня P5 и выше приняли участие во всех трех сессиях;</w:t>
            </w:r>
          </w:p>
          <w:p w14:paraId="540EA3F3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семинары-практикумы на тему "Адаптивное руководство" (продвинутый уровень) для группы "Проводники перемен" МСЭ: 29 участников;</w:t>
            </w:r>
          </w:p>
          <w:p w14:paraId="50B48C33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для руководителей уровня P4 и выше: 58 участников;</w:t>
            </w:r>
          </w:p>
          <w:p w14:paraId="39736216" w14:textId="2EDF89AB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семинар-практикум на тему "Адаптивное руководство" (продвинутый уровень) для руководителей уровня P4 и выше, а также группы "Проводники перемен" МСЭ: 36</w:t>
            </w:r>
            <w:r w:rsidR="00EE43D8">
              <w:rPr>
                <w:color w:val="000000"/>
                <w:lang w:val="ru-RU"/>
              </w:rPr>
              <w:t> </w:t>
            </w:r>
            <w:r w:rsidRPr="00751466">
              <w:rPr>
                <w:color w:val="000000"/>
                <w:lang w:val="ru-RU"/>
              </w:rPr>
              <w:t>участников.</w:t>
            </w:r>
          </w:p>
        </w:tc>
      </w:tr>
      <w:tr w:rsidR="00827A4B" w:rsidRPr="00751466" w14:paraId="658825C1" w14:textId="77777777" w:rsidTr="00827A4B">
        <w:trPr>
          <w:cantSplit/>
          <w:trHeight w:val="412"/>
          <w:jc w:val="center"/>
        </w:trPr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14:paraId="3B94816B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12</w:t>
            </w:r>
          </w:p>
        </w:tc>
        <w:tc>
          <w:tcPr>
            <w:tcW w:w="692" w:type="pct"/>
            <w:vMerge w:val="restart"/>
            <w:shd w:val="clear" w:color="auto" w:fill="FFFFFF" w:themeFill="background1"/>
            <w:vAlign w:val="center"/>
          </w:tcPr>
          <w:p w14:paraId="4B35B452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Обучение и повышение квалификации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66538E72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Процент сотрудников, прошедших обязательные курсы подготовки.</w:t>
            </w:r>
          </w:p>
        </w:tc>
        <w:tc>
          <w:tcPr>
            <w:tcW w:w="2802" w:type="pct"/>
            <w:vAlign w:val="center"/>
          </w:tcPr>
          <w:p w14:paraId="2E8C9165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Процент сотрудников, прошедших обязательные курсы подготовки:</w:t>
            </w:r>
          </w:p>
          <w:p w14:paraId="61B28B55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Курс "Осведомленность в области кибербезопасности": 74,8%.</w:t>
            </w:r>
          </w:p>
          <w:p w14:paraId="19982C33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BSAFE (учебный курс по осведомленности в области безопасности): 74,2%.</w:t>
            </w:r>
          </w:p>
          <w:p w14:paraId="7DE45EB7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"Я знаю гендерные проблемы", модули 1, 2, 3: 70,7%.</w:t>
            </w:r>
          </w:p>
          <w:p w14:paraId="3D12898B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"United to Respect: предотвращение сексуальных домогательств и других видов запрещенного поведения": 67,9%.</w:t>
            </w:r>
          </w:p>
          <w:p w14:paraId="0B33651A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"Предотвращение сексуальной эксплуатации и сексуальных домогательств": 63,5%.</w:t>
            </w:r>
          </w:p>
          <w:p w14:paraId="4DBA547C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"Этика и добросовестность в МСЭ": 62,0%.</w:t>
            </w:r>
          </w:p>
          <w:p w14:paraId="0048022D" w14:textId="77777777" w:rsidR="00827A4B" w:rsidRPr="00751466" w:rsidRDefault="00827A4B" w:rsidP="00827A4B">
            <w:pPr>
              <w:pStyle w:val="Tabletext"/>
              <w:ind w:left="284" w:hanging="284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 xml:space="preserve">"Экологизация системы ООН": 61,5% </w:t>
            </w:r>
          </w:p>
        </w:tc>
      </w:tr>
      <w:tr w:rsidR="00827A4B" w:rsidRPr="00D66219" w14:paraId="334F566A" w14:textId="77777777" w:rsidTr="00827A4B">
        <w:trPr>
          <w:cantSplit/>
          <w:trHeight w:val="584"/>
          <w:jc w:val="center"/>
        </w:trPr>
        <w:tc>
          <w:tcPr>
            <w:tcW w:w="207" w:type="pct"/>
            <w:vMerge/>
            <w:vAlign w:val="center"/>
          </w:tcPr>
          <w:p w14:paraId="331D39CD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</w:p>
        </w:tc>
        <w:tc>
          <w:tcPr>
            <w:tcW w:w="692" w:type="pct"/>
            <w:vMerge/>
            <w:vAlign w:val="center"/>
          </w:tcPr>
          <w:p w14:paraId="033F49CA" w14:textId="77777777" w:rsidR="00827A4B" w:rsidRPr="00751466" w:rsidRDefault="00827A4B" w:rsidP="00827A4B">
            <w:pPr>
              <w:pStyle w:val="Tabletext"/>
              <w:rPr>
                <w:lang w:val="ru-RU" w:eastAsia="zh-CN"/>
              </w:rPr>
            </w:pP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2DFE7578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bookmarkStart w:id="12" w:name="_Hlk39134893"/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Процент сотрудников, обучающихся без отрыва от производства.</w:t>
            </w:r>
            <w:bookmarkEnd w:id="12"/>
          </w:p>
        </w:tc>
        <w:tc>
          <w:tcPr>
            <w:tcW w:w="2802" w:type="pct"/>
            <w:vAlign w:val="center"/>
          </w:tcPr>
          <w:p w14:paraId="15ED4115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bookmarkStart w:id="13" w:name="_Hlk67902942"/>
            <w:r w:rsidRPr="00751466">
              <w:rPr>
                <w:color w:val="000000"/>
                <w:lang w:val="ru-RU"/>
              </w:rPr>
              <w:t xml:space="preserve">Корпоративное обучение, предусмотренное Планом обучения МСЭ, организовано для всех сотрудников МСЭ, независимо от типа контракта. </w:t>
            </w:r>
          </w:p>
          <w:p w14:paraId="49E68DD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В 2025 году было проведено в общей сложности 38 корпоративных обучающих курсов по различным темам: от цифровых технологий, карьерного роста, лидерства, разнообразия, инклюзивности и акселераторов компетенций до управления эффективностью, обеспечения здоровья и благополучия и сессий по повышению осведомленности. </w:t>
            </w:r>
          </w:p>
          <w:p w14:paraId="2CDCF27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Помимо групповой подготовки, в общей сложности 21 сотрудник прошел индивидуальную специализированную/техническую подготовку. </w:t>
            </w:r>
            <w:bookmarkEnd w:id="13"/>
          </w:p>
        </w:tc>
      </w:tr>
      <w:tr w:rsidR="00827A4B" w:rsidRPr="00D66219" w14:paraId="2B5E1A70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05B2F269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13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3D0A47B7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Обучение и повышение квалификации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4E6DF958" w14:textId="77777777" w:rsidR="00827A4B" w:rsidRPr="00751466" w:rsidRDefault="00827A4B" w:rsidP="00EE43D8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Эффективность затрат на программу обучения языкам.</w:t>
            </w:r>
          </w:p>
        </w:tc>
        <w:tc>
          <w:tcPr>
            <w:tcW w:w="2802" w:type="pct"/>
            <w:vAlign w:val="center"/>
          </w:tcPr>
          <w:p w14:paraId="6C0371D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Укрепление партнерства с ЮНОГ расширило возможности изучения языков с двух до трех семестров в год, что позволило большему числу сотрудников улучшить свои языковые навыки для поддержки организационной эффективности и предоставления услуг на многоязычной основе. </w:t>
            </w:r>
          </w:p>
          <w:p w14:paraId="5B33533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 2025 году был зафиксирован рост числа участников (41 участник в первом семестре, 53 участника во втором семестре и 68 участников в третьем семестре), что отражает рост интереса и вовлеченности.</w:t>
            </w:r>
          </w:p>
          <w:p w14:paraId="5B0D6164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Важно отметить, что это расширение и более высокий уровень участия были полностью покрыты из существующего бюджета на изучение языков, который в последние годы не увеличивался и в 2026 году фактически сократился на 50%.</w:t>
            </w:r>
          </w:p>
        </w:tc>
      </w:tr>
      <w:tr w:rsidR="00827A4B" w:rsidRPr="00D66219" w14:paraId="33C9A66E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5428FDBF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39B780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Обучение и повышение квалификации</w:t>
            </w:r>
          </w:p>
        </w:tc>
        <w:tc>
          <w:tcPr>
            <w:tcW w:w="1299" w:type="pct"/>
            <w:shd w:val="clear" w:color="auto" w:fill="FFFFFF" w:themeFill="background1"/>
            <w:vAlign w:val="center"/>
            <w:hideMark/>
          </w:tcPr>
          <w:p w14:paraId="3E58971C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 xml:space="preserve">Количество проведенных вводных мероприятий (% новых сотрудников, принявших участие). </w:t>
            </w:r>
          </w:p>
        </w:tc>
        <w:tc>
          <w:tcPr>
            <w:tcW w:w="2802" w:type="pct"/>
            <w:vAlign w:val="center"/>
          </w:tcPr>
          <w:p w14:paraId="67A9DC9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 xml:space="preserve">В 2025 году были успешно проведены две вводные программы (4 сессии продолжительностью полдня каждая), в которых приняли участие 110 новых сотрудников, консультантов (SSA) и стажеров. </w:t>
            </w:r>
          </w:p>
          <w:p w14:paraId="7A80A1B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Эти сессии сыграли важную роль в поддержке их плавной интеграции в организацию, укреплении институциональных ценностей и стандартов и обеспечении общего понимания политики, процедур и ожиданий с самого начала работы.</w:t>
            </w:r>
          </w:p>
        </w:tc>
      </w:tr>
      <w:tr w:rsidR="00827A4B" w:rsidRPr="00D66219" w14:paraId="1168D815" w14:textId="77777777" w:rsidTr="00827A4B">
        <w:trPr>
          <w:cantSplit/>
          <w:trHeight w:val="787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5A028A9F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2E8CEC99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Политика в области ЛР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6F5D8691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Пересмотр и обновление политики и служебных приказов в области ЛР.</w:t>
            </w:r>
          </w:p>
        </w:tc>
        <w:tc>
          <w:tcPr>
            <w:tcW w:w="2802" w:type="pct"/>
            <w:vAlign w:val="center"/>
          </w:tcPr>
          <w:p w14:paraId="72005279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Опубликовано 17 новых или пересмотренных руководящих указаний, стратегий/служебных приказов по вопросам людских ресурсов (в том числе по обязательной подготовке, омбудсмену, системе внутреннего правосудия, окладам и классификации должностей, оплате сверхурочной работы сотрудников ГС, официальным праздникам для региональных отделений, оплате труда SSA и занятости вышедших в отставку сотрудников, рабочему времени и гибкому графику работы).</w:t>
            </w:r>
          </w:p>
        </w:tc>
      </w:tr>
      <w:tr w:rsidR="00827A4B" w:rsidRPr="00D66219" w14:paraId="0DEA5330" w14:textId="77777777" w:rsidTr="00827A4B">
        <w:trPr>
          <w:cantSplit/>
          <w:trHeight w:val="383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7E36554C" w14:textId="77777777" w:rsidR="00827A4B" w:rsidRPr="00751466" w:rsidRDefault="00827A4B" w:rsidP="00827A4B">
            <w:pPr>
              <w:pStyle w:val="Tabletext"/>
              <w:spacing w:line="259" w:lineRule="auto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0573433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Политика в области ЛР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31E7541A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Пересматриваемые правила.</w:t>
            </w:r>
          </w:p>
        </w:tc>
        <w:tc>
          <w:tcPr>
            <w:tcW w:w="2802" w:type="pct"/>
            <w:vAlign w:val="center"/>
          </w:tcPr>
          <w:p w14:paraId="1292343A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Пересматривается 11 правил (в том числе в отношении консультантов, набора персонала и т. д.).</w:t>
            </w:r>
          </w:p>
        </w:tc>
      </w:tr>
      <w:tr w:rsidR="00827A4B" w:rsidRPr="00D66219" w14:paraId="3EAF7538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7186222A" w14:textId="77777777" w:rsidR="00827A4B" w:rsidRPr="00751466" w:rsidRDefault="00827A4B" w:rsidP="00827A4B">
            <w:pPr>
              <w:pStyle w:val="Tabletext"/>
              <w:spacing w:line="259" w:lineRule="auto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1D99B45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Данные и отчетность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54268334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Доступ к информационной панели анализа трудовых ресурсов в области ЛР.</w:t>
            </w:r>
          </w:p>
        </w:tc>
        <w:tc>
          <w:tcPr>
            <w:tcW w:w="2802" w:type="pct"/>
            <w:vAlign w:val="center"/>
          </w:tcPr>
          <w:p w14:paraId="64843343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Все сотрудники и все Государства-Члены с учетной записью пользователя МСЭ с доступом к TIES имеют доступ к этой информационной панели.</w:t>
            </w:r>
          </w:p>
        </w:tc>
      </w:tr>
      <w:tr w:rsidR="00827A4B" w:rsidRPr="00D66219" w14:paraId="138965F3" w14:textId="77777777" w:rsidTr="00827A4B">
        <w:trPr>
          <w:cantSplit/>
          <w:trHeight w:val="597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6C30C40D" w14:textId="77777777" w:rsidR="00827A4B" w:rsidRPr="00751466" w:rsidRDefault="00827A4B" w:rsidP="00827A4B">
            <w:pPr>
              <w:pStyle w:val="Tabletext"/>
              <w:spacing w:line="259" w:lineRule="auto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18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25DE1758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Данные и отчетность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54323EBE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Процентная доля установленных соединений между инструментами отчетности и источниками данных.</w:t>
            </w:r>
          </w:p>
        </w:tc>
        <w:tc>
          <w:tcPr>
            <w:tcW w:w="2802" w:type="pct"/>
          </w:tcPr>
          <w:p w14:paraId="269DEC92" w14:textId="77777777" w:rsidR="00827A4B" w:rsidRPr="00751466" w:rsidRDefault="00827A4B" w:rsidP="00827A4B">
            <w:pPr>
              <w:pStyle w:val="Tabletext"/>
              <w:rPr>
                <w:rFonts w:eastAsia="Malgun Gothic"/>
                <w:lang w:val="ru-RU"/>
              </w:rPr>
            </w:pPr>
            <w:r w:rsidRPr="00751466">
              <w:rPr>
                <w:color w:val="000000"/>
                <w:lang w:val="ru-RU"/>
              </w:rPr>
              <w:t>Процентная доля установленных соединений между инструментами отчетности и источниками данных: 100%.</w:t>
            </w:r>
          </w:p>
        </w:tc>
      </w:tr>
      <w:tr w:rsidR="00827A4B" w:rsidRPr="00D66219" w14:paraId="2B69D150" w14:textId="77777777" w:rsidTr="00827A4B">
        <w:trPr>
          <w:cantSplit/>
          <w:trHeight w:val="43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1918C4A4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t>19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63C853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Данные и отчетность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3AD0882C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Обновленные данные о медицинском страховании.</w:t>
            </w:r>
          </w:p>
        </w:tc>
        <w:tc>
          <w:tcPr>
            <w:tcW w:w="2802" w:type="pct"/>
            <w:vAlign w:val="center"/>
          </w:tcPr>
          <w:p w14:paraId="6D04C1FE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Проверено и обновлено 385 учетных записей о медицинском страховании в системе SAP.</w:t>
            </w:r>
          </w:p>
          <w:p w14:paraId="6A932E73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В рамках работы по очистке данных, завершенной в 2025 году, обновлены 3074 учетных записи о медицинском страховании в системе SAP.</w:t>
            </w:r>
          </w:p>
        </w:tc>
      </w:tr>
      <w:tr w:rsidR="00827A4B" w:rsidRPr="00D66219" w14:paraId="26E35B6E" w14:textId="77777777" w:rsidTr="00827A4B">
        <w:trPr>
          <w:cantSplit/>
          <w:trHeight w:val="20"/>
          <w:jc w:val="center"/>
        </w:trPr>
        <w:tc>
          <w:tcPr>
            <w:tcW w:w="207" w:type="pct"/>
            <w:shd w:val="clear" w:color="auto" w:fill="FFFFFF" w:themeFill="background1"/>
            <w:vAlign w:val="center"/>
          </w:tcPr>
          <w:p w14:paraId="158FB43F" w14:textId="77777777" w:rsidR="00827A4B" w:rsidRPr="00751466" w:rsidRDefault="00827A4B" w:rsidP="00827A4B">
            <w:pPr>
              <w:pStyle w:val="Tabletext"/>
              <w:jc w:val="center"/>
              <w:rPr>
                <w:b/>
                <w:lang w:val="ru-RU"/>
              </w:rPr>
            </w:pPr>
            <w:r w:rsidRPr="00751466">
              <w:rPr>
                <w:b/>
                <w:bCs/>
                <w:color w:val="000000"/>
                <w:lang w:val="ru-RU"/>
              </w:rPr>
              <w:lastRenderedPageBreak/>
              <w:t>20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4502819E" w14:textId="77777777" w:rsidR="00827A4B" w:rsidRPr="00751466" w:rsidRDefault="00827A4B" w:rsidP="00827A4B">
            <w:pPr>
              <w:pStyle w:val="Tabletext"/>
              <w:rPr>
                <w:bCs/>
                <w:lang w:val="ru-RU"/>
              </w:rPr>
            </w:pPr>
            <w:r w:rsidRPr="00751466">
              <w:rPr>
                <w:color w:val="000000"/>
                <w:lang w:val="ru-RU"/>
              </w:rPr>
              <w:t>Взаимодействие и культура</w:t>
            </w:r>
          </w:p>
        </w:tc>
        <w:tc>
          <w:tcPr>
            <w:tcW w:w="1299" w:type="pct"/>
            <w:shd w:val="clear" w:color="auto" w:fill="FFFFFF" w:themeFill="background1"/>
            <w:vAlign w:val="center"/>
          </w:tcPr>
          <w:p w14:paraId="0C33751A" w14:textId="77777777" w:rsidR="00827A4B" w:rsidRPr="00751466" w:rsidRDefault="00827A4B" w:rsidP="00827A4B">
            <w:pPr>
              <w:pStyle w:val="Tabletext"/>
              <w:ind w:left="284" w:hanging="284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–</w:t>
            </w:r>
            <w:r w:rsidRPr="00751466">
              <w:rPr>
                <w:color w:val="000000"/>
                <w:lang w:val="ru-RU"/>
              </w:rPr>
              <w:tab/>
              <w:t>Инициативы в области психического здоровья и благополучия.</w:t>
            </w:r>
          </w:p>
        </w:tc>
        <w:tc>
          <w:tcPr>
            <w:tcW w:w="2802" w:type="pct"/>
            <w:vAlign w:val="center"/>
          </w:tcPr>
          <w:p w14:paraId="2D200CBC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Занятия на тему создания атмосферы уважения и повышения благополучия для сотрудников штаб-квартиры и отделений на местах, включая управление стрессом и онлайн-ресурсы (например, видеоматериалы "Благополучие").</w:t>
            </w:r>
          </w:p>
          <w:p w14:paraId="41955B2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Доступ к психологическим консультациям на конфиденциальной основе; в 2025 году проведено 206 индивидуальных консультаций, усовершенствован порядок направления к специалисту и обращения за помощью.</w:t>
            </w:r>
          </w:p>
          <w:p w14:paraId="19D7566B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Функция совместного омбудсмена учреждена в январе 2026 года.</w:t>
            </w:r>
          </w:p>
          <w:p w14:paraId="751AF985" w14:textId="77777777" w:rsidR="00827A4B" w:rsidRPr="00751466" w:rsidRDefault="00827A4B" w:rsidP="00827A4B">
            <w:pPr>
              <w:pStyle w:val="Tabletext"/>
              <w:rPr>
                <w:lang w:val="ru-RU"/>
              </w:rPr>
            </w:pPr>
            <w:r w:rsidRPr="00751466">
              <w:rPr>
                <w:color w:val="000000"/>
                <w:lang w:val="ru-RU"/>
              </w:rPr>
              <w:t>Учебные занятия, посвященные микроагрессии, неосознанной предвзятости, инклюзивному лидерству и т. д.</w:t>
            </w:r>
          </w:p>
        </w:tc>
      </w:tr>
    </w:tbl>
    <w:p w14:paraId="7ACBC846" w14:textId="60EA5535" w:rsidR="00796BD3" w:rsidRPr="00751466" w:rsidRDefault="00C462C5" w:rsidP="00827A4B">
      <w:pPr>
        <w:spacing w:before="480"/>
        <w:jc w:val="center"/>
        <w:rPr>
          <w:lang w:val="ru-RU"/>
        </w:rPr>
      </w:pPr>
      <w:r w:rsidRPr="00751466">
        <w:rPr>
          <w:lang w:val="ru-RU"/>
        </w:rPr>
        <w:t>______________</w:t>
      </w:r>
    </w:p>
    <w:sectPr w:rsidR="00796BD3" w:rsidRPr="00751466" w:rsidSect="00827A4B">
      <w:footerReference w:type="default" r:id="rId15"/>
      <w:headerReference w:type="first" r:id="rId16"/>
      <w:footerReference w:type="first" r:id="rId17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73AC" w14:textId="77777777" w:rsidR="00827A4B" w:rsidRDefault="00827A4B">
      <w:r>
        <w:separator/>
      </w:r>
    </w:p>
  </w:endnote>
  <w:endnote w:type="continuationSeparator" w:id="0">
    <w:p w14:paraId="10871BD0" w14:textId="77777777" w:rsidR="00827A4B" w:rsidRDefault="0082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400DE97" w14:textId="77777777" w:rsidTr="00E31DCE">
      <w:trPr>
        <w:jc w:val="center"/>
      </w:trPr>
      <w:tc>
        <w:tcPr>
          <w:tcW w:w="1803" w:type="dxa"/>
          <w:vAlign w:val="center"/>
        </w:tcPr>
        <w:p w14:paraId="5BBFC862" w14:textId="55EA9BB5" w:rsidR="00672F8A" w:rsidRPr="00827A4B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827A4B">
            <w:rPr>
              <w:noProof/>
              <w:lang w:val="ru-RU"/>
            </w:rPr>
            <w:t xml:space="preserve"> 2600751</w:t>
          </w:r>
        </w:p>
      </w:tc>
      <w:tc>
        <w:tcPr>
          <w:tcW w:w="8261" w:type="dxa"/>
        </w:tcPr>
        <w:p w14:paraId="67773A35" w14:textId="4D67800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27A4B">
            <w:rPr>
              <w:bCs/>
              <w:lang w:val="ru-RU"/>
            </w:rPr>
            <w:t>66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06830CF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3763AD7" w14:textId="77777777" w:rsidTr="00E31DCE">
      <w:trPr>
        <w:jc w:val="center"/>
      </w:trPr>
      <w:tc>
        <w:tcPr>
          <w:tcW w:w="1803" w:type="dxa"/>
          <w:vAlign w:val="center"/>
        </w:tcPr>
        <w:p w14:paraId="1AD37E5B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EA322AE" w14:textId="6BDEEAD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27A4B">
            <w:rPr>
              <w:bCs/>
              <w:lang w:val="ru-RU"/>
            </w:rPr>
            <w:t>66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BC047A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2"/>
      <w:gridCol w:w="9679"/>
    </w:tblGrid>
    <w:tr w:rsidR="00827A4B" w:rsidRPr="00784011" w14:paraId="7B290226" w14:textId="77777777" w:rsidTr="00F54C73">
      <w:trPr>
        <w:jc w:val="center"/>
      </w:trPr>
      <w:tc>
        <w:tcPr>
          <w:tcW w:w="4922" w:type="dxa"/>
          <w:vAlign w:val="center"/>
        </w:tcPr>
        <w:p w14:paraId="2F9373B8" w14:textId="77777777" w:rsidR="00827A4B" w:rsidRPr="00827A4B" w:rsidRDefault="00827A4B" w:rsidP="00827A4B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>
            <w:rPr>
              <w:noProof/>
              <w:lang w:val="ru-RU"/>
            </w:rPr>
            <w:t xml:space="preserve"> 2600751</w:t>
          </w:r>
        </w:p>
      </w:tc>
      <w:tc>
        <w:tcPr>
          <w:tcW w:w="9679" w:type="dxa"/>
        </w:tcPr>
        <w:p w14:paraId="46CB2A77" w14:textId="77777777" w:rsidR="00827A4B" w:rsidRPr="00E06FD5" w:rsidRDefault="00827A4B" w:rsidP="00827A4B">
          <w:pPr>
            <w:pStyle w:val="Header"/>
            <w:tabs>
              <w:tab w:val="left" w:pos="786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66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1E5444" w14:textId="77777777" w:rsidR="00827A4B" w:rsidRPr="00827A4B" w:rsidRDefault="00827A4B" w:rsidP="00827A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2"/>
      <w:gridCol w:w="9679"/>
    </w:tblGrid>
    <w:tr w:rsidR="00827A4B" w:rsidRPr="00784011" w14:paraId="2EDD11DD" w14:textId="77777777" w:rsidTr="00827A4B">
      <w:trPr>
        <w:jc w:val="center"/>
      </w:trPr>
      <w:tc>
        <w:tcPr>
          <w:tcW w:w="4922" w:type="dxa"/>
          <w:vAlign w:val="center"/>
        </w:tcPr>
        <w:p w14:paraId="5B0A5193" w14:textId="77777777" w:rsidR="00827A4B" w:rsidRPr="00827A4B" w:rsidRDefault="00827A4B" w:rsidP="00827A4B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>
            <w:rPr>
              <w:noProof/>
              <w:lang w:val="ru-RU"/>
            </w:rPr>
            <w:t xml:space="preserve"> 2600751</w:t>
          </w:r>
        </w:p>
      </w:tc>
      <w:tc>
        <w:tcPr>
          <w:tcW w:w="9679" w:type="dxa"/>
        </w:tcPr>
        <w:p w14:paraId="35E860F9" w14:textId="77777777" w:rsidR="00827A4B" w:rsidRPr="00E06FD5" w:rsidRDefault="00827A4B" w:rsidP="00827A4B">
          <w:pPr>
            <w:pStyle w:val="Header"/>
            <w:tabs>
              <w:tab w:val="left" w:pos="786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66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ABBBE5C" w14:textId="77777777" w:rsidR="00827A4B" w:rsidRPr="00827A4B" w:rsidRDefault="00827A4B" w:rsidP="00827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1499" w14:textId="77777777" w:rsidR="00827A4B" w:rsidRDefault="00827A4B">
      <w:r>
        <w:t>____________________</w:t>
      </w:r>
    </w:p>
  </w:footnote>
  <w:footnote w:type="continuationSeparator" w:id="0">
    <w:p w14:paraId="104C4C78" w14:textId="77777777" w:rsidR="00827A4B" w:rsidRDefault="0082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9121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3D0C" w14:textId="249277F4" w:rsidR="00827A4B" w:rsidRPr="007E5FC4" w:rsidRDefault="00827A4B" w:rsidP="00A74304">
    <w:pPr>
      <w:pStyle w:val="Header"/>
      <w:spacing w:before="60"/>
      <w:ind w:left="11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AC774B"/>
    <w:multiLevelType w:val="hybridMultilevel"/>
    <w:tmpl w:val="2AF8AFA2"/>
    <w:lvl w:ilvl="0" w:tplc="7CC63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82FB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24E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8215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E0EB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52BB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CA72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471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6C83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02420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4B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729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81F5B"/>
    <w:rsid w:val="006E2D42"/>
    <w:rsid w:val="00703676"/>
    <w:rsid w:val="00707304"/>
    <w:rsid w:val="00732269"/>
    <w:rsid w:val="00751466"/>
    <w:rsid w:val="00762555"/>
    <w:rsid w:val="0077110E"/>
    <w:rsid w:val="00784980"/>
    <w:rsid w:val="00784BE7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27A4B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66219"/>
    <w:rsid w:val="00D92EEA"/>
    <w:rsid w:val="00DA5D4E"/>
    <w:rsid w:val="00DA770A"/>
    <w:rsid w:val="00DF2AE3"/>
    <w:rsid w:val="00E05752"/>
    <w:rsid w:val="00E176BA"/>
    <w:rsid w:val="00E423EC"/>
    <w:rsid w:val="00E55121"/>
    <w:rsid w:val="00EB4FCB"/>
    <w:rsid w:val="00EC6BC5"/>
    <w:rsid w:val="00EE43D8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58E29"/>
  <w15:docId w15:val="{9DE6A705-0D91-4A3C-AC99-2EA275E4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029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3-CL-INF-0013/en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Documents/basic-texts-2023/RES-048-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itu.int/md/S25-CL-C-0066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029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16</Pages>
  <Words>5007</Words>
  <Characters>35849</Characters>
  <Application>Microsoft Office Word</Application>
  <DocSecurity>0</DocSecurity>
  <Lines>628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40513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on the implementation of the human resources transformation plan and of Resolution 48 (Rev. Bucharest, 2022)</dc:title>
  <dc:subject>ITU Council 2026</dc:subject>
  <cp:keywords>C26; C2026; Council 2026; PP26</cp:keywords>
  <dc:description/>
  <cp:lastPrinted>2006-03-28T16:12:00Z</cp:lastPrinted>
  <dcterms:created xsi:type="dcterms:W3CDTF">2026-04-28T17:05:00Z</dcterms:created>
  <dcterms:modified xsi:type="dcterms:W3CDTF">2026-04-28T17:07:00Z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