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BB75C5" w14:paraId="2E6D22F2" w14:textId="77777777" w:rsidTr="00796BDB">
        <w:trPr>
          <w:cantSplit/>
          <w:trHeight w:val="23"/>
        </w:trPr>
        <w:tc>
          <w:tcPr>
            <w:tcW w:w="3969" w:type="dxa"/>
            <w:vMerge w:val="restart"/>
            <w:tcMar>
              <w:left w:w="0" w:type="dxa"/>
            </w:tcMar>
          </w:tcPr>
          <w:p w14:paraId="7EA04E69" w14:textId="2DF8D086" w:rsidR="00D72F49" w:rsidRPr="00BB75C5" w:rsidRDefault="00D72F49" w:rsidP="00796BDB">
            <w:pPr>
              <w:tabs>
                <w:tab w:val="left" w:pos="851"/>
              </w:tabs>
              <w:spacing w:before="0" w:line="240" w:lineRule="atLeast"/>
              <w:rPr>
                <w:b/>
              </w:rPr>
            </w:pPr>
            <w:r w:rsidRPr="00BB75C5">
              <w:rPr>
                <w:b/>
              </w:rPr>
              <w:t>Point de l'ordre du jour:</w:t>
            </w:r>
            <w:r w:rsidR="00B40F47" w:rsidRPr="00BB75C5">
              <w:rPr>
                <w:b/>
              </w:rPr>
              <w:t xml:space="preserve"> ADM 3</w:t>
            </w:r>
          </w:p>
        </w:tc>
        <w:tc>
          <w:tcPr>
            <w:tcW w:w="5245" w:type="dxa"/>
          </w:tcPr>
          <w:p w14:paraId="66ED0887" w14:textId="3F9014B4" w:rsidR="00D72F49" w:rsidRPr="00BB75C5" w:rsidRDefault="00D72F49" w:rsidP="00796BDB">
            <w:pPr>
              <w:tabs>
                <w:tab w:val="left" w:pos="851"/>
              </w:tabs>
              <w:spacing w:before="0" w:line="240" w:lineRule="atLeast"/>
              <w:jc w:val="right"/>
              <w:rPr>
                <w:b/>
              </w:rPr>
            </w:pPr>
            <w:r w:rsidRPr="00BB75C5">
              <w:rPr>
                <w:b/>
              </w:rPr>
              <w:t>Document C2</w:t>
            </w:r>
            <w:r w:rsidR="00E4448E" w:rsidRPr="00BB75C5">
              <w:rPr>
                <w:b/>
              </w:rPr>
              <w:t>6</w:t>
            </w:r>
            <w:r w:rsidRPr="00BB75C5">
              <w:rPr>
                <w:b/>
              </w:rPr>
              <w:t>/</w:t>
            </w:r>
            <w:r w:rsidR="00B40F47" w:rsidRPr="00BB75C5">
              <w:rPr>
                <w:b/>
              </w:rPr>
              <w:t>66</w:t>
            </w:r>
            <w:r w:rsidRPr="00BB75C5">
              <w:rPr>
                <w:b/>
              </w:rPr>
              <w:t>-F</w:t>
            </w:r>
          </w:p>
        </w:tc>
      </w:tr>
      <w:tr w:rsidR="00D72F49" w:rsidRPr="00BB75C5" w14:paraId="7593E304" w14:textId="77777777" w:rsidTr="00796BDB">
        <w:trPr>
          <w:cantSplit/>
        </w:trPr>
        <w:tc>
          <w:tcPr>
            <w:tcW w:w="3969" w:type="dxa"/>
            <w:vMerge/>
          </w:tcPr>
          <w:p w14:paraId="2BE27A14" w14:textId="77777777" w:rsidR="00D72F49" w:rsidRPr="00BB75C5" w:rsidRDefault="00D72F49" w:rsidP="00796BDB">
            <w:pPr>
              <w:tabs>
                <w:tab w:val="left" w:pos="851"/>
              </w:tabs>
              <w:spacing w:line="240" w:lineRule="atLeast"/>
              <w:rPr>
                <w:b/>
              </w:rPr>
            </w:pPr>
          </w:p>
        </w:tc>
        <w:tc>
          <w:tcPr>
            <w:tcW w:w="5245" w:type="dxa"/>
          </w:tcPr>
          <w:p w14:paraId="2A7214C7" w14:textId="45594D06" w:rsidR="00D72F49" w:rsidRPr="00BB75C5" w:rsidRDefault="00B40F47" w:rsidP="00796BDB">
            <w:pPr>
              <w:tabs>
                <w:tab w:val="left" w:pos="851"/>
              </w:tabs>
              <w:spacing w:before="0"/>
              <w:jc w:val="right"/>
              <w:rPr>
                <w:b/>
              </w:rPr>
            </w:pPr>
            <w:r w:rsidRPr="00BB75C5">
              <w:rPr>
                <w:b/>
              </w:rPr>
              <w:t>30 mars 2026</w:t>
            </w:r>
          </w:p>
        </w:tc>
      </w:tr>
      <w:tr w:rsidR="00D72F49" w:rsidRPr="00BB75C5" w14:paraId="788988A6" w14:textId="77777777" w:rsidTr="00796BDB">
        <w:trPr>
          <w:cantSplit/>
          <w:trHeight w:val="23"/>
        </w:trPr>
        <w:tc>
          <w:tcPr>
            <w:tcW w:w="3969" w:type="dxa"/>
            <w:vMerge/>
          </w:tcPr>
          <w:p w14:paraId="457910A8" w14:textId="77777777" w:rsidR="00D72F49" w:rsidRPr="00BB75C5" w:rsidRDefault="00D72F49" w:rsidP="00796BDB">
            <w:pPr>
              <w:tabs>
                <w:tab w:val="left" w:pos="851"/>
              </w:tabs>
              <w:spacing w:line="240" w:lineRule="atLeast"/>
              <w:rPr>
                <w:b/>
              </w:rPr>
            </w:pPr>
          </w:p>
        </w:tc>
        <w:tc>
          <w:tcPr>
            <w:tcW w:w="5245" w:type="dxa"/>
          </w:tcPr>
          <w:p w14:paraId="5080CEC7" w14:textId="77777777" w:rsidR="00D72F49" w:rsidRPr="00BB75C5" w:rsidRDefault="00D72F49" w:rsidP="00796BDB">
            <w:pPr>
              <w:tabs>
                <w:tab w:val="left" w:pos="851"/>
              </w:tabs>
              <w:spacing w:before="0" w:line="240" w:lineRule="atLeast"/>
              <w:jc w:val="right"/>
              <w:rPr>
                <w:b/>
              </w:rPr>
            </w:pPr>
            <w:r w:rsidRPr="00BB75C5">
              <w:rPr>
                <w:b/>
              </w:rPr>
              <w:t>Original: anglais</w:t>
            </w:r>
          </w:p>
        </w:tc>
      </w:tr>
      <w:tr w:rsidR="00D72F49" w:rsidRPr="00BB75C5" w14:paraId="177F77C7" w14:textId="77777777" w:rsidTr="00796BDB">
        <w:trPr>
          <w:cantSplit/>
          <w:trHeight w:val="23"/>
        </w:trPr>
        <w:tc>
          <w:tcPr>
            <w:tcW w:w="3969" w:type="dxa"/>
          </w:tcPr>
          <w:p w14:paraId="4F4C38C5" w14:textId="77777777" w:rsidR="00D72F49" w:rsidRPr="00BB75C5" w:rsidRDefault="00D72F49" w:rsidP="00796BDB">
            <w:pPr>
              <w:tabs>
                <w:tab w:val="left" w:pos="851"/>
              </w:tabs>
              <w:spacing w:line="240" w:lineRule="atLeast"/>
              <w:rPr>
                <w:b/>
              </w:rPr>
            </w:pPr>
          </w:p>
        </w:tc>
        <w:tc>
          <w:tcPr>
            <w:tcW w:w="5245" w:type="dxa"/>
          </w:tcPr>
          <w:p w14:paraId="3A2AD022" w14:textId="77777777" w:rsidR="00D72F49" w:rsidRPr="00BB75C5" w:rsidRDefault="00D72F49" w:rsidP="00796BDB">
            <w:pPr>
              <w:tabs>
                <w:tab w:val="left" w:pos="851"/>
              </w:tabs>
              <w:spacing w:before="0" w:line="240" w:lineRule="atLeast"/>
              <w:jc w:val="right"/>
              <w:rPr>
                <w:b/>
              </w:rPr>
            </w:pPr>
          </w:p>
        </w:tc>
      </w:tr>
      <w:tr w:rsidR="00D72F49" w:rsidRPr="00BB75C5" w14:paraId="2363738C" w14:textId="77777777" w:rsidTr="00796BDB">
        <w:trPr>
          <w:cantSplit/>
        </w:trPr>
        <w:tc>
          <w:tcPr>
            <w:tcW w:w="9214" w:type="dxa"/>
            <w:gridSpan w:val="2"/>
            <w:tcMar>
              <w:left w:w="0" w:type="dxa"/>
            </w:tcMar>
          </w:tcPr>
          <w:p w14:paraId="1022D574" w14:textId="77777777" w:rsidR="00D72F49" w:rsidRPr="00B427DF" w:rsidRDefault="00D72F49" w:rsidP="00B427DF">
            <w:pPr>
              <w:pStyle w:val="Source"/>
              <w:framePr w:hSpace="0" w:wrap="auto" w:vAnchor="margin" w:hAnchor="text" w:xAlign="left" w:yAlign="inline"/>
              <w:spacing w:before="480"/>
            </w:pPr>
            <w:r w:rsidRPr="00B427DF">
              <w:t xml:space="preserve">Rapport </w:t>
            </w:r>
            <w:r w:rsidR="00E95647" w:rsidRPr="00B427DF">
              <w:t xml:space="preserve">de la </w:t>
            </w:r>
            <w:r w:rsidRPr="00B427DF">
              <w:t>Secrétaire général</w:t>
            </w:r>
            <w:r w:rsidR="00E95647" w:rsidRPr="00B427DF">
              <w:t>e</w:t>
            </w:r>
          </w:p>
        </w:tc>
      </w:tr>
      <w:tr w:rsidR="00D72F49" w:rsidRPr="00BB75C5" w14:paraId="7A1A5F68" w14:textId="77777777" w:rsidTr="00796BDB">
        <w:trPr>
          <w:cantSplit/>
        </w:trPr>
        <w:tc>
          <w:tcPr>
            <w:tcW w:w="9214" w:type="dxa"/>
            <w:gridSpan w:val="2"/>
            <w:tcMar>
              <w:left w:w="0" w:type="dxa"/>
            </w:tcMar>
          </w:tcPr>
          <w:p w14:paraId="39548260" w14:textId="6DA03A6B" w:rsidR="00D72F49" w:rsidRPr="00BB75C5" w:rsidRDefault="00B427DF" w:rsidP="00B427DF">
            <w:pPr>
              <w:pStyle w:val="Subtitle"/>
              <w:framePr w:hSpace="0" w:wrap="auto" w:hAnchor="text" w:xAlign="left" w:yAlign="inline"/>
              <w:spacing w:after="120"/>
              <w:rPr>
                <w:sz w:val="32"/>
                <w:szCs w:val="32"/>
                <w:lang w:val="fr-FR"/>
              </w:rPr>
            </w:pPr>
            <w:r w:rsidRPr="00BB75C5">
              <w:rPr>
                <w:rFonts w:cstheme="minorHAnsi"/>
                <w:sz w:val="32"/>
                <w:szCs w:val="32"/>
                <w:lang w:val="fr-FR"/>
              </w:rPr>
              <w:t>RAPPORT D'ACTIVITÉ SUR LA MISE EN ŒUVRE DU PLAN DE TRANSFORMATION DES RESSOURCES HUMAINES ET DE LA RÉSOLUTION 48 (RÉV. BUCAREST, 2022) DE LA CONFÉRENCE DE PLÉNIPOTENTIAIRES</w:t>
            </w:r>
          </w:p>
        </w:tc>
      </w:tr>
      <w:tr w:rsidR="00D72F49" w:rsidRPr="00BB75C5" w14:paraId="7D60A461" w14:textId="77777777" w:rsidTr="00796BDB">
        <w:trPr>
          <w:cantSplit/>
        </w:trPr>
        <w:tc>
          <w:tcPr>
            <w:tcW w:w="9214" w:type="dxa"/>
            <w:gridSpan w:val="2"/>
            <w:tcBorders>
              <w:top w:val="single" w:sz="4" w:space="0" w:color="auto"/>
              <w:bottom w:val="single" w:sz="4" w:space="0" w:color="auto"/>
            </w:tcBorders>
            <w:tcMar>
              <w:left w:w="0" w:type="dxa"/>
            </w:tcMar>
          </w:tcPr>
          <w:p w14:paraId="60CB245F" w14:textId="77777777" w:rsidR="00D72F49" w:rsidRPr="00BB75C5" w:rsidRDefault="00F37FE5" w:rsidP="0008592F">
            <w:pPr>
              <w:rPr>
                <w:b/>
                <w:bCs/>
                <w:sz w:val="26"/>
                <w:szCs w:val="26"/>
              </w:rPr>
            </w:pPr>
            <w:r w:rsidRPr="00BB75C5">
              <w:rPr>
                <w:b/>
                <w:bCs/>
                <w:sz w:val="26"/>
                <w:szCs w:val="26"/>
              </w:rPr>
              <w:t>Objet</w:t>
            </w:r>
          </w:p>
          <w:p w14:paraId="511DA2DD" w14:textId="2D9B2E96" w:rsidR="00B40F47" w:rsidRPr="00BB75C5" w:rsidRDefault="00B40F47" w:rsidP="00B427DF">
            <w:pPr>
              <w:spacing w:before="100"/>
              <w:jc w:val="both"/>
            </w:pPr>
            <w:r w:rsidRPr="00BB75C5">
              <w:t>Le Plan de transformation des ressources humaines vise à favoriser l'excellence organisationnelle en progressant dans trois domaines distincts: les personnes, la culture et les services. Cette initiative stratégique vise à développer des effectifs adaptables, compétents et autonomes, à promouvoir une culture dans laquelle les personnes se sentent en sécurité, valorisées et capables de donner le meilleur d'elles-mêmes, et à améliorer les services RH pour mieux soutenir le personnel. Les critères de succès sont notamment un environnement professionnel porteur, une gestion efficace des talents, une vision commune de l'organisation, des politiques en matière de ressources humaines modernisées, des rôles clairement définis et une meilleure adaptabilité opérationnelle.</w:t>
            </w:r>
          </w:p>
          <w:p w14:paraId="6A79CC8A" w14:textId="0C09ACE2" w:rsidR="00B40F47" w:rsidRPr="00BB75C5" w:rsidRDefault="00B40F47" w:rsidP="00B427DF">
            <w:pPr>
              <w:spacing w:before="100"/>
              <w:jc w:val="both"/>
            </w:pPr>
            <w:r w:rsidRPr="00BB75C5">
              <w:t>Le Plan de transformation fait suite à la Résolution 48 (Rév. Bucarest, 2022) de la Conférence</w:t>
            </w:r>
            <w:r w:rsidR="00E611F2" w:rsidRPr="00BB75C5">
              <w:t xml:space="preserve"> </w:t>
            </w:r>
            <w:r w:rsidRPr="00BB75C5">
              <w:t>de plénipotentiaires et constitue un élément moteur de la feuille de route pour la transformation de l'UIT. Le présent rapport d'activité indique les principaux résultats obtenus dans chaque domaine pour 2025 et début 2026, sous l'angle de la mise en œuvre de la Feuille de route pour la transformation et de la Résolution 48 (Rév. Bucarest, 2022) de</w:t>
            </w:r>
            <w:r w:rsidR="00E611F2" w:rsidRPr="00BB75C5">
              <w:t xml:space="preserve"> </w:t>
            </w:r>
            <w:r w:rsidRPr="00BB75C5">
              <w:t>la</w:t>
            </w:r>
            <w:r w:rsidR="00E611F2" w:rsidRPr="00BB75C5">
              <w:t xml:space="preserve"> </w:t>
            </w:r>
            <w:r w:rsidRPr="00BB75C5">
              <w:t>PP.</w:t>
            </w:r>
          </w:p>
          <w:p w14:paraId="5092F5FC" w14:textId="147F15F3" w:rsidR="00D72F49" w:rsidRPr="00BB75C5" w:rsidRDefault="00D72F49" w:rsidP="0008592F">
            <w:pPr>
              <w:rPr>
                <w:b/>
                <w:bCs/>
                <w:sz w:val="26"/>
                <w:szCs w:val="26"/>
              </w:rPr>
            </w:pPr>
            <w:r w:rsidRPr="00BB75C5">
              <w:rPr>
                <w:b/>
                <w:bCs/>
                <w:sz w:val="26"/>
                <w:szCs w:val="26"/>
              </w:rPr>
              <w:t>Suite à donner par le Conseil</w:t>
            </w:r>
          </w:p>
          <w:p w14:paraId="30F3A162" w14:textId="70455429" w:rsidR="00D72F49" w:rsidRPr="00BB75C5" w:rsidRDefault="00B40F47" w:rsidP="00B427DF">
            <w:pPr>
              <w:jc w:val="both"/>
            </w:pPr>
            <w:r w:rsidRPr="00BB75C5">
              <w:t xml:space="preserve">Le Conseil est invité à </w:t>
            </w:r>
            <w:r w:rsidRPr="00BB75C5">
              <w:rPr>
                <w:b/>
                <w:bCs/>
              </w:rPr>
              <w:t>prendre note</w:t>
            </w:r>
            <w:r w:rsidRPr="00BB75C5">
              <w:t xml:space="preserve"> du rapport d'activité sur la mise en œuvre du Plan</w:t>
            </w:r>
            <w:r w:rsidR="00B427DF">
              <w:t xml:space="preserve"> </w:t>
            </w:r>
            <w:r w:rsidRPr="00BB75C5">
              <w:t>de</w:t>
            </w:r>
            <w:r w:rsidR="00B427DF">
              <w:t xml:space="preserve"> </w:t>
            </w:r>
            <w:r w:rsidRPr="00BB75C5">
              <w:t>transformation des ressources humaines et de la Résolution 48 (Rév. Bucarest, 2022) de la PP.</w:t>
            </w:r>
          </w:p>
          <w:p w14:paraId="0D830878" w14:textId="650D993A" w:rsidR="00D72F49" w:rsidRPr="00BB75C5" w:rsidRDefault="00D72F49" w:rsidP="0008592F">
            <w:pPr>
              <w:rPr>
                <w:b/>
                <w:bCs/>
                <w:sz w:val="26"/>
                <w:szCs w:val="26"/>
              </w:rPr>
            </w:pPr>
            <w:r w:rsidRPr="00BB75C5">
              <w:rPr>
                <w:b/>
                <w:bCs/>
                <w:sz w:val="26"/>
                <w:szCs w:val="26"/>
              </w:rPr>
              <w:t xml:space="preserve">Lien pertinent avec le </w:t>
            </w:r>
            <w:r w:rsidR="00F37FE5" w:rsidRPr="00BB75C5">
              <w:rPr>
                <w:b/>
                <w:bCs/>
                <w:sz w:val="26"/>
                <w:szCs w:val="26"/>
              </w:rPr>
              <w:t>p</w:t>
            </w:r>
            <w:r w:rsidRPr="00BB75C5">
              <w:rPr>
                <w:b/>
                <w:bCs/>
                <w:sz w:val="26"/>
                <w:szCs w:val="26"/>
              </w:rPr>
              <w:t>lan stratégique</w:t>
            </w:r>
          </w:p>
          <w:p w14:paraId="76E88B3A" w14:textId="2E31CBAA" w:rsidR="00D72F49" w:rsidRPr="00BB75C5" w:rsidRDefault="00B40F47" w:rsidP="00796BDB">
            <w:r w:rsidRPr="00BB75C5">
              <w:t>Excellence en matière de ressources humaines et d'innovation institutionnelle.</w:t>
            </w:r>
          </w:p>
          <w:p w14:paraId="523233A5" w14:textId="77777777" w:rsidR="00E95647" w:rsidRPr="00BB75C5" w:rsidRDefault="00D72F49" w:rsidP="0008592F">
            <w:pPr>
              <w:keepNext/>
              <w:keepLines/>
              <w:rPr>
                <w:b/>
                <w:bCs/>
                <w:sz w:val="26"/>
                <w:szCs w:val="26"/>
              </w:rPr>
            </w:pPr>
            <w:r w:rsidRPr="00BB75C5">
              <w:rPr>
                <w:b/>
                <w:bCs/>
                <w:sz w:val="26"/>
                <w:szCs w:val="26"/>
              </w:rPr>
              <w:t>Incidences financières</w:t>
            </w:r>
          </w:p>
          <w:p w14:paraId="6AF41948" w14:textId="2098D3B0" w:rsidR="00D72F49" w:rsidRPr="00BB75C5" w:rsidRDefault="00B40F47" w:rsidP="0008592F">
            <w:pPr>
              <w:keepNext/>
              <w:keepLines/>
              <w:rPr>
                <w:szCs w:val="24"/>
              </w:rPr>
            </w:pPr>
            <w:r w:rsidRPr="00BB75C5">
              <w:rPr>
                <w:szCs w:val="24"/>
              </w:rPr>
              <w:t>Dans le cadre des budgets alloués pour 2024-2025 et 2026-2027.</w:t>
            </w:r>
          </w:p>
          <w:p w14:paraId="317ABEEA" w14:textId="4F2B1642" w:rsidR="00D72F49" w:rsidRPr="00BB75C5" w:rsidRDefault="00D72F49" w:rsidP="00B427DF">
            <w:pPr>
              <w:keepNext/>
              <w:keepLines/>
              <w:spacing w:before="0"/>
              <w:rPr>
                <w:sz w:val="22"/>
              </w:rPr>
            </w:pPr>
            <w:r w:rsidRPr="00BB75C5">
              <w:rPr>
                <w:sz w:val="22"/>
              </w:rPr>
              <w:t>__________________</w:t>
            </w:r>
          </w:p>
          <w:p w14:paraId="4CFAF63E" w14:textId="77777777" w:rsidR="00D72F49" w:rsidRPr="00BB75C5" w:rsidRDefault="00D72F49" w:rsidP="0008592F">
            <w:pPr>
              <w:rPr>
                <w:b/>
                <w:bCs/>
                <w:sz w:val="26"/>
                <w:szCs w:val="26"/>
              </w:rPr>
            </w:pPr>
            <w:r w:rsidRPr="00BB75C5">
              <w:rPr>
                <w:b/>
                <w:bCs/>
                <w:sz w:val="26"/>
                <w:szCs w:val="26"/>
              </w:rPr>
              <w:t>Références</w:t>
            </w:r>
          </w:p>
          <w:p w14:paraId="52C57D31" w14:textId="54F62034" w:rsidR="00D72F49" w:rsidRPr="00B427DF" w:rsidRDefault="00B40F47" w:rsidP="00B427DF">
            <w:pPr>
              <w:pStyle w:val="Referencetext"/>
              <w:framePr w:hSpace="0" w:wrap="auto" w:vAnchor="margin" w:hAnchor="text" w:xAlign="left" w:yAlign="inline"/>
              <w:spacing w:after="120"/>
            </w:pPr>
            <w:hyperlink r:id="rId8" w:history="1">
              <w:r w:rsidRPr="00B427DF">
                <w:rPr>
                  <w:rStyle w:val="Hyperlink"/>
                  <w:rFonts w:eastAsia="Times New Roman" w:cs="Times New Roman"/>
                </w:rPr>
                <w:t>Documents C23/INF/13</w:t>
              </w:r>
            </w:hyperlink>
            <w:r w:rsidRPr="00B427DF">
              <w:t xml:space="preserve">, </w:t>
            </w:r>
            <w:hyperlink r:id="rId9" w:history="1">
              <w:r w:rsidRPr="00B427DF">
                <w:rPr>
                  <w:rStyle w:val="Hyperlink"/>
                  <w:rFonts w:eastAsia="Times New Roman" w:cs="Times New Roman"/>
                </w:rPr>
                <w:t>C24/29</w:t>
              </w:r>
            </w:hyperlink>
            <w:r w:rsidRPr="00B427DF">
              <w:t xml:space="preserve"> et </w:t>
            </w:r>
            <w:hyperlink r:id="rId10" w:history="1">
              <w:r w:rsidRPr="00B427DF">
                <w:rPr>
                  <w:rStyle w:val="Hyperlink"/>
                  <w:rFonts w:eastAsia="Times New Roman" w:cs="Times New Roman"/>
                </w:rPr>
                <w:t>C25/66</w:t>
              </w:r>
            </w:hyperlink>
            <w:r w:rsidRPr="00B427DF">
              <w:t xml:space="preserve"> du </w:t>
            </w:r>
            <w:proofErr w:type="gramStart"/>
            <w:r w:rsidRPr="00B427DF">
              <w:t>Conseil;</w:t>
            </w:r>
            <w:proofErr w:type="gramEnd"/>
            <w:r w:rsidRPr="00B427DF">
              <w:t xml:space="preserve"> </w:t>
            </w:r>
            <w:hyperlink r:id="rId11" w:history="1">
              <w:r w:rsidRPr="00B427DF">
                <w:rPr>
                  <w:rStyle w:val="Hyperlink"/>
                  <w:rFonts w:eastAsia="Times New Roman" w:cs="Times New Roman"/>
                </w:rPr>
                <w:t>Résolution 48</w:t>
              </w:r>
            </w:hyperlink>
            <w:r w:rsidRPr="00B427DF">
              <w:t xml:space="preserve"> (Rév. Bucarest, 2022) de</w:t>
            </w:r>
            <w:r w:rsidR="00506749" w:rsidRPr="00B427DF">
              <w:t> </w:t>
            </w:r>
            <w:r w:rsidRPr="00B427DF">
              <w:t>la Conférence de plénipotentiaires</w:t>
            </w:r>
          </w:p>
        </w:tc>
      </w:tr>
    </w:tbl>
    <w:p w14:paraId="2CF6D16D" w14:textId="77777777" w:rsidR="00A51849" w:rsidRPr="00B427DF" w:rsidRDefault="00A51849">
      <w:pPr>
        <w:tabs>
          <w:tab w:val="clear" w:pos="567"/>
          <w:tab w:val="clear" w:pos="1134"/>
          <w:tab w:val="clear" w:pos="1701"/>
          <w:tab w:val="clear" w:pos="2268"/>
          <w:tab w:val="clear" w:pos="2835"/>
        </w:tabs>
        <w:overflowPunct/>
        <w:autoSpaceDE/>
        <w:autoSpaceDN/>
        <w:adjustRightInd/>
        <w:spacing w:before="0"/>
        <w:textAlignment w:val="auto"/>
        <w:rPr>
          <w:sz w:val="10"/>
          <w:szCs w:val="10"/>
        </w:rPr>
      </w:pPr>
      <w:r w:rsidRPr="00B427DF">
        <w:rPr>
          <w:sz w:val="10"/>
          <w:szCs w:val="10"/>
        </w:rPr>
        <w:br w:type="page"/>
      </w:r>
    </w:p>
    <w:p w14:paraId="70FDF6D1" w14:textId="77777777" w:rsidR="00B40F47" w:rsidRPr="00BB75C5" w:rsidRDefault="00B40F47" w:rsidP="007843C9">
      <w:pPr>
        <w:pStyle w:val="Headingb"/>
      </w:pPr>
      <w:proofErr w:type="gramStart"/>
      <w:r w:rsidRPr="00BB75C5">
        <w:lastRenderedPageBreak/>
        <w:t>Personnes:</w:t>
      </w:r>
      <w:proofErr w:type="gramEnd"/>
      <w:r w:rsidRPr="00BB75C5">
        <w:t xml:space="preserve"> Disposer d'effectifs adaptables, compétents et autonomes</w:t>
      </w:r>
    </w:p>
    <w:p w14:paraId="59F2929B" w14:textId="77777777" w:rsidR="00B40F47" w:rsidRPr="00BB75C5" w:rsidRDefault="00B40F47" w:rsidP="006F31BB">
      <w:pPr>
        <w:jc w:val="both"/>
      </w:pPr>
      <w:r w:rsidRPr="00BB75C5">
        <w:t>Le premier pilier du Plan de transformation des ressources humaines, axé sur les "personnes", vise à ce que l'UIT dispose d'un personnel adaptable, talentueux et prêt au changement, c'est-à-dire concerné par les résultats. Le but est d'attirer, d'intégrer et de conserver un personnel talentueux faisant preuve des plus hautes qualités d'efficacité, de compétence et d'intégrité.</w:t>
      </w:r>
    </w:p>
    <w:p w14:paraId="49EF26B0" w14:textId="77777777" w:rsidR="00B40F47" w:rsidRPr="00BB75C5" w:rsidRDefault="00B40F47" w:rsidP="006F31BB">
      <w:pPr>
        <w:jc w:val="both"/>
      </w:pPr>
      <w:r w:rsidRPr="00BB75C5">
        <w:t>En outre, le plan prévoit de renforcer le recrutement de fonctionnaires plus jeunes pour permettre un renouvellement des talents, des compétences et de l'inspiration, tout en conservant un équilibre avec le savoir-faire et l'engagement du personnel en place.</w:t>
      </w:r>
    </w:p>
    <w:p w14:paraId="76AC1ABB" w14:textId="77777777" w:rsidR="00B40F47" w:rsidRPr="00BB75C5" w:rsidRDefault="00B40F47" w:rsidP="006F31BB">
      <w:pPr>
        <w:jc w:val="both"/>
      </w:pPr>
      <w:r w:rsidRPr="00BB75C5">
        <w:t>En réalisant le Plan de transformation, le but de l'UIT n'est pas seulement de créer un environnement professionnel stimulant et gratifiant, mais aussi d'améliorer les résultats de l'organisation et de permettre au personnel de développer régulièrement ses compétences et connaissances, en cohérence avec les objectifs stratégiques de l'UIT.</w:t>
      </w:r>
    </w:p>
    <w:p w14:paraId="438A6E3F" w14:textId="013E6118" w:rsidR="00B40F47" w:rsidRPr="00BB75C5" w:rsidRDefault="00B40F47" w:rsidP="00E611F2">
      <w:pPr>
        <w:pStyle w:val="Headingb"/>
      </w:pPr>
      <w:r w:rsidRPr="00BB75C5">
        <w:t>Principales réalisations</w:t>
      </w:r>
      <w:r w:rsidR="00E611F2" w:rsidRPr="00BB75C5">
        <w:t>:</w:t>
      </w:r>
    </w:p>
    <w:p w14:paraId="30B43989" w14:textId="2DF5BBD8" w:rsidR="00B40F47" w:rsidRPr="00BB75C5" w:rsidRDefault="00B40F47" w:rsidP="006F31BB">
      <w:pPr>
        <w:pStyle w:val="enumlev1"/>
        <w:jc w:val="both"/>
      </w:pPr>
      <w:r w:rsidRPr="00BB75C5">
        <w:t>1</w:t>
      </w:r>
      <w:r w:rsidR="00AA4105" w:rsidRPr="00BB75C5">
        <w:t>)</w:t>
      </w:r>
      <w:r w:rsidRPr="00BB75C5">
        <w:tab/>
        <w:t>Un plan de formation annuel complet et rentable a été mis en place, avec une visibilité considérablement améliorée grâce au bulletin d</w:t>
      </w:r>
      <w:r w:rsidR="00506749" w:rsidRPr="00BB75C5">
        <w:t>'</w:t>
      </w:r>
      <w:r w:rsidRPr="00BB75C5">
        <w:t xml:space="preserve">information </w:t>
      </w:r>
      <w:r w:rsidR="007843C9" w:rsidRPr="00BB75C5">
        <w:t>"</w:t>
      </w:r>
      <w:r w:rsidRPr="00BB75C5">
        <w:t>Let</w:t>
      </w:r>
      <w:r w:rsidR="00506749" w:rsidRPr="00BB75C5">
        <w:t>'</w:t>
      </w:r>
      <w:r w:rsidRPr="00BB75C5">
        <w:t>s Learn</w:t>
      </w:r>
      <w:r w:rsidR="007843C9" w:rsidRPr="00BB75C5">
        <w:t>"</w:t>
      </w:r>
      <w:r w:rsidRPr="00BB75C5">
        <w:t xml:space="preserve"> et à un site SharePoint centralisé. Ces plates-formes permettent aux fonctionnaires d</w:t>
      </w:r>
      <w:r w:rsidR="00506749" w:rsidRPr="00BB75C5">
        <w:t>'</w:t>
      </w:r>
      <w:r w:rsidRPr="00BB75C5">
        <w:t>avoir accès en temps réel au plan de formation annuel et aux possibilités de perfectionnement professionnel continu, tout en encourageant activement l</w:t>
      </w:r>
      <w:r w:rsidR="00506749" w:rsidRPr="00BB75C5">
        <w:t>'</w:t>
      </w:r>
      <w:r w:rsidRPr="00BB75C5">
        <w:t>apprentissage adapté au rythme de chacun, qui constitue la pierre angulaire d</w:t>
      </w:r>
      <w:r w:rsidR="00506749" w:rsidRPr="00BB75C5">
        <w:t>'</w:t>
      </w:r>
      <w:r w:rsidRPr="00BB75C5">
        <w:t>une culture de l</w:t>
      </w:r>
      <w:r w:rsidR="00506749" w:rsidRPr="00BB75C5">
        <w:t>'</w:t>
      </w:r>
      <w:r w:rsidRPr="00BB75C5">
        <w:t>apprentissage autopiloté. En donnant aux fonctionnaires les moyens de s</w:t>
      </w:r>
      <w:r w:rsidR="00506749" w:rsidRPr="00BB75C5">
        <w:t>'</w:t>
      </w:r>
      <w:r w:rsidRPr="00BB75C5">
        <w:t>approprier leur perfectionnement et de suivre les ressources d</w:t>
      </w:r>
      <w:r w:rsidR="00506749" w:rsidRPr="00BB75C5">
        <w:t>'</w:t>
      </w:r>
      <w:r w:rsidRPr="00BB75C5">
        <w:t>apprentissage à leur rythme, nous favorisons une responsabilisation et une souplesse accrues et une croissance continue dans l</w:t>
      </w:r>
      <w:r w:rsidR="00506749" w:rsidRPr="00BB75C5">
        <w:t>'</w:t>
      </w:r>
      <w:r w:rsidRPr="00BB75C5">
        <w:t>ensemble de l</w:t>
      </w:r>
      <w:r w:rsidR="00506749" w:rsidRPr="00BB75C5">
        <w:t>'</w:t>
      </w:r>
      <w:r w:rsidRPr="00BB75C5">
        <w:t>Union. Le plan de formation reste dynamique et fait l</w:t>
      </w:r>
      <w:r w:rsidR="00506749" w:rsidRPr="00BB75C5">
        <w:t>'</w:t>
      </w:r>
      <w:r w:rsidRPr="00BB75C5">
        <w:t>objet d</w:t>
      </w:r>
      <w:r w:rsidR="00506749" w:rsidRPr="00BB75C5">
        <w:t>'</w:t>
      </w:r>
      <w:r w:rsidRPr="00BB75C5">
        <w:t>un suivi et d</w:t>
      </w:r>
      <w:r w:rsidR="00506749" w:rsidRPr="00BB75C5">
        <w:t>'</w:t>
      </w:r>
      <w:r w:rsidRPr="00BB75C5">
        <w:t>une mise à jour réguliers pour répondre de manière proactive aux nouveaux besoins et à l</w:t>
      </w:r>
      <w:r w:rsidR="00506749" w:rsidRPr="00BB75C5">
        <w:t>'</w:t>
      </w:r>
      <w:r w:rsidRPr="00BB75C5">
        <w:t>évolution des priorités de l</w:t>
      </w:r>
      <w:r w:rsidR="00506749" w:rsidRPr="00BB75C5">
        <w:t>'</w:t>
      </w:r>
      <w:r w:rsidRPr="00BB75C5">
        <w:t>organisation.</w:t>
      </w:r>
    </w:p>
    <w:p w14:paraId="0D0FFDA9" w14:textId="473413FA" w:rsidR="00B40F47" w:rsidRPr="00BB75C5" w:rsidRDefault="00B40F47" w:rsidP="006F31BB">
      <w:pPr>
        <w:pStyle w:val="enumlev1"/>
        <w:jc w:val="both"/>
      </w:pPr>
      <w:r w:rsidRPr="00BB75C5">
        <w:t>2</w:t>
      </w:r>
      <w:r w:rsidR="00AA4105" w:rsidRPr="00BB75C5">
        <w:t>)</w:t>
      </w:r>
      <w:r w:rsidRPr="00BB75C5">
        <w:tab/>
        <w:t>Le respect des formations obligatoires a été considérablement amélioré grâce à un partenariat renforcé avec les coordonnateurs RH, tirant parti des outils numériques pour améliorer le suivi et la communication réguliers. Le taux d</w:t>
      </w:r>
      <w:r w:rsidR="00506749" w:rsidRPr="00BB75C5">
        <w:t>'</w:t>
      </w:r>
      <w:r w:rsidRPr="00BB75C5">
        <w:t>achèvement des travaux est passé de 5% en septembre 2024 à 52% à la fin février 2026, grâce à la mise en place d</w:t>
      </w:r>
      <w:r w:rsidR="00506749" w:rsidRPr="00BB75C5">
        <w:t>'</w:t>
      </w:r>
      <w:r w:rsidRPr="00BB75C5">
        <w:t>un mécanisme de suivi systématique et d</w:t>
      </w:r>
      <w:r w:rsidR="00506749" w:rsidRPr="00BB75C5">
        <w:t>'</w:t>
      </w:r>
      <w:r w:rsidRPr="00BB75C5">
        <w:t>un coordonnateur spécialisé au sein du Département HRMD pour garantir des progrès soutenus.</w:t>
      </w:r>
    </w:p>
    <w:p w14:paraId="3982FB69" w14:textId="3B91B9A5" w:rsidR="00B40F47" w:rsidRPr="00BB75C5" w:rsidRDefault="00B40F47" w:rsidP="006F31BB">
      <w:pPr>
        <w:pStyle w:val="enumlev1"/>
        <w:jc w:val="both"/>
      </w:pPr>
      <w:r w:rsidRPr="00BB75C5">
        <w:t>3</w:t>
      </w:r>
      <w:r w:rsidR="00AA4105" w:rsidRPr="00BB75C5">
        <w:t>)</w:t>
      </w:r>
      <w:r w:rsidRPr="00BB75C5">
        <w:tab/>
        <w:t>L</w:t>
      </w:r>
      <w:r w:rsidR="00506749" w:rsidRPr="00BB75C5">
        <w:t>'</w:t>
      </w:r>
      <w:r w:rsidRPr="00BB75C5">
        <w:t>amélioration des compétences numériques a été réalisée grâce à des outils essentiels et à une collaboration étroite avec l</w:t>
      </w:r>
      <w:r w:rsidR="00506749" w:rsidRPr="00BB75C5">
        <w:t>'</w:t>
      </w:r>
      <w:r w:rsidRPr="00BB75C5">
        <w:t>équipe de transformation pour faire progresser l</w:t>
      </w:r>
      <w:r w:rsidR="00506749" w:rsidRPr="00BB75C5">
        <w:t>'</w:t>
      </w:r>
      <w:r w:rsidRPr="00BB75C5">
        <w:t>amélioration des compétences en matière d'intelligence artificielle (IA). Parmi ces activités figuraient diverses sessions de formation pratique pour les champions Copilot, complétées par une manifestation en présentiel à laquelle la Secrétaire</w:t>
      </w:r>
      <w:r w:rsidR="00E611F2" w:rsidRPr="00BB75C5">
        <w:t> </w:t>
      </w:r>
      <w:r w:rsidRPr="00BB75C5">
        <w:t>générale a assisté, et appuyées par des suivis mensuels structurés pour maintenir la dynamique et renforcer l</w:t>
      </w:r>
      <w:r w:rsidR="00506749" w:rsidRPr="00BB75C5">
        <w:t>'</w:t>
      </w:r>
      <w:r w:rsidRPr="00BB75C5">
        <w:t>adoption. En outre, une campagne de communication ciblée a été déployée auprès de tous les membres du personnel, mettant en évidence des parcours d</w:t>
      </w:r>
      <w:r w:rsidR="00506749" w:rsidRPr="00BB75C5">
        <w:t>'</w:t>
      </w:r>
      <w:r w:rsidRPr="00BB75C5">
        <w:t>apprentissage à leur propre rythme et une gamme de possibilités d</w:t>
      </w:r>
      <w:r w:rsidR="00506749" w:rsidRPr="00BB75C5">
        <w:t>'</w:t>
      </w:r>
      <w:r w:rsidRPr="00BB75C5">
        <w:t>apprentissage fondés sur l'IA. Cette approche visait à promouvoir l</w:t>
      </w:r>
      <w:r w:rsidR="00506749" w:rsidRPr="00BB75C5">
        <w:t>'</w:t>
      </w:r>
      <w:r w:rsidRPr="00BB75C5">
        <w:t>amélioration continue des compétences, à encourager un engagement proactif avec les technologies émergentes et à intégrer la maîtrise de l</w:t>
      </w:r>
      <w:r w:rsidR="00506749" w:rsidRPr="00BB75C5">
        <w:t>'</w:t>
      </w:r>
      <w:r w:rsidRPr="00BB75C5">
        <w:t>IA comme une capacité essentielle dans toute l</w:t>
      </w:r>
      <w:r w:rsidR="00506749" w:rsidRPr="00BB75C5">
        <w:t>'</w:t>
      </w:r>
      <w:r w:rsidRPr="00BB75C5">
        <w:t xml:space="preserve">organisation. La session inaugurale </w:t>
      </w:r>
      <w:r w:rsidR="007843C9" w:rsidRPr="00BB75C5">
        <w:t>"</w:t>
      </w:r>
      <w:r w:rsidRPr="00BB75C5">
        <w:t>L</w:t>
      </w:r>
      <w:r w:rsidR="00506749" w:rsidRPr="00BB75C5">
        <w:t>'</w:t>
      </w:r>
      <w:r w:rsidRPr="00BB75C5">
        <w:t>intelligence artificielle au service des ressources humaines</w:t>
      </w:r>
      <w:r w:rsidR="007843C9" w:rsidRPr="00BB75C5">
        <w:t>"</w:t>
      </w:r>
      <w:r w:rsidRPr="00BB75C5">
        <w:t xml:space="preserve"> a été organisée avec succès lors du Sommet mondial sur l</w:t>
      </w:r>
      <w:r w:rsidR="00506749" w:rsidRPr="00BB75C5">
        <w:t>'</w:t>
      </w:r>
      <w:r w:rsidRPr="00BB75C5">
        <w:t xml:space="preserve">intelligence artificielle au service </w:t>
      </w:r>
      <w:r w:rsidRPr="00BB75C5">
        <w:lastRenderedPageBreak/>
        <w:t>du bien social. Elle a réuni 92 directeurs des ressources humaines et professionnels des ressources humaines d</w:t>
      </w:r>
      <w:r w:rsidR="00506749" w:rsidRPr="00BB75C5">
        <w:t>'</w:t>
      </w:r>
      <w:r w:rsidRPr="00BB75C5">
        <w:t>institutions des Nations Unies et d</w:t>
      </w:r>
      <w:r w:rsidR="00506749" w:rsidRPr="00BB75C5">
        <w:t>'</w:t>
      </w:r>
      <w:r w:rsidRPr="00BB75C5">
        <w:t>organisations internationales, et a suscité des réactions extrêmement positives.</w:t>
      </w:r>
    </w:p>
    <w:p w14:paraId="70F3BBC4" w14:textId="6DA251A5" w:rsidR="00B40F47" w:rsidRPr="00BB75C5" w:rsidRDefault="00B40F47" w:rsidP="006F31BB">
      <w:pPr>
        <w:pStyle w:val="enumlev1"/>
        <w:jc w:val="both"/>
      </w:pPr>
      <w:r w:rsidRPr="00BB75C5">
        <w:t>4</w:t>
      </w:r>
      <w:r w:rsidR="00AA4105" w:rsidRPr="00BB75C5">
        <w:t>)</w:t>
      </w:r>
      <w:r w:rsidRPr="00BB75C5">
        <w:tab/>
        <w:t>Le développement de carrière et les compétences essentielles ont été renforcés grâce à des séries de masterclass et à une formation aux compétences fonctionnelles, avec des enregistrements et des ressources mis à disposition sur demande. Des possibilités de formation ciblées ont été proposées aux fonctionnaires de la catégorie des services</w:t>
      </w:r>
      <w:r w:rsidR="00E806A2" w:rsidRPr="00BB75C5">
        <w:t> </w:t>
      </w:r>
      <w:r w:rsidRPr="00BB75C5">
        <w:t>généraux, afin de renforcer leurs capacités et de répondre à l</w:t>
      </w:r>
      <w:r w:rsidR="00506749" w:rsidRPr="00BB75C5">
        <w:t>'</w:t>
      </w:r>
      <w:r w:rsidRPr="00BB75C5">
        <w:t>évolution des besoins de l</w:t>
      </w:r>
      <w:r w:rsidR="00506749" w:rsidRPr="00BB75C5">
        <w:t>'</w:t>
      </w:r>
      <w:r w:rsidRPr="00BB75C5">
        <w:t>organisation. Ces possibilités comprenaient la mise en œuvre du programme Gameshifter, conçu pour développer l</w:t>
      </w:r>
      <w:r w:rsidR="00506749" w:rsidRPr="00BB75C5">
        <w:t>'</w:t>
      </w:r>
      <w:r w:rsidRPr="00BB75C5">
        <w:t>adaptabilité, l</w:t>
      </w:r>
      <w:r w:rsidR="00506749" w:rsidRPr="00BB75C5">
        <w:t>'</w:t>
      </w:r>
      <w:r w:rsidRPr="00BB75C5">
        <w:t>innovation et les mentalités axées sur la croissance. Une formation spécialisée sur les compétences numériques et les outils d</w:t>
      </w:r>
      <w:r w:rsidR="00506749" w:rsidRPr="00BB75C5">
        <w:t>'</w:t>
      </w:r>
      <w:r w:rsidRPr="00BB75C5">
        <w:t>IA pour l</w:t>
      </w:r>
      <w:r w:rsidR="00506749" w:rsidRPr="00BB75C5">
        <w:t>'</w:t>
      </w:r>
      <w:r w:rsidRPr="00BB75C5">
        <w:t>exécution des programmes a été dispensée en collaboration avec le Centre international de formation de l</w:t>
      </w:r>
      <w:r w:rsidR="00506749" w:rsidRPr="00BB75C5">
        <w:t>'</w:t>
      </w:r>
      <w:r w:rsidRPr="00BB75C5">
        <w:t>Organisation internationale du Travail (ITC-OIT), afin d</w:t>
      </w:r>
      <w:r w:rsidR="00506749" w:rsidRPr="00BB75C5">
        <w:t>'</w:t>
      </w:r>
      <w:r w:rsidRPr="00BB75C5">
        <w:t>acquérir les compétences pratiques nécessaires pour tirer parti des technologies émergentes. L</w:t>
      </w:r>
      <w:r w:rsidR="00506749" w:rsidRPr="00BB75C5">
        <w:t>'</w:t>
      </w:r>
      <w:r w:rsidRPr="00BB75C5">
        <w:t>objectif de cette initiative était de doter les fonctionnaires de la catégorie des services généraux des compétences, de la confiance et de l</w:t>
      </w:r>
      <w:r w:rsidR="00506749" w:rsidRPr="00BB75C5">
        <w:t>'</w:t>
      </w:r>
      <w:r w:rsidRPr="00BB75C5">
        <w:t>aisance numérique nécessaires pour s</w:t>
      </w:r>
      <w:r w:rsidR="00506749" w:rsidRPr="00BB75C5">
        <w:t>'</w:t>
      </w:r>
      <w:r w:rsidRPr="00BB75C5">
        <w:t>épanouir dans un environnement de travail en évolution rapide. Parallèlement, le Département</w:t>
      </w:r>
      <w:r w:rsidR="0065509F" w:rsidRPr="00BB75C5">
        <w:t> </w:t>
      </w:r>
      <w:r w:rsidRPr="00BB75C5">
        <w:t>HRMD continue de renforcer les capacités RH en certifiant, le cas échéant, les compétences internes.</w:t>
      </w:r>
    </w:p>
    <w:p w14:paraId="51773920" w14:textId="7AC7051B" w:rsidR="00B40F47" w:rsidRPr="00BB75C5" w:rsidRDefault="00B40F47" w:rsidP="006F31BB">
      <w:pPr>
        <w:pStyle w:val="enumlev1"/>
        <w:jc w:val="both"/>
      </w:pPr>
      <w:r w:rsidRPr="00BB75C5">
        <w:t>5</w:t>
      </w:r>
      <w:r w:rsidR="00AA4105" w:rsidRPr="00BB75C5">
        <w:t>)</w:t>
      </w:r>
      <w:r w:rsidRPr="00BB75C5">
        <w:tab/>
        <w:t>Pour assurer une intégration harmonieuse du personnel, deux cycles du programme d</w:t>
      </w:r>
      <w:r w:rsidR="00506749" w:rsidRPr="00BB75C5">
        <w:t>'</w:t>
      </w:r>
      <w:r w:rsidRPr="00BB75C5">
        <w:t>intégration des nouveaux arrivants ont été organisés en 2025 (mars et septembre). Le programme est en cours de numérisation grâce à une solution d</w:t>
      </w:r>
      <w:r w:rsidR="00506749" w:rsidRPr="00BB75C5">
        <w:t>'</w:t>
      </w:r>
      <w:r w:rsidRPr="00BB75C5">
        <w:t>intégration virtuelle et à des ressources intranet mises à jour d</w:t>
      </w:r>
      <w:r w:rsidR="00506749" w:rsidRPr="00BB75C5">
        <w:t>'</w:t>
      </w:r>
      <w:r w:rsidRPr="00BB75C5">
        <w:t>ici la fin de 2026.</w:t>
      </w:r>
    </w:p>
    <w:p w14:paraId="65D76241" w14:textId="67E95CAA" w:rsidR="00B40F47" w:rsidRPr="00BB75C5" w:rsidRDefault="00B40F47" w:rsidP="006F31BB">
      <w:pPr>
        <w:pStyle w:val="enumlev1"/>
        <w:jc w:val="both"/>
      </w:pPr>
      <w:r w:rsidRPr="00BB75C5">
        <w:t>6</w:t>
      </w:r>
      <w:r w:rsidR="00AA4105" w:rsidRPr="00BB75C5">
        <w:t>)</w:t>
      </w:r>
      <w:r w:rsidRPr="00BB75C5">
        <w:tab/>
        <w:t>Un appui ciblé a été fourni aux Bureaux et aux bureaux régionaux pour répondre à des besoins opérationnels spécifiques. Il s</w:t>
      </w:r>
      <w:r w:rsidR="00506749" w:rsidRPr="00BB75C5">
        <w:t>'</w:t>
      </w:r>
      <w:r w:rsidRPr="00BB75C5">
        <w:t>agissait notamment d</w:t>
      </w:r>
      <w:r w:rsidR="00506749" w:rsidRPr="00BB75C5">
        <w:t>'</w:t>
      </w:r>
      <w:r w:rsidRPr="00BB75C5">
        <w:t>initiatives de renforcement des capacités sur mesure, notamment une formation spécialisée sur l</w:t>
      </w:r>
      <w:r w:rsidR="00506749" w:rsidRPr="00BB75C5">
        <w:t>'</w:t>
      </w:r>
      <w:r w:rsidRPr="00BB75C5">
        <w:t>évaluation de projets à l</w:t>
      </w:r>
      <w:r w:rsidR="00506749" w:rsidRPr="00BB75C5">
        <w:t>'</w:t>
      </w:r>
      <w:r w:rsidRPr="00BB75C5">
        <w:t>intention d</w:t>
      </w:r>
      <w:r w:rsidR="00506749" w:rsidRPr="00BB75C5">
        <w:t>'</w:t>
      </w:r>
      <w:r w:rsidRPr="00BB75C5">
        <w:t>une nouvelle communauté d</w:t>
      </w:r>
      <w:r w:rsidR="00506749" w:rsidRPr="00BB75C5">
        <w:t>'</w:t>
      </w:r>
      <w:r w:rsidRPr="00BB75C5">
        <w:t>évaluateurs en collaboration avec le groupe des acteurs du changement chargé de l'évaluation et le spécialiste de l</w:t>
      </w:r>
      <w:r w:rsidR="00506749" w:rsidRPr="00BB75C5">
        <w:t>'</w:t>
      </w:r>
      <w:r w:rsidRPr="00BB75C5">
        <w:t>évaluation, ainsi que d</w:t>
      </w:r>
      <w:r w:rsidR="00506749" w:rsidRPr="00BB75C5">
        <w:t>'</w:t>
      </w:r>
      <w:r w:rsidRPr="00BB75C5">
        <w:t>une formation sur la sécurité dispensée en</w:t>
      </w:r>
      <w:r w:rsidR="00E806A2" w:rsidRPr="00BB75C5">
        <w:t> </w:t>
      </w:r>
      <w:r w:rsidRPr="00BB75C5">
        <w:t>coordination avec le BDT et l</w:t>
      </w:r>
      <w:r w:rsidR="00506749" w:rsidRPr="00BB75C5">
        <w:t>'</w:t>
      </w:r>
      <w:r w:rsidRPr="00BB75C5">
        <w:t>équipe de sécurité, ce qui a contribué à la préparation du personnel en vue de la CMDT-25. En outre, un soutien a été apporté pour répondre aux besoins individuels de formation spécialisée.</w:t>
      </w:r>
    </w:p>
    <w:p w14:paraId="12E14B75" w14:textId="681225AC" w:rsidR="00B40F47" w:rsidRPr="00BB75C5" w:rsidRDefault="00B40F47" w:rsidP="006F31BB">
      <w:pPr>
        <w:pStyle w:val="enumlev1"/>
        <w:jc w:val="both"/>
      </w:pPr>
      <w:r w:rsidRPr="00BB75C5">
        <w:t>7</w:t>
      </w:r>
      <w:r w:rsidR="00AA4105" w:rsidRPr="00BB75C5">
        <w:t>)</w:t>
      </w:r>
      <w:r w:rsidRPr="00BB75C5">
        <w:tab/>
        <w:t>Le processus de gestion de la performance a été simplifié à toutes les étapes grâce à la simplification des formulaires, la suppression les clics redondants et la synthèse des informations. Le processus s'en trouve allégé, ce qui permet au personnel et aux responsables de privilégier le dialogue et les retours d</w:t>
      </w:r>
      <w:r w:rsidR="00506749" w:rsidRPr="00BB75C5">
        <w:t>'</w:t>
      </w:r>
      <w:r w:rsidRPr="00BB75C5">
        <w:t>information réguliers. L</w:t>
      </w:r>
      <w:r w:rsidR="00506749" w:rsidRPr="00BB75C5">
        <w:t>'</w:t>
      </w:r>
      <w:r w:rsidRPr="00BB75C5">
        <w:t>outil</w:t>
      </w:r>
      <w:r w:rsidR="00423563" w:rsidRPr="00BB75C5">
        <w:t> </w:t>
      </w:r>
      <w:r w:rsidRPr="00BB75C5">
        <w:t>ePMDS simplifié a permis de réduire d</w:t>
      </w:r>
      <w:r w:rsidR="00506749" w:rsidRPr="00BB75C5">
        <w:t>'</w:t>
      </w:r>
      <w:r w:rsidRPr="00BB75C5">
        <w:t>au moins 50% le temps consacré à</w:t>
      </w:r>
      <w:r w:rsidR="0065509F" w:rsidRPr="00BB75C5">
        <w:t> </w:t>
      </w:r>
      <w:r w:rsidRPr="00BB75C5">
        <w:t>l</w:t>
      </w:r>
      <w:r w:rsidR="00506749" w:rsidRPr="00BB75C5">
        <w:t>'</w:t>
      </w:r>
      <w:r w:rsidRPr="00BB75C5">
        <w:t>évaluation des supérieurs hiérarchiques, ce qui permet d</w:t>
      </w:r>
      <w:r w:rsidR="00506749" w:rsidRPr="00BB75C5">
        <w:t>'</w:t>
      </w:r>
      <w:r w:rsidRPr="00BB75C5">
        <w:t>examiner plus efficacement la performance plutôt que de se concentrer sur l</w:t>
      </w:r>
      <w:r w:rsidR="00506749" w:rsidRPr="00BB75C5">
        <w:t>'</w:t>
      </w:r>
      <w:r w:rsidRPr="00BB75C5">
        <w:t>outil dans le système.</w:t>
      </w:r>
    </w:p>
    <w:p w14:paraId="681873EF" w14:textId="652AAF05" w:rsidR="00B40F47" w:rsidRPr="00BB75C5" w:rsidRDefault="00B40F47" w:rsidP="006F31BB">
      <w:pPr>
        <w:pStyle w:val="enumlev1"/>
        <w:keepLines/>
        <w:jc w:val="both"/>
      </w:pPr>
      <w:r w:rsidRPr="00BB75C5">
        <w:t>8</w:t>
      </w:r>
      <w:r w:rsidR="00AA4105" w:rsidRPr="00BB75C5">
        <w:t>)</w:t>
      </w:r>
      <w:r w:rsidRPr="00BB75C5">
        <w:tab/>
        <w:t>L</w:t>
      </w:r>
      <w:r w:rsidR="00506749" w:rsidRPr="00BB75C5">
        <w:t>'</w:t>
      </w:r>
      <w:r w:rsidRPr="00BB75C5">
        <w:t>examen en cours du processus de gestion de la performance adopte une approche collaborative par le biais de laboratoires d</w:t>
      </w:r>
      <w:r w:rsidR="00506749" w:rsidRPr="00BB75C5">
        <w:t>'</w:t>
      </w:r>
      <w:r w:rsidRPr="00BB75C5">
        <w:t>innovation afin d</w:t>
      </w:r>
      <w:r w:rsidR="00506749" w:rsidRPr="00BB75C5">
        <w:t>'</w:t>
      </w:r>
      <w:r w:rsidRPr="00BB75C5">
        <w:t>améliorer le processus et les outils pour remédier à l</w:t>
      </w:r>
      <w:r w:rsidR="00506749" w:rsidRPr="00BB75C5">
        <w:t>'</w:t>
      </w:r>
      <w:r w:rsidRPr="00BB75C5">
        <w:t>insuffisance de performance, relier l</w:t>
      </w:r>
      <w:r w:rsidR="00506749" w:rsidRPr="00BB75C5">
        <w:t>'</w:t>
      </w:r>
      <w:r w:rsidRPr="00BB75C5">
        <w:t>apprentissage à la performance, reconnaître les réalisations individuelles et d</w:t>
      </w:r>
      <w:r w:rsidR="00506749" w:rsidRPr="00BB75C5">
        <w:t>'</w:t>
      </w:r>
      <w:r w:rsidRPr="00BB75C5">
        <w:t>équipe et favoriser un dialogue ouvert et des retours d'information continus, avec une mise en œuvre prévue pour 2026.</w:t>
      </w:r>
    </w:p>
    <w:p w14:paraId="0D248D04" w14:textId="6E3FE2FB" w:rsidR="00B40F47" w:rsidRPr="00BB75C5" w:rsidRDefault="00B40F47" w:rsidP="006F31BB">
      <w:pPr>
        <w:pStyle w:val="enumlev1"/>
        <w:jc w:val="both"/>
      </w:pPr>
      <w:r w:rsidRPr="00BB75C5">
        <w:lastRenderedPageBreak/>
        <w:t>9</w:t>
      </w:r>
      <w:r w:rsidR="00AA4105" w:rsidRPr="00BB75C5">
        <w:t>)</w:t>
      </w:r>
      <w:r w:rsidRPr="00BB75C5">
        <w:tab/>
        <w:t>Le cadre de recrutement de l</w:t>
      </w:r>
      <w:r w:rsidR="00506749" w:rsidRPr="00BB75C5">
        <w:t>'</w:t>
      </w:r>
      <w:r w:rsidRPr="00BB75C5">
        <w:t>UIT est renforcé afin d</w:t>
      </w:r>
      <w:r w:rsidR="00506749" w:rsidRPr="00BB75C5">
        <w:t>'</w:t>
      </w:r>
      <w:r w:rsidRPr="00BB75C5">
        <w:t>améliorer l</w:t>
      </w:r>
      <w:r w:rsidR="00506749" w:rsidRPr="00BB75C5">
        <w:t>'</w:t>
      </w:r>
      <w:r w:rsidRPr="00BB75C5">
        <w:t>efficacité des délais d</w:t>
      </w:r>
      <w:r w:rsidR="00506749" w:rsidRPr="00BB75C5">
        <w:t>'</w:t>
      </w:r>
      <w:r w:rsidRPr="00BB75C5">
        <w:t>embauche et des tâches administratives, tout en atténuant les risques en matière de conformité et de responsabilité. Au cours de la première phase de la transformation des recrutements de durée déterminée, de nouveaux flux de travail, des indicateurs fondamentaux de performance (IFP), un cadre de responsabilisation et un projet de politique ont été élaborés, sur la base de consultations internes et d</w:t>
      </w:r>
      <w:r w:rsidR="00506749" w:rsidRPr="00BB75C5">
        <w:t>'</w:t>
      </w:r>
      <w:r w:rsidRPr="00BB75C5">
        <w:t>analyses comparatives de l</w:t>
      </w:r>
      <w:r w:rsidR="00506749" w:rsidRPr="00BB75C5">
        <w:t>'</w:t>
      </w:r>
      <w:r w:rsidRPr="00BB75C5">
        <w:t>ONU. La politique de recrutement devrait être achevée en 2026, et</w:t>
      </w:r>
      <w:r w:rsidR="0065509F" w:rsidRPr="00BB75C5">
        <w:t> </w:t>
      </w:r>
      <w:r w:rsidRPr="00BB75C5">
        <w:t>l</w:t>
      </w:r>
      <w:r w:rsidR="00506749" w:rsidRPr="00BB75C5">
        <w:t>'</w:t>
      </w:r>
      <w:r w:rsidRPr="00BB75C5">
        <w:t>UIT migrera vers INSPIRA comme plate-forme principale de recrutement, conformément aux objectifs de l'initiative ONU80 et aux objectifs en matière de services partagés, afin de réduire les coûts d</w:t>
      </w:r>
      <w:r w:rsidR="00506749" w:rsidRPr="00BB75C5">
        <w:t>'</w:t>
      </w:r>
      <w:r w:rsidRPr="00BB75C5">
        <w:t>exploitation annuels tout en offrant une valeur nettement plus élevée, de disposer d</w:t>
      </w:r>
      <w:r w:rsidR="00506749" w:rsidRPr="00BB75C5">
        <w:t>'</w:t>
      </w:r>
      <w:r w:rsidRPr="00BB75C5">
        <w:t>un modèle de coûts prévisible et de réduire la charge opérationnelle, et de s</w:t>
      </w:r>
      <w:r w:rsidR="00506749" w:rsidRPr="00BB75C5">
        <w:t>'</w:t>
      </w:r>
      <w:r w:rsidRPr="00BB75C5">
        <w:t>aligner dans les délais sur la modernisation de l</w:t>
      </w:r>
      <w:r w:rsidR="00506749" w:rsidRPr="00BB75C5">
        <w:t>'</w:t>
      </w:r>
      <w:r w:rsidRPr="00BB75C5">
        <w:t>organisation. Des travaux sont également en cours pour renforcer la sensibilisation et l</w:t>
      </w:r>
      <w:r w:rsidR="00506749" w:rsidRPr="00BB75C5">
        <w:t>'</w:t>
      </w:r>
      <w:r w:rsidRPr="00BB75C5">
        <w:t>image de marque de l</w:t>
      </w:r>
      <w:r w:rsidR="00506749" w:rsidRPr="00BB75C5">
        <w:t>'</w:t>
      </w:r>
      <w:r w:rsidRPr="00BB75C5">
        <w:t>employeur afin d</w:t>
      </w:r>
      <w:r w:rsidR="00506749" w:rsidRPr="00BB75C5">
        <w:t>'</w:t>
      </w:r>
      <w:r w:rsidRPr="00BB75C5">
        <w:t>attirer des talents diversifiés et de qualité.</w:t>
      </w:r>
    </w:p>
    <w:p w14:paraId="4E42893A" w14:textId="6A7D9689" w:rsidR="00B40F47" w:rsidRPr="00BB75C5" w:rsidRDefault="00B40F47" w:rsidP="006F31BB">
      <w:pPr>
        <w:pStyle w:val="enumlev1"/>
        <w:jc w:val="both"/>
      </w:pPr>
      <w:r w:rsidRPr="00BB75C5">
        <w:t>10</w:t>
      </w:r>
      <w:r w:rsidR="00AA4105" w:rsidRPr="00BB75C5">
        <w:t>)</w:t>
      </w:r>
      <w:r w:rsidRPr="00BB75C5">
        <w:tab/>
        <w:t>La planification stratégique des effectifs est renforcée afin de favoriser l</w:t>
      </w:r>
      <w:r w:rsidR="00506749" w:rsidRPr="00BB75C5">
        <w:t>'</w:t>
      </w:r>
      <w:r w:rsidRPr="00BB75C5">
        <w:t>affectation efficace des ressources humaines pour répondre à l</w:t>
      </w:r>
      <w:r w:rsidR="00506749" w:rsidRPr="00BB75C5">
        <w:t>'</w:t>
      </w:r>
      <w:r w:rsidRPr="00BB75C5">
        <w:t>évolution des besoins de l</w:t>
      </w:r>
      <w:r w:rsidR="00506749" w:rsidRPr="00BB75C5">
        <w:t>'</w:t>
      </w:r>
      <w:r w:rsidRPr="00BB75C5">
        <w:t>UIT. Sur</w:t>
      </w:r>
      <w:r w:rsidR="0065509F" w:rsidRPr="00BB75C5">
        <w:t> </w:t>
      </w:r>
      <w:r w:rsidRPr="00BB75C5">
        <w:t>la base des consultations internes et des analyses comparatives de l</w:t>
      </w:r>
      <w:r w:rsidR="00506749" w:rsidRPr="00BB75C5">
        <w:t>'</w:t>
      </w:r>
      <w:r w:rsidRPr="00BB75C5">
        <w:t>ONU, les travaux progressent en vue de définir un cadre de compétences, une matrice de compétences, des besoins de formation et un modèle de planification du renouvellement des effectifs. Ces travaux se poursuivront au troisième trimestre de</w:t>
      </w:r>
      <w:r w:rsidR="00E611F2" w:rsidRPr="00BB75C5">
        <w:t> </w:t>
      </w:r>
      <w:r w:rsidRPr="00BB75C5">
        <w:t>2026. Dans le cadre de la planification des effectifs, l</w:t>
      </w:r>
      <w:r w:rsidR="00506749" w:rsidRPr="00BB75C5">
        <w:t>'</w:t>
      </w:r>
      <w:r w:rsidRPr="00BB75C5">
        <w:t>UIT met en place un cadre normalisé à l</w:t>
      </w:r>
      <w:r w:rsidR="00506749" w:rsidRPr="00BB75C5">
        <w:t>'</w:t>
      </w:r>
      <w:r w:rsidRPr="00BB75C5">
        <w:t>échelle de l</w:t>
      </w:r>
      <w:r w:rsidR="00506749" w:rsidRPr="00BB75C5">
        <w:t>'</w:t>
      </w:r>
      <w:r w:rsidRPr="00BB75C5">
        <w:t>Union pour évaluer le lieu d</w:t>
      </w:r>
      <w:r w:rsidR="00506749" w:rsidRPr="00BB75C5">
        <w:t>'</w:t>
      </w:r>
      <w:r w:rsidRPr="00BB75C5">
        <w:t>affectation et les modalités de contrat les plus appropriés pour les postes lorsqu</w:t>
      </w:r>
      <w:r w:rsidR="00506749" w:rsidRPr="00BB75C5">
        <w:t>'</w:t>
      </w:r>
      <w:r w:rsidRPr="00BB75C5">
        <w:t>ils sont ouverts au recrutement, en veillant à ce que les décisions de recrutement et de placement soient alignées à la fois sur les priorités de l</w:t>
      </w:r>
      <w:r w:rsidR="00506749" w:rsidRPr="00BB75C5">
        <w:t>'</w:t>
      </w:r>
      <w:r w:rsidRPr="00BB75C5">
        <w:t>organisation et sur les réalités d</w:t>
      </w:r>
      <w:r w:rsidR="00506749" w:rsidRPr="00BB75C5">
        <w:t>'</w:t>
      </w:r>
      <w:r w:rsidRPr="00BB75C5">
        <w:t>un modèle de fonctionnement mondial, tout en renforçant la présence régionale en rapprochant le personnel des États Membres. Ce</w:t>
      </w:r>
      <w:r w:rsidR="00506749" w:rsidRPr="00BB75C5">
        <w:t> </w:t>
      </w:r>
      <w:r w:rsidRPr="00BB75C5">
        <w:t>cadre axé sur les données renforce l</w:t>
      </w:r>
      <w:r w:rsidR="00506749" w:rsidRPr="00BB75C5">
        <w:t>'</w:t>
      </w:r>
      <w:r w:rsidRPr="00BB75C5">
        <w:t>équité, la transparence et l</w:t>
      </w:r>
      <w:r w:rsidR="00506749" w:rsidRPr="00BB75C5">
        <w:t>'</w:t>
      </w:r>
      <w:r w:rsidRPr="00BB75C5">
        <w:t>adaptabilité, positionnant l</w:t>
      </w:r>
      <w:r w:rsidR="00506749" w:rsidRPr="00BB75C5">
        <w:t>'</w:t>
      </w:r>
      <w:r w:rsidRPr="00BB75C5">
        <w:t>organisation pour relever les défis futurs et répondre aux besoins des États Membres avec plus d</w:t>
      </w:r>
      <w:r w:rsidR="00506749" w:rsidRPr="00BB75C5">
        <w:t>'</w:t>
      </w:r>
      <w:r w:rsidRPr="00BB75C5">
        <w:t>efficacité et d</w:t>
      </w:r>
      <w:r w:rsidR="00506749" w:rsidRPr="00BB75C5">
        <w:t>'</w:t>
      </w:r>
      <w:r w:rsidRPr="00BB75C5">
        <w:t>impact.</w:t>
      </w:r>
    </w:p>
    <w:p w14:paraId="69974771" w14:textId="721B3C01" w:rsidR="00B40F47" w:rsidRPr="00BB75C5" w:rsidRDefault="00B40F47" w:rsidP="006F31BB">
      <w:pPr>
        <w:pStyle w:val="enumlev1"/>
        <w:jc w:val="both"/>
      </w:pPr>
      <w:r w:rsidRPr="00BB75C5">
        <w:t>11</w:t>
      </w:r>
      <w:r w:rsidR="00AA4105" w:rsidRPr="00BB75C5">
        <w:t>)</w:t>
      </w:r>
      <w:r w:rsidRPr="00BB75C5">
        <w:tab/>
        <w:t>En février 2026, le nombre d</w:t>
      </w:r>
      <w:r w:rsidR="00506749" w:rsidRPr="00BB75C5">
        <w:t>'</w:t>
      </w:r>
      <w:r w:rsidRPr="00BB75C5">
        <w:t>administrateurs auxiliaires était de 5, et de 4 à 6 autres devraient être intégrés dans le courant de l</w:t>
      </w:r>
      <w:r w:rsidR="00506749" w:rsidRPr="00BB75C5">
        <w:t>'</w:t>
      </w:r>
      <w:r w:rsidRPr="00BB75C5">
        <w:t>année. Cette croissance renforce le vivier de talents de l</w:t>
      </w:r>
      <w:r w:rsidR="00506749" w:rsidRPr="00BB75C5">
        <w:t>'</w:t>
      </w:r>
      <w:r w:rsidRPr="00BB75C5">
        <w:t>UIT, favorisant un personnel prêt pour l</w:t>
      </w:r>
      <w:r w:rsidR="00506749" w:rsidRPr="00BB75C5">
        <w:t>'</w:t>
      </w:r>
      <w:r w:rsidRPr="00BB75C5">
        <w:t>avenir tout en renforçant l</w:t>
      </w:r>
      <w:r w:rsidR="00506749" w:rsidRPr="00BB75C5">
        <w:t>'</w:t>
      </w:r>
      <w:r w:rsidRPr="00BB75C5">
        <w:t>efficacité et la souplesse institutionnelles.</w:t>
      </w:r>
    </w:p>
    <w:p w14:paraId="6B9C9DEE" w14:textId="19D9E17C" w:rsidR="00B40F47" w:rsidRPr="00BB75C5" w:rsidRDefault="00B40F47" w:rsidP="006F31BB">
      <w:pPr>
        <w:pStyle w:val="enumlev1"/>
        <w:jc w:val="both"/>
      </w:pPr>
      <w:r w:rsidRPr="00BB75C5">
        <w:t>12</w:t>
      </w:r>
      <w:r w:rsidR="00AA4105" w:rsidRPr="00BB75C5">
        <w:t>)</w:t>
      </w:r>
      <w:r w:rsidRPr="00BB75C5">
        <w:tab/>
        <w:t>Le Programme des jeunes professionnels (YPP), lancé en 2024, est l</w:t>
      </w:r>
      <w:r w:rsidR="00506749" w:rsidRPr="00BB75C5">
        <w:t>'</w:t>
      </w:r>
      <w:r w:rsidRPr="00BB75C5">
        <w:t>un des piliers de l</w:t>
      </w:r>
      <w:r w:rsidR="00506749" w:rsidRPr="00BB75C5">
        <w:t>'</w:t>
      </w:r>
      <w:r w:rsidRPr="00BB75C5">
        <w:t>engagement de l</w:t>
      </w:r>
      <w:r w:rsidR="00506749" w:rsidRPr="00BB75C5">
        <w:t>'</w:t>
      </w:r>
      <w:r w:rsidRPr="00BB75C5">
        <w:t>UIT en faveur de la revitalisation des effectifs et de la mobilisation des jeunes. Après l</w:t>
      </w:r>
      <w:r w:rsidR="00506749" w:rsidRPr="00BB75C5">
        <w:t>'</w:t>
      </w:r>
      <w:r w:rsidRPr="00BB75C5">
        <w:t>intégration de six professionnels issus des pays les moins avancés (PMA) en 2025 – améliorant ainsi la représentation géographique – l</w:t>
      </w:r>
      <w:r w:rsidR="00506749" w:rsidRPr="00BB75C5">
        <w:t>'</w:t>
      </w:r>
      <w:r w:rsidRPr="00BB75C5">
        <w:t>Union poursuivra sur cette lancée et apportera à l</w:t>
      </w:r>
      <w:r w:rsidR="00506749" w:rsidRPr="00BB75C5">
        <w:t>'</w:t>
      </w:r>
      <w:r w:rsidRPr="00BB75C5">
        <w:t>UIT de nouvelles perspectives et des compétences numériques à l'épreuve de l</w:t>
      </w:r>
      <w:r w:rsidR="00506749" w:rsidRPr="00BB75C5">
        <w:t>'</w:t>
      </w:r>
      <w:r w:rsidRPr="00BB75C5">
        <w:t>avenir.</w:t>
      </w:r>
    </w:p>
    <w:p w14:paraId="7263922B" w14:textId="56AC13E8" w:rsidR="00B40F47" w:rsidRPr="00BB75C5" w:rsidRDefault="00B40F47" w:rsidP="006F31BB">
      <w:pPr>
        <w:pStyle w:val="enumlev1"/>
        <w:jc w:val="both"/>
      </w:pPr>
      <w:r w:rsidRPr="00BB75C5">
        <w:t>13</w:t>
      </w:r>
      <w:r w:rsidR="00AA4105" w:rsidRPr="00BB75C5">
        <w:t>)</w:t>
      </w:r>
      <w:r w:rsidRPr="00BB75C5">
        <w:tab/>
        <w:t>La parité hommes-femmes dans le recrutement a été renforcée grâce à des panels de recrutement équilibrés, en veillant à ce que les hommes et les femmes soient représentés à chaque panel à chaque étape du processus de recrutement. Des mesures spéciales de recrutement et de sensibilisation ciblée ont été définies pour favoriser la parité et la diversité géographique. Il s</w:t>
      </w:r>
      <w:r w:rsidR="00506749" w:rsidRPr="00BB75C5">
        <w:t>'</w:t>
      </w:r>
      <w:r w:rsidRPr="00BB75C5">
        <w:t>agit notamment d</w:t>
      </w:r>
      <w:r w:rsidR="00506749" w:rsidRPr="00BB75C5">
        <w:t>'</w:t>
      </w:r>
      <w:r w:rsidRPr="00BB75C5">
        <w:t>exiger que les listes restreintes comportent, si possible, 50% du sexe sous-représenté (lorsque la parité n</w:t>
      </w:r>
      <w:r w:rsidR="00506749" w:rsidRPr="00BB75C5">
        <w:t>'</w:t>
      </w:r>
      <w:r w:rsidRPr="00BB75C5">
        <w:t xml:space="preserve">est pas atteinte) et de renforcer la responsabilité de la direction. Des travaux sont en cours pour </w:t>
      </w:r>
      <w:r w:rsidRPr="00BB75C5">
        <w:lastRenderedPageBreak/>
        <w:t>aligner davantage les communications et les pratiques de recrutement sur des normes inclusives.</w:t>
      </w:r>
    </w:p>
    <w:p w14:paraId="70EB6C3C" w14:textId="22849E86" w:rsidR="00B40F47" w:rsidRPr="00BB75C5" w:rsidRDefault="00B40F47" w:rsidP="006F31BB">
      <w:pPr>
        <w:pStyle w:val="enumlev1"/>
        <w:jc w:val="both"/>
      </w:pPr>
      <w:r w:rsidRPr="00BB75C5">
        <w:t>14</w:t>
      </w:r>
      <w:r w:rsidR="00AA4105" w:rsidRPr="00BB75C5">
        <w:t>)</w:t>
      </w:r>
      <w:r w:rsidRPr="00BB75C5">
        <w:tab/>
        <w:t>Un second volet du programme de départ volontaire a été lancé et mis en œuvre afin d'optimiser les dépenses budgétaires, de réaligner les structures de l'Union et l'allocation des ressources, et d'améliorer la capacité de l'UIT à obtenir les profils de compétences dont elle a besoin. À la suite de la recommandation du Comité de coordination et de l</w:t>
      </w:r>
      <w:r w:rsidR="00506749" w:rsidRPr="00BB75C5">
        <w:t>'</w:t>
      </w:r>
      <w:r w:rsidRPr="00BB75C5">
        <w:t>approbation de la Secrétaire générale, 15 fonctionnaires ont quitté leurs fonctions dans le cadre du programme de départ volontaire pour 2024, soit environ 2,5% du personnel permanent, et les départs ont été effectifs en 2025.</w:t>
      </w:r>
    </w:p>
    <w:p w14:paraId="12A43A4D" w14:textId="77777777" w:rsidR="00B40F47" w:rsidRPr="00BB75C5" w:rsidRDefault="00B40F47" w:rsidP="007843C9">
      <w:pPr>
        <w:pStyle w:val="Headingb"/>
      </w:pPr>
      <w:r w:rsidRPr="00BB75C5">
        <w:t>Culture: Établir une culture dans laquelle les personnes se sentent en sécurité, valorisées et capables de donner le meilleur d'elles-mêmes</w:t>
      </w:r>
    </w:p>
    <w:p w14:paraId="415D633B" w14:textId="77777777" w:rsidR="00B40F47" w:rsidRPr="00BB75C5" w:rsidRDefault="00B40F47" w:rsidP="006F31BB">
      <w:pPr>
        <w:jc w:val="both"/>
      </w:pPr>
      <w:r w:rsidRPr="00BB75C5">
        <w:t>Le deuxième pilier du plan de transformation, intitulé "Culture", traduit l'engagement de l'UIT de promouvoir une culture inclusive, la direction facilitant ce processus par une action résolue, dans un environnement professionnel respectueux, éthique et équitable, où les personnes se sentent en sécurité, en confiance, valorisées et capables de donner le meilleur d'elles-mêmes. Un tel environnement est propice à la créativité, à la sécurité psychologique, aux bons résultats et à la motivation du personnel.</w:t>
      </w:r>
    </w:p>
    <w:p w14:paraId="36B49E4F" w14:textId="77777777" w:rsidR="00B40F47" w:rsidRPr="00BB75C5" w:rsidRDefault="00B40F47" w:rsidP="006F31BB">
      <w:pPr>
        <w:jc w:val="both"/>
      </w:pPr>
      <w:r w:rsidRPr="00BB75C5">
        <w:t>Le plan de transformation privilégie les conditions de service, le bien-être et l'équilibre entre vie professionnelle et vie privée, grâce à des mesures en faveur de la santé au travail et de la santé mentale et à des politiques favorables à la vie familiale.</w:t>
      </w:r>
    </w:p>
    <w:p w14:paraId="4A2A084D" w14:textId="77777777" w:rsidR="00B40F47" w:rsidRPr="00BB75C5" w:rsidRDefault="00B40F47" w:rsidP="006F31BB">
      <w:pPr>
        <w:jc w:val="both"/>
      </w:pPr>
      <w:r w:rsidRPr="00BB75C5">
        <w:t>En outre, l'UIT s'efforce d'être un employeur accessible et attrayant pour tous.</w:t>
      </w:r>
    </w:p>
    <w:p w14:paraId="498D5660" w14:textId="77777777" w:rsidR="00B40F47" w:rsidRPr="00BB75C5" w:rsidRDefault="00B40F47" w:rsidP="006F31BB">
      <w:pPr>
        <w:pStyle w:val="Headingb"/>
        <w:jc w:val="both"/>
      </w:pPr>
      <w:r w:rsidRPr="00BB75C5">
        <w:t>Principales réalisations:</w:t>
      </w:r>
    </w:p>
    <w:p w14:paraId="4E378A00" w14:textId="005EAA27" w:rsidR="00B40F47" w:rsidRPr="00BB75C5" w:rsidRDefault="00B40F47" w:rsidP="006F31BB">
      <w:pPr>
        <w:pStyle w:val="enumlev1"/>
        <w:jc w:val="both"/>
      </w:pPr>
      <w:r w:rsidRPr="00BB75C5">
        <w:t>1</w:t>
      </w:r>
      <w:r w:rsidR="00506749" w:rsidRPr="00BB75C5">
        <w:t>)</w:t>
      </w:r>
      <w:r w:rsidRPr="00BB75C5">
        <w:tab/>
        <w:t>L</w:t>
      </w:r>
      <w:r w:rsidR="00506749" w:rsidRPr="00BB75C5">
        <w:t>'</w:t>
      </w:r>
      <w:r w:rsidRPr="00BB75C5">
        <w:t>UIT a mené sa première enquête sur la mobilisation des employés début 2025 dans le cadre du Plan, fournissant ainsi une base factuelle solide pour identifier les points forts et les domaines nécessitant une attention supplémentaire. Sur la base des résultats de l'enquête, l</w:t>
      </w:r>
      <w:r w:rsidR="00506749" w:rsidRPr="00BB75C5">
        <w:t>'</w:t>
      </w:r>
      <w:r w:rsidRPr="00BB75C5">
        <w:t>UIT a mis en œuvre un plan d</w:t>
      </w:r>
      <w:r w:rsidR="00506749" w:rsidRPr="00BB75C5">
        <w:t>'</w:t>
      </w:r>
      <w:r w:rsidRPr="00BB75C5">
        <w:t>action de suivi axé sur la culture d</w:t>
      </w:r>
      <w:r w:rsidR="00506749" w:rsidRPr="00BB75C5">
        <w:t>'</w:t>
      </w:r>
      <w:r w:rsidRPr="00BB75C5">
        <w:t>entreprise, les pratiques de gestion et l</w:t>
      </w:r>
      <w:r w:rsidR="00506749" w:rsidRPr="00BB75C5">
        <w:t>'</w:t>
      </w:r>
      <w:r w:rsidRPr="00BB75C5">
        <w:t>efficacité opérationnelle. Ce plan associe des initiatives à</w:t>
      </w:r>
      <w:r w:rsidR="00506749" w:rsidRPr="00BB75C5">
        <w:t> </w:t>
      </w:r>
      <w:r w:rsidRPr="00BB75C5">
        <w:t>l</w:t>
      </w:r>
      <w:r w:rsidR="00506749" w:rsidRPr="00BB75C5">
        <w:t>'</w:t>
      </w:r>
      <w:r w:rsidRPr="00BB75C5">
        <w:t>échelle de l</w:t>
      </w:r>
      <w:r w:rsidR="00506749" w:rsidRPr="00BB75C5">
        <w:t>'</w:t>
      </w:r>
      <w:r w:rsidRPr="00BB75C5">
        <w:t>organisation, notamment des séances portes ouvertes avec des fonctionnaires élus, un programme d</w:t>
      </w:r>
      <w:r w:rsidR="00506749" w:rsidRPr="00BB75C5">
        <w:t>'</w:t>
      </w:r>
      <w:r w:rsidRPr="00BB75C5">
        <w:t>innovation et d</w:t>
      </w:r>
      <w:r w:rsidR="00506749" w:rsidRPr="00BB75C5">
        <w:t>'</w:t>
      </w:r>
      <w:r w:rsidRPr="00BB75C5">
        <w:t>apprentissage, une série de déjeuners spécialisés et un programme de mentorat à l</w:t>
      </w:r>
      <w:r w:rsidR="00506749" w:rsidRPr="00BB75C5">
        <w:t>'</w:t>
      </w:r>
      <w:r w:rsidRPr="00BB75C5">
        <w:t>échelle de l</w:t>
      </w:r>
      <w:r w:rsidR="00506749" w:rsidRPr="00BB75C5">
        <w:t>'</w:t>
      </w:r>
      <w:r w:rsidRPr="00BB75C5">
        <w:t>UIT, ainsi que des mesures prises au niveau des départements et des bureaux au niveau local.</w:t>
      </w:r>
    </w:p>
    <w:p w14:paraId="43B5F5C5" w14:textId="336848A5" w:rsidR="00B40F47" w:rsidRPr="00BB75C5" w:rsidRDefault="00B40F47" w:rsidP="006F31BB">
      <w:pPr>
        <w:pStyle w:val="enumlev1"/>
        <w:jc w:val="both"/>
      </w:pPr>
      <w:r w:rsidRPr="00BB75C5">
        <w:t>2</w:t>
      </w:r>
      <w:r w:rsidR="00506749" w:rsidRPr="00BB75C5">
        <w:t>)</w:t>
      </w:r>
      <w:r w:rsidRPr="00BB75C5">
        <w:tab/>
        <w:t>Un cadre de récompense et de reconnaissance a été lancé pour célébrer le service et la performance, à titre de conséquence directe des observations tirées de l'enquête et des recommandations du Conseil du personnel. Le 8 décembre 2025, la cérémonie de reconnaissance des services de longue durée a permis de rendre hommage à</w:t>
      </w:r>
      <w:r w:rsidR="00506749" w:rsidRPr="00BB75C5">
        <w:t> </w:t>
      </w:r>
      <w:r w:rsidRPr="00BB75C5">
        <w:t>210</w:t>
      </w:r>
      <w:r w:rsidR="00506749" w:rsidRPr="00BB75C5">
        <w:t> </w:t>
      </w:r>
      <w:r w:rsidRPr="00BB75C5">
        <w:t>collègues ayant plus de 20 ans de service. En 2026, le cadre s</w:t>
      </w:r>
      <w:r w:rsidR="00506749" w:rsidRPr="00BB75C5">
        <w:t>'</w:t>
      </w:r>
      <w:r w:rsidRPr="00BB75C5">
        <w:t>élargira avec le lancement du deuxième pilier, les Prix d</w:t>
      </w:r>
      <w:r w:rsidR="00506749" w:rsidRPr="00BB75C5">
        <w:t>'</w:t>
      </w:r>
      <w:r w:rsidRPr="00BB75C5">
        <w:t>équipe, afin de récompenser les réalisations collectives et de renforcer le sentiment d</w:t>
      </w:r>
      <w:r w:rsidR="00506749" w:rsidRPr="00BB75C5">
        <w:t>'</w:t>
      </w:r>
      <w:r w:rsidRPr="00BB75C5">
        <w:t>appartenance, associé à des remerciements informels et une appréciation dirigée par la direction pour que les personnes se sentent valorisées. Cette approche proactive traduit les retours d'information du personnel en une reconnaissance visible, renforçant ainsi un sentiment d'objectif commun et l</w:t>
      </w:r>
      <w:r w:rsidR="00506749" w:rsidRPr="00BB75C5">
        <w:t>'</w:t>
      </w:r>
      <w:r w:rsidRPr="00BB75C5">
        <w:t>engagement à long terme envers l</w:t>
      </w:r>
      <w:r w:rsidR="00506749" w:rsidRPr="00BB75C5">
        <w:t>'</w:t>
      </w:r>
      <w:r w:rsidRPr="00BB75C5">
        <w:t>Union.</w:t>
      </w:r>
    </w:p>
    <w:p w14:paraId="36A26341" w14:textId="29BF358A" w:rsidR="00B40F47" w:rsidRPr="00BB75C5" w:rsidRDefault="00B40F47" w:rsidP="006F31BB">
      <w:pPr>
        <w:pStyle w:val="enumlev1"/>
        <w:jc w:val="both"/>
      </w:pPr>
      <w:r w:rsidRPr="00BB75C5">
        <w:t>3</w:t>
      </w:r>
      <w:r w:rsidR="00506749" w:rsidRPr="00BB75C5">
        <w:t>)</w:t>
      </w:r>
      <w:r w:rsidRPr="00BB75C5">
        <w:tab/>
        <w:t>Un programme structuré de perfectionnement du leadership a été mis en œuvre pour renforcer les capacités de direction et appuyer la planification de la relève, y</w:t>
      </w:r>
      <w:r w:rsidR="00025B8D" w:rsidRPr="00BB75C5">
        <w:t xml:space="preserve"> </w:t>
      </w:r>
      <w:r w:rsidRPr="00BB75C5">
        <w:t xml:space="preserve">compris le </w:t>
      </w:r>
      <w:r w:rsidRPr="00BB75C5">
        <w:lastRenderedPageBreak/>
        <w:t>leadership inclusif (grade P5 et plus) avec des modules dédiés à la promotion de la sécurité psychologique, à la gestion des préjugés et des microagressions et à la promotion de l</w:t>
      </w:r>
      <w:r w:rsidR="00506749" w:rsidRPr="00BB75C5">
        <w:t>'</w:t>
      </w:r>
      <w:r w:rsidRPr="00BB75C5">
        <w:t>inclusion des femmes et de l'inclusion raciale. Cette initiative a été renforcée par des ateliers sur le leadership adaptatif à l</w:t>
      </w:r>
      <w:r w:rsidR="00506749" w:rsidRPr="00BB75C5">
        <w:t>'</w:t>
      </w:r>
      <w:r w:rsidRPr="00BB75C5">
        <w:t>intention des fonctionnaires des grades P4 et supérieurs, y compris des fonctionnaires élus, et par le programme des futurs dirigeants de l</w:t>
      </w:r>
      <w:r w:rsidR="00506749" w:rsidRPr="00BB75C5">
        <w:t>'</w:t>
      </w:r>
      <w:r w:rsidRPr="00BB75C5">
        <w:t>UIT pour les acteurs du changement. Sur cette base, le programme a été élargi au début de 2026 pour inclure des ateliers de leadership adaptatif avancé et une formation à la gestion des personnes.</w:t>
      </w:r>
    </w:p>
    <w:p w14:paraId="0EC6828B" w14:textId="1CF3D9ED" w:rsidR="00B40F47" w:rsidRPr="00BB75C5" w:rsidRDefault="00B40F47" w:rsidP="006F31BB">
      <w:pPr>
        <w:pStyle w:val="enumlev1"/>
        <w:jc w:val="both"/>
      </w:pPr>
      <w:r w:rsidRPr="00BB75C5">
        <w:t>4</w:t>
      </w:r>
      <w:r w:rsidR="00506749" w:rsidRPr="00BB75C5">
        <w:t>)</w:t>
      </w:r>
      <w:r w:rsidRPr="00BB75C5">
        <w:tab/>
        <w:t>En vertu des mémorandums d</w:t>
      </w:r>
      <w:r w:rsidR="00506749" w:rsidRPr="00BB75C5">
        <w:t>'</w:t>
      </w:r>
      <w:r w:rsidRPr="00BB75C5">
        <w:t>accord signés par l</w:t>
      </w:r>
      <w:r w:rsidR="00506749" w:rsidRPr="00BB75C5">
        <w:t>'</w:t>
      </w:r>
      <w:r w:rsidRPr="00BB75C5">
        <w:t>UIT, en partenariat avec l</w:t>
      </w:r>
      <w:r w:rsidR="00506749" w:rsidRPr="00BB75C5">
        <w:t>'</w:t>
      </w:r>
      <w:r w:rsidRPr="00BB75C5">
        <w:t>Organisation mondiale de la propriété intellectuelle (OMPI) et les services d</w:t>
      </w:r>
      <w:r w:rsidR="00506749" w:rsidRPr="00BB75C5">
        <w:t>'</w:t>
      </w:r>
      <w:r w:rsidRPr="00BB75C5">
        <w:t>ombudsman et de médiation des Nations Unies (UNOMS), une ombudsman commune a pris ses fonctions à l</w:t>
      </w:r>
      <w:r w:rsidR="00506749" w:rsidRPr="00BB75C5">
        <w:t>'</w:t>
      </w:r>
      <w:r w:rsidRPr="00BB75C5">
        <w:t>UIT en janvier 2026. Cette initiative assure l</w:t>
      </w:r>
      <w:r w:rsidR="00506749" w:rsidRPr="00BB75C5">
        <w:t>'</w:t>
      </w:r>
      <w:r w:rsidRPr="00BB75C5">
        <w:t>accès à</w:t>
      </w:r>
      <w:r w:rsidR="00506749" w:rsidRPr="00BB75C5">
        <w:t> </w:t>
      </w:r>
      <w:r w:rsidRPr="00BB75C5">
        <w:t>des services de résolution de conflits neutres, indépendants et confidentiels, favorisant ainsi un environnement de travail respectueux et digne de confiance. Pour renforcer la visibilité et la confiance, une séance d</w:t>
      </w:r>
      <w:r w:rsidR="00506749" w:rsidRPr="00BB75C5">
        <w:t>'</w:t>
      </w:r>
      <w:r w:rsidRPr="00BB75C5">
        <w:t>information hybride a été organisée à l</w:t>
      </w:r>
      <w:r w:rsidR="00506749" w:rsidRPr="00BB75C5">
        <w:t>'</w:t>
      </w:r>
      <w:r w:rsidRPr="00BB75C5">
        <w:t xml:space="preserve">intention de tous les fonctionnaires, y compris ceux des bureaux régionaux, afin de présenter les services disponibles. En outre, en février 2026, une session sur la </w:t>
      </w:r>
      <w:r w:rsidR="00506749" w:rsidRPr="00BB75C5">
        <w:t>"</w:t>
      </w:r>
      <w:r w:rsidRPr="00BB75C5">
        <w:t>feuille</w:t>
      </w:r>
      <w:r w:rsidR="00506749" w:rsidRPr="00BB75C5">
        <w:t> </w:t>
      </w:r>
      <w:r w:rsidRPr="00BB75C5">
        <w:t>de route sur le lieu de travail</w:t>
      </w:r>
      <w:r w:rsidR="00506749" w:rsidRPr="00BB75C5">
        <w:t>"</w:t>
      </w:r>
      <w:r w:rsidRPr="00BB75C5">
        <w:t xml:space="preserve"> a été lancée à l</w:t>
      </w:r>
      <w:r w:rsidR="00506749" w:rsidRPr="00BB75C5">
        <w:t>'</w:t>
      </w:r>
      <w:r w:rsidRPr="00BB75C5">
        <w:t>échelle de l'Union, fournissant au personnel un guide d</w:t>
      </w:r>
      <w:r w:rsidR="00506749" w:rsidRPr="00BB75C5">
        <w:t>'</w:t>
      </w:r>
      <w:r w:rsidRPr="00BB75C5">
        <w:t>orientation clair pour recenser les solutions d'appui, clarifier les points focaux et accéder efficacement aux ressources essentielles. D</w:t>
      </w:r>
      <w:r w:rsidR="00506749" w:rsidRPr="00BB75C5">
        <w:t>'</w:t>
      </w:r>
      <w:r w:rsidRPr="00BB75C5">
        <w:t>autres séances de suivi seront organisées tout au long de l</w:t>
      </w:r>
      <w:r w:rsidR="00506749" w:rsidRPr="00BB75C5">
        <w:t>'</w:t>
      </w:r>
      <w:r w:rsidRPr="00BB75C5">
        <w:t>année 2026.</w:t>
      </w:r>
    </w:p>
    <w:p w14:paraId="708ABE5F" w14:textId="26C2D2DD" w:rsidR="00B40F47" w:rsidRPr="00BB75C5" w:rsidRDefault="00B40F47" w:rsidP="006F31BB">
      <w:pPr>
        <w:pStyle w:val="enumlev1"/>
        <w:jc w:val="both"/>
      </w:pPr>
      <w:r w:rsidRPr="00BB75C5">
        <w:t>5</w:t>
      </w:r>
      <w:r w:rsidR="00506749" w:rsidRPr="00BB75C5">
        <w:t>)</w:t>
      </w:r>
      <w:r w:rsidRPr="00BB75C5">
        <w:tab/>
        <w:t>Le Plan de mise en œuvre de la parité hommes-femmes de l</w:t>
      </w:r>
      <w:r w:rsidR="00506749" w:rsidRPr="00BB75C5">
        <w:t>'</w:t>
      </w:r>
      <w:r w:rsidRPr="00BB75C5">
        <w:t>UIT s</w:t>
      </w:r>
      <w:r w:rsidR="00506749" w:rsidRPr="00BB75C5">
        <w:t>'</w:t>
      </w:r>
      <w:r w:rsidRPr="00BB75C5">
        <w:t>inscrit dans la Stratégie de l</w:t>
      </w:r>
      <w:r w:rsidR="00506749" w:rsidRPr="00BB75C5">
        <w:t>'</w:t>
      </w:r>
      <w:r w:rsidRPr="00BB75C5">
        <w:t>UIT sur la parité hommes</w:t>
      </w:r>
      <w:r w:rsidR="00025B8D" w:rsidRPr="00BB75C5">
        <w:t>-</w:t>
      </w:r>
      <w:r w:rsidRPr="00BB75C5">
        <w:t>femmes, approuvée par le Conseil en 2018, et appuie les objectifs de la Stratégie sur la parité des sexes applicables à l'ensemble du système des Nations Unies. Au-delà des objectifs chiffrés, le Plan intègre le principe de l</w:t>
      </w:r>
      <w:r w:rsidR="00506749" w:rsidRPr="00BB75C5">
        <w:t>'</w:t>
      </w:r>
      <w:r w:rsidRPr="00BB75C5">
        <w:t>égalité hommes</w:t>
      </w:r>
      <w:r w:rsidR="00025B8D" w:rsidRPr="00BB75C5">
        <w:t>-</w:t>
      </w:r>
      <w:r w:rsidRPr="00BB75C5">
        <w:t>femmes dans les processus des ressources humaines et les pratiques organisationnelles. Il définit des mesures assorties de délais pour renforcer la responsabilisation, améliorer la représentation des effectifs, la progression de carrière et la formation ciblée, faisant de l</w:t>
      </w:r>
      <w:r w:rsidR="00506749" w:rsidRPr="00BB75C5">
        <w:t>'</w:t>
      </w:r>
      <w:r w:rsidRPr="00BB75C5">
        <w:t>UIT une organisation de référence pour parvenir à la parité hommes-femmes.</w:t>
      </w:r>
    </w:p>
    <w:p w14:paraId="15B64557" w14:textId="3C7F1ADD" w:rsidR="00B40F47" w:rsidRPr="00BB75C5" w:rsidRDefault="00B40F47" w:rsidP="006F31BB">
      <w:pPr>
        <w:pStyle w:val="enumlev1"/>
        <w:jc w:val="both"/>
      </w:pPr>
      <w:r w:rsidRPr="00BB75C5">
        <w:t>6</w:t>
      </w:r>
      <w:r w:rsidR="00506749" w:rsidRPr="00BB75C5">
        <w:t>)</w:t>
      </w:r>
      <w:r w:rsidRPr="00BB75C5">
        <w:tab/>
        <w:t>La représentation hommes-femmes au niveau de la haute direction reste équilibrée, les femmes occupant 60% des postes de grade D2 en février 2026. Les femmes sont également bien représentées dans les postes de niveau débutant aux niveaux P1</w:t>
      </w:r>
      <w:r w:rsidR="00025B8D" w:rsidRPr="00BB75C5">
        <w:t>-</w:t>
      </w:r>
      <w:r w:rsidRPr="00BB75C5">
        <w:t>P2 et représentent respectivement 47% et 45% des effectifs aux niveaux P3 et P4. Les femmes restent moins représentées aux grades P5 et D1 (33% et 32%, respectivement), et des actions ciblées continueront d'améliorer la parité à ces grades.</w:t>
      </w:r>
    </w:p>
    <w:p w14:paraId="0C8ED3C7" w14:textId="749006D3" w:rsidR="00B40F47" w:rsidRPr="00BB75C5" w:rsidRDefault="00B40F47" w:rsidP="006F31BB">
      <w:pPr>
        <w:pStyle w:val="enumlev1"/>
        <w:jc w:val="both"/>
      </w:pPr>
      <w:r w:rsidRPr="00BB75C5">
        <w:t>7</w:t>
      </w:r>
      <w:r w:rsidR="00506749" w:rsidRPr="00BB75C5">
        <w:t>)</w:t>
      </w:r>
      <w:r w:rsidRPr="00BB75C5">
        <w:tab/>
        <w:t>À la suite de l</w:t>
      </w:r>
      <w:r w:rsidR="00506749" w:rsidRPr="00BB75C5">
        <w:t>'</w:t>
      </w:r>
      <w:r w:rsidRPr="00BB75C5">
        <w:t>enquête sur la santé menée à l</w:t>
      </w:r>
      <w:r w:rsidR="00506749" w:rsidRPr="00BB75C5">
        <w:t>'</w:t>
      </w:r>
      <w:r w:rsidRPr="00BB75C5">
        <w:t>échelle des Nations Unies en 2023, l</w:t>
      </w:r>
      <w:r w:rsidR="00506749" w:rsidRPr="00BB75C5">
        <w:t>'</w:t>
      </w:r>
      <w:r w:rsidRPr="00BB75C5">
        <w:t>UIT a lancé au début de 2025 son Plan d</w:t>
      </w:r>
      <w:r w:rsidR="00506749" w:rsidRPr="00BB75C5">
        <w:t>'</w:t>
      </w:r>
      <w:r w:rsidRPr="00BB75C5">
        <w:t>action pour la santé mentale et le bien-être, qui s</w:t>
      </w:r>
      <w:r w:rsidR="00506749" w:rsidRPr="00BB75C5">
        <w:t>'</w:t>
      </w:r>
      <w:r w:rsidRPr="00BB75C5">
        <w:t>articule autour de la prévention, de la promotion et de l</w:t>
      </w:r>
      <w:r w:rsidR="00506749" w:rsidRPr="00BB75C5">
        <w:t>'</w:t>
      </w:r>
      <w:r w:rsidRPr="00BB75C5">
        <w:t>appui. La mise en œuvre a commencé avec le lancement de l</w:t>
      </w:r>
      <w:r w:rsidR="00506749" w:rsidRPr="00BB75C5">
        <w:t>'</w:t>
      </w:r>
      <w:r w:rsidRPr="00BB75C5">
        <w:t>Enquête sur la mobilisation du personnel et la création et l</w:t>
      </w:r>
      <w:r w:rsidR="00506749" w:rsidRPr="00BB75C5">
        <w:t>'</w:t>
      </w:r>
      <w:r w:rsidRPr="00BB75C5">
        <w:t>intégration de la fonction d'ombudsman. Parmi les autres initiatives, citons une liste de lecture sur le bien-être, des interventions de réduction de la stigmatisation, une formation sur les connaissances en matière de santé mentale et une formation sur la communication efficace.</w:t>
      </w:r>
    </w:p>
    <w:p w14:paraId="5E5F4378" w14:textId="5462C5A9" w:rsidR="00B40F47" w:rsidRPr="00BB75C5" w:rsidRDefault="00B40F47" w:rsidP="006F31BB">
      <w:pPr>
        <w:pStyle w:val="enumlev1"/>
        <w:jc w:val="both"/>
      </w:pPr>
      <w:r w:rsidRPr="00BB75C5">
        <w:t>8</w:t>
      </w:r>
      <w:r w:rsidR="00506749" w:rsidRPr="00BB75C5">
        <w:t>)</w:t>
      </w:r>
      <w:r w:rsidRPr="00BB75C5">
        <w:tab/>
        <w:t xml:space="preserve">Les services de bien-être ont été renforcés par un soutien dédié, notamment des séances de conseil individuelles, des séances de pleine conscience en trois langues, la gestion de cas, complétées par des séances ciblées en coordination avec les services </w:t>
      </w:r>
      <w:r w:rsidRPr="00BB75C5">
        <w:lastRenderedPageBreak/>
        <w:t>chargés de l</w:t>
      </w:r>
      <w:r w:rsidR="00506749" w:rsidRPr="00BB75C5">
        <w:t>'</w:t>
      </w:r>
      <w:r w:rsidRPr="00BB75C5">
        <w:t>apprentissage et du développement. De plus, des lignes directrices sur le retour au travail ont été rédigées pour aider le personnel à réintégrer le lieu de travail après un congé de maladie de longue durée.</w:t>
      </w:r>
    </w:p>
    <w:p w14:paraId="07AC4C0E" w14:textId="17B1EC0F" w:rsidR="00B40F47" w:rsidRPr="00BB75C5" w:rsidRDefault="00B40F47" w:rsidP="006F31BB">
      <w:pPr>
        <w:pStyle w:val="enumlev1"/>
        <w:jc w:val="both"/>
      </w:pPr>
      <w:r w:rsidRPr="00BB75C5">
        <w:t>9</w:t>
      </w:r>
      <w:r w:rsidR="00506749" w:rsidRPr="00BB75C5">
        <w:t>)</w:t>
      </w:r>
      <w:r w:rsidRPr="00BB75C5">
        <w:tab/>
        <w:t>La politique relative à l</w:t>
      </w:r>
      <w:r w:rsidR="00506749" w:rsidRPr="00BB75C5">
        <w:t>'</w:t>
      </w:r>
      <w:r w:rsidRPr="00BB75C5">
        <w:t>horaire de travail et à l</w:t>
      </w:r>
      <w:r w:rsidR="00506749" w:rsidRPr="00BB75C5">
        <w:t>'</w:t>
      </w:r>
      <w:r w:rsidRPr="00BB75C5">
        <w:t>aménagement des horaires de travail a été publiée le 25 février 2026. Cette politique donne des informations les horaires de travail et les modalités de travail flexibles, y compris le télétravail, au sein d'un cadre clair et complet, aligné sur les meilleures pratiques du régime commun des Nations</w:t>
      </w:r>
      <w:r w:rsidR="00D8598B" w:rsidRPr="00BB75C5">
        <w:t> </w:t>
      </w:r>
      <w:r w:rsidRPr="00BB75C5">
        <w:t>Unies. L'UIT a conservé les modalités de télétravail actuelles et suit de près l'évolution de la situation dans d'autres organisations appliquant le régime commun des Nations Unies, qui pourrait éclairer de futurs ajustements de cette politique. La politique définit également les responsabilités des fonctionnaires et des supérieurs hiérarchiques et favorise l</w:t>
      </w:r>
      <w:r w:rsidR="00506749" w:rsidRPr="00BB75C5">
        <w:t>'</w:t>
      </w:r>
      <w:r w:rsidRPr="00BB75C5">
        <w:t>équilibre entre vie professionnelle et vie privée, tout en veillant à ce que l</w:t>
      </w:r>
      <w:r w:rsidR="00506749" w:rsidRPr="00BB75C5">
        <w:t>'</w:t>
      </w:r>
      <w:r w:rsidRPr="00BB75C5">
        <w:t>UIT respecte ses exigences opérationnelles.</w:t>
      </w:r>
    </w:p>
    <w:p w14:paraId="77EE796B" w14:textId="2C450177" w:rsidR="00B40F47" w:rsidRPr="00BB75C5" w:rsidRDefault="00B40F47" w:rsidP="006F31BB">
      <w:pPr>
        <w:pStyle w:val="Headingb"/>
        <w:jc w:val="both"/>
      </w:pPr>
      <w:r w:rsidRPr="00BB75C5">
        <w:t>Services – Fournir des services RH axés sur l</w:t>
      </w:r>
      <w:r w:rsidR="00506749" w:rsidRPr="00BB75C5">
        <w:t>'</w:t>
      </w:r>
      <w:r w:rsidRPr="00BB75C5">
        <w:t>excellence pour soutenir nos employés</w:t>
      </w:r>
    </w:p>
    <w:p w14:paraId="12B4F0E4" w14:textId="221C7525" w:rsidR="00B40F47" w:rsidRPr="00BB75C5" w:rsidRDefault="00B40F47" w:rsidP="006F31BB">
      <w:pPr>
        <w:jc w:val="both"/>
      </w:pPr>
      <w:r w:rsidRPr="00BB75C5">
        <w:t>Le troisième pilier du Plan, "Services", traduit la volonté de l'organisation de tirer parti de technologies adaptées pour améliorer l'expérience utilisateur et assurer au personnel des services RH rationalisés et efficaces, au plus près de ses besoins.</w:t>
      </w:r>
    </w:p>
    <w:p w14:paraId="428A0769" w14:textId="2792B228" w:rsidR="00B40F47" w:rsidRPr="00BB75C5" w:rsidRDefault="00B40F47" w:rsidP="006F31BB">
      <w:pPr>
        <w:jc w:val="both"/>
      </w:pPr>
      <w:r w:rsidRPr="00BB75C5">
        <w:t>Pour ce pilier, le Plan reconnaît aussi la nécessité d'alléger les processus en supprimant les lourdeurs administratives, en encourageant la transparence et en renforçant la responsabilité. L</w:t>
      </w:r>
      <w:r w:rsidR="00506749" w:rsidRPr="00BB75C5">
        <w:t>'</w:t>
      </w:r>
      <w:r w:rsidRPr="00BB75C5">
        <w:t>une des principales priorités est de créer un environnement de travail où la prise de décision est axée sur les données, prise au bon niveau, éclairée par l</w:t>
      </w:r>
      <w:r w:rsidR="00506749" w:rsidRPr="00BB75C5">
        <w:t>'</w:t>
      </w:r>
      <w:r w:rsidRPr="00BB75C5">
        <w:t>analyse des personnes et alignée sur les besoins de l</w:t>
      </w:r>
      <w:r w:rsidR="00506749" w:rsidRPr="00BB75C5">
        <w:t>'</w:t>
      </w:r>
      <w:r w:rsidRPr="00BB75C5">
        <w:t>entreprise.</w:t>
      </w:r>
    </w:p>
    <w:p w14:paraId="444B23E8" w14:textId="77777777" w:rsidR="00B40F47" w:rsidRPr="00BB75C5" w:rsidRDefault="00B40F47" w:rsidP="006F31BB">
      <w:pPr>
        <w:jc w:val="both"/>
      </w:pPr>
      <w:r w:rsidRPr="00BB75C5">
        <w:t>L'UIT est résolue à établir un cadre réglementaire solide et équitable en collaboration avec les représentants du personnel et les organes chargés de la gestion du personnel, en veillant à ce que les politiques et les services RH répondent aux besoins du personnel comme à ceux des responsables.</w:t>
      </w:r>
    </w:p>
    <w:p w14:paraId="11AD502E" w14:textId="77777777" w:rsidR="00B40F47" w:rsidRPr="00BB75C5" w:rsidRDefault="00B40F47" w:rsidP="006F31BB">
      <w:pPr>
        <w:pStyle w:val="Headingb"/>
        <w:jc w:val="both"/>
      </w:pPr>
      <w:r w:rsidRPr="00BB75C5">
        <w:t>Principales réalisations:</w:t>
      </w:r>
    </w:p>
    <w:p w14:paraId="40E9A078" w14:textId="4CA53E31" w:rsidR="00B40F47" w:rsidRPr="00BB75C5" w:rsidRDefault="00B40F47" w:rsidP="006F31BB">
      <w:pPr>
        <w:pStyle w:val="enumlev1"/>
        <w:jc w:val="both"/>
      </w:pPr>
      <w:r w:rsidRPr="00BB75C5">
        <w:t>1</w:t>
      </w:r>
      <w:r w:rsidR="00506749" w:rsidRPr="00BB75C5">
        <w:t>)</w:t>
      </w:r>
      <w:r w:rsidRPr="00BB75C5">
        <w:tab/>
        <w:t>Le Département HRMD continue de renforcer le cadre réglementaire de l</w:t>
      </w:r>
      <w:r w:rsidR="00506749" w:rsidRPr="00BB75C5">
        <w:t>'</w:t>
      </w:r>
      <w:r w:rsidRPr="00BB75C5">
        <w:t>UIT pour l</w:t>
      </w:r>
      <w:r w:rsidR="00506749" w:rsidRPr="00BB75C5">
        <w:t>'</w:t>
      </w:r>
      <w:r w:rsidRPr="00BB75C5">
        <w:t>adapter à l</w:t>
      </w:r>
      <w:r w:rsidR="00506749" w:rsidRPr="00BB75C5">
        <w:t>'</w:t>
      </w:r>
      <w:r w:rsidRPr="00BB75C5">
        <w:t>évolution des besoins en personnel, et les politiques en matière de recrutement, d</w:t>
      </w:r>
      <w:r w:rsidR="00506749" w:rsidRPr="00BB75C5">
        <w:t>'</w:t>
      </w:r>
      <w:r w:rsidRPr="00BB75C5">
        <w:t>engagement à titre temporaire, d'indemnité de réinstallation et d</w:t>
      </w:r>
      <w:r w:rsidR="00506749" w:rsidRPr="00BB75C5">
        <w:t>'</w:t>
      </w:r>
      <w:r w:rsidRPr="00BB75C5">
        <w:t>allocation-logement progressent. L</w:t>
      </w:r>
      <w:r w:rsidR="00506749" w:rsidRPr="00BB75C5">
        <w:t>'</w:t>
      </w:r>
      <w:r w:rsidRPr="00BB75C5">
        <w:t>un des principaux objectifs politiques est de remplacer les contrats d</w:t>
      </w:r>
      <w:r w:rsidR="00506749" w:rsidRPr="00BB75C5">
        <w:t>'</w:t>
      </w:r>
      <w:r w:rsidRPr="00BB75C5">
        <w:t>engagement de services spéciaux par une nouvelle politique de consultants alignée sur les bonnes pratiques des Nations Unies. Cette nouvelle politique instaure une délégation de pouvoir pour les responsables, un barème de droits unifié et une utilisation accrue des fichiers de candidats, garantissant ainsi un accès plus rapide aux compétences spécialisées et aux capacités surnuméraires.</w:t>
      </w:r>
    </w:p>
    <w:p w14:paraId="5DBDF86E" w14:textId="7A4FAA73" w:rsidR="00B40F47" w:rsidRPr="00BB75C5" w:rsidRDefault="00B40F47" w:rsidP="006F31BB">
      <w:pPr>
        <w:pStyle w:val="enumlev1"/>
        <w:jc w:val="both"/>
      </w:pPr>
      <w:r w:rsidRPr="00BB75C5">
        <w:t>2</w:t>
      </w:r>
      <w:r w:rsidR="00506749" w:rsidRPr="00BB75C5">
        <w:t>)</w:t>
      </w:r>
      <w:r w:rsidRPr="00BB75C5">
        <w:tab/>
        <w:t>Le Département HRMD dirige les efforts déployés à l</w:t>
      </w:r>
      <w:r w:rsidR="00506749" w:rsidRPr="00BB75C5">
        <w:t>'</w:t>
      </w:r>
      <w:r w:rsidRPr="00BB75C5">
        <w:t>échelle de l</w:t>
      </w:r>
      <w:r w:rsidR="00506749" w:rsidRPr="00BB75C5">
        <w:t>'</w:t>
      </w:r>
      <w:r w:rsidRPr="00BB75C5">
        <w:t>Union pour élaborer un cadre de délégation de pouvoir pour l</w:t>
      </w:r>
      <w:r w:rsidR="00506749" w:rsidRPr="00BB75C5">
        <w:t>'</w:t>
      </w:r>
      <w:r w:rsidRPr="00BB75C5">
        <w:t>UIT, en vue de décentraliser le processus décisionnel et d</w:t>
      </w:r>
      <w:r w:rsidR="00506749" w:rsidRPr="00BB75C5">
        <w:t>'</w:t>
      </w:r>
      <w:r w:rsidRPr="00BB75C5">
        <w:t>harmoniser les pouvoirs et les responsabilités. Ce cadre, fondé sur les bonnes pratiques des Nations Unies, garantit une délégation de pouvoir appropriée et transparente et fait actuellement l</w:t>
      </w:r>
      <w:r w:rsidR="00506749" w:rsidRPr="00BB75C5">
        <w:t>'</w:t>
      </w:r>
      <w:r w:rsidRPr="00BB75C5">
        <w:t>objet d</w:t>
      </w:r>
      <w:r w:rsidR="00506749" w:rsidRPr="00BB75C5">
        <w:t>'</w:t>
      </w:r>
      <w:r w:rsidRPr="00BB75C5">
        <w:t>un examen interne final.</w:t>
      </w:r>
    </w:p>
    <w:p w14:paraId="5BF06FD2" w14:textId="63B61224" w:rsidR="00B40F47" w:rsidRPr="00BB75C5" w:rsidRDefault="00B40F47" w:rsidP="006F31BB">
      <w:pPr>
        <w:pStyle w:val="enumlev1"/>
        <w:jc w:val="both"/>
      </w:pPr>
      <w:r w:rsidRPr="00BB75C5">
        <w:t>3</w:t>
      </w:r>
      <w:r w:rsidR="00506749" w:rsidRPr="00BB75C5">
        <w:t>)</w:t>
      </w:r>
      <w:r w:rsidRPr="00BB75C5">
        <w:tab/>
        <w:t>Le Département HRMD a lancé une série de discussions sur les ressources humaines, qui consistent à organiser des sessions de sensibilisation sur les politiques et procédures en matière de ressources humaines. La première s</w:t>
      </w:r>
      <w:r w:rsidR="00506749" w:rsidRPr="00BB75C5">
        <w:t>'</w:t>
      </w:r>
      <w:r w:rsidRPr="00BB75C5">
        <w:t>est tenue en novembre</w:t>
      </w:r>
      <w:r w:rsidR="00D8598B" w:rsidRPr="00BB75C5">
        <w:t> </w:t>
      </w:r>
      <w:r w:rsidRPr="00BB75C5">
        <w:t xml:space="preserve">2025 et a porté </w:t>
      </w:r>
      <w:r w:rsidRPr="00BB75C5">
        <w:lastRenderedPageBreak/>
        <w:t>sur le processus de recrutement dans le cadre des contrats d'engagement spéciaux. D</w:t>
      </w:r>
      <w:r w:rsidR="00506749" w:rsidRPr="00BB75C5">
        <w:t>'</w:t>
      </w:r>
      <w:r w:rsidRPr="00BB75C5">
        <w:t>autres sessions sont prévues.</w:t>
      </w:r>
    </w:p>
    <w:p w14:paraId="31FEBFA7" w14:textId="4EC051CD" w:rsidR="00B40F47" w:rsidRPr="00BB75C5" w:rsidRDefault="00B40F47" w:rsidP="006F31BB">
      <w:pPr>
        <w:pStyle w:val="enumlev1"/>
        <w:jc w:val="both"/>
      </w:pPr>
      <w:r w:rsidRPr="00BB75C5">
        <w:t>4</w:t>
      </w:r>
      <w:r w:rsidR="00506749" w:rsidRPr="00BB75C5">
        <w:t>)</w:t>
      </w:r>
      <w:r w:rsidRPr="00BB75C5">
        <w:tab/>
        <w:t>Six sessions d</w:t>
      </w:r>
      <w:r w:rsidR="00506749" w:rsidRPr="00BB75C5">
        <w:t>'</w:t>
      </w:r>
      <w:r w:rsidRPr="00BB75C5">
        <w:t>information ont été organisées à l</w:t>
      </w:r>
      <w:r w:rsidR="00506749" w:rsidRPr="00BB75C5">
        <w:t>'</w:t>
      </w:r>
      <w:r w:rsidRPr="00BB75C5">
        <w:t>intention des gestionnaires et du personnel de l</w:t>
      </w:r>
      <w:r w:rsidR="00506749" w:rsidRPr="00BB75C5">
        <w:t>'</w:t>
      </w:r>
      <w:r w:rsidRPr="00BB75C5">
        <w:t>Union afin d'appuyer les formations ciblées sur la performance à</w:t>
      </w:r>
      <w:r w:rsidR="00D8598B" w:rsidRPr="00BB75C5">
        <w:t> </w:t>
      </w:r>
      <w:r w:rsidRPr="00BB75C5">
        <w:t>l'intention des responsables et les efforts de gestion du changement connexes. Une page web moderne et conviviale sur la gestion de la performance a été créée, ce qui a permis de déduire les requêtes liées au système sur les évaluations en fin de cycle.</w:t>
      </w:r>
    </w:p>
    <w:p w14:paraId="150B46E2" w14:textId="48EE8DDC" w:rsidR="00B40F47" w:rsidRPr="00BB75C5" w:rsidRDefault="00B40F47" w:rsidP="006F31BB">
      <w:pPr>
        <w:pStyle w:val="enumlev1"/>
        <w:jc w:val="both"/>
      </w:pPr>
      <w:r w:rsidRPr="00BB75C5">
        <w:t>5</w:t>
      </w:r>
      <w:r w:rsidR="00506749" w:rsidRPr="00BB75C5">
        <w:t>)</w:t>
      </w:r>
      <w:r w:rsidRPr="00BB75C5">
        <w:tab/>
        <w:t>L</w:t>
      </w:r>
      <w:r w:rsidR="00506749" w:rsidRPr="00BB75C5">
        <w:t>'</w:t>
      </w:r>
      <w:r w:rsidRPr="00BB75C5">
        <w:t>appui sur le terrain a été renforcé grâce au renforcement de la communication entre le Département HRMD et les bureaux régionaux. Le Département HRMD a organisé des réunions sur les prestations de sécurité sociale dans toutes les régions et a fait part de ses préoccupations sur le terrain à l</w:t>
      </w:r>
      <w:r w:rsidR="00506749" w:rsidRPr="00BB75C5">
        <w:t>'</w:t>
      </w:r>
      <w:r w:rsidRPr="00BB75C5">
        <w:t>UNSMIS avant les réunions. À la suite de ces échanges, le portail consacré aux ressources humaines et le site SharePoint ont été mis à jour avec des conseils simplifiés sur les hospitalisations d</w:t>
      </w:r>
      <w:r w:rsidR="00506749" w:rsidRPr="00BB75C5">
        <w:t>'</w:t>
      </w:r>
      <w:r w:rsidRPr="00BB75C5">
        <w:t>urgence et les procédures médicales, complétés par de nouvelles fiches de Questions-réponses, pour garantir que les collègues sur le terrain disposent d</w:t>
      </w:r>
      <w:r w:rsidR="00506749" w:rsidRPr="00BB75C5">
        <w:t>'</w:t>
      </w:r>
      <w:r w:rsidRPr="00BB75C5">
        <w:t>un soutien clair et accessible. En outre, des webinaires consacrés aux urgences médicales sont en cours d</w:t>
      </w:r>
      <w:r w:rsidR="00506749" w:rsidRPr="00BB75C5">
        <w:t>'</w:t>
      </w:r>
      <w:r w:rsidRPr="00BB75C5">
        <w:t>élaboration conjointement avec le Département HRMD, l</w:t>
      </w:r>
      <w:r w:rsidR="00506749" w:rsidRPr="00BB75C5">
        <w:t>'</w:t>
      </w:r>
      <w:r w:rsidRPr="00BB75C5">
        <w:t>UNSMIS et les services de sécurité, afin de fournir des orientations aux collègues sur le terrain.</w:t>
      </w:r>
    </w:p>
    <w:p w14:paraId="6CAAFE14" w14:textId="3408F358" w:rsidR="00B40F47" w:rsidRPr="00BB75C5" w:rsidRDefault="00B40F47" w:rsidP="006F31BB">
      <w:pPr>
        <w:pStyle w:val="enumlev1"/>
        <w:jc w:val="both"/>
      </w:pPr>
      <w:r w:rsidRPr="00BB75C5">
        <w:t>6</w:t>
      </w:r>
      <w:r w:rsidR="00506749" w:rsidRPr="00BB75C5">
        <w:t>)</w:t>
      </w:r>
      <w:r w:rsidRPr="00BB75C5">
        <w:tab/>
        <w:t>Les services RH dans les domaines de la sécurité sociale, de l</w:t>
      </w:r>
      <w:r w:rsidR="00506749" w:rsidRPr="00BB75C5">
        <w:t>'</w:t>
      </w:r>
      <w:r w:rsidRPr="00BB75C5">
        <w:t>assurance et de la conformité se sont poursuivis grâce à une collaboration étroite avec des partenaires, notamment l</w:t>
      </w:r>
      <w:r w:rsidR="00506749" w:rsidRPr="00BB75C5">
        <w:t>'</w:t>
      </w:r>
      <w:r w:rsidRPr="00BB75C5">
        <w:t>UNSMIS et la Caisse commune des pensions du personnel des Nations</w:t>
      </w:r>
      <w:r w:rsidR="00D8598B" w:rsidRPr="00BB75C5">
        <w:t> </w:t>
      </w:r>
      <w:r w:rsidRPr="00BB75C5">
        <w:t>Unies (CCPPNU). Cet engagement comprenait des réunions collectives destinées au personnel et aux retraités, la validation des données d</w:t>
      </w:r>
      <w:r w:rsidR="00506749" w:rsidRPr="00BB75C5">
        <w:t>'</w:t>
      </w:r>
      <w:r w:rsidRPr="00BB75C5">
        <w:t>affiliation aux pensions et un appui client dédié.</w:t>
      </w:r>
    </w:p>
    <w:p w14:paraId="76E22505" w14:textId="59C808B4" w:rsidR="00B40F47" w:rsidRPr="00BB75C5" w:rsidRDefault="00B40F47" w:rsidP="006F31BB">
      <w:pPr>
        <w:pStyle w:val="enumlev1"/>
        <w:jc w:val="both"/>
      </w:pPr>
      <w:r w:rsidRPr="00BB75C5">
        <w:t>7</w:t>
      </w:r>
      <w:r w:rsidR="00506749" w:rsidRPr="00BB75C5">
        <w:t>)</w:t>
      </w:r>
      <w:r w:rsidRPr="00BB75C5">
        <w:tab/>
        <w:t>Le service client pour les questions financières du personnel a été renforcé grâce à des directives continues sur les états de paie globaux et les prestations financières du personnel, y compris des orientations bancaires et une liaison avec le PNUD pour les demandes de paiement. Pour rationaliser davantage les opérations, de nouvelles procédures opérationnelles normalisées (SOP) ont été élaborées, améliorant ainsi l</w:t>
      </w:r>
      <w:r w:rsidR="00506749" w:rsidRPr="00BB75C5">
        <w:t>'</w:t>
      </w:r>
      <w:r w:rsidRPr="00BB75C5">
        <w:t>efficacité et la cohérence des activités de paie.</w:t>
      </w:r>
    </w:p>
    <w:p w14:paraId="5CB3366A" w14:textId="12EC57D1" w:rsidR="00B40F47" w:rsidRPr="00BB75C5" w:rsidRDefault="00B40F47" w:rsidP="006F31BB">
      <w:pPr>
        <w:pStyle w:val="enumlev1"/>
        <w:jc w:val="both"/>
      </w:pPr>
      <w:r w:rsidRPr="00BB75C5">
        <w:t>8</w:t>
      </w:r>
      <w:r w:rsidR="00506749" w:rsidRPr="00BB75C5">
        <w:t>)</w:t>
      </w:r>
      <w:r w:rsidRPr="00BB75C5">
        <w:tab/>
        <w:t>Le Département HRMD a aidé le Vice-Secrétaire général à diriger les travaux du Groupe spécial des chefs de secrétariat des organismes des Nations Unies (CCS) chargé de prévenir le harcèlement sexuel et d</w:t>
      </w:r>
      <w:r w:rsidR="00506749" w:rsidRPr="00BB75C5">
        <w:t>'</w:t>
      </w:r>
      <w:r w:rsidRPr="00BB75C5">
        <w:t>y remédier. En outre, tout au long de l</w:t>
      </w:r>
      <w:r w:rsidR="00506749" w:rsidRPr="00BB75C5">
        <w:t>'</w:t>
      </w:r>
      <w:r w:rsidRPr="00BB75C5">
        <w:t>année, le Département HRMD a fourni des orientations aux fonctionnaires et aux responsables sur des questions opérationnelles et administratives complexes, contribuant ainsi à</w:t>
      </w:r>
      <w:r w:rsidR="00506749" w:rsidRPr="00BB75C5">
        <w:t> </w:t>
      </w:r>
      <w:r w:rsidRPr="00BB75C5">
        <w:t>renforcer l</w:t>
      </w:r>
      <w:r w:rsidR="00506749" w:rsidRPr="00BB75C5">
        <w:t>'</w:t>
      </w:r>
      <w:r w:rsidRPr="00BB75C5">
        <w:t>efficacité, la cohérence et la transparence des processus liés aux démissions, aux départs à la retraite et aux plans d</w:t>
      </w:r>
      <w:r w:rsidR="00506749" w:rsidRPr="00BB75C5">
        <w:t>'</w:t>
      </w:r>
      <w:r w:rsidRPr="00BB75C5">
        <w:t xml:space="preserve">amélioration de la performance, entre autres. En 2025, une sanction disciplinaire </w:t>
      </w:r>
      <w:r w:rsidR="00D8598B" w:rsidRPr="00BB75C5">
        <w:t>–</w:t>
      </w:r>
      <w:r w:rsidRPr="00BB75C5">
        <w:t xml:space="preserve"> une réprimande verbale pour utilisation non autorisée des ressources de l</w:t>
      </w:r>
      <w:r w:rsidR="00506749" w:rsidRPr="00BB75C5">
        <w:t>'</w:t>
      </w:r>
      <w:r w:rsidRPr="00BB75C5">
        <w:t>UIT – a été appliquée à un membre du personnel de l</w:t>
      </w:r>
      <w:r w:rsidR="00506749" w:rsidRPr="00BB75C5">
        <w:t>'</w:t>
      </w:r>
      <w:r w:rsidRPr="00BB75C5">
        <w:t>UIT. Aucune sanction n</w:t>
      </w:r>
      <w:r w:rsidR="00506749" w:rsidRPr="00BB75C5">
        <w:t>'</w:t>
      </w:r>
      <w:r w:rsidRPr="00BB75C5">
        <w:t>a été appliquée en relation avec des allégations d</w:t>
      </w:r>
      <w:r w:rsidR="00506749" w:rsidRPr="00BB75C5">
        <w:t>'</w:t>
      </w:r>
      <w:r w:rsidRPr="00BB75C5">
        <w:t>exploitation et d</w:t>
      </w:r>
      <w:r w:rsidR="00506749" w:rsidRPr="00BB75C5">
        <w:t>'</w:t>
      </w:r>
      <w:r w:rsidRPr="00BB75C5">
        <w:t>abus sexuels, de harcèlement sexuel ou de tout autre type de faute.</w:t>
      </w:r>
    </w:p>
    <w:p w14:paraId="623B5540" w14:textId="082B9436" w:rsidR="00B40F47" w:rsidRPr="00BB75C5" w:rsidRDefault="00B40F47" w:rsidP="006F31BB">
      <w:pPr>
        <w:pStyle w:val="enumlev1"/>
        <w:jc w:val="both"/>
      </w:pPr>
      <w:r w:rsidRPr="00BB75C5">
        <w:t>9</w:t>
      </w:r>
      <w:r w:rsidR="00506749" w:rsidRPr="00BB75C5">
        <w:t>)</w:t>
      </w:r>
      <w:r w:rsidRPr="00BB75C5">
        <w:tab/>
        <w:t>La mise en correspondance et l</w:t>
      </w:r>
      <w:r w:rsidR="00506749" w:rsidRPr="00BB75C5">
        <w:t>'</w:t>
      </w:r>
      <w:r w:rsidRPr="00BB75C5">
        <w:t>examen des processus liés aux ressources humaines se sont poursuivis, l</w:t>
      </w:r>
      <w:r w:rsidR="00506749" w:rsidRPr="00BB75C5">
        <w:t>'</w:t>
      </w:r>
      <w:r w:rsidRPr="00BB75C5">
        <w:t>accent étant mis sur la rationalisation et la simplification des étapes et procédures clés. Conformément aux priorités du Département HRMD en matière d</w:t>
      </w:r>
      <w:r w:rsidR="00506749" w:rsidRPr="00BB75C5">
        <w:t>'</w:t>
      </w:r>
      <w:r w:rsidRPr="00BB75C5">
        <w:t>efficacité et d</w:t>
      </w:r>
      <w:r w:rsidR="00506749" w:rsidRPr="00BB75C5">
        <w:t>'</w:t>
      </w:r>
      <w:r w:rsidRPr="00BB75C5">
        <w:t>automatisation, en collaboration avec l</w:t>
      </w:r>
      <w:r w:rsidR="00506749" w:rsidRPr="00BB75C5">
        <w:t>'</w:t>
      </w:r>
      <w:r w:rsidRPr="00BB75C5">
        <w:t>équipe ISD/ERP, un certain nombre d</w:t>
      </w:r>
      <w:r w:rsidR="00506749" w:rsidRPr="00BB75C5">
        <w:t>'</w:t>
      </w:r>
      <w:r w:rsidRPr="00BB75C5">
        <w:t>améliorations ont été apportées au système SAP HR et d</w:t>
      </w:r>
      <w:r w:rsidR="00506749" w:rsidRPr="00BB75C5">
        <w:t>'</w:t>
      </w:r>
      <w:r w:rsidRPr="00BB75C5">
        <w:t xml:space="preserve">autres améliorations </w:t>
      </w:r>
      <w:r w:rsidRPr="00BB75C5">
        <w:lastRenderedPageBreak/>
        <w:t>sont en cours d</w:t>
      </w:r>
      <w:r w:rsidR="00506749" w:rsidRPr="00BB75C5">
        <w:t>'</w:t>
      </w:r>
      <w:r w:rsidRPr="00BB75C5">
        <w:t>élaboration. Le Département HRMD a élaboré des lignes directrices en matière d</w:t>
      </w:r>
      <w:r w:rsidR="00506749" w:rsidRPr="00BB75C5">
        <w:t>'</w:t>
      </w:r>
      <w:r w:rsidRPr="00BB75C5">
        <w:t>archivage et entame le processus d</w:t>
      </w:r>
      <w:r w:rsidR="00506749" w:rsidRPr="00BB75C5">
        <w:t>'</w:t>
      </w:r>
      <w:r w:rsidRPr="00BB75C5">
        <w:t>archivage des documents importants afin d</w:t>
      </w:r>
      <w:r w:rsidR="00506749" w:rsidRPr="00BB75C5">
        <w:t>'</w:t>
      </w:r>
      <w:r w:rsidRPr="00BB75C5">
        <w:t>améliorer la traçabilité et la gestion des connaissances.</w:t>
      </w:r>
    </w:p>
    <w:p w14:paraId="194262CD" w14:textId="06DD5E78" w:rsidR="00B40F47" w:rsidRPr="00BB75C5" w:rsidRDefault="00B40F47" w:rsidP="006F31BB">
      <w:pPr>
        <w:pStyle w:val="enumlev1"/>
        <w:jc w:val="both"/>
      </w:pPr>
      <w:r w:rsidRPr="00BB75C5">
        <w:t>10</w:t>
      </w:r>
      <w:r w:rsidR="00506749" w:rsidRPr="00BB75C5">
        <w:t>)</w:t>
      </w:r>
      <w:r w:rsidRPr="00BB75C5">
        <w:tab/>
        <w:t>L</w:t>
      </w:r>
      <w:r w:rsidR="00506749" w:rsidRPr="00BB75C5">
        <w:t>'</w:t>
      </w:r>
      <w:r w:rsidRPr="00BB75C5">
        <w:t>analyse et la qualité des données relative aux ressources humaines ont été renforcées pour appuyer la prise de décisions fondées sur des données probantes. Les capacités d</w:t>
      </w:r>
      <w:r w:rsidR="00506749" w:rsidRPr="00BB75C5">
        <w:t>'</w:t>
      </w:r>
      <w:r w:rsidRPr="00BB75C5">
        <w:t>informatique décisionnelle via les applications Power BI et SAP Business Warehouse (BW) ont été encore améliorées, notamment en améliorant continuellement le rapport sur l</w:t>
      </w:r>
      <w:r w:rsidR="00506749" w:rsidRPr="00BB75C5">
        <w:t>'</w:t>
      </w:r>
      <w:r w:rsidRPr="00BB75C5">
        <w:t>analyse des effectifs pour le Conseil. En plus de répondre à environ 200 demandes d</w:t>
      </w:r>
      <w:r w:rsidR="00506749" w:rsidRPr="00BB75C5">
        <w:t>'</w:t>
      </w:r>
      <w:r w:rsidRPr="00BB75C5">
        <w:t>établissement de rapports internes et externes, le</w:t>
      </w:r>
      <w:r w:rsidR="00025B8D" w:rsidRPr="00BB75C5">
        <w:t xml:space="preserve"> </w:t>
      </w:r>
      <w:r w:rsidRPr="00BB75C5">
        <w:t>Département HRMD a perfectionné l</w:t>
      </w:r>
      <w:r w:rsidR="00506749" w:rsidRPr="00BB75C5">
        <w:t>'</w:t>
      </w:r>
      <w:r w:rsidRPr="00BB75C5">
        <w:t>intégration des données entre SAP HR, ePMDS, le système de gestion des recrutements (RMS) et le système de gestion de l</w:t>
      </w:r>
      <w:r w:rsidR="00506749" w:rsidRPr="00BB75C5">
        <w:t>'</w:t>
      </w:r>
      <w:r w:rsidRPr="00BB75C5">
        <w:t>apprentissage (LMS). Le nettoyage ciblé des données a également amélioré la fiabilité globale.</w:t>
      </w:r>
    </w:p>
    <w:p w14:paraId="22D51131" w14:textId="060405A3" w:rsidR="00B40F47" w:rsidRPr="00BB75C5" w:rsidRDefault="00B40F47" w:rsidP="006F31BB">
      <w:pPr>
        <w:pStyle w:val="enumlev1"/>
        <w:jc w:val="both"/>
      </w:pPr>
      <w:r w:rsidRPr="00BB75C5">
        <w:t>11</w:t>
      </w:r>
      <w:r w:rsidR="00506749" w:rsidRPr="00BB75C5">
        <w:t>)</w:t>
      </w:r>
      <w:r w:rsidRPr="00BB75C5">
        <w:tab/>
        <w:t>Le Département HRMD a continué de renforcer la responsabilisation en contribuant à</w:t>
      </w:r>
      <w:r w:rsidR="00025B8D" w:rsidRPr="00BB75C5">
        <w:t xml:space="preserve"> </w:t>
      </w:r>
      <w:r w:rsidRPr="00BB75C5">
        <w:t>la mise en œuvre des recommandations restées en suspens dans ses domaines de responsabilité, notamment celles découlant de l</w:t>
      </w:r>
      <w:r w:rsidR="00506749" w:rsidRPr="00BB75C5">
        <w:t>'</w:t>
      </w:r>
      <w:r w:rsidRPr="00BB75C5">
        <w:t>audit interne, de la vérification extérieure des comptes, du CCI et du CCIG, conformément aux priorités en matière de gestion des risques. Depuis août 2023, 58 recommandations de ce type ont été closes. Une mise en correspondance rigoureuse a été effectuée par thème et par priorité. Les progrès sont accomplis grâce</w:t>
      </w:r>
      <w:r w:rsidR="00EA1B9B" w:rsidRPr="00BB75C5">
        <w:t>:</w:t>
      </w:r>
      <w:r w:rsidRPr="00BB75C5">
        <w:t xml:space="preserve"> i) à une responsabilisation concrète, les tâches étant intégrées dans le plan de travail annuel; ii) à un suivi systématique au moyen d</w:t>
      </w:r>
      <w:r w:rsidR="00506749" w:rsidRPr="00BB75C5">
        <w:t>'</w:t>
      </w:r>
      <w:r w:rsidRPr="00BB75C5">
        <w:t>examens périodiques pour identifier les goulets d</w:t>
      </w:r>
      <w:r w:rsidR="00506749" w:rsidRPr="00BB75C5">
        <w:t>'</w:t>
      </w:r>
      <w:r w:rsidRPr="00BB75C5">
        <w:t>étranglement; et iii) à la hiérarchisation des priorités en fonction des risques, l</w:t>
      </w:r>
      <w:r w:rsidR="00506749" w:rsidRPr="00BB75C5">
        <w:t>'</w:t>
      </w:r>
      <w:r w:rsidRPr="00BB75C5">
        <w:t xml:space="preserve">accent étant mis sur les questions </w:t>
      </w:r>
      <w:r w:rsidR="00D8598B" w:rsidRPr="00BB75C5">
        <w:t>"</w:t>
      </w:r>
      <w:r w:rsidRPr="00BB75C5">
        <w:t>essentielles non résolues</w:t>
      </w:r>
      <w:r w:rsidR="007843C9" w:rsidRPr="00BB75C5">
        <w:t>"</w:t>
      </w:r>
      <w:r w:rsidRPr="00BB75C5">
        <w:t>.</w:t>
      </w:r>
    </w:p>
    <w:p w14:paraId="6301398C" w14:textId="77777777" w:rsidR="00B40F47" w:rsidRPr="00BB75C5" w:rsidRDefault="00B40F47" w:rsidP="006F31BB">
      <w:pPr>
        <w:pStyle w:val="Headingb"/>
        <w:jc w:val="both"/>
      </w:pPr>
      <w:r w:rsidRPr="00BB75C5">
        <w:t>Transition après le Plan stratégique pour les ressources humaines pour 2026-2027</w:t>
      </w:r>
    </w:p>
    <w:p w14:paraId="4109AB44" w14:textId="023FBC7F" w:rsidR="00B40F47" w:rsidRPr="006F31BB" w:rsidRDefault="00B40F47" w:rsidP="006F31BB">
      <w:pPr>
        <w:jc w:val="both"/>
        <w:rPr>
          <w:spacing w:val="-2"/>
        </w:rPr>
      </w:pPr>
      <w:r w:rsidRPr="006F31BB">
        <w:rPr>
          <w:spacing w:val="-2"/>
        </w:rPr>
        <w:t>Le Plan de transformation des ressources humaines (HRTP) étant achevé, l</w:t>
      </w:r>
      <w:r w:rsidR="00506749" w:rsidRPr="006F31BB">
        <w:rPr>
          <w:spacing w:val="-2"/>
        </w:rPr>
        <w:t>'</w:t>
      </w:r>
      <w:r w:rsidRPr="006F31BB">
        <w:rPr>
          <w:spacing w:val="-2"/>
        </w:rPr>
        <w:t>UIT opère une transition vers le Plan stratégique pour les ressources humaines pour la période 2026-2027 (qui doit être approuvé par le Conseil), qui met fin au cycle de planification quadriennal requis au titre de la Résolution 48 de la PP. Ce plan biennal de transition permettra d'ancrer les résultats du Plan de transformation des ressources humaines, de façon à passer de la conception et du déploiement à une adoption durable et à des effets mesurables, tout en préparant une transition sans heurts vers le prochain cycle de planification stratégique de l'UIT.</w:t>
      </w:r>
    </w:p>
    <w:p w14:paraId="3E9AC86E" w14:textId="2AFC2FC3" w:rsidR="006A11AE" w:rsidRPr="00BB75C5" w:rsidRDefault="00B40F47" w:rsidP="00EA1B9B">
      <w:pPr>
        <w:spacing w:before="1080"/>
      </w:pPr>
      <w:r w:rsidRPr="00BB75C5">
        <w:rPr>
          <w:b/>
          <w:bCs/>
        </w:rPr>
        <w:t>Annexe</w:t>
      </w:r>
      <w:r w:rsidRPr="00BB75C5">
        <w:t>: 1</w:t>
      </w:r>
    </w:p>
    <w:p w14:paraId="3515BE15" w14:textId="77777777" w:rsidR="00B40F47" w:rsidRPr="00BB75C5" w:rsidRDefault="00B40F47" w:rsidP="00B40F47">
      <w:pPr>
        <w:pStyle w:val="Reasons"/>
        <w:sectPr w:rsidR="00B40F47" w:rsidRPr="00BB75C5" w:rsidSect="00D72F49">
          <w:headerReference w:type="even" r:id="rId12"/>
          <w:footerReference w:type="even" r:id="rId13"/>
          <w:footerReference w:type="default" r:id="rId14"/>
          <w:headerReference w:type="first" r:id="rId15"/>
          <w:footerReference w:type="first" r:id="rId16"/>
          <w:pgSz w:w="11907" w:h="16840" w:code="9"/>
          <w:pgMar w:top="1418" w:right="1418" w:bottom="1418" w:left="1418" w:header="720" w:footer="720" w:gutter="0"/>
          <w:paperSrc w:first="286" w:other="286"/>
          <w:cols w:space="720"/>
          <w:titlePg/>
        </w:sectPr>
      </w:pPr>
    </w:p>
    <w:p w14:paraId="5B289AE7" w14:textId="77777777" w:rsidR="00B40F47" w:rsidRPr="00BB75C5" w:rsidRDefault="00B40F47" w:rsidP="00EA1B9B">
      <w:pPr>
        <w:pStyle w:val="AnnexNo"/>
        <w:spacing w:before="0"/>
      </w:pPr>
      <w:r w:rsidRPr="00BB75C5">
        <w:lastRenderedPageBreak/>
        <w:t>Annexe 1</w:t>
      </w:r>
    </w:p>
    <w:p w14:paraId="3FCB772B" w14:textId="77777777" w:rsidR="00B40F47" w:rsidRPr="00BB75C5" w:rsidRDefault="00B40F47" w:rsidP="00EA1B9B">
      <w:pPr>
        <w:pStyle w:val="Annextitle"/>
        <w:spacing w:before="120"/>
      </w:pPr>
      <w:r w:rsidRPr="00BB75C5">
        <w:t>Application de la Résolution 48 – Indicateurs RH et progrès accomplis (à la fin février 2026)</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331"/>
        <w:gridCol w:w="1595"/>
        <w:gridCol w:w="4307"/>
        <w:gridCol w:w="7761"/>
      </w:tblGrid>
      <w:tr w:rsidR="00183438" w:rsidRPr="00BB75C5" w14:paraId="11B41DDD" w14:textId="77777777" w:rsidTr="00EA1B9B">
        <w:trPr>
          <w:trHeight w:val="401"/>
          <w:tblHeader/>
        </w:trPr>
        <w:tc>
          <w:tcPr>
            <w:tcW w:w="118" w:type="pct"/>
            <w:shd w:val="clear" w:color="auto" w:fill="B8CCE4" w:themeFill="accent1" w:themeFillTint="66"/>
            <w:tcMar>
              <w:left w:w="57" w:type="dxa"/>
              <w:right w:w="57" w:type="dxa"/>
            </w:tcMar>
            <w:hideMark/>
          </w:tcPr>
          <w:p w14:paraId="7BA791FF" w14:textId="2F133C38" w:rsidR="00B40F47" w:rsidRPr="00BB75C5" w:rsidRDefault="00B40F47" w:rsidP="007843C9">
            <w:pPr>
              <w:pStyle w:val="Tablehead"/>
              <w:rPr>
                <w:sz w:val="20"/>
              </w:rPr>
            </w:pPr>
            <w:r w:rsidRPr="00BB75C5">
              <w:rPr>
                <w:sz w:val="20"/>
              </w:rPr>
              <w:t>N</w:t>
            </w:r>
            <w:r w:rsidR="007843C9" w:rsidRPr="00BB75C5">
              <w:rPr>
                <w:sz w:val="20"/>
              </w:rPr>
              <w:t>°</w:t>
            </w:r>
          </w:p>
        </w:tc>
        <w:tc>
          <w:tcPr>
            <w:tcW w:w="570" w:type="pct"/>
            <w:shd w:val="clear" w:color="auto" w:fill="B8CCE4" w:themeFill="accent1" w:themeFillTint="66"/>
            <w:tcMar>
              <w:left w:w="57" w:type="dxa"/>
              <w:right w:w="57" w:type="dxa"/>
            </w:tcMar>
          </w:tcPr>
          <w:p w14:paraId="6698DA9F" w14:textId="77777777" w:rsidR="00B40F47" w:rsidRPr="00BB75C5" w:rsidRDefault="00B40F47" w:rsidP="007843C9">
            <w:pPr>
              <w:pStyle w:val="Tablehead"/>
              <w:rPr>
                <w:sz w:val="20"/>
              </w:rPr>
            </w:pPr>
            <w:r w:rsidRPr="00BB75C5">
              <w:rPr>
                <w:sz w:val="20"/>
              </w:rPr>
              <w:t>Catégorie</w:t>
            </w:r>
          </w:p>
        </w:tc>
        <w:tc>
          <w:tcPr>
            <w:tcW w:w="1539" w:type="pct"/>
            <w:shd w:val="clear" w:color="auto" w:fill="B8CCE4" w:themeFill="accent1" w:themeFillTint="66"/>
            <w:tcMar>
              <w:left w:w="57" w:type="dxa"/>
              <w:right w:w="57" w:type="dxa"/>
            </w:tcMar>
          </w:tcPr>
          <w:p w14:paraId="1107F0B0" w14:textId="531D7970" w:rsidR="00B40F47" w:rsidRPr="00BB75C5" w:rsidRDefault="00B40F47" w:rsidP="007843C9">
            <w:pPr>
              <w:pStyle w:val="Tablehead"/>
              <w:rPr>
                <w:sz w:val="20"/>
              </w:rPr>
            </w:pPr>
            <w:r w:rsidRPr="00BB75C5">
              <w:rPr>
                <w:sz w:val="20"/>
              </w:rPr>
              <w:t>Indicateurs</w:t>
            </w:r>
          </w:p>
        </w:tc>
        <w:tc>
          <w:tcPr>
            <w:tcW w:w="2773" w:type="pct"/>
            <w:shd w:val="clear" w:color="auto" w:fill="B8CCE4" w:themeFill="accent1" w:themeFillTint="66"/>
            <w:tcMar>
              <w:left w:w="57" w:type="dxa"/>
              <w:right w:w="57" w:type="dxa"/>
            </w:tcMar>
          </w:tcPr>
          <w:p w14:paraId="78A94B21" w14:textId="77777777" w:rsidR="00B40F47" w:rsidRPr="00BB75C5" w:rsidRDefault="00B40F47" w:rsidP="007843C9">
            <w:pPr>
              <w:pStyle w:val="Tablehead"/>
              <w:rPr>
                <w:sz w:val="20"/>
              </w:rPr>
            </w:pPr>
            <w:r w:rsidRPr="00BB75C5">
              <w:rPr>
                <w:sz w:val="20"/>
              </w:rPr>
              <w:t>Renseignements de suivi (situation en février 2026)</w:t>
            </w:r>
          </w:p>
        </w:tc>
      </w:tr>
      <w:tr w:rsidR="00183438" w:rsidRPr="00BB75C5" w14:paraId="3FE7A633" w14:textId="77777777" w:rsidTr="00EA1B9B">
        <w:trPr>
          <w:trHeight w:val="20"/>
        </w:trPr>
        <w:tc>
          <w:tcPr>
            <w:tcW w:w="118" w:type="pct"/>
            <w:shd w:val="clear" w:color="auto" w:fill="FFFFFF" w:themeFill="background1"/>
            <w:tcMar>
              <w:left w:w="57" w:type="dxa"/>
              <w:right w:w="57" w:type="dxa"/>
            </w:tcMar>
            <w:vAlign w:val="center"/>
            <w:hideMark/>
          </w:tcPr>
          <w:p w14:paraId="45EA57EA" w14:textId="77777777" w:rsidR="00B40F47" w:rsidRPr="00BB75C5" w:rsidRDefault="00B40F47" w:rsidP="00D8598B">
            <w:pPr>
              <w:pStyle w:val="Tabletext"/>
              <w:jc w:val="center"/>
              <w:rPr>
                <w:b/>
                <w:bCs/>
                <w:sz w:val="20"/>
              </w:rPr>
            </w:pPr>
            <w:r w:rsidRPr="00BB75C5">
              <w:rPr>
                <w:b/>
                <w:bCs/>
                <w:sz w:val="20"/>
              </w:rPr>
              <w:t>1</w:t>
            </w:r>
          </w:p>
        </w:tc>
        <w:tc>
          <w:tcPr>
            <w:tcW w:w="570" w:type="pct"/>
            <w:shd w:val="clear" w:color="auto" w:fill="FFFFFF" w:themeFill="background1"/>
            <w:tcMar>
              <w:left w:w="57" w:type="dxa"/>
              <w:right w:w="57" w:type="dxa"/>
            </w:tcMar>
            <w:vAlign w:val="center"/>
            <w:hideMark/>
          </w:tcPr>
          <w:p w14:paraId="4A3B816D" w14:textId="77777777" w:rsidR="00B40F47" w:rsidRPr="00BB75C5" w:rsidRDefault="00B40F47" w:rsidP="00D8598B">
            <w:pPr>
              <w:pStyle w:val="Tabletext"/>
              <w:rPr>
                <w:sz w:val="20"/>
              </w:rPr>
            </w:pPr>
            <w:r w:rsidRPr="00BB75C5">
              <w:rPr>
                <w:sz w:val="20"/>
              </w:rPr>
              <w:t>Recrutement et représentation</w:t>
            </w:r>
          </w:p>
        </w:tc>
        <w:tc>
          <w:tcPr>
            <w:tcW w:w="1539" w:type="pct"/>
            <w:shd w:val="clear" w:color="auto" w:fill="FFFFFF" w:themeFill="background1"/>
            <w:tcMar>
              <w:left w:w="57" w:type="dxa"/>
              <w:right w:w="57" w:type="dxa"/>
            </w:tcMar>
            <w:vAlign w:val="center"/>
          </w:tcPr>
          <w:p w14:paraId="67E10F22" w14:textId="5B6FA9FB" w:rsidR="00B40F47" w:rsidRPr="00BB75C5" w:rsidRDefault="00D8598B" w:rsidP="00D8598B">
            <w:pPr>
              <w:pStyle w:val="enumlev1"/>
              <w:tabs>
                <w:tab w:val="clear" w:pos="567"/>
                <w:tab w:val="left" w:pos="366"/>
              </w:tabs>
              <w:spacing w:before="40" w:after="40"/>
              <w:ind w:left="366" w:hanging="366"/>
              <w:rPr>
                <w:sz w:val="20"/>
                <w:szCs w:val="16"/>
              </w:rPr>
            </w:pPr>
            <w:r w:rsidRPr="00BB75C5">
              <w:rPr>
                <w:sz w:val="20"/>
                <w:szCs w:val="16"/>
              </w:rPr>
              <w:t>–</w:t>
            </w:r>
            <w:r w:rsidR="00B40F47" w:rsidRPr="00BB75C5">
              <w:rPr>
                <w:sz w:val="20"/>
                <w:szCs w:val="16"/>
              </w:rPr>
              <w:tab/>
              <w:t>Analyse qualitative et quantitative du mouvement des emplois (examen, reclassement, déclassement, transfert et création) par</w:t>
            </w:r>
            <w:r w:rsidR="00EA1B9B" w:rsidRPr="00BB75C5">
              <w:rPr>
                <w:sz w:val="20"/>
                <w:szCs w:val="16"/>
              </w:rPr>
              <w:t xml:space="preserve"> </w:t>
            </w:r>
            <w:r w:rsidR="00B40F47" w:rsidRPr="00BB75C5">
              <w:rPr>
                <w:sz w:val="20"/>
                <w:szCs w:val="16"/>
              </w:rPr>
              <w:t>rapport au nombre total d'emplois qui ont fait l'objet d'une opération de classement.</w:t>
            </w:r>
          </w:p>
          <w:p w14:paraId="400E71B4" w14:textId="5138BA31" w:rsidR="00B40F47" w:rsidRPr="00BB75C5" w:rsidRDefault="00D8598B" w:rsidP="00D8598B">
            <w:pPr>
              <w:pStyle w:val="enumlev1"/>
              <w:tabs>
                <w:tab w:val="clear" w:pos="567"/>
                <w:tab w:val="left" w:pos="366"/>
              </w:tabs>
              <w:spacing w:before="40" w:after="40"/>
              <w:ind w:left="366" w:hanging="366"/>
              <w:rPr>
                <w:sz w:val="20"/>
              </w:rPr>
            </w:pPr>
            <w:r w:rsidRPr="00BB75C5">
              <w:rPr>
                <w:sz w:val="20"/>
                <w:szCs w:val="16"/>
              </w:rPr>
              <w:t>–</w:t>
            </w:r>
            <w:r w:rsidR="00B40F47" w:rsidRPr="00BB75C5">
              <w:rPr>
                <w:sz w:val="20"/>
                <w:szCs w:val="16"/>
              </w:rPr>
              <w:tab/>
              <w:t>Utilisation des normes de classement des emplois de la CFPI.</w:t>
            </w:r>
          </w:p>
        </w:tc>
        <w:tc>
          <w:tcPr>
            <w:tcW w:w="2773" w:type="pct"/>
            <w:shd w:val="clear" w:color="auto" w:fill="FFFFFF" w:themeFill="background1"/>
            <w:tcMar>
              <w:left w:w="57" w:type="dxa"/>
              <w:right w:w="57" w:type="dxa"/>
            </w:tcMar>
          </w:tcPr>
          <w:p w14:paraId="052CE4E1" w14:textId="7E91DED5" w:rsidR="00B40F47" w:rsidRPr="00BB75C5" w:rsidRDefault="00B40F47" w:rsidP="007843C9">
            <w:pPr>
              <w:pStyle w:val="Tabletext"/>
              <w:rPr>
                <w:sz w:val="20"/>
              </w:rPr>
            </w:pPr>
            <w:r w:rsidRPr="00BB75C5">
              <w:rPr>
                <w:sz w:val="20"/>
              </w:rPr>
              <w:t>Les activités de classement suivantes (*hors validation des grades pour les contrats de courte durée et réorganisations) ont été effectuées de</w:t>
            </w:r>
            <w:r w:rsidR="00183438" w:rsidRPr="00BB75C5">
              <w:rPr>
                <w:sz w:val="20"/>
              </w:rPr>
              <w:t> </w:t>
            </w:r>
            <w:r w:rsidRPr="00BB75C5">
              <w:rPr>
                <w:sz w:val="20"/>
              </w:rPr>
              <w:t>2025 à février</w:t>
            </w:r>
            <w:r w:rsidR="001A0C5B" w:rsidRPr="00BB75C5">
              <w:rPr>
                <w:sz w:val="20"/>
              </w:rPr>
              <w:t> </w:t>
            </w:r>
            <w:r w:rsidRPr="00BB75C5">
              <w:rPr>
                <w:sz w:val="20"/>
              </w:rPr>
              <w:t>2026, concernant:</w:t>
            </w:r>
          </w:p>
          <w:p w14:paraId="26554117" w14:textId="77777777" w:rsidR="00B40F47" w:rsidRPr="00BB75C5" w:rsidRDefault="00B40F47" w:rsidP="00445B53">
            <w:pPr>
              <w:pStyle w:val="enumlev1"/>
              <w:tabs>
                <w:tab w:val="clear" w:pos="567"/>
                <w:tab w:val="left" w:pos="288"/>
              </w:tabs>
              <w:spacing w:before="40" w:after="40"/>
              <w:ind w:left="288" w:hanging="288"/>
              <w:rPr>
                <w:sz w:val="20"/>
                <w:szCs w:val="16"/>
              </w:rPr>
            </w:pPr>
            <w:r w:rsidRPr="00BB75C5">
              <w:rPr>
                <w:sz w:val="20"/>
                <w:szCs w:val="16"/>
              </w:rPr>
              <w:t>•</w:t>
            </w:r>
            <w:r w:rsidRPr="00BB75C5">
              <w:rPr>
                <w:sz w:val="20"/>
                <w:szCs w:val="16"/>
              </w:rPr>
              <w:tab/>
              <w:t>12 créations d'emplois ordinaires;</w:t>
            </w:r>
          </w:p>
          <w:p w14:paraId="2FAECF6C" w14:textId="5AEA9BAB" w:rsidR="00B40F47" w:rsidRPr="00BB75C5" w:rsidRDefault="00B40F47" w:rsidP="00445B53">
            <w:pPr>
              <w:pStyle w:val="enumlev1"/>
              <w:tabs>
                <w:tab w:val="clear" w:pos="567"/>
                <w:tab w:val="left" w:pos="288"/>
              </w:tabs>
              <w:spacing w:before="40" w:after="40"/>
              <w:ind w:left="288" w:hanging="288"/>
              <w:rPr>
                <w:sz w:val="20"/>
                <w:szCs w:val="16"/>
              </w:rPr>
            </w:pPr>
            <w:r w:rsidRPr="00BB75C5">
              <w:rPr>
                <w:sz w:val="20"/>
                <w:szCs w:val="16"/>
              </w:rPr>
              <w:t>•</w:t>
            </w:r>
            <w:r w:rsidRPr="00BB75C5">
              <w:rPr>
                <w:sz w:val="20"/>
                <w:szCs w:val="16"/>
              </w:rPr>
              <w:tab/>
              <w:t>20 créations de postes extrabudgétaires</w:t>
            </w:r>
            <w:r w:rsidR="00445B53" w:rsidRPr="00BB75C5">
              <w:rPr>
                <w:sz w:val="20"/>
                <w:szCs w:val="16"/>
              </w:rPr>
              <w:t>;</w:t>
            </w:r>
          </w:p>
          <w:p w14:paraId="60582153" w14:textId="77777777" w:rsidR="00B40F47" w:rsidRPr="00BB75C5" w:rsidRDefault="00B40F47" w:rsidP="00445B53">
            <w:pPr>
              <w:pStyle w:val="enumlev1"/>
              <w:tabs>
                <w:tab w:val="clear" w:pos="567"/>
                <w:tab w:val="left" w:pos="288"/>
              </w:tabs>
              <w:spacing w:before="40" w:after="40"/>
              <w:ind w:left="288" w:hanging="288"/>
              <w:rPr>
                <w:sz w:val="20"/>
                <w:szCs w:val="16"/>
              </w:rPr>
            </w:pPr>
            <w:r w:rsidRPr="00BB75C5">
              <w:rPr>
                <w:sz w:val="20"/>
                <w:szCs w:val="16"/>
              </w:rPr>
              <w:t>•</w:t>
            </w:r>
            <w:r w:rsidRPr="00BB75C5">
              <w:rPr>
                <w:sz w:val="20"/>
                <w:szCs w:val="16"/>
              </w:rPr>
              <w:tab/>
              <w:t>0 déclassement;</w:t>
            </w:r>
          </w:p>
          <w:p w14:paraId="300344BF" w14:textId="77777777" w:rsidR="00B40F47" w:rsidRPr="00BB75C5" w:rsidRDefault="00B40F47" w:rsidP="00445B53">
            <w:pPr>
              <w:pStyle w:val="enumlev1"/>
              <w:tabs>
                <w:tab w:val="clear" w:pos="567"/>
                <w:tab w:val="left" w:pos="288"/>
              </w:tabs>
              <w:spacing w:before="40" w:after="40"/>
              <w:ind w:left="288" w:hanging="288"/>
              <w:rPr>
                <w:sz w:val="20"/>
                <w:szCs w:val="16"/>
              </w:rPr>
            </w:pPr>
            <w:r w:rsidRPr="00BB75C5">
              <w:rPr>
                <w:sz w:val="20"/>
                <w:szCs w:val="16"/>
              </w:rPr>
              <w:t>•</w:t>
            </w:r>
            <w:r w:rsidRPr="00BB75C5">
              <w:rPr>
                <w:sz w:val="20"/>
                <w:szCs w:val="16"/>
              </w:rPr>
              <w:tab/>
              <w:t>9 reclassements;</w:t>
            </w:r>
          </w:p>
          <w:p w14:paraId="087113D4" w14:textId="77777777" w:rsidR="00B40F47" w:rsidRPr="00BB75C5" w:rsidRDefault="00B40F47" w:rsidP="00445B53">
            <w:pPr>
              <w:pStyle w:val="enumlev1"/>
              <w:tabs>
                <w:tab w:val="clear" w:pos="567"/>
                <w:tab w:val="left" w:pos="288"/>
              </w:tabs>
              <w:spacing w:before="40" w:after="40"/>
              <w:ind w:left="288" w:hanging="288"/>
              <w:rPr>
                <w:sz w:val="20"/>
                <w:szCs w:val="16"/>
              </w:rPr>
            </w:pPr>
            <w:r w:rsidRPr="00BB75C5">
              <w:rPr>
                <w:sz w:val="20"/>
                <w:szCs w:val="16"/>
              </w:rPr>
              <w:t>•</w:t>
            </w:r>
            <w:r w:rsidRPr="00BB75C5">
              <w:rPr>
                <w:sz w:val="20"/>
                <w:szCs w:val="16"/>
              </w:rPr>
              <w:tab/>
              <w:t>20 transferts;</w:t>
            </w:r>
          </w:p>
          <w:p w14:paraId="75126795" w14:textId="77777777" w:rsidR="00B40F47" w:rsidRPr="00BB75C5" w:rsidRDefault="00B40F47" w:rsidP="00445B53">
            <w:pPr>
              <w:pStyle w:val="enumlev1"/>
              <w:tabs>
                <w:tab w:val="clear" w:pos="567"/>
                <w:tab w:val="left" w:pos="288"/>
              </w:tabs>
              <w:spacing w:before="40" w:after="40"/>
              <w:ind w:left="288" w:hanging="288"/>
              <w:rPr>
                <w:sz w:val="20"/>
                <w:szCs w:val="16"/>
              </w:rPr>
            </w:pPr>
            <w:r w:rsidRPr="00BB75C5">
              <w:rPr>
                <w:sz w:val="20"/>
                <w:szCs w:val="16"/>
              </w:rPr>
              <w:t>•</w:t>
            </w:r>
            <w:r w:rsidRPr="00BB75C5">
              <w:rPr>
                <w:sz w:val="20"/>
                <w:szCs w:val="16"/>
              </w:rPr>
              <w:tab/>
              <w:t>46 examens;</w:t>
            </w:r>
          </w:p>
          <w:p w14:paraId="5E1CA87A" w14:textId="77777777" w:rsidR="00B40F47" w:rsidRPr="00BB75C5" w:rsidRDefault="00B40F47" w:rsidP="00445B53">
            <w:pPr>
              <w:pStyle w:val="enumlev1"/>
              <w:tabs>
                <w:tab w:val="clear" w:pos="567"/>
                <w:tab w:val="left" w:pos="288"/>
              </w:tabs>
              <w:spacing w:before="40" w:after="40"/>
              <w:ind w:left="288" w:hanging="288"/>
              <w:rPr>
                <w:sz w:val="20"/>
                <w:szCs w:val="16"/>
              </w:rPr>
            </w:pPr>
            <w:r w:rsidRPr="00BB75C5">
              <w:rPr>
                <w:sz w:val="20"/>
                <w:szCs w:val="16"/>
              </w:rPr>
              <w:t>•</w:t>
            </w:r>
            <w:r w:rsidRPr="00BB75C5">
              <w:rPr>
                <w:sz w:val="20"/>
                <w:szCs w:val="16"/>
              </w:rPr>
              <w:tab/>
              <w:t>6 suppressions;</w:t>
            </w:r>
          </w:p>
          <w:p w14:paraId="0C783926" w14:textId="77777777" w:rsidR="00B40F47" w:rsidRPr="00BB75C5" w:rsidRDefault="00B40F47" w:rsidP="00445B53">
            <w:pPr>
              <w:pStyle w:val="enumlev1"/>
              <w:tabs>
                <w:tab w:val="clear" w:pos="567"/>
                <w:tab w:val="left" w:pos="288"/>
              </w:tabs>
              <w:spacing w:before="40" w:after="40"/>
              <w:ind w:left="288" w:hanging="288"/>
            </w:pPr>
            <w:r w:rsidRPr="00BB75C5">
              <w:rPr>
                <w:sz w:val="20"/>
                <w:szCs w:val="16"/>
              </w:rPr>
              <w:t>•</w:t>
            </w:r>
            <w:r w:rsidRPr="00BB75C5">
              <w:rPr>
                <w:sz w:val="20"/>
                <w:szCs w:val="16"/>
              </w:rPr>
              <w:tab/>
              <w:t>26 indemnités spéciales de fonction.</w:t>
            </w:r>
          </w:p>
          <w:p w14:paraId="7B351EB3" w14:textId="77777777" w:rsidR="00B40F47" w:rsidRPr="00BB75C5" w:rsidRDefault="00B40F47" w:rsidP="007843C9">
            <w:pPr>
              <w:pStyle w:val="Tabletext"/>
              <w:rPr>
                <w:sz w:val="20"/>
              </w:rPr>
            </w:pPr>
            <w:r w:rsidRPr="00BB75C5">
              <w:rPr>
                <w:sz w:val="20"/>
              </w:rPr>
              <w:t>Toutes les descriptions d'emploi et les emplois ont été évalués d'après les normes de classement des emplois de la CFPI.</w:t>
            </w:r>
          </w:p>
        </w:tc>
      </w:tr>
      <w:tr w:rsidR="00183438" w:rsidRPr="00BB75C5" w14:paraId="452E39C2" w14:textId="77777777" w:rsidTr="00EA1B9B">
        <w:trPr>
          <w:trHeight w:val="514"/>
        </w:trPr>
        <w:tc>
          <w:tcPr>
            <w:tcW w:w="118" w:type="pct"/>
            <w:shd w:val="clear" w:color="auto" w:fill="FFFFFF" w:themeFill="background1"/>
            <w:tcMar>
              <w:left w:w="57" w:type="dxa"/>
              <w:right w:w="57" w:type="dxa"/>
            </w:tcMar>
            <w:vAlign w:val="center"/>
          </w:tcPr>
          <w:p w14:paraId="34DFBF08" w14:textId="77777777" w:rsidR="00B40F47" w:rsidRPr="00BB75C5" w:rsidRDefault="00B40F47" w:rsidP="00D8598B">
            <w:pPr>
              <w:pStyle w:val="Tabletext"/>
              <w:jc w:val="center"/>
              <w:rPr>
                <w:b/>
                <w:bCs/>
                <w:sz w:val="20"/>
              </w:rPr>
            </w:pPr>
            <w:r w:rsidRPr="00BB75C5">
              <w:rPr>
                <w:b/>
                <w:bCs/>
                <w:sz w:val="20"/>
              </w:rPr>
              <w:t>2</w:t>
            </w:r>
          </w:p>
        </w:tc>
        <w:tc>
          <w:tcPr>
            <w:tcW w:w="570" w:type="pct"/>
            <w:shd w:val="clear" w:color="auto" w:fill="FFFFFF" w:themeFill="background1"/>
            <w:tcMar>
              <w:left w:w="57" w:type="dxa"/>
              <w:right w:w="57" w:type="dxa"/>
            </w:tcMar>
            <w:vAlign w:val="center"/>
          </w:tcPr>
          <w:p w14:paraId="06B05AD8" w14:textId="77777777" w:rsidR="00B40F47" w:rsidRPr="00BB75C5" w:rsidRDefault="00B40F47" w:rsidP="00D8598B">
            <w:pPr>
              <w:pStyle w:val="Tabletext"/>
              <w:rPr>
                <w:sz w:val="20"/>
              </w:rPr>
            </w:pPr>
            <w:r w:rsidRPr="00BB75C5">
              <w:rPr>
                <w:sz w:val="20"/>
              </w:rPr>
              <w:t>Recrutement et représentation</w:t>
            </w:r>
          </w:p>
        </w:tc>
        <w:tc>
          <w:tcPr>
            <w:tcW w:w="1539" w:type="pct"/>
            <w:shd w:val="clear" w:color="auto" w:fill="FFFFFF" w:themeFill="background1"/>
            <w:tcMar>
              <w:left w:w="57" w:type="dxa"/>
              <w:right w:w="57" w:type="dxa"/>
            </w:tcMar>
            <w:vAlign w:val="center"/>
          </w:tcPr>
          <w:p w14:paraId="3699C824" w14:textId="0563BBCC" w:rsidR="00B40F47" w:rsidRPr="00BB75C5" w:rsidRDefault="00B40F47" w:rsidP="00EA1B9B">
            <w:pPr>
              <w:pStyle w:val="Tabletext"/>
              <w:rPr>
                <w:sz w:val="20"/>
              </w:rPr>
            </w:pPr>
            <w:r w:rsidRPr="00BB75C5">
              <w:rPr>
                <w:sz w:val="20"/>
              </w:rPr>
              <w:t>Nombre moyen de candidatures par emploi</w:t>
            </w:r>
            <w:r w:rsidR="00445B53" w:rsidRPr="00BB75C5">
              <w:rPr>
                <w:sz w:val="20"/>
              </w:rPr>
              <w:t>.</w:t>
            </w:r>
          </w:p>
        </w:tc>
        <w:tc>
          <w:tcPr>
            <w:tcW w:w="2773" w:type="pct"/>
            <w:shd w:val="clear" w:color="auto" w:fill="FFFFFF" w:themeFill="background1"/>
            <w:tcMar>
              <w:left w:w="57" w:type="dxa"/>
              <w:right w:w="57" w:type="dxa"/>
            </w:tcMar>
            <w:vAlign w:val="center"/>
          </w:tcPr>
          <w:p w14:paraId="449FE558" w14:textId="77777777" w:rsidR="00B40F47" w:rsidRPr="00BB75C5" w:rsidRDefault="00B40F47" w:rsidP="00EA1B9B">
            <w:pPr>
              <w:pStyle w:val="Tabletext"/>
              <w:rPr>
                <w:sz w:val="20"/>
              </w:rPr>
            </w:pPr>
            <w:r w:rsidRPr="00BB75C5">
              <w:rPr>
                <w:rFonts w:eastAsia="Malgun Gothic"/>
                <w:sz w:val="20"/>
              </w:rPr>
              <w:t xml:space="preserve">Quelque 110,3 candidatures pour un emploi de </w:t>
            </w:r>
            <w:r w:rsidRPr="00BB75C5">
              <w:rPr>
                <w:sz w:val="20"/>
              </w:rPr>
              <w:t>durée déterminée.</w:t>
            </w:r>
          </w:p>
        </w:tc>
      </w:tr>
      <w:tr w:rsidR="00183438" w:rsidRPr="00BB75C5" w14:paraId="505D09A2" w14:textId="77777777" w:rsidTr="00EA1B9B">
        <w:trPr>
          <w:trHeight w:val="20"/>
        </w:trPr>
        <w:tc>
          <w:tcPr>
            <w:tcW w:w="118" w:type="pct"/>
            <w:shd w:val="clear" w:color="auto" w:fill="FFFFFF" w:themeFill="background1"/>
            <w:tcMar>
              <w:left w:w="57" w:type="dxa"/>
              <w:right w:w="57" w:type="dxa"/>
            </w:tcMar>
            <w:vAlign w:val="center"/>
          </w:tcPr>
          <w:p w14:paraId="196AAAAF" w14:textId="77777777" w:rsidR="00B40F47" w:rsidRPr="00BB75C5" w:rsidRDefault="00B40F47" w:rsidP="00D8598B">
            <w:pPr>
              <w:pStyle w:val="Tabletext"/>
              <w:jc w:val="center"/>
              <w:rPr>
                <w:b/>
                <w:bCs/>
                <w:sz w:val="20"/>
              </w:rPr>
            </w:pPr>
            <w:r w:rsidRPr="00BB75C5">
              <w:rPr>
                <w:b/>
                <w:bCs/>
                <w:sz w:val="20"/>
              </w:rPr>
              <w:t>3</w:t>
            </w:r>
          </w:p>
        </w:tc>
        <w:tc>
          <w:tcPr>
            <w:tcW w:w="570" w:type="pct"/>
            <w:shd w:val="clear" w:color="auto" w:fill="FFFFFF" w:themeFill="background1"/>
            <w:tcMar>
              <w:left w:w="57" w:type="dxa"/>
              <w:right w:w="57" w:type="dxa"/>
            </w:tcMar>
            <w:vAlign w:val="center"/>
          </w:tcPr>
          <w:p w14:paraId="2C22C1EF" w14:textId="77777777" w:rsidR="00B40F47" w:rsidRPr="00BB75C5" w:rsidRDefault="00B40F47" w:rsidP="00D8598B">
            <w:pPr>
              <w:pStyle w:val="Tabletext"/>
              <w:rPr>
                <w:sz w:val="20"/>
              </w:rPr>
            </w:pPr>
            <w:r w:rsidRPr="00BB75C5">
              <w:rPr>
                <w:sz w:val="20"/>
              </w:rPr>
              <w:t>Recrutement et représentation</w:t>
            </w:r>
          </w:p>
        </w:tc>
        <w:tc>
          <w:tcPr>
            <w:tcW w:w="1539" w:type="pct"/>
            <w:shd w:val="clear" w:color="auto" w:fill="FFFFFF" w:themeFill="background1"/>
            <w:tcMar>
              <w:left w:w="57" w:type="dxa"/>
              <w:right w:w="57" w:type="dxa"/>
            </w:tcMar>
            <w:vAlign w:val="center"/>
            <w:hideMark/>
          </w:tcPr>
          <w:p w14:paraId="4C76B6CE" w14:textId="0B27AA4A" w:rsidR="00B40F47" w:rsidRPr="00BB75C5" w:rsidRDefault="00D8598B" w:rsidP="00D8598B">
            <w:pPr>
              <w:pStyle w:val="enumlev1"/>
              <w:tabs>
                <w:tab w:val="clear" w:pos="567"/>
                <w:tab w:val="left" w:pos="366"/>
              </w:tabs>
              <w:spacing w:before="40" w:after="40"/>
              <w:ind w:left="366" w:hanging="366"/>
              <w:rPr>
                <w:sz w:val="20"/>
                <w:szCs w:val="16"/>
              </w:rPr>
            </w:pPr>
            <w:r w:rsidRPr="00BB75C5">
              <w:rPr>
                <w:sz w:val="20"/>
                <w:szCs w:val="16"/>
              </w:rPr>
              <w:t>–</w:t>
            </w:r>
            <w:r w:rsidR="00B40F47" w:rsidRPr="00BB75C5">
              <w:rPr>
                <w:sz w:val="20"/>
                <w:szCs w:val="16"/>
              </w:rPr>
              <w:tab/>
              <w:t>Proportion de fonctionnaires pour lesquels il est tenu compte de la répartition géographique et de la parité hommes-femmes, par</w:t>
            </w:r>
            <w:r w:rsidR="00183438" w:rsidRPr="00BB75C5">
              <w:rPr>
                <w:sz w:val="20"/>
                <w:szCs w:val="16"/>
              </w:rPr>
              <w:t> </w:t>
            </w:r>
            <w:r w:rsidR="00B40F47" w:rsidRPr="00BB75C5">
              <w:rPr>
                <w:sz w:val="20"/>
                <w:szCs w:val="16"/>
              </w:rPr>
              <w:t xml:space="preserve">lieu d'affectation, </w:t>
            </w:r>
            <w:r w:rsidR="00183438" w:rsidRPr="00BB75C5">
              <w:rPr>
                <w:sz w:val="20"/>
                <w:szCs w:val="16"/>
              </w:rPr>
              <w:t>S</w:t>
            </w:r>
            <w:r w:rsidR="00B40F47" w:rsidRPr="00BB75C5">
              <w:rPr>
                <w:sz w:val="20"/>
                <w:szCs w:val="16"/>
              </w:rPr>
              <w:t>ecteur, grade (en %).</w:t>
            </w:r>
          </w:p>
          <w:p w14:paraId="014FD388" w14:textId="533898EA" w:rsidR="00B40F47" w:rsidRPr="00BB75C5" w:rsidRDefault="00D8598B" w:rsidP="00D8598B">
            <w:pPr>
              <w:pStyle w:val="enumlev1"/>
              <w:tabs>
                <w:tab w:val="clear" w:pos="567"/>
                <w:tab w:val="left" w:pos="366"/>
              </w:tabs>
              <w:spacing w:before="40" w:after="40"/>
              <w:ind w:left="366" w:hanging="366"/>
              <w:rPr>
                <w:sz w:val="20"/>
                <w:szCs w:val="16"/>
              </w:rPr>
            </w:pPr>
            <w:r w:rsidRPr="00BB75C5">
              <w:rPr>
                <w:sz w:val="20"/>
                <w:szCs w:val="16"/>
              </w:rPr>
              <w:t>–</w:t>
            </w:r>
            <w:r w:rsidR="00B40F47" w:rsidRPr="00BB75C5">
              <w:rPr>
                <w:sz w:val="20"/>
                <w:szCs w:val="16"/>
              </w:rPr>
              <w:tab/>
              <w:t>Représentation des sexes par groupe professionnel (en %).</w:t>
            </w:r>
          </w:p>
          <w:p w14:paraId="6E72C1F3" w14:textId="1F017BA1" w:rsidR="00B40F47" w:rsidRPr="00BB75C5" w:rsidRDefault="00D8598B" w:rsidP="00D8598B">
            <w:pPr>
              <w:pStyle w:val="enumlev1"/>
              <w:tabs>
                <w:tab w:val="clear" w:pos="567"/>
                <w:tab w:val="left" w:pos="366"/>
              </w:tabs>
              <w:spacing w:before="40" w:after="40"/>
              <w:ind w:left="366" w:hanging="366"/>
              <w:rPr>
                <w:sz w:val="20"/>
                <w:szCs w:val="16"/>
              </w:rPr>
            </w:pPr>
            <w:r w:rsidRPr="00BB75C5">
              <w:rPr>
                <w:sz w:val="20"/>
                <w:szCs w:val="16"/>
              </w:rPr>
              <w:t>–</w:t>
            </w:r>
            <w:r w:rsidR="00B40F47" w:rsidRPr="00BB75C5">
              <w:rPr>
                <w:sz w:val="20"/>
                <w:szCs w:val="16"/>
              </w:rPr>
              <w:tab/>
              <w:t>Suivi régulier des principaux critères de mesure de la diversité du personnel, tels que la répartition géographique et la parité hommes</w:t>
            </w:r>
            <w:r w:rsidR="00B40F47" w:rsidRPr="00BB75C5">
              <w:rPr>
                <w:sz w:val="20"/>
                <w:szCs w:val="16"/>
              </w:rPr>
              <w:noBreakHyphen/>
              <w:t>femmes.</w:t>
            </w:r>
          </w:p>
        </w:tc>
        <w:tc>
          <w:tcPr>
            <w:tcW w:w="2773" w:type="pct"/>
            <w:shd w:val="clear" w:color="auto" w:fill="FFFFFF" w:themeFill="background1"/>
            <w:tcMar>
              <w:left w:w="57" w:type="dxa"/>
              <w:right w:w="57" w:type="dxa"/>
            </w:tcMar>
          </w:tcPr>
          <w:p w14:paraId="4387744D" w14:textId="56488F88" w:rsidR="00B40F47" w:rsidRPr="00BB75C5" w:rsidRDefault="00B40F47" w:rsidP="007843C9">
            <w:pPr>
              <w:pStyle w:val="Tabletext"/>
              <w:rPr>
                <w:rFonts w:eastAsia="Malgun Gothic"/>
                <w:sz w:val="20"/>
              </w:rPr>
            </w:pPr>
            <w:r w:rsidRPr="00BB75C5">
              <w:rPr>
                <w:sz w:val="20"/>
              </w:rPr>
              <w:t>Un tableau de bord évolutif en temps réel, mis à jour en permanence grâce à un flux de données provenant de l'entrepôt de données du système SAP utilisé par</w:t>
            </w:r>
            <w:r w:rsidR="001A0C5B" w:rsidRPr="00BB75C5">
              <w:rPr>
                <w:sz w:val="20"/>
              </w:rPr>
              <w:t> </w:t>
            </w:r>
            <w:r w:rsidRPr="00BB75C5">
              <w:rPr>
                <w:sz w:val="20"/>
              </w:rPr>
              <w:t>les RH, donne une vue d'ensemble complète des principales mesures relatives aux personnes, notamment l'équilibre hommes-femmes et la répartition géographique.</w:t>
            </w:r>
          </w:p>
          <w:p w14:paraId="3E857814" w14:textId="77777777" w:rsidR="00B40F47" w:rsidRPr="00BB75C5" w:rsidRDefault="00B40F47" w:rsidP="007843C9">
            <w:pPr>
              <w:pStyle w:val="Tabletext"/>
              <w:rPr>
                <w:rFonts w:eastAsia="Malgun Gothic"/>
                <w:sz w:val="20"/>
              </w:rPr>
            </w:pPr>
            <w:r w:rsidRPr="00BB75C5">
              <w:rPr>
                <w:rFonts w:eastAsia="Malgun Gothic"/>
                <w:sz w:val="20"/>
              </w:rPr>
              <w:t>Représentation des sexes par Secteur (personnel permanent):</w:t>
            </w:r>
          </w:p>
          <w:p w14:paraId="215C6365" w14:textId="7711496B" w:rsidR="00B40F47" w:rsidRPr="00BB75C5" w:rsidRDefault="008959F5" w:rsidP="00445B53">
            <w:pPr>
              <w:pStyle w:val="enumlev1"/>
              <w:tabs>
                <w:tab w:val="clear" w:pos="567"/>
                <w:tab w:val="left" w:pos="288"/>
              </w:tabs>
              <w:spacing w:before="40" w:after="40"/>
              <w:ind w:left="288" w:hanging="288"/>
              <w:rPr>
                <w:sz w:val="20"/>
                <w:szCs w:val="16"/>
              </w:rPr>
            </w:pPr>
            <w:r w:rsidRPr="00BB75C5">
              <w:rPr>
                <w:sz w:val="20"/>
                <w:szCs w:val="16"/>
              </w:rPr>
              <w:t>–</w:t>
            </w:r>
            <w:r w:rsidR="00B40F47" w:rsidRPr="00BB75C5">
              <w:rPr>
                <w:sz w:val="20"/>
                <w:szCs w:val="16"/>
              </w:rPr>
              <w:tab/>
              <w:t>BDT: Femmes 53,9%/Hommes 46,1%.</w:t>
            </w:r>
          </w:p>
          <w:p w14:paraId="705DE225" w14:textId="7ADF1B45" w:rsidR="00B40F47" w:rsidRPr="00BB75C5" w:rsidRDefault="008959F5" w:rsidP="00445B53">
            <w:pPr>
              <w:pStyle w:val="enumlev1"/>
              <w:tabs>
                <w:tab w:val="clear" w:pos="567"/>
                <w:tab w:val="left" w:pos="288"/>
              </w:tabs>
              <w:spacing w:before="40" w:after="40"/>
              <w:ind w:left="288" w:hanging="288"/>
              <w:rPr>
                <w:sz w:val="20"/>
                <w:szCs w:val="16"/>
              </w:rPr>
            </w:pPr>
            <w:r w:rsidRPr="00BB75C5">
              <w:rPr>
                <w:sz w:val="20"/>
                <w:szCs w:val="16"/>
              </w:rPr>
              <w:t>–</w:t>
            </w:r>
            <w:r w:rsidR="00B40F47" w:rsidRPr="00BB75C5">
              <w:rPr>
                <w:sz w:val="20"/>
                <w:szCs w:val="16"/>
              </w:rPr>
              <w:tab/>
              <w:t>BR: Femmes 42,6%/Hommes 57,4%.</w:t>
            </w:r>
          </w:p>
          <w:p w14:paraId="5CB99815" w14:textId="3C35923B" w:rsidR="00B40F47" w:rsidRPr="00BB75C5" w:rsidRDefault="008959F5" w:rsidP="00445B53">
            <w:pPr>
              <w:pStyle w:val="enumlev1"/>
              <w:tabs>
                <w:tab w:val="clear" w:pos="567"/>
                <w:tab w:val="left" w:pos="288"/>
              </w:tabs>
              <w:spacing w:before="40" w:after="40"/>
              <w:ind w:left="288" w:hanging="288"/>
              <w:rPr>
                <w:rFonts w:eastAsia="Malgun Gothic"/>
                <w:sz w:val="20"/>
              </w:rPr>
            </w:pPr>
            <w:r w:rsidRPr="00BB75C5">
              <w:rPr>
                <w:sz w:val="20"/>
                <w:szCs w:val="16"/>
              </w:rPr>
              <w:t>–</w:t>
            </w:r>
            <w:r w:rsidR="00B40F47" w:rsidRPr="00BB75C5">
              <w:rPr>
                <w:sz w:val="20"/>
                <w:szCs w:val="16"/>
              </w:rPr>
              <w:tab/>
              <w:t>GS: Femmes 54,6%/Hommes 45,4%.</w:t>
            </w:r>
          </w:p>
          <w:p w14:paraId="570C342C" w14:textId="6AC4E1DA" w:rsidR="00B40F47" w:rsidRPr="00BB75C5" w:rsidRDefault="008959F5" w:rsidP="00445B53">
            <w:pPr>
              <w:pStyle w:val="enumlev1"/>
              <w:tabs>
                <w:tab w:val="clear" w:pos="567"/>
                <w:tab w:val="left" w:pos="288"/>
              </w:tabs>
              <w:spacing w:before="40" w:after="40"/>
              <w:ind w:left="288" w:hanging="288"/>
              <w:rPr>
                <w:rFonts w:eastAsia="Malgun Gothic"/>
                <w:sz w:val="20"/>
              </w:rPr>
            </w:pPr>
            <w:r w:rsidRPr="00BB75C5">
              <w:rPr>
                <w:sz w:val="20"/>
                <w:szCs w:val="16"/>
              </w:rPr>
              <w:t>–</w:t>
            </w:r>
            <w:r w:rsidR="00B40F47" w:rsidRPr="00BB75C5">
              <w:rPr>
                <w:sz w:val="20"/>
                <w:szCs w:val="16"/>
              </w:rPr>
              <w:tab/>
              <w:t>TSB: Femmes 52%/Hommes 48%.</w:t>
            </w:r>
          </w:p>
          <w:p w14:paraId="0A3A4DF6" w14:textId="5B9AE470" w:rsidR="00B40F47" w:rsidRPr="00BB75C5" w:rsidRDefault="00B40F47" w:rsidP="007843C9">
            <w:pPr>
              <w:pStyle w:val="Tabletext"/>
              <w:rPr>
                <w:rFonts w:eastAsia="Malgun Gothic"/>
                <w:sz w:val="20"/>
              </w:rPr>
            </w:pPr>
            <w:r w:rsidRPr="00BB75C5">
              <w:rPr>
                <w:rFonts w:eastAsia="Malgun Gothic"/>
                <w:sz w:val="20"/>
              </w:rPr>
              <w:t>Représentation des sexes par groupe professionnel (personnel</w:t>
            </w:r>
            <w:r w:rsidR="00506749" w:rsidRPr="00BB75C5">
              <w:rPr>
                <w:rFonts w:eastAsia="Malgun Gothic"/>
                <w:sz w:val="20"/>
              </w:rPr>
              <w:t> </w:t>
            </w:r>
            <w:r w:rsidRPr="00BB75C5">
              <w:rPr>
                <w:rFonts w:eastAsia="Malgun Gothic"/>
                <w:sz w:val="20"/>
              </w:rPr>
              <w:t>permanent):</w:t>
            </w:r>
          </w:p>
          <w:p w14:paraId="79CD7EE6" w14:textId="4AA25E08" w:rsidR="00B40F47" w:rsidRPr="00BB75C5" w:rsidRDefault="008959F5" w:rsidP="00445B53">
            <w:pPr>
              <w:pStyle w:val="enumlev1"/>
              <w:tabs>
                <w:tab w:val="clear" w:pos="567"/>
                <w:tab w:val="left" w:pos="288"/>
              </w:tabs>
              <w:spacing w:before="40" w:after="40"/>
              <w:ind w:left="288" w:hanging="288"/>
              <w:rPr>
                <w:sz w:val="20"/>
                <w:szCs w:val="16"/>
              </w:rPr>
            </w:pPr>
            <w:r w:rsidRPr="00BB75C5">
              <w:rPr>
                <w:sz w:val="20"/>
                <w:szCs w:val="16"/>
              </w:rPr>
              <w:t>–</w:t>
            </w:r>
            <w:r w:rsidR="00B40F47" w:rsidRPr="00BB75C5">
              <w:rPr>
                <w:sz w:val="20"/>
                <w:szCs w:val="16"/>
              </w:rPr>
              <w:tab/>
              <w:t>Catégories professionnelle et supérieure: Femmes</w:t>
            </w:r>
            <w:r w:rsidR="00445B53" w:rsidRPr="00BB75C5">
              <w:rPr>
                <w:sz w:val="20"/>
                <w:szCs w:val="16"/>
              </w:rPr>
              <w:t> </w:t>
            </w:r>
            <w:r w:rsidR="00B40F47" w:rsidRPr="00BB75C5">
              <w:rPr>
                <w:sz w:val="20"/>
                <w:szCs w:val="16"/>
              </w:rPr>
              <w:t>44,6%/Hommes 55,4%.</w:t>
            </w:r>
          </w:p>
          <w:p w14:paraId="5B8A4805" w14:textId="220CE29E" w:rsidR="00B40F47" w:rsidRPr="00BB75C5" w:rsidRDefault="008959F5" w:rsidP="00445B53">
            <w:pPr>
              <w:pStyle w:val="enumlev1"/>
              <w:tabs>
                <w:tab w:val="clear" w:pos="567"/>
                <w:tab w:val="left" w:pos="288"/>
              </w:tabs>
              <w:spacing w:before="40" w:after="40"/>
              <w:ind w:left="288" w:hanging="288"/>
              <w:rPr>
                <w:rFonts w:eastAsia="Malgun Gothic"/>
                <w:sz w:val="20"/>
              </w:rPr>
            </w:pPr>
            <w:r w:rsidRPr="00BB75C5">
              <w:rPr>
                <w:sz w:val="20"/>
                <w:szCs w:val="16"/>
              </w:rPr>
              <w:t>–</w:t>
            </w:r>
            <w:r w:rsidR="00B40F47" w:rsidRPr="00BB75C5">
              <w:rPr>
                <w:sz w:val="20"/>
                <w:szCs w:val="16"/>
              </w:rPr>
              <w:tab/>
              <w:t>Catégorie des services généraux: Femmes 66,8%/Hommes 33,2%.</w:t>
            </w:r>
          </w:p>
          <w:p w14:paraId="3E8DA7A7" w14:textId="5B65965F" w:rsidR="008959F5" w:rsidRPr="00BB75C5" w:rsidRDefault="00B40F47" w:rsidP="007843C9">
            <w:pPr>
              <w:pStyle w:val="Tabletext"/>
              <w:rPr>
                <w:rFonts w:eastAsia="Malgun Gothic"/>
                <w:sz w:val="20"/>
              </w:rPr>
            </w:pPr>
            <w:r w:rsidRPr="00BB75C5">
              <w:rPr>
                <w:rFonts w:eastAsia="Malgun Gothic"/>
                <w:sz w:val="20"/>
              </w:rPr>
              <w:t>Répartition géographique (personnel permanent): 114 nationalités.</w:t>
            </w:r>
          </w:p>
          <w:p w14:paraId="2663EF38" w14:textId="29D66523" w:rsidR="00B40F47" w:rsidRPr="00BB75C5" w:rsidRDefault="00B40F47" w:rsidP="00EA1B9B">
            <w:pPr>
              <w:pStyle w:val="Tablelegend"/>
              <w:widowControl w:val="0"/>
              <w:spacing w:before="0"/>
              <w:rPr>
                <w:rFonts w:eastAsia="Malgun Gothic"/>
              </w:rPr>
            </w:pPr>
            <w:r w:rsidRPr="00BB75C5">
              <w:rPr>
                <w:rFonts w:eastAsia="Malgun Gothic"/>
              </w:rPr>
              <w:lastRenderedPageBreak/>
              <w:t>*</w:t>
            </w:r>
            <w:r w:rsidR="008959F5" w:rsidRPr="00BB75C5">
              <w:rPr>
                <w:rFonts w:eastAsia="Malgun Gothic"/>
              </w:rPr>
              <w:tab/>
            </w:r>
            <w:r w:rsidRPr="00BB75C5">
              <w:rPr>
                <w:rFonts w:eastAsia="Malgun Gothic"/>
                <w:i/>
                <w:iCs/>
              </w:rPr>
              <w:t>Données au 6 février 2026</w:t>
            </w:r>
          </w:p>
          <w:p w14:paraId="62DCEC2B" w14:textId="25FB5312" w:rsidR="00B40F47" w:rsidRPr="00BB75C5" w:rsidRDefault="00B40F47" w:rsidP="008959F5">
            <w:pPr>
              <w:pStyle w:val="Tablelegend"/>
              <w:rPr>
                <w:rFonts w:eastAsia="Malgun Gothic"/>
              </w:rPr>
            </w:pPr>
            <w:r w:rsidRPr="00BB75C5">
              <w:rPr>
                <w:rFonts w:eastAsia="Malgun Gothic"/>
              </w:rPr>
              <w:t>**</w:t>
            </w:r>
            <w:r w:rsidR="008959F5" w:rsidRPr="00BB75C5">
              <w:rPr>
                <w:rFonts w:eastAsia="Malgun Gothic"/>
              </w:rPr>
              <w:tab/>
            </w:r>
            <w:r w:rsidRPr="00BB75C5">
              <w:rPr>
                <w:rFonts w:eastAsia="Malgun Gothic"/>
                <w:i/>
                <w:iCs/>
              </w:rPr>
              <w:t>Les fonctionnaires élus et les fonctionnaires en congé spécial sans traitement</w:t>
            </w:r>
            <w:r w:rsidR="008959F5" w:rsidRPr="00BB75C5">
              <w:rPr>
                <w:rFonts w:eastAsia="Malgun Gothic"/>
                <w:i/>
                <w:iCs/>
              </w:rPr>
              <w:t xml:space="preserve"> </w:t>
            </w:r>
            <w:r w:rsidRPr="00BB75C5">
              <w:rPr>
                <w:rFonts w:eastAsia="Malgun Gothic"/>
                <w:i/>
                <w:iCs/>
              </w:rPr>
              <w:t>ne sont pas pris en considération dans les chiffres ci</w:t>
            </w:r>
            <w:r w:rsidR="00445B53" w:rsidRPr="00BB75C5">
              <w:rPr>
                <w:rFonts w:eastAsia="Malgun Gothic"/>
                <w:i/>
                <w:iCs/>
              </w:rPr>
              <w:noBreakHyphen/>
            </w:r>
            <w:r w:rsidRPr="00BB75C5">
              <w:rPr>
                <w:rFonts w:eastAsia="Malgun Gothic"/>
                <w:i/>
                <w:iCs/>
              </w:rPr>
              <w:t>dessous.</w:t>
            </w:r>
          </w:p>
        </w:tc>
      </w:tr>
      <w:tr w:rsidR="00183438" w:rsidRPr="00BB75C5" w14:paraId="54D63191" w14:textId="77777777" w:rsidTr="00EA1B9B">
        <w:trPr>
          <w:trHeight w:val="898"/>
        </w:trPr>
        <w:tc>
          <w:tcPr>
            <w:tcW w:w="118" w:type="pct"/>
            <w:shd w:val="clear" w:color="auto" w:fill="FFFFFF" w:themeFill="background1"/>
            <w:tcMar>
              <w:left w:w="57" w:type="dxa"/>
              <w:right w:w="57" w:type="dxa"/>
            </w:tcMar>
            <w:vAlign w:val="center"/>
          </w:tcPr>
          <w:p w14:paraId="1C4767CB" w14:textId="77777777" w:rsidR="00B40F47" w:rsidRPr="00BB75C5" w:rsidRDefault="00B40F47" w:rsidP="00D8598B">
            <w:pPr>
              <w:pStyle w:val="Tabletext"/>
              <w:jc w:val="center"/>
              <w:rPr>
                <w:b/>
                <w:bCs/>
                <w:sz w:val="20"/>
              </w:rPr>
            </w:pPr>
            <w:r w:rsidRPr="00BB75C5">
              <w:rPr>
                <w:b/>
                <w:bCs/>
                <w:sz w:val="20"/>
              </w:rPr>
              <w:lastRenderedPageBreak/>
              <w:t>4</w:t>
            </w:r>
          </w:p>
        </w:tc>
        <w:tc>
          <w:tcPr>
            <w:tcW w:w="570" w:type="pct"/>
            <w:shd w:val="clear" w:color="auto" w:fill="FFFFFF" w:themeFill="background1"/>
            <w:tcMar>
              <w:left w:w="57" w:type="dxa"/>
              <w:right w:w="57" w:type="dxa"/>
            </w:tcMar>
            <w:vAlign w:val="center"/>
          </w:tcPr>
          <w:p w14:paraId="7A658559" w14:textId="77777777" w:rsidR="00B40F47" w:rsidRPr="00BB75C5" w:rsidRDefault="00B40F47" w:rsidP="00D8598B">
            <w:pPr>
              <w:pStyle w:val="Tabletext"/>
              <w:rPr>
                <w:sz w:val="20"/>
              </w:rPr>
            </w:pPr>
            <w:r w:rsidRPr="00BB75C5">
              <w:rPr>
                <w:sz w:val="20"/>
              </w:rPr>
              <w:t>Partenariats</w:t>
            </w:r>
          </w:p>
        </w:tc>
        <w:tc>
          <w:tcPr>
            <w:tcW w:w="1539" w:type="pct"/>
            <w:shd w:val="clear" w:color="auto" w:fill="FFFFFF" w:themeFill="background1"/>
            <w:tcMar>
              <w:left w:w="57" w:type="dxa"/>
              <w:right w:w="57" w:type="dxa"/>
            </w:tcMar>
            <w:vAlign w:val="center"/>
          </w:tcPr>
          <w:p w14:paraId="23B9A6CA" w14:textId="335A19F2" w:rsidR="00B40F47" w:rsidRPr="00BB75C5" w:rsidRDefault="00D8598B" w:rsidP="00D8598B">
            <w:pPr>
              <w:pStyle w:val="enumlev1"/>
              <w:tabs>
                <w:tab w:val="clear" w:pos="567"/>
                <w:tab w:val="left" w:pos="366"/>
              </w:tabs>
              <w:spacing w:before="40" w:after="40"/>
              <w:ind w:left="366" w:hanging="366"/>
              <w:rPr>
                <w:sz w:val="20"/>
              </w:rPr>
            </w:pPr>
            <w:r w:rsidRPr="00BB75C5">
              <w:rPr>
                <w:sz w:val="20"/>
                <w:szCs w:val="16"/>
              </w:rPr>
              <w:t>–</w:t>
            </w:r>
            <w:r w:rsidR="00B40F47" w:rsidRPr="00BB75C5">
              <w:rPr>
                <w:sz w:val="20"/>
                <w:szCs w:val="16"/>
              </w:rPr>
              <w:tab/>
              <w:t>Nombre de partenariats établis avec des administrations (rapport qualitatif sur les initiatives prises et rapport quantitatif, c'est</w:t>
            </w:r>
            <w:r w:rsidR="00B40F47" w:rsidRPr="00BB75C5">
              <w:rPr>
                <w:sz w:val="20"/>
                <w:szCs w:val="16"/>
              </w:rPr>
              <w:noBreakHyphen/>
              <w:t>à</w:t>
            </w:r>
            <w:r w:rsidR="00B40F47" w:rsidRPr="00BB75C5">
              <w:rPr>
                <w:sz w:val="20"/>
                <w:szCs w:val="16"/>
              </w:rPr>
              <w:noBreakHyphen/>
              <w:t>dire nombre de personnes recrutées au titre de fonds d'affectation spéciale, du programme des administrateurs auxiliaires (JPO), de prêts ou de détachements dans le cadre de programmes de partenariats).</w:t>
            </w:r>
          </w:p>
        </w:tc>
        <w:tc>
          <w:tcPr>
            <w:tcW w:w="2773" w:type="pct"/>
            <w:shd w:val="clear" w:color="auto" w:fill="FFFFFF" w:themeFill="background1"/>
            <w:tcMar>
              <w:left w:w="57" w:type="dxa"/>
              <w:right w:w="57" w:type="dxa"/>
            </w:tcMar>
          </w:tcPr>
          <w:p w14:paraId="244045D0" w14:textId="77777777" w:rsidR="00B40F47" w:rsidRPr="00BB75C5" w:rsidRDefault="00B40F47" w:rsidP="007843C9">
            <w:pPr>
              <w:pStyle w:val="Tabletext"/>
              <w:rPr>
                <w:sz w:val="20"/>
              </w:rPr>
            </w:pPr>
            <w:r w:rsidRPr="00BB75C5">
              <w:rPr>
                <w:sz w:val="20"/>
              </w:rPr>
              <w:t>Nombre de partenaires pour les fonds d'affectation spéciale et les programmes de prêts: 8.</w:t>
            </w:r>
          </w:p>
          <w:p w14:paraId="50C2F967" w14:textId="77777777" w:rsidR="00B40F47" w:rsidRPr="00BB75C5" w:rsidRDefault="00B40F47" w:rsidP="007843C9">
            <w:pPr>
              <w:pStyle w:val="Tabletext"/>
              <w:rPr>
                <w:sz w:val="20"/>
              </w:rPr>
            </w:pPr>
            <w:r w:rsidRPr="00BB75C5">
              <w:rPr>
                <w:sz w:val="20"/>
              </w:rPr>
              <w:t>Nombre de partenaires pour le programme JPO: 8.</w:t>
            </w:r>
          </w:p>
          <w:p w14:paraId="62E6D123" w14:textId="77777777" w:rsidR="00B40F47" w:rsidRPr="00BB75C5" w:rsidRDefault="00B40F47" w:rsidP="007843C9">
            <w:pPr>
              <w:pStyle w:val="Tabletext"/>
              <w:rPr>
                <w:sz w:val="20"/>
              </w:rPr>
            </w:pPr>
            <w:r w:rsidRPr="00BB75C5">
              <w:rPr>
                <w:sz w:val="20"/>
              </w:rPr>
              <w:t>Nombre de partenaires pour le programme des stages parrainés: 2.</w:t>
            </w:r>
          </w:p>
          <w:p w14:paraId="4BF21B0F" w14:textId="5C674E92" w:rsidR="00B40F47" w:rsidRPr="00BB75C5" w:rsidRDefault="00B40F47" w:rsidP="007843C9">
            <w:pPr>
              <w:pStyle w:val="Tabletext"/>
              <w:rPr>
                <w:sz w:val="20"/>
              </w:rPr>
            </w:pPr>
            <w:r w:rsidRPr="00BB75C5">
              <w:rPr>
                <w:sz w:val="20"/>
              </w:rPr>
              <w:t>Nombre de recrutements au titre de fonds d'affectation spéciale: 8</w:t>
            </w:r>
            <w:r w:rsidR="00445B53" w:rsidRPr="00BB75C5">
              <w:rPr>
                <w:sz w:val="20"/>
              </w:rPr>
              <w:t> </w:t>
            </w:r>
            <w:r w:rsidRPr="00BB75C5">
              <w:rPr>
                <w:sz w:val="20"/>
              </w:rPr>
              <w:t>(1</w:t>
            </w:r>
            <w:r w:rsidR="00445B53" w:rsidRPr="00BB75C5">
              <w:rPr>
                <w:sz w:val="20"/>
              </w:rPr>
              <w:t> </w:t>
            </w:r>
            <w:r w:rsidRPr="00BB75C5">
              <w:rPr>
                <w:sz w:val="20"/>
              </w:rPr>
              <w:t>autre débutera le</w:t>
            </w:r>
            <w:r w:rsidR="00EA1B9B" w:rsidRPr="00BB75C5">
              <w:rPr>
                <w:sz w:val="20"/>
              </w:rPr>
              <w:t> </w:t>
            </w:r>
            <w:r w:rsidRPr="00BB75C5">
              <w:rPr>
                <w:sz w:val="20"/>
              </w:rPr>
              <w:t>1er</w:t>
            </w:r>
            <w:r w:rsidR="00EA1B9B" w:rsidRPr="00BB75C5">
              <w:rPr>
                <w:sz w:val="20"/>
              </w:rPr>
              <w:t> </w:t>
            </w:r>
            <w:r w:rsidRPr="00BB75C5">
              <w:rPr>
                <w:sz w:val="20"/>
              </w:rPr>
              <w:t>mars 2026).</w:t>
            </w:r>
          </w:p>
          <w:p w14:paraId="2204E525" w14:textId="0994A861" w:rsidR="00B40F47" w:rsidRPr="00BB75C5" w:rsidRDefault="00B40F47" w:rsidP="007843C9">
            <w:pPr>
              <w:pStyle w:val="Tabletext"/>
              <w:rPr>
                <w:sz w:val="20"/>
              </w:rPr>
            </w:pPr>
            <w:r w:rsidRPr="00BB75C5">
              <w:rPr>
                <w:sz w:val="20"/>
              </w:rPr>
              <w:t>Nombre de recrutements au titre du programme JPO: 5, auxquels s'ajoutent 3</w:t>
            </w:r>
            <w:r w:rsidR="008959F5" w:rsidRPr="00BB75C5">
              <w:rPr>
                <w:sz w:val="20"/>
              </w:rPr>
              <w:t> </w:t>
            </w:r>
            <w:r w:rsidRPr="00BB75C5">
              <w:rPr>
                <w:sz w:val="20"/>
              </w:rPr>
              <w:t>autres qui débuteront le 1er mars 2026 et d'autres par la suite.</w:t>
            </w:r>
          </w:p>
          <w:p w14:paraId="30D775FD" w14:textId="209785AB" w:rsidR="00B40F47" w:rsidRPr="00BB75C5" w:rsidRDefault="00B40F47" w:rsidP="007843C9">
            <w:pPr>
              <w:pStyle w:val="Tabletext"/>
              <w:rPr>
                <w:sz w:val="20"/>
              </w:rPr>
            </w:pPr>
            <w:r w:rsidRPr="00BB75C5">
              <w:rPr>
                <w:sz w:val="20"/>
              </w:rPr>
              <w:t>Nombre de recrutements au titre de prêts: 9</w:t>
            </w:r>
            <w:r w:rsidR="00506749" w:rsidRPr="00BB75C5">
              <w:rPr>
                <w:sz w:val="20"/>
              </w:rPr>
              <w:t>.</w:t>
            </w:r>
          </w:p>
        </w:tc>
      </w:tr>
      <w:tr w:rsidR="00183438" w:rsidRPr="00BB75C5" w14:paraId="393508B6" w14:textId="77777777" w:rsidTr="00EA1B9B">
        <w:trPr>
          <w:trHeight w:val="20"/>
        </w:trPr>
        <w:tc>
          <w:tcPr>
            <w:tcW w:w="118" w:type="pct"/>
            <w:shd w:val="clear" w:color="auto" w:fill="FFFFFF" w:themeFill="background1"/>
            <w:tcMar>
              <w:left w:w="57" w:type="dxa"/>
              <w:right w:w="57" w:type="dxa"/>
            </w:tcMar>
            <w:vAlign w:val="center"/>
          </w:tcPr>
          <w:p w14:paraId="38386C88" w14:textId="77777777" w:rsidR="00B40F47" w:rsidRPr="00BB75C5" w:rsidRDefault="00B40F47" w:rsidP="00D8598B">
            <w:pPr>
              <w:pStyle w:val="Tabletext"/>
              <w:jc w:val="center"/>
              <w:rPr>
                <w:b/>
                <w:bCs/>
                <w:sz w:val="20"/>
              </w:rPr>
            </w:pPr>
            <w:r w:rsidRPr="00BB75C5">
              <w:rPr>
                <w:b/>
                <w:bCs/>
                <w:sz w:val="20"/>
              </w:rPr>
              <w:t>5</w:t>
            </w:r>
          </w:p>
        </w:tc>
        <w:tc>
          <w:tcPr>
            <w:tcW w:w="570" w:type="pct"/>
            <w:shd w:val="clear" w:color="auto" w:fill="FFFFFF" w:themeFill="background1"/>
            <w:tcMar>
              <w:left w:w="57" w:type="dxa"/>
              <w:right w:w="57" w:type="dxa"/>
            </w:tcMar>
            <w:vAlign w:val="center"/>
          </w:tcPr>
          <w:p w14:paraId="67A8639D" w14:textId="77777777" w:rsidR="00B40F47" w:rsidRPr="00BB75C5" w:rsidRDefault="00B40F47" w:rsidP="00D8598B">
            <w:pPr>
              <w:pStyle w:val="Tabletext"/>
              <w:rPr>
                <w:sz w:val="20"/>
              </w:rPr>
            </w:pPr>
            <w:r w:rsidRPr="00BB75C5">
              <w:rPr>
                <w:sz w:val="20"/>
              </w:rPr>
              <w:t>Partenariats</w:t>
            </w:r>
          </w:p>
        </w:tc>
        <w:tc>
          <w:tcPr>
            <w:tcW w:w="1539" w:type="pct"/>
            <w:shd w:val="clear" w:color="auto" w:fill="FFFFFF" w:themeFill="background1"/>
            <w:tcMar>
              <w:left w:w="57" w:type="dxa"/>
              <w:right w:w="57" w:type="dxa"/>
            </w:tcMar>
            <w:vAlign w:val="center"/>
            <w:hideMark/>
          </w:tcPr>
          <w:p w14:paraId="42025F71" w14:textId="44C8307C" w:rsidR="00B40F47" w:rsidRPr="00BB75C5" w:rsidRDefault="00D8598B" w:rsidP="00D8598B">
            <w:pPr>
              <w:pStyle w:val="enumlev1"/>
              <w:tabs>
                <w:tab w:val="clear" w:pos="567"/>
                <w:tab w:val="left" w:pos="366"/>
              </w:tabs>
              <w:spacing w:before="40" w:after="40"/>
              <w:ind w:left="366" w:hanging="366"/>
              <w:rPr>
                <w:sz w:val="20"/>
                <w:szCs w:val="16"/>
              </w:rPr>
            </w:pPr>
            <w:r w:rsidRPr="00BB75C5">
              <w:rPr>
                <w:sz w:val="20"/>
                <w:szCs w:val="16"/>
              </w:rPr>
              <w:t>–</w:t>
            </w:r>
            <w:r w:rsidR="00B40F47" w:rsidRPr="00BB75C5">
              <w:rPr>
                <w:sz w:val="20"/>
                <w:szCs w:val="16"/>
              </w:rPr>
              <w:tab/>
              <w:t>Programmes à l'intention des jeunes talents élaborés et mis</w:t>
            </w:r>
            <w:r w:rsidR="008959F5" w:rsidRPr="00BB75C5">
              <w:rPr>
                <w:sz w:val="20"/>
                <w:szCs w:val="16"/>
              </w:rPr>
              <w:t> </w:t>
            </w:r>
            <w:r w:rsidR="00B40F47" w:rsidRPr="00BB75C5">
              <w:rPr>
                <w:sz w:val="20"/>
                <w:szCs w:val="16"/>
              </w:rPr>
              <w:t>en œuvre</w:t>
            </w:r>
            <w:r w:rsidR="00445B53" w:rsidRPr="00BB75C5">
              <w:rPr>
                <w:sz w:val="20"/>
                <w:szCs w:val="16"/>
              </w:rPr>
              <w:t>.</w:t>
            </w:r>
          </w:p>
          <w:p w14:paraId="701450FB" w14:textId="179BA33B" w:rsidR="00B40F47" w:rsidRPr="00BB75C5" w:rsidRDefault="001E2D5A" w:rsidP="00D8598B">
            <w:pPr>
              <w:pStyle w:val="enumlev1"/>
              <w:tabs>
                <w:tab w:val="clear" w:pos="567"/>
                <w:tab w:val="left" w:pos="366"/>
              </w:tabs>
              <w:spacing w:before="40" w:after="40"/>
              <w:ind w:left="366" w:hanging="366"/>
              <w:rPr>
                <w:sz w:val="20"/>
              </w:rPr>
            </w:pPr>
            <w:r w:rsidRPr="00BB75C5">
              <w:rPr>
                <w:sz w:val="20"/>
                <w:szCs w:val="16"/>
              </w:rPr>
              <w:t>–</w:t>
            </w:r>
            <w:r w:rsidR="00B40F47" w:rsidRPr="00BB75C5">
              <w:rPr>
                <w:sz w:val="20"/>
                <w:szCs w:val="16"/>
              </w:rPr>
              <w:tab/>
              <w:t>Nombre de stagiaires</w:t>
            </w:r>
            <w:r w:rsidR="00445B53" w:rsidRPr="00BB75C5">
              <w:rPr>
                <w:sz w:val="20"/>
                <w:szCs w:val="16"/>
              </w:rPr>
              <w:t>.</w:t>
            </w:r>
          </w:p>
        </w:tc>
        <w:tc>
          <w:tcPr>
            <w:tcW w:w="2773" w:type="pct"/>
            <w:shd w:val="clear" w:color="auto" w:fill="FFFFFF" w:themeFill="background1"/>
            <w:tcMar>
              <w:left w:w="57" w:type="dxa"/>
              <w:right w:w="57" w:type="dxa"/>
            </w:tcMar>
          </w:tcPr>
          <w:p w14:paraId="5673B2B4" w14:textId="74EA9344" w:rsidR="00B40F47" w:rsidRPr="00BB75C5" w:rsidRDefault="00B40F47" w:rsidP="007843C9">
            <w:pPr>
              <w:pStyle w:val="Tabletext"/>
              <w:rPr>
                <w:sz w:val="20"/>
              </w:rPr>
            </w:pPr>
            <w:r w:rsidRPr="00BB75C5">
              <w:rPr>
                <w:sz w:val="20"/>
              </w:rPr>
              <w:t>Nombre de recrutements au titre de programmes à l'intention des jeunes</w:t>
            </w:r>
            <w:r w:rsidR="008959F5" w:rsidRPr="00BB75C5">
              <w:rPr>
                <w:sz w:val="20"/>
              </w:rPr>
              <w:t> </w:t>
            </w:r>
            <w:r w:rsidRPr="00BB75C5">
              <w:rPr>
                <w:sz w:val="20"/>
              </w:rPr>
              <w:t>talents: 6 candidats sélectionnés en cours d'intégration</w:t>
            </w:r>
            <w:r w:rsidR="00506749" w:rsidRPr="00BB75C5">
              <w:rPr>
                <w:sz w:val="20"/>
              </w:rPr>
              <w:t>.</w:t>
            </w:r>
          </w:p>
          <w:p w14:paraId="7F13E494" w14:textId="0A008196" w:rsidR="00B40F47" w:rsidRPr="00BB75C5" w:rsidRDefault="00B40F47" w:rsidP="008959F5">
            <w:pPr>
              <w:pStyle w:val="Tabletext"/>
              <w:rPr>
                <w:sz w:val="20"/>
              </w:rPr>
            </w:pPr>
            <w:r w:rsidRPr="00BB75C5">
              <w:rPr>
                <w:sz w:val="20"/>
              </w:rPr>
              <w:t>Nombre de stagiaires:</w:t>
            </w:r>
            <w:r w:rsidR="008959F5" w:rsidRPr="00BB75C5">
              <w:rPr>
                <w:sz w:val="20"/>
              </w:rPr>
              <w:t xml:space="preserve"> </w:t>
            </w:r>
            <w:r w:rsidRPr="00BB75C5">
              <w:rPr>
                <w:sz w:val="20"/>
              </w:rPr>
              <w:t xml:space="preserve">70 (Secrétariat général: 22 </w:t>
            </w:r>
            <w:r w:rsidR="008959F5" w:rsidRPr="00BB75C5">
              <w:rPr>
                <w:sz w:val="20"/>
              </w:rPr>
              <w:t>–</w:t>
            </w:r>
            <w:r w:rsidRPr="00BB75C5">
              <w:rPr>
                <w:sz w:val="20"/>
              </w:rPr>
              <w:t xml:space="preserve"> BR: 7 – BDT: 28 – TSB: 13)</w:t>
            </w:r>
            <w:r w:rsidR="00506749" w:rsidRPr="00BB75C5">
              <w:rPr>
                <w:sz w:val="20"/>
              </w:rPr>
              <w:t>.</w:t>
            </w:r>
          </w:p>
        </w:tc>
      </w:tr>
      <w:tr w:rsidR="00183438" w:rsidRPr="00BB75C5" w14:paraId="0A08246C" w14:textId="77777777" w:rsidTr="00EA1B9B">
        <w:trPr>
          <w:trHeight w:val="20"/>
        </w:trPr>
        <w:tc>
          <w:tcPr>
            <w:tcW w:w="118" w:type="pct"/>
            <w:shd w:val="clear" w:color="auto" w:fill="FFFFFF" w:themeFill="background1"/>
            <w:tcMar>
              <w:left w:w="57" w:type="dxa"/>
              <w:right w:w="57" w:type="dxa"/>
            </w:tcMar>
            <w:vAlign w:val="center"/>
          </w:tcPr>
          <w:p w14:paraId="429C0D34" w14:textId="77777777" w:rsidR="00B40F47" w:rsidRPr="00BB75C5" w:rsidRDefault="00B40F47" w:rsidP="00D8598B">
            <w:pPr>
              <w:pStyle w:val="Tabletext"/>
              <w:jc w:val="center"/>
              <w:rPr>
                <w:b/>
                <w:bCs/>
                <w:sz w:val="20"/>
              </w:rPr>
            </w:pPr>
            <w:bookmarkStart w:id="0" w:name="_Hlk95295505"/>
            <w:r w:rsidRPr="00BB75C5">
              <w:rPr>
                <w:b/>
                <w:bCs/>
                <w:sz w:val="20"/>
              </w:rPr>
              <w:t>6</w:t>
            </w:r>
          </w:p>
        </w:tc>
        <w:tc>
          <w:tcPr>
            <w:tcW w:w="570" w:type="pct"/>
            <w:shd w:val="clear" w:color="auto" w:fill="FFFFFF" w:themeFill="background1"/>
            <w:tcMar>
              <w:left w:w="57" w:type="dxa"/>
              <w:right w:w="57" w:type="dxa"/>
            </w:tcMar>
            <w:vAlign w:val="center"/>
          </w:tcPr>
          <w:p w14:paraId="77B34A9F" w14:textId="77777777" w:rsidR="00B40F47" w:rsidRPr="00BB75C5" w:rsidRDefault="00B40F47" w:rsidP="00D8598B">
            <w:pPr>
              <w:pStyle w:val="Tabletext"/>
              <w:rPr>
                <w:sz w:val="20"/>
              </w:rPr>
            </w:pPr>
            <w:r w:rsidRPr="00BB75C5">
              <w:rPr>
                <w:sz w:val="20"/>
              </w:rPr>
              <w:t>Bourses</w:t>
            </w:r>
          </w:p>
        </w:tc>
        <w:tc>
          <w:tcPr>
            <w:tcW w:w="1539" w:type="pct"/>
            <w:shd w:val="clear" w:color="auto" w:fill="FFFFFF" w:themeFill="background1"/>
            <w:tcMar>
              <w:left w:w="57" w:type="dxa"/>
              <w:right w:w="57" w:type="dxa"/>
            </w:tcMar>
            <w:vAlign w:val="center"/>
          </w:tcPr>
          <w:p w14:paraId="3442A196" w14:textId="3416E1A7" w:rsidR="00B40F47" w:rsidRPr="00BB75C5" w:rsidRDefault="001E2D5A" w:rsidP="00D8598B">
            <w:pPr>
              <w:pStyle w:val="enumlev1"/>
              <w:tabs>
                <w:tab w:val="clear" w:pos="567"/>
                <w:tab w:val="left" w:pos="366"/>
              </w:tabs>
              <w:spacing w:before="40" w:after="40"/>
              <w:ind w:left="366" w:hanging="366"/>
              <w:rPr>
                <w:sz w:val="20"/>
              </w:rPr>
            </w:pPr>
            <w:r w:rsidRPr="00BB75C5">
              <w:rPr>
                <w:sz w:val="20"/>
                <w:szCs w:val="16"/>
              </w:rPr>
              <w:t>–</w:t>
            </w:r>
            <w:r w:rsidR="00B40F47" w:rsidRPr="00BB75C5">
              <w:rPr>
                <w:sz w:val="20"/>
                <w:szCs w:val="16"/>
              </w:rPr>
              <w:tab/>
              <w:t>Nombre de bourses accordées</w:t>
            </w:r>
            <w:r w:rsidR="00445B53" w:rsidRPr="00BB75C5">
              <w:rPr>
                <w:sz w:val="20"/>
                <w:szCs w:val="16"/>
              </w:rPr>
              <w:t>.</w:t>
            </w:r>
          </w:p>
        </w:tc>
        <w:tc>
          <w:tcPr>
            <w:tcW w:w="2773" w:type="pct"/>
            <w:shd w:val="clear" w:color="auto" w:fill="FFFFFF" w:themeFill="background1"/>
            <w:tcMar>
              <w:left w:w="57" w:type="dxa"/>
              <w:right w:w="57" w:type="dxa"/>
            </w:tcMar>
          </w:tcPr>
          <w:p w14:paraId="7B3DB9A7" w14:textId="27D3C312" w:rsidR="00B40F47" w:rsidRPr="00BB75C5" w:rsidRDefault="00B40F47" w:rsidP="007843C9">
            <w:pPr>
              <w:pStyle w:val="Tabletext"/>
              <w:rPr>
                <w:sz w:val="20"/>
              </w:rPr>
            </w:pPr>
            <w:r w:rsidRPr="00BB75C5">
              <w:rPr>
                <w:sz w:val="20"/>
              </w:rPr>
              <w:t>Conformément à la Résolution 213 (Dubaï, 2018) de la PP, un total de 1 056</w:t>
            </w:r>
            <w:r w:rsidR="008959F5" w:rsidRPr="00BB75C5">
              <w:rPr>
                <w:sz w:val="20"/>
              </w:rPr>
              <w:t> </w:t>
            </w:r>
            <w:r w:rsidRPr="00BB75C5">
              <w:rPr>
                <w:sz w:val="20"/>
              </w:rPr>
              <w:t>bourses ont été accordées en 2025. Parmi celles-ci, 447 ont été financées au titre du budget ordinaire de l'UIT et octroyées par les 3</w:t>
            </w:r>
            <w:r w:rsidR="00445B53" w:rsidRPr="00BB75C5">
              <w:rPr>
                <w:sz w:val="20"/>
              </w:rPr>
              <w:t> </w:t>
            </w:r>
            <w:r w:rsidRPr="00BB75C5">
              <w:rPr>
                <w:sz w:val="20"/>
              </w:rPr>
              <w:t>Bureaux, tandis que les 609 restantes ont été accordées dans le cadre de projets et de contributions volontaires.</w:t>
            </w:r>
          </w:p>
        </w:tc>
      </w:tr>
      <w:bookmarkEnd w:id="0"/>
      <w:tr w:rsidR="00183438" w:rsidRPr="00BB75C5" w14:paraId="1E23FA05" w14:textId="77777777" w:rsidTr="00EA1B9B">
        <w:trPr>
          <w:trHeight w:val="1140"/>
        </w:trPr>
        <w:tc>
          <w:tcPr>
            <w:tcW w:w="118" w:type="pct"/>
            <w:shd w:val="clear" w:color="auto" w:fill="FFFFFF" w:themeFill="background1"/>
            <w:tcMar>
              <w:left w:w="57" w:type="dxa"/>
              <w:right w:w="57" w:type="dxa"/>
            </w:tcMar>
            <w:vAlign w:val="center"/>
          </w:tcPr>
          <w:p w14:paraId="7569F44F" w14:textId="77777777" w:rsidR="00B40F47" w:rsidRPr="00BB75C5" w:rsidRDefault="00B40F47" w:rsidP="00D8598B">
            <w:pPr>
              <w:pStyle w:val="Tabletext"/>
              <w:jc w:val="center"/>
              <w:rPr>
                <w:b/>
                <w:bCs/>
                <w:sz w:val="20"/>
              </w:rPr>
            </w:pPr>
            <w:r w:rsidRPr="00BB75C5">
              <w:rPr>
                <w:b/>
                <w:bCs/>
                <w:sz w:val="20"/>
              </w:rPr>
              <w:t>7</w:t>
            </w:r>
          </w:p>
        </w:tc>
        <w:tc>
          <w:tcPr>
            <w:tcW w:w="570" w:type="pct"/>
            <w:shd w:val="clear" w:color="auto" w:fill="FFFFFF" w:themeFill="background1"/>
            <w:tcMar>
              <w:left w:w="57" w:type="dxa"/>
              <w:right w:w="57" w:type="dxa"/>
            </w:tcMar>
            <w:vAlign w:val="center"/>
          </w:tcPr>
          <w:p w14:paraId="7CCE79ED" w14:textId="77777777" w:rsidR="00B40F47" w:rsidRPr="00BB75C5" w:rsidRDefault="00B40F47" w:rsidP="00D8598B">
            <w:pPr>
              <w:pStyle w:val="Tabletext"/>
              <w:rPr>
                <w:sz w:val="20"/>
              </w:rPr>
            </w:pPr>
            <w:r w:rsidRPr="00BB75C5">
              <w:rPr>
                <w:sz w:val="20"/>
              </w:rPr>
              <w:t>Gestion de la performance</w:t>
            </w:r>
          </w:p>
        </w:tc>
        <w:tc>
          <w:tcPr>
            <w:tcW w:w="1539" w:type="pct"/>
            <w:shd w:val="clear" w:color="auto" w:fill="FFFFFF" w:themeFill="background1"/>
            <w:tcMar>
              <w:left w:w="57" w:type="dxa"/>
              <w:right w:w="57" w:type="dxa"/>
            </w:tcMar>
            <w:vAlign w:val="center"/>
            <w:hideMark/>
          </w:tcPr>
          <w:p w14:paraId="1828636C" w14:textId="3C5C6242" w:rsidR="00B40F47" w:rsidRPr="00BB75C5" w:rsidRDefault="001E2D5A" w:rsidP="00D8598B">
            <w:pPr>
              <w:pStyle w:val="enumlev1"/>
              <w:tabs>
                <w:tab w:val="clear" w:pos="567"/>
                <w:tab w:val="left" w:pos="366"/>
              </w:tabs>
              <w:spacing w:before="40" w:after="40"/>
              <w:ind w:left="366" w:hanging="366"/>
              <w:rPr>
                <w:sz w:val="20"/>
                <w:szCs w:val="16"/>
              </w:rPr>
            </w:pPr>
            <w:r w:rsidRPr="00BB75C5">
              <w:rPr>
                <w:sz w:val="20"/>
                <w:szCs w:val="16"/>
              </w:rPr>
              <w:t>–</w:t>
            </w:r>
            <w:r w:rsidR="00B40F47" w:rsidRPr="00BB75C5">
              <w:rPr>
                <w:sz w:val="20"/>
                <w:szCs w:val="16"/>
              </w:rPr>
              <w:tab/>
              <w:t>Taux de participation</w:t>
            </w:r>
            <w:r w:rsidR="00445B53" w:rsidRPr="00BB75C5">
              <w:rPr>
                <w:sz w:val="20"/>
                <w:szCs w:val="16"/>
              </w:rPr>
              <w:t>.</w:t>
            </w:r>
          </w:p>
          <w:p w14:paraId="607AF67B" w14:textId="086E4977" w:rsidR="00B40F47" w:rsidRPr="00BB75C5" w:rsidRDefault="001E2D5A" w:rsidP="00D8598B">
            <w:pPr>
              <w:pStyle w:val="enumlev1"/>
              <w:tabs>
                <w:tab w:val="clear" w:pos="567"/>
                <w:tab w:val="left" w:pos="366"/>
              </w:tabs>
              <w:spacing w:before="40" w:after="40"/>
              <w:ind w:left="366" w:hanging="366"/>
              <w:rPr>
                <w:sz w:val="20"/>
                <w:szCs w:val="16"/>
              </w:rPr>
            </w:pPr>
            <w:r w:rsidRPr="00BB75C5">
              <w:rPr>
                <w:sz w:val="20"/>
                <w:szCs w:val="16"/>
              </w:rPr>
              <w:t>–</w:t>
            </w:r>
            <w:r w:rsidR="00B40F47" w:rsidRPr="00BB75C5">
              <w:rPr>
                <w:sz w:val="20"/>
                <w:szCs w:val="16"/>
              </w:rPr>
              <w:tab/>
              <w:t>Nombre de fonctionnaires donnant satisfaction/ne donnant pas satisfaction</w:t>
            </w:r>
            <w:r w:rsidR="00445B53" w:rsidRPr="00BB75C5">
              <w:rPr>
                <w:sz w:val="20"/>
                <w:szCs w:val="16"/>
              </w:rPr>
              <w:t>.</w:t>
            </w:r>
          </w:p>
        </w:tc>
        <w:tc>
          <w:tcPr>
            <w:tcW w:w="2773" w:type="pct"/>
            <w:shd w:val="clear" w:color="auto" w:fill="FFFFFF" w:themeFill="background1"/>
            <w:tcMar>
              <w:left w:w="57" w:type="dxa"/>
              <w:right w:w="57" w:type="dxa"/>
            </w:tcMar>
          </w:tcPr>
          <w:p w14:paraId="684EBB20" w14:textId="66FD127A" w:rsidR="00B40F47" w:rsidRPr="00BB75C5" w:rsidRDefault="00B40F47" w:rsidP="007843C9">
            <w:pPr>
              <w:pStyle w:val="Tabletext"/>
              <w:rPr>
                <w:rFonts w:eastAsia="Malgun Gothic"/>
                <w:sz w:val="20"/>
              </w:rPr>
            </w:pPr>
            <w:r w:rsidRPr="00BB75C5">
              <w:rPr>
                <w:sz w:val="20"/>
              </w:rPr>
              <w:t xml:space="preserve">Quelque 90,1% des fonctionnaires ont mené à bien l'étape de définition du </w:t>
            </w:r>
            <w:r w:rsidR="008959F5" w:rsidRPr="00BB75C5">
              <w:rPr>
                <w:sz w:val="20"/>
              </w:rPr>
              <w:t>P</w:t>
            </w:r>
            <w:r w:rsidRPr="00BB75C5">
              <w:rPr>
                <w:sz w:val="20"/>
              </w:rPr>
              <w:t>lan</w:t>
            </w:r>
            <w:r w:rsidR="001A0C5B" w:rsidRPr="00BB75C5">
              <w:rPr>
                <w:sz w:val="20"/>
              </w:rPr>
              <w:t> </w:t>
            </w:r>
            <w:r w:rsidRPr="00BB75C5">
              <w:rPr>
                <w:sz w:val="20"/>
              </w:rPr>
              <w:t>de travail dans le système ePMDS et 78,6% ont achevé l'étape</w:t>
            </w:r>
            <w:r w:rsidR="008959F5" w:rsidRPr="00BB75C5">
              <w:rPr>
                <w:sz w:val="20"/>
              </w:rPr>
              <w:t> </w:t>
            </w:r>
            <w:r w:rsidRPr="00BB75C5">
              <w:rPr>
                <w:sz w:val="20"/>
              </w:rPr>
              <w:t>d'évaluation de fin d'année en cours (à l'exception des fonctionnaires en congé maladie de longue durée).</w:t>
            </w:r>
          </w:p>
          <w:p w14:paraId="2F6DB0CA" w14:textId="77777777" w:rsidR="00B40F47" w:rsidRPr="00BB75C5" w:rsidRDefault="00B40F47" w:rsidP="007843C9">
            <w:pPr>
              <w:pStyle w:val="Tabletext"/>
              <w:rPr>
                <w:sz w:val="20"/>
              </w:rPr>
            </w:pPr>
            <w:r w:rsidRPr="00BB75C5">
              <w:rPr>
                <w:sz w:val="20"/>
              </w:rPr>
              <w:t>Six séances de formation sur la gestion de la performance ont été organisées pour les gestionnaires et le personnel à l'échelle de l'Union.</w:t>
            </w:r>
          </w:p>
        </w:tc>
      </w:tr>
      <w:tr w:rsidR="00183438" w:rsidRPr="00BB75C5" w14:paraId="089DF241" w14:textId="77777777" w:rsidTr="00EA1B9B">
        <w:trPr>
          <w:trHeight w:val="549"/>
        </w:trPr>
        <w:tc>
          <w:tcPr>
            <w:tcW w:w="118" w:type="pct"/>
            <w:shd w:val="clear" w:color="auto" w:fill="FFFFFF" w:themeFill="background1"/>
            <w:tcMar>
              <w:left w:w="57" w:type="dxa"/>
              <w:right w:w="57" w:type="dxa"/>
            </w:tcMar>
            <w:vAlign w:val="center"/>
          </w:tcPr>
          <w:p w14:paraId="653B53FA" w14:textId="77777777" w:rsidR="00B40F47" w:rsidRPr="00BB75C5" w:rsidRDefault="00B40F47" w:rsidP="00D8598B">
            <w:pPr>
              <w:pStyle w:val="Tabletext"/>
              <w:jc w:val="center"/>
              <w:rPr>
                <w:b/>
                <w:bCs/>
                <w:sz w:val="20"/>
              </w:rPr>
            </w:pPr>
            <w:r w:rsidRPr="00BB75C5">
              <w:rPr>
                <w:b/>
                <w:bCs/>
                <w:sz w:val="20"/>
              </w:rPr>
              <w:t>8</w:t>
            </w:r>
          </w:p>
        </w:tc>
        <w:tc>
          <w:tcPr>
            <w:tcW w:w="570" w:type="pct"/>
            <w:shd w:val="clear" w:color="auto" w:fill="FFFFFF" w:themeFill="background1"/>
            <w:tcMar>
              <w:left w:w="57" w:type="dxa"/>
              <w:right w:w="57" w:type="dxa"/>
            </w:tcMar>
            <w:vAlign w:val="center"/>
          </w:tcPr>
          <w:p w14:paraId="30118692" w14:textId="77777777" w:rsidR="00B40F47" w:rsidRPr="00BB75C5" w:rsidRDefault="00B40F47" w:rsidP="00D8598B">
            <w:pPr>
              <w:pStyle w:val="Tabletext"/>
              <w:rPr>
                <w:sz w:val="20"/>
              </w:rPr>
            </w:pPr>
            <w:r w:rsidRPr="00BB75C5">
              <w:rPr>
                <w:sz w:val="20"/>
              </w:rPr>
              <w:t>Gestion de la performance</w:t>
            </w:r>
          </w:p>
        </w:tc>
        <w:tc>
          <w:tcPr>
            <w:tcW w:w="1539" w:type="pct"/>
            <w:shd w:val="clear" w:color="auto" w:fill="FFFFFF" w:themeFill="background1"/>
            <w:tcMar>
              <w:left w:w="57" w:type="dxa"/>
              <w:right w:w="57" w:type="dxa"/>
            </w:tcMar>
            <w:vAlign w:val="center"/>
          </w:tcPr>
          <w:p w14:paraId="2B646655" w14:textId="56F4C96D" w:rsidR="00B40F47" w:rsidRPr="00BB75C5" w:rsidRDefault="001E2D5A" w:rsidP="00D8598B">
            <w:pPr>
              <w:pStyle w:val="enumlev1"/>
              <w:tabs>
                <w:tab w:val="clear" w:pos="567"/>
                <w:tab w:val="left" w:pos="366"/>
              </w:tabs>
              <w:spacing w:before="40" w:after="40"/>
              <w:ind w:left="366" w:hanging="366"/>
              <w:rPr>
                <w:sz w:val="20"/>
              </w:rPr>
            </w:pPr>
            <w:r w:rsidRPr="00BB75C5">
              <w:rPr>
                <w:sz w:val="20"/>
                <w:szCs w:val="16"/>
              </w:rPr>
              <w:t>–</w:t>
            </w:r>
            <w:r w:rsidR="00B40F47" w:rsidRPr="00BB75C5">
              <w:rPr>
                <w:sz w:val="20"/>
                <w:szCs w:val="16"/>
              </w:rPr>
              <w:tab/>
              <w:t>Amélioration de l'efficacité du système ePMDS</w:t>
            </w:r>
            <w:r w:rsidR="00445B53" w:rsidRPr="00BB75C5">
              <w:rPr>
                <w:sz w:val="20"/>
                <w:szCs w:val="16"/>
              </w:rPr>
              <w:t>.</w:t>
            </w:r>
          </w:p>
        </w:tc>
        <w:tc>
          <w:tcPr>
            <w:tcW w:w="2773" w:type="pct"/>
            <w:shd w:val="clear" w:color="auto" w:fill="FFFFFF" w:themeFill="background1"/>
            <w:tcMar>
              <w:left w:w="57" w:type="dxa"/>
              <w:right w:w="57" w:type="dxa"/>
            </w:tcMar>
          </w:tcPr>
          <w:p w14:paraId="45B695CF" w14:textId="6C19E655" w:rsidR="00B40F47" w:rsidRPr="00BB75C5" w:rsidRDefault="00B40F47" w:rsidP="007843C9">
            <w:pPr>
              <w:pStyle w:val="Tabletext"/>
              <w:rPr>
                <w:sz w:val="20"/>
              </w:rPr>
            </w:pPr>
            <w:r w:rsidRPr="00BB75C5">
              <w:rPr>
                <w:sz w:val="20"/>
              </w:rPr>
              <w:t>Le temps consacré par les superviseurs aux évaluations de la performance a</w:t>
            </w:r>
            <w:r w:rsidR="008959F5" w:rsidRPr="00BB75C5">
              <w:rPr>
                <w:sz w:val="20"/>
              </w:rPr>
              <w:t> </w:t>
            </w:r>
            <w:r w:rsidRPr="00BB75C5">
              <w:rPr>
                <w:sz w:val="20"/>
              </w:rPr>
              <w:t>été réduit d'au moins 50% grâce à l'outil simplifié.</w:t>
            </w:r>
          </w:p>
        </w:tc>
      </w:tr>
      <w:tr w:rsidR="00183438" w:rsidRPr="00BB75C5" w14:paraId="66F53F7A" w14:textId="77777777" w:rsidTr="00EA1B9B">
        <w:trPr>
          <w:trHeight w:val="448"/>
        </w:trPr>
        <w:tc>
          <w:tcPr>
            <w:tcW w:w="118" w:type="pct"/>
            <w:shd w:val="clear" w:color="auto" w:fill="FFFFFF" w:themeFill="background1"/>
            <w:tcMar>
              <w:left w:w="57" w:type="dxa"/>
              <w:right w:w="57" w:type="dxa"/>
            </w:tcMar>
            <w:vAlign w:val="center"/>
          </w:tcPr>
          <w:p w14:paraId="2E63691A" w14:textId="77777777" w:rsidR="00B40F47" w:rsidRPr="00BB75C5" w:rsidRDefault="00B40F47" w:rsidP="00D8598B">
            <w:pPr>
              <w:pStyle w:val="Tabletext"/>
              <w:jc w:val="center"/>
              <w:rPr>
                <w:b/>
                <w:bCs/>
                <w:sz w:val="20"/>
              </w:rPr>
            </w:pPr>
            <w:r w:rsidRPr="00BB75C5">
              <w:rPr>
                <w:b/>
                <w:bCs/>
                <w:sz w:val="20"/>
              </w:rPr>
              <w:t>9</w:t>
            </w:r>
          </w:p>
        </w:tc>
        <w:tc>
          <w:tcPr>
            <w:tcW w:w="570" w:type="pct"/>
            <w:shd w:val="clear" w:color="auto" w:fill="FFFFFF" w:themeFill="background1"/>
            <w:tcMar>
              <w:left w:w="57" w:type="dxa"/>
              <w:right w:w="57" w:type="dxa"/>
            </w:tcMar>
            <w:vAlign w:val="center"/>
          </w:tcPr>
          <w:p w14:paraId="36C3DAD8" w14:textId="77777777" w:rsidR="00B40F47" w:rsidRPr="00BB75C5" w:rsidRDefault="00B40F47" w:rsidP="00D8598B">
            <w:pPr>
              <w:pStyle w:val="Tabletext"/>
              <w:rPr>
                <w:sz w:val="20"/>
              </w:rPr>
            </w:pPr>
            <w:r w:rsidRPr="00BB75C5">
              <w:rPr>
                <w:sz w:val="20"/>
              </w:rPr>
              <w:t>Gestion de la performance</w:t>
            </w:r>
          </w:p>
        </w:tc>
        <w:tc>
          <w:tcPr>
            <w:tcW w:w="1539" w:type="pct"/>
            <w:shd w:val="clear" w:color="auto" w:fill="FFFFFF" w:themeFill="background1"/>
            <w:tcMar>
              <w:left w:w="57" w:type="dxa"/>
              <w:right w:w="57" w:type="dxa"/>
            </w:tcMar>
            <w:vAlign w:val="center"/>
          </w:tcPr>
          <w:p w14:paraId="12AF667D" w14:textId="7EFCE9A5" w:rsidR="00B40F47" w:rsidRPr="00BB75C5" w:rsidRDefault="001E2D5A" w:rsidP="00D8598B">
            <w:pPr>
              <w:pStyle w:val="enumlev1"/>
              <w:tabs>
                <w:tab w:val="clear" w:pos="567"/>
                <w:tab w:val="left" w:pos="366"/>
              </w:tabs>
              <w:spacing w:before="40" w:after="40"/>
              <w:ind w:left="366" w:hanging="366"/>
              <w:rPr>
                <w:sz w:val="20"/>
              </w:rPr>
            </w:pPr>
            <w:r w:rsidRPr="00BB75C5">
              <w:rPr>
                <w:sz w:val="20"/>
                <w:szCs w:val="16"/>
              </w:rPr>
              <w:t>–</w:t>
            </w:r>
            <w:r w:rsidR="00B40F47" w:rsidRPr="00BB75C5">
              <w:rPr>
                <w:sz w:val="20"/>
                <w:szCs w:val="16"/>
              </w:rPr>
              <w:tab/>
              <w:t>Diminution des demandes de renseignements relatives au système ePMDS (en %)</w:t>
            </w:r>
            <w:r w:rsidR="00445B53" w:rsidRPr="00BB75C5">
              <w:rPr>
                <w:sz w:val="20"/>
                <w:szCs w:val="16"/>
              </w:rPr>
              <w:t>.</w:t>
            </w:r>
          </w:p>
        </w:tc>
        <w:tc>
          <w:tcPr>
            <w:tcW w:w="2773" w:type="pct"/>
            <w:shd w:val="clear" w:color="auto" w:fill="FFFFFF" w:themeFill="background1"/>
            <w:tcMar>
              <w:left w:w="57" w:type="dxa"/>
              <w:right w:w="57" w:type="dxa"/>
            </w:tcMar>
          </w:tcPr>
          <w:p w14:paraId="6DFB90F7" w14:textId="418D3501" w:rsidR="00B40F47" w:rsidRPr="00BB75C5" w:rsidRDefault="00B40F47" w:rsidP="007843C9">
            <w:pPr>
              <w:pStyle w:val="Tabletext"/>
              <w:rPr>
                <w:sz w:val="20"/>
              </w:rPr>
            </w:pPr>
            <w:r w:rsidRPr="00BB75C5">
              <w:rPr>
                <w:sz w:val="20"/>
              </w:rPr>
              <w:t>Les demandes concernant les évaluations de fin d'année visant à obtenir des renseignements sur le système ont diminué de 26% par rapport à</w:t>
            </w:r>
            <w:r w:rsidR="008959F5" w:rsidRPr="00BB75C5">
              <w:rPr>
                <w:sz w:val="20"/>
              </w:rPr>
              <w:t> </w:t>
            </w:r>
            <w:r w:rsidRPr="00BB75C5">
              <w:rPr>
                <w:sz w:val="20"/>
              </w:rPr>
              <w:t>l'année</w:t>
            </w:r>
            <w:r w:rsidR="008959F5" w:rsidRPr="00BB75C5">
              <w:rPr>
                <w:sz w:val="20"/>
              </w:rPr>
              <w:t> </w:t>
            </w:r>
            <w:r w:rsidRPr="00BB75C5">
              <w:rPr>
                <w:sz w:val="20"/>
              </w:rPr>
              <w:t>précédente.</w:t>
            </w:r>
          </w:p>
        </w:tc>
      </w:tr>
      <w:tr w:rsidR="00183438" w:rsidRPr="00BB75C5" w14:paraId="6BC7626A" w14:textId="77777777" w:rsidTr="00EA1B9B">
        <w:trPr>
          <w:trHeight w:val="400"/>
        </w:trPr>
        <w:tc>
          <w:tcPr>
            <w:tcW w:w="118" w:type="pct"/>
            <w:shd w:val="clear" w:color="auto" w:fill="FFFFFF" w:themeFill="background1"/>
            <w:tcMar>
              <w:left w:w="57" w:type="dxa"/>
              <w:right w:w="57" w:type="dxa"/>
            </w:tcMar>
            <w:vAlign w:val="center"/>
          </w:tcPr>
          <w:p w14:paraId="69910CF3" w14:textId="77777777" w:rsidR="00B40F47" w:rsidRPr="00BB75C5" w:rsidRDefault="00B40F47" w:rsidP="00D8598B">
            <w:pPr>
              <w:pStyle w:val="Tabletext"/>
              <w:jc w:val="center"/>
              <w:rPr>
                <w:b/>
                <w:bCs/>
                <w:sz w:val="20"/>
              </w:rPr>
            </w:pPr>
            <w:r w:rsidRPr="00BB75C5">
              <w:rPr>
                <w:b/>
                <w:bCs/>
                <w:sz w:val="20"/>
              </w:rPr>
              <w:t>10</w:t>
            </w:r>
          </w:p>
        </w:tc>
        <w:tc>
          <w:tcPr>
            <w:tcW w:w="570" w:type="pct"/>
            <w:shd w:val="clear" w:color="auto" w:fill="FFFFFF" w:themeFill="background1"/>
            <w:tcMar>
              <w:left w:w="57" w:type="dxa"/>
              <w:right w:w="57" w:type="dxa"/>
            </w:tcMar>
            <w:vAlign w:val="center"/>
          </w:tcPr>
          <w:p w14:paraId="7CAABA1D" w14:textId="77777777" w:rsidR="00B40F47" w:rsidRPr="00BB75C5" w:rsidRDefault="00B40F47" w:rsidP="00D8598B">
            <w:pPr>
              <w:pStyle w:val="Tabletext"/>
              <w:rPr>
                <w:sz w:val="20"/>
              </w:rPr>
            </w:pPr>
            <w:r w:rsidRPr="00BB75C5">
              <w:rPr>
                <w:sz w:val="20"/>
              </w:rPr>
              <w:t>Formation et perfectionnement</w:t>
            </w:r>
          </w:p>
        </w:tc>
        <w:tc>
          <w:tcPr>
            <w:tcW w:w="1539" w:type="pct"/>
            <w:shd w:val="clear" w:color="auto" w:fill="FFFFFF" w:themeFill="background1"/>
            <w:tcMar>
              <w:left w:w="57" w:type="dxa"/>
              <w:right w:w="57" w:type="dxa"/>
            </w:tcMar>
            <w:vAlign w:val="center"/>
          </w:tcPr>
          <w:p w14:paraId="3CB2E3B2" w14:textId="23BB26A9" w:rsidR="00B40F47" w:rsidRPr="00BB75C5" w:rsidRDefault="001E2D5A" w:rsidP="00D8598B">
            <w:pPr>
              <w:pStyle w:val="enumlev1"/>
              <w:tabs>
                <w:tab w:val="clear" w:pos="567"/>
                <w:tab w:val="left" w:pos="366"/>
              </w:tabs>
              <w:spacing w:before="40" w:after="40"/>
              <w:ind w:left="366" w:hanging="366"/>
              <w:rPr>
                <w:sz w:val="20"/>
              </w:rPr>
            </w:pPr>
            <w:r w:rsidRPr="00BB75C5">
              <w:rPr>
                <w:sz w:val="20"/>
                <w:szCs w:val="16"/>
              </w:rPr>
              <w:t>–</w:t>
            </w:r>
            <w:r w:rsidR="00B40F47" w:rsidRPr="00BB75C5">
              <w:rPr>
                <w:sz w:val="20"/>
                <w:szCs w:val="16"/>
              </w:rPr>
              <w:tab/>
              <w:t>Investissement dans la formation en pourcentage des charges de personnel (objectif</w:t>
            </w:r>
            <w:r w:rsidR="00EA1B9B" w:rsidRPr="00BB75C5">
              <w:rPr>
                <w:sz w:val="20"/>
                <w:szCs w:val="16"/>
              </w:rPr>
              <w:t> </w:t>
            </w:r>
            <w:r w:rsidR="00B40F47" w:rsidRPr="00BB75C5">
              <w:rPr>
                <w:sz w:val="20"/>
                <w:szCs w:val="16"/>
              </w:rPr>
              <w:t>= 3%)</w:t>
            </w:r>
            <w:r w:rsidR="00445B53" w:rsidRPr="00BB75C5">
              <w:rPr>
                <w:sz w:val="20"/>
                <w:szCs w:val="16"/>
              </w:rPr>
              <w:t>.</w:t>
            </w:r>
          </w:p>
        </w:tc>
        <w:tc>
          <w:tcPr>
            <w:tcW w:w="2773" w:type="pct"/>
            <w:shd w:val="clear" w:color="auto" w:fill="FFFFFF" w:themeFill="background1"/>
            <w:tcMar>
              <w:left w:w="57" w:type="dxa"/>
              <w:right w:w="57" w:type="dxa"/>
            </w:tcMar>
          </w:tcPr>
          <w:p w14:paraId="35D5F291" w14:textId="23A71B47" w:rsidR="00B40F47" w:rsidRPr="00BB75C5" w:rsidRDefault="00B40F47" w:rsidP="007843C9">
            <w:pPr>
              <w:pStyle w:val="Tabletext"/>
              <w:rPr>
                <w:rFonts w:eastAsia="Malgun Gothic"/>
                <w:sz w:val="20"/>
              </w:rPr>
            </w:pPr>
            <w:r w:rsidRPr="00BB75C5">
              <w:rPr>
                <w:rFonts w:eastAsia="Malgun Gothic"/>
                <w:sz w:val="20"/>
              </w:rPr>
              <w:t>Investissement dans la formation en pourcentage des charges d</w:t>
            </w:r>
            <w:r w:rsidR="008959F5" w:rsidRPr="00BB75C5">
              <w:rPr>
                <w:rFonts w:eastAsia="Malgun Gothic"/>
                <w:sz w:val="20"/>
              </w:rPr>
              <w:t>e </w:t>
            </w:r>
            <w:r w:rsidRPr="00BB75C5">
              <w:rPr>
                <w:rFonts w:eastAsia="Malgun Gothic"/>
                <w:sz w:val="20"/>
              </w:rPr>
              <w:t>personnel:</w:t>
            </w:r>
            <w:r w:rsidR="008959F5" w:rsidRPr="00BB75C5">
              <w:rPr>
                <w:rFonts w:eastAsia="Malgun Gothic"/>
                <w:sz w:val="20"/>
              </w:rPr>
              <w:t> </w:t>
            </w:r>
            <w:r w:rsidRPr="00BB75C5">
              <w:rPr>
                <w:rFonts w:eastAsia="Malgun Gothic"/>
                <w:sz w:val="20"/>
              </w:rPr>
              <w:t>0,3%. On notera qu'en matière de formation, l'UIT a recours à</w:t>
            </w:r>
            <w:r w:rsidR="008959F5" w:rsidRPr="00BB75C5">
              <w:rPr>
                <w:rFonts w:eastAsia="Malgun Gothic"/>
                <w:sz w:val="20"/>
              </w:rPr>
              <w:t> </w:t>
            </w:r>
            <w:r w:rsidRPr="00BB75C5">
              <w:rPr>
                <w:rFonts w:eastAsia="Malgun Gothic"/>
                <w:sz w:val="20"/>
              </w:rPr>
              <w:t>des activités dispensées par son personnel et à des ressources à titre gracieux. L'UIT fait appel à des ressources d'apprentissage à son propre rythme, disponibles au titre de ses accords de licence avec des plates</w:t>
            </w:r>
            <w:r w:rsidRPr="00BB75C5">
              <w:rPr>
                <w:rFonts w:eastAsia="Malgun Gothic"/>
                <w:sz w:val="20"/>
              </w:rPr>
              <w:noBreakHyphen/>
              <w:t xml:space="preserve">formes telles que </w:t>
            </w:r>
            <w:r w:rsidRPr="00BB75C5">
              <w:rPr>
                <w:rFonts w:eastAsia="Malgun Gothic"/>
                <w:sz w:val="20"/>
              </w:rPr>
              <w:lastRenderedPageBreak/>
              <w:t>LinkedIn</w:t>
            </w:r>
            <w:r w:rsidR="008959F5" w:rsidRPr="00BB75C5">
              <w:rPr>
                <w:rFonts w:eastAsia="Malgun Gothic"/>
                <w:sz w:val="20"/>
              </w:rPr>
              <w:t> </w:t>
            </w:r>
            <w:r w:rsidRPr="00BB75C5">
              <w:rPr>
                <w:rFonts w:eastAsia="Malgun Gothic"/>
                <w:sz w:val="20"/>
              </w:rPr>
              <w:t>Learning, qui offrent un accès évolutif et rentable à un contenu de qualité. Elle s'appuie également sur des compétences internes et sur la collaboration au sein du système Nations Unies afin de promouvoir l'échange de connaissances et les gains d'efficacité à l'échelle du système des Nations</w:t>
            </w:r>
            <w:r w:rsidR="008959F5" w:rsidRPr="00BB75C5">
              <w:rPr>
                <w:rFonts w:eastAsia="Malgun Gothic"/>
                <w:sz w:val="20"/>
              </w:rPr>
              <w:t> </w:t>
            </w:r>
            <w:r w:rsidRPr="00BB75C5">
              <w:rPr>
                <w:rFonts w:eastAsia="Malgun Gothic"/>
                <w:sz w:val="20"/>
              </w:rPr>
              <w:t>Unies.</w:t>
            </w:r>
          </w:p>
        </w:tc>
      </w:tr>
      <w:tr w:rsidR="00183438" w:rsidRPr="00BB75C5" w14:paraId="0655DD36" w14:textId="77777777" w:rsidTr="00EA1B9B">
        <w:trPr>
          <w:trHeight w:val="400"/>
        </w:trPr>
        <w:tc>
          <w:tcPr>
            <w:tcW w:w="118" w:type="pct"/>
            <w:shd w:val="clear" w:color="auto" w:fill="FFFFFF" w:themeFill="background1"/>
            <w:tcMar>
              <w:left w:w="57" w:type="dxa"/>
              <w:right w:w="57" w:type="dxa"/>
            </w:tcMar>
            <w:vAlign w:val="center"/>
          </w:tcPr>
          <w:p w14:paraId="5B17701F" w14:textId="77777777" w:rsidR="00B40F47" w:rsidRPr="00BB75C5" w:rsidRDefault="00B40F47" w:rsidP="00D8598B">
            <w:pPr>
              <w:pStyle w:val="Tabletext"/>
              <w:jc w:val="center"/>
              <w:rPr>
                <w:b/>
                <w:bCs/>
                <w:sz w:val="20"/>
              </w:rPr>
            </w:pPr>
            <w:r w:rsidRPr="00BB75C5">
              <w:rPr>
                <w:b/>
                <w:bCs/>
                <w:sz w:val="20"/>
              </w:rPr>
              <w:lastRenderedPageBreak/>
              <w:t>11</w:t>
            </w:r>
          </w:p>
        </w:tc>
        <w:tc>
          <w:tcPr>
            <w:tcW w:w="570" w:type="pct"/>
            <w:shd w:val="clear" w:color="auto" w:fill="FFFFFF" w:themeFill="background1"/>
            <w:tcMar>
              <w:left w:w="57" w:type="dxa"/>
              <w:right w:w="57" w:type="dxa"/>
            </w:tcMar>
            <w:vAlign w:val="center"/>
          </w:tcPr>
          <w:p w14:paraId="2D353998" w14:textId="77777777" w:rsidR="00B40F47" w:rsidRPr="00BB75C5" w:rsidRDefault="00B40F47" w:rsidP="00D8598B">
            <w:pPr>
              <w:pStyle w:val="Tabletext"/>
              <w:rPr>
                <w:sz w:val="20"/>
              </w:rPr>
            </w:pPr>
            <w:r w:rsidRPr="00BB75C5">
              <w:rPr>
                <w:sz w:val="20"/>
              </w:rPr>
              <w:t>Formation et perfectionnement</w:t>
            </w:r>
          </w:p>
        </w:tc>
        <w:tc>
          <w:tcPr>
            <w:tcW w:w="1539" w:type="pct"/>
            <w:shd w:val="clear" w:color="auto" w:fill="FFFFFF" w:themeFill="background1"/>
            <w:tcMar>
              <w:left w:w="57" w:type="dxa"/>
              <w:right w:w="57" w:type="dxa"/>
            </w:tcMar>
            <w:vAlign w:val="center"/>
          </w:tcPr>
          <w:p w14:paraId="6DEF3802" w14:textId="5C140D29" w:rsidR="00B40F47" w:rsidRPr="00BB75C5" w:rsidRDefault="001E2D5A" w:rsidP="00D8598B">
            <w:pPr>
              <w:pStyle w:val="enumlev1"/>
              <w:tabs>
                <w:tab w:val="clear" w:pos="567"/>
                <w:tab w:val="left" w:pos="366"/>
              </w:tabs>
              <w:spacing w:before="40" w:after="40"/>
              <w:ind w:left="366" w:hanging="366"/>
              <w:rPr>
                <w:sz w:val="20"/>
                <w:szCs w:val="16"/>
              </w:rPr>
            </w:pPr>
            <w:r w:rsidRPr="00BB75C5">
              <w:rPr>
                <w:sz w:val="20"/>
                <w:szCs w:val="16"/>
              </w:rPr>
              <w:t>–</w:t>
            </w:r>
            <w:r w:rsidR="00B40F47" w:rsidRPr="00BB75C5">
              <w:rPr>
                <w:sz w:val="20"/>
                <w:szCs w:val="16"/>
              </w:rPr>
              <w:tab/>
              <w:t>Nombre de programmes offerts pour le développement des compétences d'encadrement</w:t>
            </w:r>
            <w:r w:rsidR="00445B53" w:rsidRPr="00BB75C5">
              <w:rPr>
                <w:sz w:val="20"/>
                <w:szCs w:val="16"/>
              </w:rPr>
              <w:t>.</w:t>
            </w:r>
          </w:p>
          <w:p w14:paraId="0D44A2FC" w14:textId="7F4B7DF4" w:rsidR="00B40F47" w:rsidRPr="00BB75C5" w:rsidRDefault="001E2D5A" w:rsidP="00D8598B">
            <w:pPr>
              <w:pStyle w:val="enumlev1"/>
              <w:tabs>
                <w:tab w:val="clear" w:pos="567"/>
                <w:tab w:val="left" w:pos="366"/>
              </w:tabs>
              <w:spacing w:before="40" w:after="40"/>
              <w:ind w:left="366" w:hanging="366"/>
              <w:rPr>
                <w:sz w:val="20"/>
              </w:rPr>
            </w:pPr>
            <w:r w:rsidRPr="00BB75C5">
              <w:rPr>
                <w:sz w:val="20"/>
                <w:szCs w:val="16"/>
              </w:rPr>
              <w:t>–</w:t>
            </w:r>
            <w:r w:rsidR="00B40F47" w:rsidRPr="00BB75C5">
              <w:rPr>
                <w:sz w:val="20"/>
                <w:szCs w:val="16"/>
              </w:rPr>
              <w:tab/>
              <w:t>Nombre de participants au Programme de développement des compétences d'encadrement</w:t>
            </w:r>
            <w:r w:rsidR="00445B53" w:rsidRPr="00BB75C5">
              <w:rPr>
                <w:sz w:val="20"/>
                <w:szCs w:val="16"/>
              </w:rPr>
              <w:t>.</w:t>
            </w:r>
          </w:p>
        </w:tc>
        <w:tc>
          <w:tcPr>
            <w:tcW w:w="2773" w:type="pct"/>
            <w:shd w:val="clear" w:color="auto" w:fill="FFFFFF" w:themeFill="background1"/>
            <w:tcMar>
              <w:left w:w="57" w:type="dxa"/>
              <w:right w:w="57" w:type="dxa"/>
            </w:tcMar>
          </w:tcPr>
          <w:p w14:paraId="1D2D5393" w14:textId="77777777" w:rsidR="00B40F47" w:rsidRPr="00BB75C5" w:rsidRDefault="00B40F47" w:rsidP="007843C9">
            <w:pPr>
              <w:pStyle w:val="Tabletext"/>
              <w:rPr>
                <w:rFonts w:eastAsia="Malgun Gothic"/>
                <w:sz w:val="20"/>
              </w:rPr>
            </w:pPr>
            <w:r w:rsidRPr="00BB75C5">
              <w:rPr>
                <w:rFonts w:eastAsia="Malgun Gothic"/>
                <w:sz w:val="20"/>
              </w:rPr>
              <w:t>Programmes de développement des compétences d'encadrement complets, comprenant des initiatives sur l'encadrement, comme suit:</w:t>
            </w:r>
          </w:p>
          <w:p w14:paraId="6EEBE074" w14:textId="422F6717" w:rsidR="00B40F47" w:rsidRPr="00BB75C5" w:rsidRDefault="008959F5" w:rsidP="00D54F36">
            <w:pPr>
              <w:pStyle w:val="enumlev1"/>
              <w:tabs>
                <w:tab w:val="clear" w:pos="567"/>
                <w:tab w:val="left" w:pos="363"/>
              </w:tabs>
              <w:spacing w:before="40" w:after="40"/>
              <w:ind w:left="363" w:hanging="363"/>
              <w:rPr>
                <w:rFonts w:eastAsia="Malgun Gothic"/>
              </w:rPr>
            </w:pPr>
            <w:r w:rsidRPr="00BB75C5">
              <w:rPr>
                <w:rFonts w:eastAsia="Malgun Gothic"/>
                <w:sz w:val="20"/>
                <w:szCs w:val="16"/>
              </w:rPr>
              <w:t>1)</w:t>
            </w:r>
            <w:r w:rsidRPr="00BB75C5">
              <w:rPr>
                <w:rFonts w:eastAsia="Malgun Gothic"/>
                <w:sz w:val="20"/>
                <w:szCs w:val="16"/>
              </w:rPr>
              <w:tab/>
            </w:r>
            <w:r w:rsidR="00B40F47" w:rsidRPr="00BB75C5">
              <w:rPr>
                <w:rFonts w:eastAsia="Malgun Gothic"/>
                <w:sz w:val="20"/>
                <w:szCs w:val="16"/>
              </w:rPr>
              <w:t>Cours sur l'encadrement inclusif (composé de trois séances: Gérer les préjugés, l'identité et les microagressions; Promouvoir la sécurité psychologique, susciter un climat ouvert et inclusif; Progresser en matière d'égalité des sexes, d'égalité raciale et d'inclusion) à l'intention des fonctionnaires de grade P5 et supérieur.</w:t>
            </w:r>
          </w:p>
          <w:p w14:paraId="6A0EA8DD" w14:textId="065F5B21" w:rsidR="00B40F47" w:rsidRPr="00BB75C5" w:rsidRDefault="008959F5" w:rsidP="00D54F36">
            <w:pPr>
              <w:pStyle w:val="enumlev1"/>
              <w:tabs>
                <w:tab w:val="clear" w:pos="567"/>
                <w:tab w:val="left" w:pos="363"/>
              </w:tabs>
              <w:spacing w:before="40" w:after="40"/>
              <w:ind w:left="363" w:hanging="363"/>
              <w:rPr>
                <w:rFonts w:eastAsia="Malgun Gothic"/>
                <w:sz w:val="20"/>
              </w:rPr>
            </w:pPr>
            <w:r w:rsidRPr="00BB75C5">
              <w:rPr>
                <w:rFonts w:eastAsia="Malgun Gothic"/>
                <w:sz w:val="20"/>
                <w:szCs w:val="16"/>
              </w:rPr>
              <w:t>2)</w:t>
            </w:r>
            <w:r w:rsidRPr="00BB75C5">
              <w:rPr>
                <w:rFonts w:eastAsia="Malgun Gothic"/>
                <w:sz w:val="20"/>
                <w:szCs w:val="16"/>
              </w:rPr>
              <w:tab/>
            </w:r>
            <w:r w:rsidR="00B40F47" w:rsidRPr="00BB75C5">
              <w:rPr>
                <w:rFonts w:eastAsia="Malgun Gothic"/>
                <w:sz w:val="20"/>
                <w:szCs w:val="16"/>
              </w:rPr>
              <w:t>Programme sur l'encadrement adaptatif, constitué des éléments suivants:</w:t>
            </w:r>
          </w:p>
          <w:p w14:paraId="4F7127B0" w14:textId="6232E7A2" w:rsidR="00B40F47" w:rsidRPr="00BB75C5" w:rsidRDefault="00D54F36" w:rsidP="00D54F36">
            <w:pPr>
              <w:pStyle w:val="enumlev2"/>
              <w:tabs>
                <w:tab w:val="clear" w:pos="567"/>
                <w:tab w:val="clear" w:pos="1134"/>
              </w:tabs>
              <w:spacing w:before="40" w:after="40"/>
              <w:ind w:left="646" w:hanging="283"/>
              <w:rPr>
                <w:rFonts w:eastAsia="Malgun Gothic"/>
                <w:sz w:val="20"/>
                <w:szCs w:val="16"/>
              </w:rPr>
            </w:pPr>
            <w:r w:rsidRPr="00BB75C5">
              <w:rPr>
                <w:sz w:val="20"/>
                <w:szCs w:val="16"/>
              </w:rPr>
              <w:t>–</w:t>
            </w:r>
            <w:r w:rsidR="00B40F47" w:rsidRPr="00BB75C5">
              <w:rPr>
                <w:sz w:val="20"/>
                <w:szCs w:val="16"/>
              </w:rPr>
              <w:tab/>
              <w:t>Atelier sur l'encadrement adaptatif pour les membres de l'équipe de direction.</w:t>
            </w:r>
          </w:p>
          <w:p w14:paraId="430C5903" w14:textId="47052538" w:rsidR="00B40F47" w:rsidRPr="00BB75C5" w:rsidRDefault="00D54F36" w:rsidP="00D54F36">
            <w:pPr>
              <w:pStyle w:val="enumlev2"/>
              <w:tabs>
                <w:tab w:val="clear" w:pos="567"/>
                <w:tab w:val="clear" w:pos="1134"/>
              </w:tabs>
              <w:spacing w:before="40" w:after="40"/>
              <w:ind w:left="646" w:hanging="283"/>
              <w:rPr>
                <w:sz w:val="20"/>
                <w:szCs w:val="16"/>
              </w:rPr>
            </w:pPr>
            <w:r w:rsidRPr="00BB75C5">
              <w:rPr>
                <w:sz w:val="20"/>
                <w:szCs w:val="16"/>
              </w:rPr>
              <w:t>–</w:t>
            </w:r>
            <w:r w:rsidR="00B40F47" w:rsidRPr="00BB75C5">
              <w:rPr>
                <w:sz w:val="20"/>
                <w:szCs w:val="16"/>
              </w:rPr>
              <w:tab/>
              <w:t>Atelier</w:t>
            </w:r>
            <w:r w:rsidRPr="00BB75C5">
              <w:rPr>
                <w:sz w:val="20"/>
                <w:szCs w:val="16"/>
              </w:rPr>
              <w:t>s</w:t>
            </w:r>
            <w:r w:rsidR="00B40F47" w:rsidRPr="00BB75C5">
              <w:rPr>
                <w:sz w:val="20"/>
                <w:szCs w:val="16"/>
              </w:rPr>
              <w:t xml:space="preserve"> sur l'encadrement adaptatif et séances de conseil d'homologue à</w:t>
            </w:r>
            <w:r w:rsidR="00423563" w:rsidRPr="00BB75C5">
              <w:rPr>
                <w:sz w:val="20"/>
                <w:szCs w:val="16"/>
              </w:rPr>
              <w:t> </w:t>
            </w:r>
            <w:r w:rsidR="00B40F47" w:rsidRPr="00BB75C5">
              <w:rPr>
                <w:sz w:val="20"/>
                <w:szCs w:val="16"/>
              </w:rPr>
              <w:t>homologue pour le groupe des acteurs du changement de l'UIT.</w:t>
            </w:r>
          </w:p>
          <w:p w14:paraId="4BBFAC45" w14:textId="42ED34A9" w:rsidR="00B40F47" w:rsidRPr="00BB75C5" w:rsidRDefault="00D54F36" w:rsidP="00D54F36">
            <w:pPr>
              <w:pStyle w:val="enumlev2"/>
              <w:tabs>
                <w:tab w:val="clear" w:pos="567"/>
                <w:tab w:val="clear" w:pos="1134"/>
              </w:tabs>
              <w:spacing w:before="40" w:after="40"/>
              <w:ind w:left="646" w:hanging="283"/>
              <w:rPr>
                <w:sz w:val="20"/>
                <w:szCs w:val="16"/>
              </w:rPr>
            </w:pPr>
            <w:r w:rsidRPr="00BB75C5">
              <w:rPr>
                <w:sz w:val="20"/>
                <w:szCs w:val="16"/>
              </w:rPr>
              <w:t>–</w:t>
            </w:r>
            <w:r w:rsidR="00B40F47" w:rsidRPr="00BB75C5">
              <w:rPr>
                <w:sz w:val="20"/>
                <w:szCs w:val="16"/>
              </w:rPr>
              <w:tab/>
              <w:t>Atelier sur l'encadrement adaptatif pour les fonctionnaires de grade P5 et</w:t>
            </w:r>
            <w:r w:rsidR="00423563" w:rsidRPr="00BB75C5">
              <w:rPr>
                <w:sz w:val="20"/>
                <w:szCs w:val="16"/>
              </w:rPr>
              <w:t> </w:t>
            </w:r>
            <w:r w:rsidR="00B40F47" w:rsidRPr="00BB75C5">
              <w:rPr>
                <w:sz w:val="20"/>
                <w:szCs w:val="16"/>
              </w:rPr>
              <w:t>supérieur.</w:t>
            </w:r>
          </w:p>
          <w:p w14:paraId="1340A74A" w14:textId="051E048E" w:rsidR="00B40F47" w:rsidRPr="00BB75C5" w:rsidRDefault="00D54F36" w:rsidP="00D54F36">
            <w:pPr>
              <w:pStyle w:val="enumlev2"/>
              <w:tabs>
                <w:tab w:val="clear" w:pos="567"/>
                <w:tab w:val="clear" w:pos="1134"/>
              </w:tabs>
              <w:spacing w:before="40" w:after="40"/>
              <w:ind w:left="646" w:hanging="283"/>
              <w:rPr>
                <w:rFonts w:eastAsia="Malgun Gothic"/>
                <w:sz w:val="20"/>
                <w:szCs w:val="16"/>
              </w:rPr>
            </w:pPr>
            <w:r w:rsidRPr="00BB75C5">
              <w:rPr>
                <w:sz w:val="20"/>
                <w:szCs w:val="16"/>
              </w:rPr>
              <w:t>–</w:t>
            </w:r>
            <w:r w:rsidR="00B40F47" w:rsidRPr="00BB75C5">
              <w:rPr>
                <w:sz w:val="20"/>
                <w:szCs w:val="16"/>
              </w:rPr>
              <w:tab/>
              <w:t>Atelier sur l'encadrement adaptatif pour les fonctionnaires de grade P4.</w:t>
            </w:r>
          </w:p>
          <w:p w14:paraId="325E7BA7" w14:textId="2B344A3A" w:rsidR="00B40F47" w:rsidRPr="00BB75C5" w:rsidRDefault="00D54F36" w:rsidP="00D54F36">
            <w:pPr>
              <w:pStyle w:val="enumlev2"/>
              <w:tabs>
                <w:tab w:val="clear" w:pos="567"/>
                <w:tab w:val="clear" w:pos="1134"/>
              </w:tabs>
              <w:spacing w:before="40" w:after="40"/>
              <w:ind w:left="646" w:hanging="283"/>
            </w:pPr>
            <w:r w:rsidRPr="00BB75C5">
              <w:rPr>
                <w:sz w:val="20"/>
                <w:szCs w:val="16"/>
              </w:rPr>
              <w:t>–</w:t>
            </w:r>
            <w:r w:rsidR="00B40F47" w:rsidRPr="00BB75C5">
              <w:rPr>
                <w:sz w:val="20"/>
                <w:szCs w:val="16"/>
              </w:rPr>
              <w:tab/>
              <w:t>Atelier sur l'encadrement adaptatif pour les fonctionnaires élus.</w:t>
            </w:r>
          </w:p>
          <w:p w14:paraId="6DBA913A" w14:textId="2A1FF723" w:rsidR="00B40F47" w:rsidRPr="00BB75C5" w:rsidRDefault="00D54F36" w:rsidP="00D54F36">
            <w:pPr>
              <w:pStyle w:val="enumlev2"/>
              <w:tabs>
                <w:tab w:val="clear" w:pos="567"/>
                <w:tab w:val="clear" w:pos="1134"/>
              </w:tabs>
              <w:spacing w:before="40" w:after="40"/>
              <w:ind w:left="646" w:hanging="283"/>
              <w:rPr>
                <w:rFonts w:eastAsia="Malgun Gothic"/>
                <w:sz w:val="20"/>
              </w:rPr>
            </w:pPr>
            <w:r w:rsidRPr="00BB75C5">
              <w:rPr>
                <w:sz w:val="20"/>
                <w:szCs w:val="16"/>
              </w:rPr>
              <w:t>–</w:t>
            </w:r>
            <w:r w:rsidR="00B40F47" w:rsidRPr="00BB75C5">
              <w:rPr>
                <w:sz w:val="20"/>
                <w:szCs w:val="16"/>
              </w:rPr>
              <w:tab/>
              <w:t>Atelier sur l'encadrement adaptatif pour les fonctionnaires de grade P4 et</w:t>
            </w:r>
            <w:r w:rsidRPr="00BB75C5">
              <w:rPr>
                <w:sz w:val="20"/>
                <w:szCs w:val="16"/>
              </w:rPr>
              <w:t> </w:t>
            </w:r>
            <w:r w:rsidR="00B40F47" w:rsidRPr="00BB75C5">
              <w:rPr>
                <w:sz w:val="20"/>
                <w:szCs w:val="16"/>
              </w:rPr>
              <w:t>supérieur et les acteurs du changement de l'UIT.</w:t>
            </w:r>
          </w:p>
          <w:p w14:paraId="29625CED" w14:textId="1190E916" w:rsidR="00B40F47" w:rsidRPr="00BB75C5" w:rsidRDefault="00B40F47" w:rsidP="00D54F36">
            <w:pPr>
              <w:pStyle w:val="enumlev1"/>
              <w:tabs>
                <w:tab w:val="clear" w:pos="567"/>
                <w:tab w:val="left" w:pos="363"/>
              </w:tabs>
              <w:spacing w:before="40" w:after="40"/>
              <w:ind w:left="363" w:hanging="363"/>
              <w:rPr>
                <w:rFonts w:eastAsia="Malgun Gothic"/>
                <w:sz w:val="20"/>
              </w:rPr>
            </w:pPr>
            <w:r w:rsidRPr="00BB75C5">
              <w:rPr>
                <w:rFonts w:eastAsia="Malgun Gothic"/>
                <w:sz w:val="20"/>
                <w:szCs w:val="16"/>
              </w:rPr>
              <w:t>3</w:t>
            </w:r>
            <w:r w:rsidR="00D54F36" w:rsidRPr="00BB75C5">
              <w:rPr>
                <w:rFonts w:eastAsia="Malgun Gothic"/>
                <w:sz w:val="20"/>
                <w:szCs w:val="16"/>
              </w:rPr>
              <w:t>)</w:t>
            </w:r>
            <w:r w:rsidR="00D54F36" w:rsidRPr="00BB75C5">
              <w:rPr>
                <w:rFonts w:eastAsia="Malgun Gothic"/>
                <w:sz w:val="20"/>
                <w:szCs w:val="16"/>
              </w:rPr>
              <w:tab/>
            </w:r>
            <w:r w:rsidRPr="00BB75C5">
              <w:rPr>
                <w:rFonts w:eastAsia="Malgun Gothic"/>
                <w:sz w:val="20"/>
                <w:szCs w:val="16"/>
              </w:rPr>
              <w:t>Consultations mensuelles et webinaires complémentaires conçus pour améliorer la compréhension et renforcer l'application pratique de l'encadrement adaptatif.</w:t>
            </w:r>
          </w:p>
          <w:p w14:paraId="3D93B781" w14:textId="77777777" w:rsidR="00B40F47" w:rsidRPr="00BB75C5" w:rsidRDefault="00B40F47" w:rsidP="007843C9">
            <w:pPr>
              <w:pStyle w:val="Tabletext"/>
              <w:rPr>
                <w:sz w:val="20"/>
              </w:rPr>
            </w:pPr>
            <w:r w:rsidRPr="00BB75C5">
              <w:rPr>
                <w:sz w:val="20"/>
              </w:rPr>
              <w:t>Nombre de participants au Programme de développement des compétences d'encadrement:</w:t>
            </w:r>
          </w:p>
          <w:p w14:paraId="66F3ADAC" w14:textId="63C6B8EB" w:rsidR="00B40F47" w:rsidRPr="00BB75C5" w:rsidRDefault="00D54F36" w:rsidP="00445B53">
            <w:pPr>
              <w:pStyle w:val="enumlev1"/>
              <w:tabs>
                <w:tab w:val="clear" w:pos="567"/>
                <w:tab w:val="left" w:pos="288"/>
              </w:tabs>
              <w:spacing w:before="40" w:after="40"/>
              <w:ind w:left="288" w:hanging="288"/>
              <w:rPr>
                <w:sz w:val="20"/>
                <w:szCs w:val="16"/>
              </w:rPr>
            </w:pPr>
            <w:r w:rsidRPr="00BB75C5">
              <w:rPr>
                <w:sz w:val="20"/>
                <w:szCs w:val="16"/>
              </w:rPr>
              <w:t>–</w:t>
            </w:r>
            <w:r w:rsidR="00B40F47" w:rsidRPr="00BB75C5">
              <w:rPr>
                <w:sz w:val="20"/>
                <w:szCs w:val="16"/>
              </w:rPr>
              <w:tab/>
              <w:t>Programme sur le modèle de direction inclusif: 50% fonctionnaires de grade</w:t>
            </w:r>
            <w:r w:rsidRPr="00BB75C5">
              <w:rPr>
                <w:sz w:val="20"/>
                <w:szCs w:val="16"/>
              </w:rPr>
              <w:t> </w:t>
            </w:r>
            <w:r w:rsidR="00B40F47" w:rsidRPr="00BB75C5">
              <w:rPr>
                <w:sz w:val="20"/>
                <w:szCs w:val="16"/>
              </w:rPr>
              <w:t>P5 et supérieur de l'UIT ont suivi les trois séances.</w:t>
            </w:r>
          </w:p>
          <w:p w14:paraId="2D5A8936" w14:textId="6AB87102" w:rsidR="00B40F47" w:rsidRPr="00BB75C5" w:rsidRDefault="00D54F36" w:rsidP="00445B53">
            <w:pPr>
              <w:pStyle w:val="enumlev1"/>
              <w:tabs>
                <w:tab w:val="clear" w:pos="567"/>
                <w:tab w:val="left" w:pos="288"/>
              </w:tabs>
              <w:spacing w:before="40" w:after="40"/>
              <w:ind w:left="288" w:hanging="288"/>
              <w:rPr>
                <w:sz w:val="20"/>
                <w:szCs w:val="16"/>
              </w:rPr>
            </w:pPr>
            <w:r w:rsidRPr="00BB75C5">
              <w:rPr>
                <w:sz w:val="20"/>
                <w:szCs w:val="16"/>
              </w:rPr>
              <w:t>–</w:t>
            </w:r>
            <w:r w:rsidR="00B40F47" w:rsidRPr="00BB75C5">
              <w:rPr>
                <w:sz w:val="20"/>
                <w:szCs w:val="16"/>
              </w:rPr>
              <w:tab/>
              <w:t>Ateliers sur l'encadrement adaptatif pour le groupe des acteurs du changement de l'UIT: 29 participants.</w:t>
            </w:r>
          </w:p>
          <w:p w14:paraId="054E9B69" w14:textId="528F57D1" w:rsidR="00B40F47" w:rsidRPr="00BB75C5" w:rsidRDefault="00D54F36" w:rsidP="00445B53">
            <w:pPr>
              <w:pStyle w:val="enumlev1"/>
              <w:tabs>
                <w:tab w:val="clear" w:pos="567"/>
                <w:tab w:val="left" w:pos="288"/>
              </w:tabs>
              <w:spacing w:before="40" w:after="40"/>
              <w:ind w:left="288" w:hanging="288"/>
              <w:rPr>
                <w:sz w:val="20"/>
                <w:szCs w:val="16"/>
              </w:rPr>
            </w:pPr>
            <w:r w:rsidRPr="00BB75C5">
              <w:rPr>
                <w:sz w:val="20"/>
                <w:szCs w:val="16"/>
              </w:rPr>
              <w:t>–</w:t>
            </w:r>
            <w:r w:rsidR="00B40F47" w:rsidRPr="00BB75C5">
              <w:rPr>
                <w:sz w:val="20"/>
                <w:szCs w:val="16"/>
              </w:rPr>
              <w:tab/>
              <w:t>Atelier sur l'encadrement adaptatif pour les fonctionnaires de grade P4 et</w:t>
            </w:r>
            <w:r w:rsidR="00423563" w:rsidRPr="00BB75C5">
              <w:rPr>
                <w:sz w:val="20"/>
                <w:szCs w:val="16"/>
              </w:rPr>
              <w:t> </w:t>
            </w:r>
            <w:r w:rsidR="00B40F47" w:rsidRPr="00BB75C5">
              <w:rPr>
                <w:sz w:val="20"/>
                <w:szCs w:val="16"/>
              </w:rPr>
              <w:t>supérieur: 58</w:t>
            </w:r>
            <w:r w:rsidR="00EA1B9B" w:rsidRPr="00BB75C5">
              <w:rPr>
                <w:sz w:val="20"/>
                <w:szCs w:val="16"/>
              </w:rPr>
              <w:t> </w:t>
            </w:r>
            <w:r w:rsidR="00B40F47" w:rsidRPr="00BB75C5">
              <w:rPr>
                <w:sz w:val="20"/>
                <w:szCs w:val="16"/>
              </w:rPr>
              <w:t>participants.</w:t>
            </w:r>
          </w:p>
          <w:p w14:paraId="33ACC6DD" w14:textId="2A101B6D" w:rsidR="00B40F47" w:rsidRPr="00BB75C5" w:rsidRDefault="00D54F36" w:rsidP="00EA1B9B">
            <w:pPr>
              <w:pStyle w:val="enumlev1"/>
              <w:tabs>
                <w:tab w:val="clear" w:pos="567"/>
                <w:tab w:val="left" w:pos="288"/>
              </w:tabs>
              <w:spacing w:before="40" w:after="120"/>
              <w:ind w:left="288" w:hanging="288"/>
              <w:rPr>
                <w:rFonts w:eastAsia="Malgun Gothic"/>
                <w:sz w:val="20"/>
              </w:rPr>
            </w:pPr>
            <w:r w:rsidRPr="00BB75C5">
              <w:rPr>
                <w:sz w:val="20"/>
                <w:szCs w:val="16"/>
              </w:rPr>
              <w:t>–</w:t>
            </w:r>
            <w:r w:rsidR="00B40F47" w:rsidRPr="00BB75C5">
              <w:rPr>
                <w:sz w:val="20"/>
                <w:szCs w:val="16"/>
              </w:rPr>
              <w:tab/>
              <w:t>Atelier avancé sur l'encadrement adaptatif pour les fonctionnaires de grade P4 et supérieur et les acteurs du changement de l'UIT: 36</w:t>
            </w:r>
            <w:r w:rsidR="00506749" w:rsidRPr="00BB75C5">
              <w:rPr>
                <w:sz w:val="20"/>
                <w:szCs w:val="16"/>
              </w:rPr>
              <w:t> </w:t>
            </w:r>
            <w:r w:rsidR="00B40F47" w:rsidRPr="00BB75C5">
              <w:rPr>
                <w:sz w:val="20"/>
                <w:szCs w:val="16"/>
              </w:rPr>
              <w:t>participants.</w:t>
            </w:r>
          </w:p>
        </w:tc>
      </w:tr>
      <w:tr w:rsidR="00183438" w:rsidRPr="00BB75C5" w14:paraId="5D18CE1B" w14:textId="77777777" w:rsidTr="00EA1B9B">
        <w:trPr>
          <w:trHeight w:val="412"/>
        </w:trPr>
        <w:tc>
          <w:tcPr>
            <w:tcW w:w="118" w:type="pct"/>
            <w:vMerge w:val="restart"/>
            <w:shd w:val="clear" w:color="auto" w:fill="FFFFFF" w:themeFill="background1"/>
            <w:tcMar>
              <w:left w:w="57" w:type="dxa"/>
              <w:right w:w="57" w:type="dxa"/>
            </w:tcMar>
            <w:vAlign w:val="center"/>
          </w:tcPr>
          <w:p w14:paraId="27141AB0" w14:textId="77777777" w:rsidR="00B40F47" w:rsidRPr="00BB75C5" w:rsidRDefault="00B40F47" w:rsidP="00EA1B9B">
            <w:pPr>
              <w:pStyle w:val="Tabletext"/>
              <w:keepNext/>
              <w:keepLines/>
              <w:jc w:val="center"/>
              <w:rPr>
                <w:b/>
                <w:bCs/>
                <w:sz w:val="20"/>
              </w:rPr>
            </w:pPr>
            <w:r w:rsidRPr="00BB75C5">
              <w:rPr>
                <w:b/>
                <w:bCs/>
                <w:sz w:val="20"/>
              </w:rPr>
              <w:lastRenderedPageBreak/>
              <w:t>12</w:t>
            </w:r>
          </w:p>
        </w:tc>
        <w:tc>
          <w:tcPr>
            <w:tcW w:w="570" w:type="pct"/>
            <w:vMerge w:val="restart"/>
            <w:shd w:val="clear" w:color="auto" w:fill="FFFFFF" w:themeFill="background1"/>
            <w:tcMar>
              <w:left w:w="57" w:type="dxa"/>
              <w:right w:w="57" w:type="dxa"/>
            </w:tcMar>
            <w:vAlign w:val="center"/>
          </w:tcPr>
          <w:p w14:paraId="4950A302" w14:textId="77777777" w:rsidR="00B40F47" w:rsidRPr="00BB75C5" w:rsidRDefault="00B40F47" w:rsidP="00EA1B9B">
            <w:pPr>
              <w:pStyle w:val="Tabletext"/>
              <w:keepNext/>
              <w:keepLines/>
              <w:rPr>
                <w:sz w:val="20"/>
              </w:rPr>
            </w:pPr>
            <w:r w:rsidRPr="00BB75C5">
              <w:rPr>
                <w:sz w:val="20"/>
              </w:rPr>
              <w:t>Formation et perfectionnement</w:t>
            </w:r>
          </w:p>
        </w:tc>
        <w:tc>
          <w:tcPr>
            <w:tcW w:w="1539" w:type="pct"/>
            <w:shd w:val="clear" w:color="auto" w:fill="FFFFFF" w:themeFill="background1"/>
            <w:tcMar>
              <w:left w:w="57" w:type="dxa"/>
              <w:right w:w="57" w:type="dxa"/>
            </w:tcMar>
            <w:vAlign w:val="center"/>
            <w:hideMark/>
          </w:tcPr>
          <w:p w14:paraId="358A7219" w14:textId="47508E53" w:rsidR="00B40F47" w:rsidRPr="00BB75C5" w:rsidRDefault="00183438" w:rsidP="00EA1B9B">
            <w:pPr>
              <w:pStyle w:val="enumlev1"/>
              <w:keepNext/>
              <w:keepLines/>
              <w:tabs>
                <w:tab w:val="clear" w:pos="567"/>
                <w:tab w:val="left" w:pos="366"/>
              </w:tabs>
              <w:spacing w:before="40" w:after="40"/>
              <w:ind w:left="366" w:hanging="366"/>
              <w:rPr>
                <w:sz w:val="20"/>
              </w:rPr>
            </w:pPr>
            <w:r w:rsidRPr="00BB75C5">
              <w:rPr>
                <w:sz w:val="20"/>
                <w:szCs w:val="16"/>
              </w:rPr>
              <w:t>–</w:t>
            </w:r>
            <w:r w:rsidR="00B40F47" w:rsidRPr="00BB75C5">
              <w:rPr>
                <w:sz w:val="20"/>
                <w:szCs w:val="16"/>
              </w:rPr>
              <w:tab/>
              <w:t>Taux d'achèvement des formations obligatoires (en %)</w:t>
            </w:r>
            <w:r w:rsidR="00445B53" w:rsidRPr="00BB75C5">
              <w:rPr>
                <w:sz w:val="20"/>
                <w:szCs w:val="16"/>
              </w:rPr>
              <w:t>.</w:t>
            </w:r>
          </w:p>
        </w:tc>
        <w:tc>
          <w:tcPr>
            <w:tcW w:w="2773" w:type="pct"/>
            <w:shd w:val="clear" w:color="auto" w:fill="FFFFFF" w:themeFill="background1"/>
            <w:tcMar>
              <w:left w:w="57" w:type="dxa"/>
              <w:right w:w="57" w:type="dxa"/>
            </w:tcMar>
          </w:tcPr>
          <w:p w14:paraId="1B47F1EA" w14:textId="77777777" w:rsidR="00B40F47" w:rsidRPr="00BB75C5" w:rsidRDefault="00B40F47" w:rsidP="00EA1B9B">
            <w:pPr>
              <w:pStyle w:val="Tabletext"/>
              <w:keepNext/>
              <w:keepLines/>
              <w:rPr>
                <w:rFonts w:eastAsia="Malgun Gothic"/>
                <w:sz w:val="20"/>
              </w:rPr>
            </w:pPr>
            <w:r w:rsidRPr="00BB75C5">
              <w:rPr>
                <w:sz w:val="20"/>
              </w:rPr>
              <w:t>Taux d'achèvement de chaque formation obligatoire:</w:t>
            </w:r>
          </w:p>
          <w:p w14:paraId="321866C4" w14:textId="564BB838" w:rsidR="00B40F47" w:rsidRPr="00BB75C5" w:rsidRDefault="00D54F36" w:rsidP="00EA1B9B">
            <w:pPr>
              <w:pStyle w:val="enumlev1"/>
              <w:keepNext/>
              <w:keepLines/>
              <w:tabs>
                <w:tab w:val="clear" w:pos="567"/>
                <w:tab w:val="left" w:pos="288"/>
              </w:tabs>
              <w:spacing w:before="40" w:after="40"/>
              <w:ind w:left="288" w:hanging="288"/>
              <w:rPr>
                <w:sz w:val="20"/>
                <w:szCs w:val="16"/>
              </w:rPr>
            </w:pPr>
            <w:r w:rsidRPr="00BB75C5">
              <w:rPr>
                <w:sz w:val="20"/>
                <w:szCs w:val="16"/>
              </w:rPr>
              <w:t>–</w:t>
            </w:r>
            <w:r w:rsidR="00B40F47" w:rsidRPr="00BB75C5">
              <w:rPr>
                <w:sz w:val="20"/>
                <w:szCs w:val="16"/>
              </w:rPr>
              <w:tab/>
              <w:t>Éléments essentiels de la sensibilisation à la cybersécurité: 74,8%.</w:t>
            </w:r>
          </w:p>
          <w:p w14:paraId="6D2B2EFD" w14:textId="4654F52A" w:rsidR="00B40F47" w:rsidRPr="00BB75C5" w:rsidRDefault="00D54F36" w:rsidP="00EA1B9B">
            <w:pPr>
              <w:pStyle w:val="enumlev1"/>
              <w:keepNext/>
              <w:keepLines/>
              <w:tabs>
                <w:tab w:val="clear" w:pos="567"/>
                <w:tab w:val="left" w:pos="288"/>
              </w:tabs>
              <w:spacing w:before="40" w:after="40"/>
              <w:ind w:left="288" w:hanging="288"/>
              <w:rPr>
                <w:sz w:val="20"/>
                <w:szCs w:val="16"/>
              </w:rPr>
            </w:pPr>
            <w:r w:rsidRPr="00BB75C5">
              <w:rPr>
                <w:sz w:val="20"/>
                <w:szCs w:val="16"/>
              </w:rPr>
              <w:t>–</w:t>
            </w:r>
            <w:r w:rsidR="00B40F47" w:rsidRPr="00BB75C5">
              <w:rPr>
                <w:sz w:val="20"/>
                <w:szCs w:val="16"/>
              </w:rPr>
              <w:tab/>
              <w:t>BSAFE (Formation de sensibilisation à la sécurité): 74,2%.</w:t>
            </w:r>
          </w:p>
          <w:p w14:paraId="2CB68C2F" w14:textId="056BBB02" w:rsidR="00B40F47" w:rsidRPr="00BB75C5" w:rsidRDefault="00D54F36" w:rsidP="00EA1B9B">
            <w:pPr>
              <w:pStyle w:val="enumlev1"/>
              <w:keepNext/>
              <w:keepLines/>
              <w:tabs>
                <w:tab w:val="clear" w:pos="567"/>
                <w:tab w:val="left" w:pos="288"/>
              </w:tabs>
              <w:spacing w:before="40" w:after="40"/>
              <w:ind w:left="288" w:hanging="288"/>
              <w:rPr>
                <w:sz w:val="20"/>
                <w:szCs w:val="16"/>
              </w:rPr>
            </w:pPr>
            <w:r w:rsidRPr="00BB75C5">
              <w:rPr>
                <w:sz w:val="20"/>
                <w:szCs w:val="16"/>
              </w:rPr>
              <w:t>–</w:t>
            </w:r>
            <w:r w:rsidR="00B40F47" w:rsidRPr="00BB75C5">
              <w:rPr>
                <w:sz w:val="20"/>
                <w:szCs w:val="16"/>
              </w:rPr>
              <w:tab/>
              <w:t>Je connais le genre – Modules 1-2-3: 70,7%.</w:t>
            </w:r>
          </w:p>
          <w:p w14:paraId="722CACAE" w14:textId="10F1EA56" w:rsidR="00B40F47" w:rsidRPr="00BB75C5" w:rsidRDefault="00D54F36" w:rsidP="00EA1B9B">
            <w:pPr>
              <w:pStyle w:val="enumlev1"/>
              <w:keepNext/>
              <w:keepLines/>
              <w:tabs>
                <w:tab w:val="clear" w:pos="567"/>
                <w:tab w:val="left" w:pos="288"/>
              </w:tabs>
              <w:spacing w:before="40" w:after="40"/>
              <w:ind w:left="288" w:hanging="288"/>
              <w:rPr>
                <w:sz w:val="20"/>
                <w:szCs w:val="16"/>
              </w:rPr>
            </w:pPr>
            <w:r w:rsidRPr="00BB75C5">
              <w:rPr>
                <w:sz w:val="20"/>
                <w:szCs w:val="16"/>
              </w:rPr>
              <w:t>–</w:t>
            </w:r>
            <w:r w:rsidR="00B40F47" w:rsidRPr="00BB75C5">
              <w:rPr>
                <w:sz w:val="20"/>
                <w:szCs w:val="16"/>
              </w:rPr>
              <w:tab/>
              <w:t>Ensemble pour le respect: Prévention du harcèlement sexuel et des autres formes de conduite prohibée: 67,9%.</w:t>
            </w:r>
          </w:p>
          <w:p w14:paraId="36E98599" w14:textId="7EBFD52A" w:rsidR="00B40F47" w:rsidRPr="00BB75C5" w:rsidRDefault="00D54F36" w:rsidP="00EA1B9B">
            <w:pPr>
              <w:pStyle w:val="enumlev1"/>
              <w:keepNext/>
              <w:keepLines/>
              <w:tabs>
                <w:tab w:val="clear" w:pos="567"/>
                <w:tab w:val="left" w:pos="288"/>
              </w:tabs>
              <w:spacing w:before="40" w:after="40"/>
              <w:ind w:left="288" w:hanging="288"/>
              <w:rPr>
                <w:sz w:val="20"/>
                <w:szCs w:val="16"/>
              </w:rPr>
            </w:pPr>
            <w:r w:rsidRPr="00BB75C5">
              <w:rPr>
                <w:sz w:val="20"/>
                <w:szCs w:val="16"/>
              </w:rPr>
              <w:t>–</w:t>
            </w:r>
            <w:r w:rsidR="00B40F47" w:rsidRPr="00BB75C5">
              <w:rPr>
                <w:sz w:val="20"/>
                <w:szCs w:val="16"/>
              </w:rPr>
              <w:tab/>
              <w:t>Prévention des cas d'exploitation et d'atteintes sexuelles: 63,5%.</w:t>
            </w:r>
          </w:p>
          <w:p w14:paraId="37B7181F" w14:textId="20619B61" w:rsidR="00B40F47" w:rsidRPr="00BB75C5" w:rsidRDefault="00D54F36" w:rsidP="00EA1B9B">
            <w:pPr>
              <w:pStyle w:val="enumlev1"/>
              <w:keepNext/>
              <w:keepLines/>
              <w:tabs>
                <w:tab w:val="clear" w:pos="567"/>
                <w:tab w:val="left" w:pos="288"/>
              </w:tabs>
              <w:spacing w:before="40" w:after="40"/>
              <w:ind w:left="288" w:hanging="288"/>
              <w:rPr>
                <w:sz w:val="20"/>
              </w:rPr>
            </w:pPr>
            <w:r w:rsidRPr="00BB75C5">
              <w:rPr>
                <w:sz w:val="20"/>
                <w:szCs w:val="16"/>
              </w:rPr>
              <w:t>–</w:t>
            </w:r>
            <w:r w:rsidR="00B40F47" w:rsidRPr="00BB75C5">
              <w:rPr>
                <w:sz w:val="20"/>
                <w:szCs w:val="16"/>
              </w:rPr>
              <w:tab/>
              <w:t>Éthique et intégrité à l'UIT: 62%.</w:t>
            </w:r>
          </w:p>
          <w:p w14:paraId="0625396D" w14:textId="7262C590" w:rsidR="00B40F47" w:rsidRPr="00BB75C5" w:rsidRDefault="00D54F36" w:rsidP="00EA1B9B">
            <w:pPr>
              <w:pStyle w:val="enumlev1"/>
              <w:keepNext/>
              <w:keepLines/>
              <w:tabs>
                <w:tab w:val="clear" w:pos="567"/>
                <w:tab w:val="left" w:pos="288"/>
              </w:tabs>
              <w:spacing w:before="40" w:after="40"/>
              <w:ind w:left="288" w:hanging="288"/>
              <w:rPr>
                <w:rFonts w:eastAsia="Malgun Gothic"/>
                <w:sz w:val="20"/>
              </w:rPr>
            </w:pPr>
            <w:r w:rsidRPr="00BB75C5">
              <w:rPr>
                <w:sz w:val="20"/>
                <w:szCs w:val="16"/>
              </w:rPr>
              <w:t>–</w:t>
            </w:r>
            <w:r w:rsidR="00B40F47" w:rsidRPr="00BB75C5">
              <w:rPr>
                <w:sz w:val="20"/>
                <w:szCs w:val="16"/>
              </w:rPr>
              <w:tab/>
              <w:t>Greening the Blue (Du bleu au vert): 61,5%.</w:t>
            </w:r>
          </w:p>
        </w:tc>
      </w:tr>
      <w:tr w:rsidR="00183438" w:rsidRPr="00BB75C5" w14:paraId="733A2F81" w14:textId="77777777" w:rsidTr="00EA1B9B">
        <w:trPr>
          <w:trHeight w:val="584"/>
        </w:trPr>
        <w:tc>
          <w:tcPr>
            <w:tcW w:w="118" w:type="pct"/>
            <w:vMerge/>
            <w:tcMar>
              <w:left w:w="57" w:type="dxa"/>
              <w:right w:w="57" w:type="dxa"/>
            </w:tcMar>
            <w:vAlign w:val="center"/>
          </w:tcPr>
          <w:p w14:paraId="1BA7D4E7" w14:textId="77777777" w:rsidR="00B40F47" w:rsidRPr="00BB75C5" w:rsidRDefault="00B40F47" w:rsidP="00D8598B">
            <w:pPr>
              <w:pStyle w:val="Tabletext"/>
              <w:jc w:val="center"/>
              <w:rPr>
                <w:b/>
                <w:bCs/>
                <w:sz w:val="20"/>
              </w:rPr>
            </w:pPr>
          </w:p>
        </w:tc>
        <w:tc>
          <w:tcPr>
            <w:tcW w:w="570" w:type="pct"/>
            <w:vMerge/>
            <w:tcMar>
              <w:left w:w="57" w:type="dxa"/>
              <w:right w:w="57" w:type="dxa"/>
            </w:tcMar>
            <w:vAlign w:val="center"/>
          </w:tcPr>
          <w:p w14:paraId="109F5566" w14:textId="77777777" w:rsidR="00B40F47" w:rsidRPr="00BB75C5" w:rsidRDefault="00B40F47" w:rsidP="00D8598B">
            <w:pPr>
              <w:pStyle w:val="Tabletext"/>
              <w:rPr>
                <w:sz w:val="20"/>
              </w:rPr>
            </w:pPr>
          </w:p>
        </w:tc>
        <w:tc>
          <w:tcPr>
            <w:tcW w:w="1539" w:type="pct"/>
            <w:shd w:val="clear" w:color="auto" w:fill="FFFFFF" w:themeFill="background1"/>
            <w:tcMar>
              <w:left w:w="57" w:type="dxa"/>
              <w:right w:w="57" w:type="dxa"/>
            </w:tcMar>
            <w:vAlign w:val="center"/>
            <w:hideMark/>
          </w:tcPr>
          <w:p w14:paraId="4B9BD55D" w14:textId="1B179E6D" w:rsidR="00B40F47" w:rsidRPr="00BB75C5" w:rsidRDefault="00183438" w:rsidP="00D8598B">
            <w:pPr>
              <w:pStyle w:val="enumlev1"/>
              <w:tabs>
                <w:tab w:val="clear" w:pos="567"/>
                <w:tab w:val="left" w:pos="366"/>
              </w:tabs>
              <w:spacing w:before="40" w:after="40"/>
              <w:ind w:left="366" w:hanging="366"/>
              <w:rPr>
                <w:sz w:val="20"/>
              </w:rPr>
            </w:pPr>
            <w:bookmarkStart w:id="1" w:name="_Hlk39134893"/>
            <w:r w:rsidRPr="00BB75C5">
              <w:rPr>
                <w:sz w:val="20"/>
                <w:szCs w:val="16"/>
              </w:rPr>
              <w:t>–</w:t>
            </w:r>
            <w:r w:rsidR="00B40F47" w:rsidRPr="00BB75C5">
              <w:rPr>
                <w:sz w:val="20"/>
                <w:szCs w:val="16"/>
              </w:rPr>
              <w:tab/>
            </w:r>
            <w:bookmarkEnd w:id="1"/>
            <w:r w:rsidR="00B40F47" w:rsidRPr="00BB75C5">
              <w:rPr>
                <w:sz w:val="20"/>
                <w:szCs w:val="16"/>
              </w:rPr>
              <w:t>Part des effectifs bénéficiant d'une formation en cours d'emploi</w:t>
            </w:r>
            <w:r w:rsidR="00445B53" w:rsidRPr="00BB75C5">
              <w:rPr>
                <w:sz w:val="20"/>
                <w:szCs w:val="16"/>
              </w:rPr>
              <w:t>.</w:t>
            </w:r>
          </w:p>
        </w:tc>
        <w:tc>
          <w:tcPr>
            <w:tcW w:w="2773" w:type="pct"/>
            <w:shd w:val="clear" w:color="auto" w:fill="FFFFFF" w:themeFill="background1"/>
            <w:tcMar>
              <w:left w:w="57" w:type="dxa"/>
              <w:right w:w="57" w:type="dxa"/>
            </w:tcMar>
          </w:tcPr>
          <w:p w14:paraId="34552A2D" w14:textId="77777777" w:rsidR="00B40F47" w:rsidRPr="00BB75C5" w:rsidRDefault="00B40F47" w:rsidP="007843C9">
            <w:pPr>
              <w:pStyle w:val="Tabletext"/>
              <w:rPr>
                <w:sz w:val="20"/>
              </w:rPr>
            </w:pPr>
            <w:bookmarkStart w:id="2" w:name="_Hlk67902942"/>
            <w:r w:rsidRPr="00BB75C5">
              <w:rPr>
                <w:sz w:val="20"/>
              </w:rPr>
              <w:t>Les formations institutionnelles relevant du Plan de formation de l'UIT sont accessibles à tous les employés de l'UIT, indépendamment du type de contrat.</w:t>
            </w:r>
            <w:bookmarkEnd w:id="2"/>
          </w:p>
          <w:p w14:paraId="423FCE93" w14:textId="77777777" w:rsidR="00B40F47" w:rsidRPr="00BB75C5" w:rsidRDefault="00B40F47" w:rsidP="007843C9">
            <w:pPr>
              <w:pStyle w:val="Tabletext"/>
              <w:rPr>
                <w:sz w:val="20"/>
              </w:rPr>
            </w:pPr>
            <w:r w:rsidRPr="00BB75C5">
              <w:rPr>
                <w:sz w:val="20"/>
              </w:rPr>
              <w:t>En 2025, un total de 38 formations institutionnelles ont été organisées à l'UIT sur différents sujets, tels que le numérique, le développement de carrière, l'encadrement, la diversité et l'inclusion, les accélérateurs de compétences, la gestion de la performance, la santé et le bien-être et la sensibilisation.</w:t>
            </w:r>
          </w:p>
          <w:p w14:paraId="24E4A928" w14:textId="77777777" w:rsidR="00B40F47" w:rsidRPr="00BB75C5" w:rsidRDefault="00B40F47" w:rsidP="007843C9">
            <w:pPr>
              <w:pStyle w:val="Tabletext"/>
              <w:rPr>
                <w:sz w:val="20"/>
              </w:rPr>
            </w:pPr>
            <w:r w:rsidRPr="00BB75C5">
              <w:rPr>
                <w:sz w:val="20"/>
              </w:rPr>
              <w:t>Outre les séances de groupe, 21 membres du personnel ont bénéficié de formations spécialisées/techniques individuelles.</w:t>
            </w:r>
          </w:p>
        </w:tc>
      </w:tr>
      <w:tr w:rsidR="00183438" w:rsidRPr="00BB75C5" w14:paraId="3739D355" w14:textId="77777777" w:rsidTr="00EA1B9B">
        <w:trPr>
          <w:trHeight w:val="20"/>
        </w:trPr>
        <w:tc>
          <w:tcPr>
            <w:tcW w:w="118" w:type="pct"/>
            <w:shd w:val="clear" w:color="auto" w:fill="FFFFFF" w:themeFill="background1"/>
            <w:tcMar>
              <w:left w:w="57" w:type="dxa"/>
              <w:right w:w="57" w:type="dxa"/>
            </w:tcMar>
            <w:vAlign w:val="center"/>
          </w:tcPr>
          <w:p w14:paraId="1A3D6F1D" w14:textId="77777777" w:rsidR="00B40F47" w:rsidRPr="00BB75C5" w:rsidRDefault="00B40F47" w:rsidP="00D8598B">
            <w:pPr>
              <w:pStyle w:val="Tabletext"/>
              <w:jc w:val="center"/>
              <w:rPr>
                <w:b/>
                <w:bCs/>
                <w:sz w:val="20"/>
              </w:rPr>
            </w:pPr>
            <w:r w:rsidRPr="00BB75C5">
              <w:rPr>
                <w:b/>
                <w:bCs/>
                <w:sz w:val="20"/>
              </w:rPr>
              <w:t>13</w:t>
            </w:r>
          </w:p>
        </w:tc>
        <w:tc>
          <w:tcPr>
            <w:tcW w:w="570" w:type="pct"/>
            <w:shd w:val="clear" w:color="auto" w:fill="FFFFFF" w:themeFill="background1"/>
            <w:tcMar>
              <w:left w:w="57" w:type="dxa"/>
              <w:right w:w="57" w:type="dxa"/>
            </w:tcMar>
            <w:vAlign w:val="center"/>
          </w:tcPr>
          <w:p w14:paraId="41DC59C4" w14:textId="77777777" w:rsidR="00B40F47" w:rsidRPr="00BB75C5" w:rsidRDefault="00B40F47" w:rsidP="00D8598B">
            <w:pPr>
              <w:pStyle w:val="Tabletext"/>
              <w:rPr>
                <w:sz w:val="20"/>
              </w:rPr>
            </w:pPr>
            <w:r w:rsidRPr="00BB75C5">
              <w:rPr>
                <w:sz w:val="20"/>
              </w:rPr>
              <w:t>Formation et perfectionnement</w:t>
            </w:r>
          </w:p>
        </w:tc>
        <w:tc>
          <w:tcPr>
            <w:tcW w:w="1539" w:type="pct"/>
            <w:shd w:val="clear" w:color="auto" w:fill="FFFFFF" w:themeFill="background1"/>
            <w:tcMar>
              <w:left w:w="57" w:type="dxa"/>
              <w:right w:w="57" w:type="dxa"/>
            </w:tcMar>
            <w:vAlign w:val="center"/>
          </w:tcPr>
          <w:p w14:paraId="3D6C90D1" w14:textId="5C03337C" w:rsidR="00B40F47" w:rsidRPr="00BB75C5" w:rsidRDefault="00183438" w:rsidP="00D8598B">
            <w:pPr>
              <w:pStyle w:val="enumlev1"/>
              <w:tabs>
                <w:tab w:val="clear" w:pos="567"/>
                <w:tab w:val="left" w:pos="366"/>
              </w:tabs>
              <w:spacing w:before="40" w:after="40"/>
              <w:ind w:left="366" w:hanging="366"/>
            </w:pPr>
            <w:r w:rsidRPr="00BB75C5">
              <w:rPr>
                <w:sz w:val="20"/>
                <w:szCs w:val="16"/>
              </w:rPr>
              <w:t>–</w:t>
            </w:r>
            <w:r w:rsidR="00B40F47" w:rsidRPr="00BB75C5">
              <w:rPr>
                <w:sz w:val="20"/>
                <w:szCs w:val="16"/>
              </w:rPr>
              <w:tab/>
              <w:t>Rapport coût-efficacité des programmes linguistique</w:t>
            </w:r>
            <w:r w:rsidR="00445B53" w:rsidRPr="00BB75C5">
              <w:rPr>
                <w:sz w:val="20"/>
                <w:szCs w:val="16"/>
              </w:rPr>
              <w:t>.</w:t>
            </w:r>
          </w:p>
        </w:tc>
        <w:tc>
          <w:tcPr>
            <w:tcW w:w="2773" w:type="pct"/>
            <w:shd w:val="clear" w:color="auto" w:fill="FFFFFF" w:themeFill="background1"/>
            <w:tcMar>
              <w:left w:w="57" w:type="dxa"/>
              <w:right w:w="57" w:type="dxa"/>
            </w:tcMar>
          </w:tcPr>
          <w:p w14:paraId="08FC68E3" w14:textId="44D85FE7" w:rsidR="00B40F47" w:rsidRPr="00BB75C5" w:rsidRDefault="00B40F47" w:rsidP="007843C9">
            <w:pPr>
              <w:pStyle w:val="Tabletext"/>
              <w:rPr>
                <w:sz w:val="20"/>
              </w:rPr>
            </w:pPr>
            <w:r w:rsidRPr="00BB75C5">
              <w:rPr>
                <w:sz w:val="20"/>
              </w:rPr>
              <w:t>Le partenariat renforcé avec l</w:t>
            </w:r>
            <w:r w:rsidR="00506749" w:rsidRPr="00BB75C5">
              <w:rPr>
                <w:sz w:val="20"/>
              </w:rPr>
              <w:t>'</w:t>
            </w:r>
            <w:r w:rsidRPr="00BB75C5">
              <w:rPr>
                <w:sz w:val="20"/>
              </w:rPr>
              <w:t>ONUG a permis d</w:t>
            </w:r>
            <w:r w:rsidR="00506749" w:rsidRPr="00BB75C5">
              <w:rPr>
                <w:sz w:val="20"/>
              </w:rPr>
              <w:t>'</w:t>
            </w:r>
            <w:r w:rsidRPr="00BB75C5">
              <w:rPr>
                <w:sz w:val="20"/>
              </w:rPr>
              <w:t>élargir les possibilités d</w:t>
            </w:r>
            <w:r w:rsidR="00506749" w:rsidRPr="00BB75C5">
              <w:rPr>
                <w:sz w:val="20"/>
              </w:rPr>
              <w:t>'</w:t>
            </w:r>
            <w:r w:rsidRPr="00BB75C5">
              <w:rPr>
                <w:sz w:val="20"/>
              </w:rPr>
              <w:t>apprentissage linguistique de deux à trois trimestres par an, permettant à</w:t>
            </w:r>
            <w:r w:rsidR="00E730C6" w:rsidRPr="00BB75C5">
              <w:rPr>
                <w:sz w:val="20"/>
              </w:rPr>
              <w:t> </w:t>
            </w:r>
            <w:r w:rsidRPr="00BB75C5">
              <w:rPr>
                <w:sz w:val="20"/>
              </w:rPr>
              <w:t>davantage de collègues d</w:t>
            </w:r>
            <w:r w:rsidR="00506749" w:rsidRPr="00BB75C5">
              <w:rPr>
                <w:sz w:val="20"/>
              </w:rPr>
              <w:t>'</w:t>
            </w:r>
            <w:r w:rsidRPr="00BB75C5">
              <w:rPr>
                <w:sz w:val="20"/>
              </w:rPr>
              <w:t>améliorer leurs compétences linguistiques au service de l</w:t>
            </w:r>
            <w:r w:rsidR="00506749" w:rsidRPr="00BB75C5">
              <w:rPr>
                <w:sz w:val="20"/>
              </w:rPr>
              <w:t>'</w:t>
            </w:r>
            <w:r w:rsidRPr="00BB75C5">
              <w:rPr>
                <w:sz w:val="20"/>
              </w:rPr>
              <w:t>efficacité organisationnelle et de la fourniture de services multilingues.</w:t>
            </w:r>
          </w:p>
          <w:p w14:paraId="56508077" w14:textId="6C88316D" w:rsidR="00B40F47" w:rsidRPr="00BB75C5" w:rsidRDefault="00B40F47" w:rsidP="007843C9">
            <w:pPr>
              <w:pStyle w:val="Tabletext"/>
              <w:rPr>
                <w:sz w:val="20"/>
              </w:rPr>
            </w:pPr>
            <w:r w:rsidRPr="00BB75C5">
              <w:rPr>
                <w:sz w:val="20"/>
              </w:rPr>
              <w:t>En 2025, la participation a augmenté (41 participants au premier trimestre, 53</w:t>
            </w:r>
            <w:r w:rsidR="00E730C6" w:rsidRPr="00BB75C5">
              <w:rPr>
                <w:sz w:val="20"/>
              </w:rPr>
              <w:t> </w:t>
            </w:r>
            <w:r w:rsidRPr="00BB75C5">
              <w:rPr>
                <w:sz w:val="20"/>
              </w:rPr>
              <w:t>participants au deuxième trimestre et 68 participants au troisième trimestre), ce qui témoigne d</w:t>
            </w:r>
            <w:r w:rsidR="00506749" w:rsidRPr="00BB75C5">
              <w:rPr>
                <w:sz w:val="20"/>
              </w:rPr>
              <w:t>'</w:t>
            </w:r>
            <w:r w:rsidRPr="00BB75C5">
              <w:rPr>
                <w:sz w:val="20"/>
              </w:rPr>
              <w:t>un intérêt et d</w:t>
            </w:r>
            <w:r w:rsidR="00506749" w:rsidRPr="00BB75C5">
              <w:rPr>
                <w:sz w:val="20"/>
              </w:rPr>
              <w:t>'</w:t>
            </w:r>
            <w:r w:rsidRPr="00BB75C5">
              <w:rPr>
                <w:sz w:val="20"/>
              </w:rPr>
              <w:t>un engagement croissants.</w:t>
            </w:r>
          </w:p>
          <w:p w14:paraId="695D3151" w14:textId="06BFB48B" w:rsidR="00B40F47" w:rsidRPr="00BB75C5" w:rsidRDefault="00B40F47" w:rsidP="007843C9">
            <w:pPr>
              <w:pStyle w:val="Tabletext"/>
              <w:rPr>
                <w:sz w:val="20"/>
              </w:rPr>
            </w:pPr>
            <w:r w:rsidRPr="00BB75C5">
              <w:rPr>
                <w:sz w:val="20"/>
              </w:rPr>
              <w:t>Il est important de noter que cette expansion et cette augmentation ont été entièrement absorbées par le budget existant pour l</w:t>
            </w:r>
            <w:r w:rsidR="00506749" w:rsidRPr="00BB75C5">
              <w:rPr>
                <w:sz w:val="20"/>
              </w:rPr>
              <w:t>'</w:t>
            </w:r>
            <w:r w:rsidRPr="00BB75C5">
              <w:rPr>
                <w:sz w:val="20"/>
              </w:rPr>
              <w:t>apprentissage des langues, qui n</w:t>
            </w:r>
            <w:r w:rsidR="00506749" w:rsidRPr="00BB75C5">
              <w:rPr>
                <w:sz w:val="20"/>
              </w:rPr>
              <w:t>'</w:t>
            </w:r>
            <w:r w:rsidRPr="00BB75C5">
              <w:rPr>
                <w:sz w:val="20"/>
              </w:rPr>
              <w:t>a pas été augmenté ces dernières années et a même été réduit de 50% en</w:t>
            </w:r>
            <w:r w:rsidR="00714616" w:rsidRPr="00BB75C5">
              <w:rPr>
                <w:sz w:val="20"/>
              </w:rPr>
              <w:t> </w:t>
            </w:r>
            <w:r w:rsidRPr="00BB75C5">
              <w:rPr>
                <w:sz w:val="20"/>
              </w:rPr>
              <w:t>2026.</w:t>
            </w:r>
          </w:p>
        </w:tc>
      </w:tr>
      <w:tr w:rsidR="00183438" w:rsidRPr="00BB75C5" w14:paraId="76F1DB93" w14:textId="77777777" w:rsidTr="00EA1B9B">
        <w:trPr>
          <w:trHeight w:val="20"/>
        </w:trPr>
        <w:tc>
          <w:tcPr>
            <w:tcW w:w="118" w:type="pct"/>
            <w:shd w:val="clear" w:color="auto" w:fill="FFFFFF" w:themeFill="background1"/>
            <w:tcMar>
              <w:left w:w="57" w:type="dxa"/>
              <w:right w:w="57" w:type="dxa"/>
            </w:tcMar>
            <w:vAlign w:val="center"/>
          </w:tcPr>
          <w:p w14:paraId="406D34BA" w14:textId="77777777" w:rsidR="00B40F47" w:rsidRPr="00BB75C5" w:rsidRDefault="00B40F47" w:rsidP="00D8598B">
            <w:pPr>
              <w:pStyle w:val="Tabletext"/>
              <w:jc w:val="center"/>
              <w:rPr>
                <w:b/>
                <w:bCs/>
                <w:sz w:val="20"/>
              </w:rPr>
            </w:pPr>
            <w:r w:rsidRPr="00BB75C5">
              <w:rPr>
                <w:b/>
                <w:bCs/>
                <w:sz w:val="20"/>
              </w:rPr>
              <w:t>14</w:t>
            </w:r>
          </w:p>
        </w:tc>
        <w:tc>
          <w:tcPr>
            <w:tcW w:w="570" w:type="pct"/>
            <w:shd w:val="clear" w:color="auto" w:fill="FFFFFF" w:themeFill="background1"/>
            <w:tcMar>
              <w:left w:w="57" w:type="dxa"/>
              <w:right w:w="57" w:type="dxa"/>
            </w:tcMar>
            <w:vAlign w:val="center"/>
          </w:tcPr>
          <w:p w14:paraId="388C9D09" w14:textId="77777777" w:rsidR="00B40F47" w:rsidRPr="00BB75C5" w:rsidRDefault="00B40F47" w:rsidP="00D8598B">
            <w:pPr>
              <w:pStyle w:val="Tabletext"/>
              <w:rPr>
                <w:sz w:val="20"/>
              </w:rPr>
            </w:pPr>
            <w:r w:rsidRPr="00BB75C5">
              <w:rPr>
                <w:sz w:val="20"/>
              </w:rPr>
              <w:t>Formation et perfectionnement</w:t>
            </w:r>
          </w:p>
        </w:tc>
        <w:tc>
          <w:tcPr>
            <w:tcW w:w="1539" w:type="pct"/>
            <w:shd w:val="clear" w:color="auto" w:fill="FFFFFF" w:themeFill="background1"/>
            <w:tcMar>
              <w:left w:w="57" w:type="dxa"/>
              <w:right w:w="57" w:type="dxa"/>
            </w:tcMar>
            <w:vAlign w:val="center"/>
            <w:hideMark/>
          </w:tcPr>
          <w:p w14:paraId="05713778" w14:textId="4B98AEC9" w:rsidR="00B40F47" w:rsidRPr="00BB75C5" w:rsidRDefault="00183438" w:rsidP="00D8598B">
            <w:pPr>
              <w:pStyle w:val="enumlev1"/>
              <w:tabs>
                <w:tab w:val="clear" w:pos="567"/>
                <w:tab w:val="left" w:pos="366"/>
              </w:tabs>
              <w:spacing w:before="40" w:after="40"/>
              <w:ind w:left="366" w:hanging="366"/>
              <w:rPr>
                <w:sz w:val="20"/>
                <w:szCs w:val="16"/>
              </w:rPr>
            </w:pPr>
            <w:r w:rsidRPr="00BB75C5">
              <w:rPr>
                <w:sz w:val="20"/>
                <w:szCs w:val="16"/>
              </w:rPr>
              <w:t>–</w:t>
            </w:r>
            <w:r w:rsidR="00B40F47" w:rsidRPr="00BB75C5">
              <w:rPr>
                <w:sz w:val="20"/>
                <w:szCs w:val="16"/>
              </w:rPr>
              <w:tab/>
              <w:t>Nombre de séances d'intégration organisées (taux de participation du personnel nouvellement recruté)</w:t>
            </w:r>
            <w:r w:rsidR="00445B53" w:rsidRPr="00BB75C5">
              <w:rPr>
                <w:sz w:val="20"/>
                <w:szCs w:val="16"/>
              </w:rPr>
              <w:t>.</w:t>
            </w:r>
          </w:p>
        </w:tc>
        <w:tc>
          <w:tcPr>
            <w:tcW w:w="2773" w:type="pct"/>
            <w:shd w:val="clear" w:color="auto" w:fill="FFFFFF" w:themeFill="background1"/>
            <w:tcMar>
              <w:left w:w="57" w:type="dxa"/>
              <w:right w:w="57" w:type="dxa"/>
            </w:tcMar>
          </w:tcPr>
          <w:p w14:paraId="636997DC" w14:textId="0F964F5C" w:rsidR="00B40F47" w:rsidRPr="00BB75C5" w:rsidRDefault="00B40F47" w:rsidP="00D5721B">
            <w:pPr>
              <w:pStyle w:val="Tabletext"/>
              <w:spacing w:after="120"/>
              <w:rPr>
                <w:sz w:val="20"/>
              </w:rPr>
            </w:pPr>
            <w:r w:rsidRPr="00BB75C5">
              <w:rPr>
                <w:sz w:val="20"/>
              </w:rPr>
              <w:t>En 2025, deux programmes d'intégration ont été organisés (avec, pour</w:t>
            </w:r>
            <w:r w:rsidR="00506749" w:rsidRPr="00BB75C5">
              <w:rPr>
                <w:sz w:val="20"/>
              </w:rPr>
              <w:t> </w:t>
            </w:r>
            <w:r w:rsidRPr="00BB75C5">
              <w:rPr>
                <w:sz w:val="20"/>
              </w:rPr>
              <w:t>chacun, 4</w:t>
            </w:r>
            <w:r w:rsidR="00714616" w:rsidRPr="00BB75C5">
              <w:rPr>
                <w:sz w:val="20"/>
              </w:rPr>
              <w:t> </w:t>
            </w:r>
            <w:r w:rsidRPr="00BB75C5">
              <w:rPr>
                <w:sz w:val="20"/>
              </w:rPr>
              <w:t>séances d'une demi-journée) au profit de 110</w:t>
            </w:r>
            <w:r w:rsidR="00506749" w:rsidRPr="00BB75C5">
              <w:rPr>
                <w:sz w:val="20"/>
              </w:rPr>
              <w:t> </w:t>
            </w:r>
            <w:r w:rsidRPr="00BB75C5">
              <w:rPr>
                <w:sz w:val="20"/>
              </w:rPr>
              <w:t>membres du personnel, consultants (SSA) et stagiaires nouvellement recrutés.</w:t>
            </w:r>
          </w:p>
          <w:p w14:paraId="64F3C5A3" w14:textId="1FF63E74" w:rsidR="00B40F47" w:rsidRPr="00BB75C5" w:rsidRDefault="00B40F47" w:rsidP="00EA1B9B">
            <w:pPr>
              <w:pStyle w:val="Tabletext"/>
              <w:keepLines/>
              <w:rPr>
                <w:sz w:val="20"/>
              </w:rPr>
            </w:pPr>
            <w:r w:rsidRPr="00BB75C5">
              <w:rPr>
                <w:sz w:val="20"/>
              </w:rPr>
              <w:lastRenderedPageBreak/>
              <w:t>Ces séances ont joué un rôle essentiel pour appuyer l'intégration de ces personnes dans l'organisation, renforcer les valeurs et les normes institutionnelles et garantir une compréhension partagée des politiques, des procédures et des attentes dès le commencement.</w:t>
            </w:r>
          </w:p>
        </w:tc>
      </w:tr>
      <w:tr w:rsidR="00183438" w:rsidRPr="00BB75C5" w14:paraId="4B81DAD8" w14:textId="77777777" w:rsidTr="00EA1B9B">
        <w:trPr>
          <w:trHeight w:val="787"/>
        </w:trPr>
        <w:tc>
          <w:tcPr>
            <w:tcW w:w="118" w:type="pct"/>
            <w:shd w:val="clear" w:color="auto" w:fill="FFFFFF" w:themeFill="background1"/>
            <w:tcMar>
              <w:left w:w="57" w:type="dxa"/>
              <w:right w:w="57" w:type="dxa"/>
            </w:tcMar>
            <w:vAlign w:val="center"/>
          </w:tcPr>
          <w:p w14:paraId="37817CAE" w14:textId="076DE92A" w:rsidR="00B40F47" w:rsidRPr="00BB75C5" w:rsidRDefault="00B40F47" w:rsidP="00D8598B">
            <w:pPr>
              <w:pStyle w:val="Tabletext"/>
              <w:jc w:val="center"/>
              <w:rPr>
                <w:b/>
                <w:bCs/>
                <w:sz w:val="20"/>
              </w:rPr>
            </w:pPr>
            <w:r w:rsidRPr="00BB75C5">
              <w:rPr>
                <w:b/>
                <w:bCs/>
                <w:sz w:val="20"/>
              </w:rPr>
              <w:lastRenderedPageBreak/>
              <w:t>1</w:t>
            </w:r>
            <w:r w:rsidR="00714616" w:rsidRPr="00BB75C5">
              <w:rPr>
                <w:b/>
                <w:bCs/>
                <w:sz w:val="20"/>
              </w:rPr>
              <w:t>5</w:t>
            </w:r>
          </w:p>
        </w:tc>
        <w:tc>
          <w:tcPr>
            <w:tcW w:w="570" w:type="pct"/>
            <w:shd w:val="clear" w:color="auto" w:fill="FFFFFF" w:themeFill="background1"/>
            <w:tcMar>
              <w:left w:w="57" w:type="dxa"/>
              <w:right w:w="57" w:type="dxa"/>
            </w:tcMar>
            <w:vAlign w:val="center"/>
          </w:tcPr>
          <w:p w14:paraId="7D98F6CC" w14:textId="77777777" w:rsidR="00B40F47" w:rsidRPr="00BB75C5" w:rsidRDefault="00B40F47" w:rsidP="00D8598B">
            <w:pPr>
              <w:pStyle w:val="Tabletext"/>
              <w:rPr>
                <w:sz w:val="20"/>
              </w:rPr>
            </w:pPr>
            <w:r w:rsidRPr="00BB75C5">
              <w:rPr>
                <w:sz w:val="20"/>
              </w:rPr>
              <w:t>Politiques RH</w:t>
            </w:r>
          </w:p>
        </w:tc>
        <w:tc>
          <w:tcPr>
            <w:tcW w:w="1539" w:type="pct"/>
            <w:shd w:val="clear" w:color="auto" w:fill="FFFFFF" w:themeFill="background1"/>
            <w:tcMar>
              <w:left w:w="57" w:type="dxa"/>
              <w:right w:w="57" w:type="dxa"/>
            </w:tcMar>
            <w:vAlign w:val="center"/>
          </w:tcPr>
          <w:p w14:paraId="7040FD46" w14:textId="42A8374D" w:rsidR="00B40F47" w:rsidRPr="00BB75C5" w:rsidRDefault="00183438" w:rsidP="00D8598B">
            <w:pPr>
              <w:pStyle w:val="enumlev1"/>
              <w:tabs>
                <w:tab w:val="clear" w:pos="567"/>
                <w:tab w:val="left" w:pos="366"/>
              </w:tabs>
              <w:spacing w:before="40" w:after="40"/>
              <w:ind w:left="366" w:hanging="366"/>
              <w:rPr>
                <w:sz w:val="20"/>
              </w:rPr>
            </w:pPr>
            <w:r w:rsidRPr="00BB75C5">
              <w:rPr>
                <w:sz w:val="20"/>
                <w:szCs w:val="16"/>
              </w:rPr>
              <w:t>–</w:t>
            </w:r>
            <w:r w:rsidR="00B40F47" w:rsidRPr="00BB75C5">
              <w:rPr>
                <w:sz w:val="20"/>
                <w:szCs w:val="16"/>
              </w:rPr>
              <w:tab/>
              <w:t>Examen et mise à jour des politiques et des ordres de service sur les RH</w:t>
            </w:r>
            <w:r w:rsidR="00445B53" w:rsidRPr="00BB75C5">
              <w:rPr>
                <w:sz w:val="20"/>
                <w:szCs w:val="16"/>
              </w:rPr>
              <w:t>.</w:t>
            </w:r>
          </w:p>
        </w:tc>
        <w:tc>
          <w:tcPr>
            <w:tcW w:w="2773" w:type="pct"/>
            <w:shd w:val="clear" w:color="auto" w:fill="FFFFFF" w:themeFill="background1"/>
            <w:tcMar>
              <w:left w:w="57" w:type="dxa"/>
              <w:right w:w="57" w:type="dxa"/>
            </w:tcMar>
          </w:tcPr>
          <w:p w14:paraId="0841485D" w14:textId="77777777" w:rsidR="00B40F47" w:rsidRPr="00BB75C5" w:rsidRDefault="00B40F47" w:rsidP="007843C9">
            <w:pPr>
              <w:pStyle w:val="Tabletext"/>
              <w:rPr>
                <w:sz w:val="20"/>
              </w:rPr>
            </w:pPr>
            <w:r w:rsidRPr="00BB75C5">
              <w:rPr>
                <w:sz w:val="20"/>
              </w:rPr>
              <w:t>Dix-sept lignes directrices, politiques/ordres de service nouveaux ou révisés sur des questions liées aux RH ont été publiés (notamment sur la formation obligatoire, l'ombudsman, le système de justice interne, les traitements et le classement des emplois, le paiement des heures supplémentaires pour les fonctionnaires de la catégorie des services généraux, les jours fériés officiels pour les bureaux régionaux, la rémunération des contrats SSA et l'emploi des retraités, les horaires de travail et les modalités de travail flexibles).</w:t>
            </w:r>
          </w:p>
        </w:tc>
      </w:tr>
      <w:tr w:rsidR="00183438" w:rsidRPr="00BB75C5" w14:paraId="136ABE14" w14:textId="77777777" w:rsidTr="00EA1B9B">
        <w:trPr>
          <w:trHeight w:val="383"/>
        </w:trPr>
        <w:tc>
          <w:tcPr>
            <w:tcW w:w="118" w:type="pct"/>
            <w:shd w:val="clear" w:color="auto" w:fill="FFFFFF" w:themeFill="background1"/>
            <w:tcMar>
              <w:left w:w="57" w:type="dxa"/>
              <w:right w:w="57" w:type="dxa"/>
            </w:tcMar>
            <w:vAlign w:val="center"/>
          </w:tcPr>
          <w:p w14:paraId="4FB5801C" w14:textId="77777777" w:rsidR="00B40F47" w:rsidRPr="00BB75C5" w:rsidRDefault="00B40F47" w:rsidP="00D8598B">
            <w:pPr>
              <w:pStyle w:val="Tabletext"/>
              <w:jc w:val="center"/>
              <w:rPr>
                <w:b/>
                <w:bCs/>
                <w:sz w:val="20"/>
              </w:rPr>
            </w:pPr>
            <w:r w:rsidRPr="00BB75C5">
              <w:rPr>
                <w:b/>
                <w:bCs/>
                <w:sz w:val="20"/>
              </w:rPr>
              <w:t>16</w:t>
            </w:r>
          </w:p>
        </w:tc>
        <w:tc>
          <w:tcPr>
            <w:tcW w:w="570" w:type="pct"/>
            <w:shd w:val="clear" w:color="auto" w:fill="FFFFFF" w:themeFill="background1"/>
            <w:tcMar>
              <w:left w:w="57" w:type="dxa"/>
              <w:right w:w="57" w:type="dxa"/>
            </w:tcMar>
            <w:vAlign w:val="center"/>
          </w:tcPr>
          <w:p w14:paraId="0100A4BE" w14:textId="77777777" w:rsidR="00B40F47" w:rsidRPr="00BB75C5" w:rsidRDefault="00B40F47" w:rsidP="00D8598B">
            <w:pPr>
              <w:pStyle w:val="Tabletext"/>
              <w:rPr>
                <w:sz w:val="20"/>
              </w:rPr>
            </w:pPr>
            <w:r w:rsidRPr="00BB75C5">
              <w:rPr>
                <w:sz w:val="20"/>
              </w:rPr>
              <w:t>Politiques RH</w:t>
            </w:r>
          </w:p>
        </w:tc>
        <w:tc>
          <w:tcPr>
            <w:tcW w:w="1539" w:type="pct"/>
            <w:shd w:val="clear" w:color="auto" w:fill="FFFFFF" w:themeFill="background1"/>
            <w:tcMar>
              <w:left w:w="57" w:type="dxa"/>
              <w:right w:w="57" w:type="dxa"/>
            </w:tcMar>
            <w:vAlign w:val="center"/>
          </w:tcPr>
          <w:p w14:paraId="10BCB616" w14:textId="2000D367" w:rsidR="00B40F47" w:rsidRPr="00BB75C5" w:rsidRDefault="00183438" w:rsidP="00D8598B">
            <w:pPr>
              <w:pStyle w:val="enumlev1"/>
              <w:tabs>
                <w:tab w:val="clear" w:pos="567"/>
                <w:tab w:val="left" w:pos="366"/>
              </w:tabs>
              <w:spacing w:before="40" w:after="40"/>
              <w:ind w:left="366" w:hanging="366"/>
              <w:rPr>
                <w:sz w:val="20"/>
              </w:rPr>
            </w:pPr>
            <w:r w:rsidRPr="00BB75C5">
              <w:rPr>
                <w:sz w:val="20"/>
                <w:szCs w:val="16"/>
              </w:rPr>
              <w:t>–</w:t>
            </w:r>
            <w:r w:rsidR="00B40F47" w:rsidRPr="00BB75C5">
              <w:rPr>
                <w:sz w:val="20"/>
                <w:szCs w:val="16"/>
              </w:rPr>
              <w:tab/>
              <w:t>Politiques en cours d'examen</w:t>
            </w:r>
            <w:r w:rsidR="00445B53" w:rsidRPr="00BB75C5">
              <w:rPr>
                <w:sz w:val="20"/>
                <w:szCs w:val="16"/>
              </w:rPr>
              <w:t>.</w:t>
            </w:r>
          </w:p>
        </w:tc>
        <w:tc>
          <w:tcPr>
            <w:tcW w:w="2773" w:type="pct"/>
            <w:shd w:val="clear" w:color="auto" w:fill="FFFFFF" w:themeFill="background1"/>
            <w:tcMar>
              <w:left w:w="57" w:type="dxa"/>
              <w:right w:w="57" w:type="dxa"/>
            </w:tcMar>
          </w:tcPr>
          <w:p w14:paraId="32A23227" w14:textId="1BDA124B" w:rsidR="00B40F47" w:rsidRPr="00BB75C5" w:rsidRDefault="00B40F47" w:rsidP="007843C9">
            <w:pPr>
              <w:pStyle w:val="Tabletext"/>
              <w:rPr>
                <w:sz w:val="20"/>
              </w:rPr>
            </w:pPr>
            <w:r w:rsidRPr="00BB75C5">
              <w:rPr>
                <w:sz w:val="20"/>
              </w:rPr>
              <w:t>Onze politiques en cours d'examen (y compris sur les consultants, le</w:t>
            </w:r>
            <w:r w:rsidR="00714616" w:rsidRPr="00BB75C5">
              <w:rPr>
                <w:sz w:val="20"/>
              </w:rPr>
              <w:t> </w:t>
            </w:r>
            <w:r w:rsidRPr="00BB75C5">
              <w:rPr>
                <w:sz w:val="20"/>
              </w:rPr>
              <w:t>recrutement,</w:t>
            </w:r>
            <w:r w:rsidR="00714616" w:rsidRPr="00BB75C5">
              <w:rPr>
                <w:sz w:val="20"/>
              </w:rPr>
              <w:t> </w:t>
            </w:r>
            <w:r w:rsidRPr="00BB75C5">
              <w:rPr>
                <w:sz w:val="20"/>
              </w:rPr>
              <w:t>etc.)</w:t>
            </w:r>
          </w:p>
        </w:tc>
      </w:tr>
      <w:tr w:rsidR="00183438" w:rsidRPr="00BB75C5" w14:paraId="625AEDE1" w14:textId="77777777" w:rsidTr="00EA1B9B">
        <w:trPr>
          <w:trHeight w:val="20"/>
        </w:trPr>
        <w:tc>
          <w:tcPr>
            <w:tcW w:w="118" w:type="pct"/>
            <w:shd w:val="clear" w:color="auto" w:fill="FFFFFF" w:themeFill="background1"/>
            <w:tcMar>
              <w:left w:w="57" w:type="dxa"/>
              <w:right w:w="57" w:type="dxa"/>
            </w:tcMar>
            <w:vAlign w:val="center"/>
          </w:tcPr>
          <w:p w14:paraId="010AAE11" w14:textId="77777777" w:rsidR="00B40F47" w:rsidRPr="00BB75C5" w:rsidRDefault="00B40F47" w:rsidP="00D8598B">
            <w:pPr>
              <w:pStyle w:val="Tabletext"/>
              <w:jc w:val="center"/>
              <w:rPr>
                <w:b/>
                <w:bCs/>
                <w:sz w:val="20"/>
              </w:rPr>
            </w:pPr>
            <w:r w:rsidRPr="00BB75C5">
              <w:rPr>
                <w:b/>
                <w:bCs/>
                <w:sz w:val="20"/>
              </w:rPr>
              <w:t>17</w:t>
            </w:r>
          </w:p>
        </w:tc>
        <w:tc>
          <w:tcPr>
            <w:tcW w:w="570" w:type="pct"/>
            <w:shd w:val="clear" w:color="auto" w:fill="FFFFFF" w:themeFill="background1"/>
            <w:tcMar>
              <w:left w:w="57" w:type="dxa"/>
              <w:right w:w="57" w:type="dxa"/>
            </w:tcMar>
            <w:vAlign w:val="center"/>
          </w:tcPr>
          <w:p w14:paraId="11C48521" w14:textId="77777777" w:rsidR="00B40F47" w:rsidRPr="00BB75C5" w:rsidRDefault="00B40F47" w:rsidP="00D8598B">
            <w:pPr>
              <w:pStyle w:val="Tabletext"/>
              <w:rPr>
                <w:sz w:val="20"/>
              </w:rPr>
            </w:pPr>
            <w:r w:rsidRPr="00BB75C5">
              <w:rPr>
                <w:sz w:val="20"/>
              </w:rPr>
              <w:t>Données et suivi</w:t>
            </w:r>
          </w:p>
        </w:tc>
        <w:tc>
          <w:tcPr>
            <w:tcW w:w="1539" w:type="pct"/>
            <w:shd w:val="clear" w:color="auto" w:fill="FFFFFF" w:themeFill="background1"/>
            <w:tcMar>
              <w:left w:w="57" w:type="dxa"/>
              <w:right w:w="57" w:type="dxa"/>
            </w:tcMar>
            <w:vAlign w:val="center"/>
          </w:tcPr>
          <w:p w14:paraId="3B33EEA3" w14:textId="4D446C51" w:rsidR="00B40F47" w:rsidRPr="00BB75C5" w:rsidRDefault="00183438" w:rsidP="00D8598B">
            <w:pPr>
              <w:pStyle w:val="enumlev1"/>
              <w:tabs>
                <w:tab w:val="clear" w:pos="567"/>
                <w:tab w:val="left" w:pos="366"/>
              </w:tabs>
              <w:spacing w:before="40" w:after="40"/>
              <w:ind w:left="366" w:hanging="366"/>
              <w:rPr>
                <w:sz w:val="20"/>
              </w:rPr>
            </w:pPr>
            <w:r w:rsidRPr="00BB75C5">
              <w:rPr>
                <w:sz w:val="20"/>
                <w:szCs w:val="16"/>
              </w:rPr>
              <w:t>–</w:t>
            </w:r>
            <w:r w:rsidR="00B40F47" w:rsidRPr="00BB75C5">
              <w:rPr>
                <w:sz w:val="20"/>
                <w:szCs w:val="16"/>
              </w:rPr>
              <w:tab/>
              <w:t>Accès au tableau de bord RH d'analyse des effectifs</w:t>
            </w:r>
            <w:r w:rsidR="00445B53" w:rsidRPr="00BB75C5">
              <w:rPr>
                <w:sz w:val="20"/>
                <w:szCs w:val="16"/>
              </w:rPr>
              <w:t>.</w:t>
            </w:r>
          </w:p>
        </w:tc>
        <w:tc>
          <w:tcPr>
            <w:tcW w:w="2773" w:type="pct"/>
            <w:shd w:val="clear" w:color="auto" w:fill="FFFFFF" w:themeFill="background1"/>
            <w:tcMar>
              <w:left w:w="57" w:type="dxa"/>
              <w:right w:w="57" w:type="dxa"/>
            </w:tcMar>
          </w:tcPr>
          <w:p w14:paraId="5256ADEB" w14:textId="4DBD48B4" w:rsidR="00B40F47" w:rsidRPr="00BB75C5" w:rsidRDefault="00B40F47" w:rsidP="007843C9">
            <w:pPr>
              <w:pStyle w:val="Tabletext"/>
              <w:rPr>
                <w:rFonts w:eastAsia="Malgun Gothic"/>
                <w:sz w:val="20"/>
              </w:rPr>
            </w:pPr>
            <w:r w:rsidRPr="00BB75C5">
              <w:rPr>
                <w:sz w:val="20"/>
              </w:rPr>
              <w:t xml:space="preserve">Tous les fonctionnaires et les </w:t>
            </w:r>
            <w:r w:rsidR="00714616" w:rsidRPr="00BB75C5">
              <w:rPr>
                <w:rFonts w:cs="Calibri"/>
                <w:sz w:val="20"/>
              </w:rPr>
              <w:t>É</w:t>
            </w:r>
            <w:r w:rsidRPr="00BB75C5">
              <w:rPr>
                <w:sz w:val="20"/>
              </w:rPr>
              <w:t>tats Membres titulaires d'un compte TIES ont accès à ce tableau de bord.</w:t>
            </w:r>
          </w:p>
        </w:tc>
      </w:tr>
      <w:tr w:rsidR="00183438" w:rsidRPr="00BB75C5" w14:paraId="71CD3F69" w14:textId="77777777" w:rsidTr="00EA1B9B">
        <w:trPr>
          <w:trHeight w:val="20"/>
        </w:trPr>
        <w:tc>
          <w:tcPr>
            <w:tcW w:w="118" w:type="pct"/>
            <w:shd w:val="clear" w:color="auto" w:fill="FFFFFF" w:themeFill="background1"/>
            <w:tcMar>
              <w:left w:w="57" w:type="dxa"/>
              <w:right w:w="57" w:type="dxa"/>
            </w:tcMar>
            <w:vAlign w:val="center"/>
          </w:tcPr>
          <w:p w14:paraId="5564C4F3" w14:textId="77777777" w:rsidR="00B40F47" w:rsidRPr="00BB75C5" w:rsidRDefault="00B40F47" w:rsidP="00D8598B">
            <w:pPr>
              <w:pStyle w:val="Tabletext"/>
              <w:jc w:val="center"/>
              <w:rPr>
                <w:b/>
                <w:bCs/>
                <w:sz w:val="20"/>
              </w:rPr>
            </w:pPr>
            <w:r w:rsidRPr="00BB75C5">
              <w:rPr>
                <w:b/>
                <w:bCs/>
                <w:sz w:val="20"/>
              </w:rPr>
              <w:t>18</w:t>
            </w:r>
          </w:p>
        </w:tc>
        <w:tc>
          <w:tcPr>
            <w:tcW w:w="570" w:type="pct"/>
            <w:shd w:val="clear" w:color="auto" w:fill="FFFFFF" w:themeFill="background1"/>
            <w:tcMar>
              <w:left w:w="57" w:type="dxa"/>
              <w:right w:w="57" w:type="dxa"/>
            </w:tcMar>
            <w:vAlign w:val="center"/>
          </w:tcPr>
          <w:p w14:paraId="15E493EB" w14:textId="77777777" w:rsidR="00B40F47" w:rsidRPr="00BB75C5" w:rsidRDefault="00B40F47" w:rsidP="00D8598B">
            <w:pPr>
              <w:pStyle w:val="Tabletext"/>
              <w:rPr>
                <w:sz w:val="20"/>
              </w:rPr>
            </w:pPr>
            <w:r w:rsidRPr="00BB75C5">
              <w:rPr>
                <w:sz w:val="20"/>
              </w:rPr>
              <w:t>Données et suivi</w:t>
            </w:r>
          </w:p>
        </w:tc>
        <w:tc>
          <w:tcPr>
            <w:tcW w:w="1539" w:type="pct"/>
            <w:shd w:val="clear" w:color="auto" w:fill="FFFFFF" w:themeFill="background1"/>
            <w:tcMar>
              <w:left w:w="57" w:type="dxa"/>
              <w:right w:w="57" w:type="dxa"/>
            </w:tcMar>
            <w:vAlign w:val="center"/>
          </w:tcPr>
          <w:p w14:paraId="7D0B5896" w14:textId="6BCBD042" w:rsidR="00B40F47" w:rsidRPr="00BB75C5" w:rsidRDefault="00183438" w:rsidP="00D8598B">
            <w:pPr>
              <w:pStyle w:val="enumlev1"/>
              <w:tabs>
                <w:tab w:val="clear" w:pos="567"/>
                <w:tab w:val="left" w:pos="366"/>
              </w:tabs>
              <w:spacing w:before="40" w:after="40"/>
              <w:ind w:left="366" w:hanging="366"/>
              <w:rPr>
                <w:sz w:val="20"/>
              </w:rPr>
            </w:pPr>
            <w:r w:rsidRPr="00BB75C5">
              <w:rPr>
                <w:sz w:val="20"/>
                <w:szCs w:val="16"/>
              </w:rPr>
              <w:t>–</w:t>
            </w:r>
            <w:r w:rsidR="00B40F47" w:rsidRPr="00BB75C5">
              <w:rPr>
                <w:sz w:val="20"/>
                <w:szCs w:val="16"/>
              </w:rPr>
              <w:tab/>
              <w:t>Pourcentage de connexions données établies entre les outils de suivi et les sources de données</w:t>
            </w:r>
            <w:r w:rsidR="00445B53" w:rsidRPr="00BB75C5">
              <w:rPr>
                <w:sz w:val="20"/>
                <w:szCs w:val="16"/>
              </w:rPr>
              <w:t>.</w:t>
            </w:r>
          </w:p>
        </w:tc>
        <w:tc>
          <w:tcPr>
            <w:tcW w:w="2773" w:type="pct"/>
            <w:shd w:val="clear" w:color="auto" w:fill="FFFFFF" w:themeFill="background1"/>
            <w:tcMar>
              <w:left w:w="57" w:type="dxa"/>
              <w:right w:w="57" w:type="dxa"/>
            </w:tcMar>
          </w:tcPr>
          <w:p w14:paraId="375277DE" w14:textId="77777777" w:rsidR="00B40F47" w:rsidRPr="00BB75C5" w:rsidRDefault="00B40F47" w:rsidP="007843C9">
            <w:pPr>
              <w:pStyle w:val="Tabletext"/>
              <w:rPr>
                <w:rFonts w:eastAsia="Malgun Gothic"/>
                <w:sz w:val="20"/>
              </w:rPr>
            </w:pPr>
            <w:r w:rsidRPr="00BB75C5">
              <w:rPr>
                <w:sz w:val="20"/>
              </w:rPr>
              <w:t xml:space="preserve">Pourcentage de connexions données établies entre les outils de suivi et les sources de données: </w:t>
            </w:r>
            <w:r w:rsidRPr="00BB75C5">
              <w:rPr>
                <w:rFonts w:eastAsia="Malgun Gothic"/>
                <w:sz w:val="20"/>
              </w:rPr>
              <w:t>100%.</w:t>
            </w:r>
          </w:p>
        </w:tc>
      </w:tr>
      <w:tr w:rsidR="00183438" w:rsidRPr="00BB75C5" w14:paraId="7893CE70" w14:textId="77777777" w:rsidTr="00EA1B9B">
        <w:trPr>
          <w:trHeight w:val="430"/>
        </w:trPr>
        <w:tc>
          <w:tcPr>
            <w:tcW w:w="118" w:type="pct"/>
            <w:shd w:val="clear" w:color="auto" w:fill="FFFFFF" w:themeFill="background1"/>
            <w:tcMar>
              <w:left w:w="57" w:type="dxa"/>
              <w:right w:w="57" w:type="dxa"/>
            </w:tcMar>
            <w:vAlign w:val="center"/>
          </w:tcPr>
          <w:p w14:paraId="6A068F16" w14:textId="77777777" w:rsidR="00B40F47" w:rsidRPr="00BB75C5" w:rsidRDefault="00B40F47" w:rsidP="00D8598B">
            <w:pPr>
              <w:pStyle w:val="Tabletext"/>
              <w:jc w:val="center"/>
              <w:rPr>
                <w:b/>
                <w:bCs/>
                <w:sz w:val="20"/>
              </w:rPr>
            </w:pPr>
            <w:r w:rsidRPr="00BB75C5">
              <w:rPr>
                <w:b/>
                <w:bCs/>
                <w:sz w:val="20"/>
              </w:rPr>
              <w:t>19</w:t>
            </w:r>
          </w:p>
        </w:tc>
        <w:tc>
          <w:tcPr>
            <w:tcW w:w="570" w:type="pct"/>
            <w:shd w:val="clear" w:color="auto" w:fill="FFFFFF" w:themeFill="background1"/>
            <w:tcMar>
              <w:left w:w="57" w:type="dxa"/>
              <w:right w:w="57" w:type="dxa"/>
            </w:tcMar>
            <w:vAlign w:val="center"/>
          </w:tcPr>
          <w:p w14:paraId="18AC2738" w14:textId="77777777" w:rsidR="00B40F47" w:rsidRPr="00BB75C5" w:rsidRDefault="00B40F47" w:rsidP="00D8598B">
            <w:pPr>
              <w:pStyle w:val="Tabletext"/>
              <w:rPr>
                <w:sz w:val="20"/>
              </w:rPr>
            </w:pPr>
            <w:r w:rsidRPr="00BB75C5">
              <w:rPr>
                <w:sz w:val="20"/>
              </w:rPr>
              <w:t>Données et suivi</w:t>
            </w:r>
          </w:p>
        </w:tc>
        <w:tc>
          <w:tcPr>
            <w:tcW w:w="1539" w:type="pct"/>
            <w:shd w:val="clear" w:color="auto" w:fill="FFFFFF" w:themeFill="background1"/>
            <w:tcMar>
              <w:left w:w="57" w:type="dxa"/>
              <w:right w:w="57" w:type="dxa"/>
            </w:tcMar>
            <w:vAlign w:val="center"/>
          </w:tcPr>
          <w:p w14:paraId="1F695C39" w14:textId="2448B515" w:rsidR="00B40F47" w:rsidRPr="00BB75C5" w:rsidRDefault="00183438" w:rsidP="00D8598B">
            <w:pPr>
              <w:pStyle w:val="enumlev1"/>
              <w:tabs>
                <w:tab w:val="clear" w:pos="567"/>
                <w:tab w:val="left" w:pos="366"/>
              </w:tabs>
              <w:spacing w:before="40" w:after="40"/>
              <w:ind w:left="366" w:hanging="366"/>
              <w:rPr>
                <w:sz w:val="20"/>
              </w:rPr>
            </w:pPr>
            <w:r w:rsidRPr="00BB75C5">
              <w:rPr>
                <w:sz w:val="20"/>
                <w:szCs w:val="16"/>
              </w:rPr>
              <w:t>–</w:t>
            </w:r>
            <w:r w:rsidR="00B40F47" w:rsidRPr="00BB75C5">
              <w:rPr>
                <w:sz w:val="20"/>
                <w:szCs w:val="16"/>
              </w:rPr>
              <w:tab/>
              <w:t>Mise à jour des données sur l'assurance maladie</w:t>
            </w:r>
            <w:r w:rsidR="00445B53" w:rsidRPr="00BB75C5">
              <w:rPr>
                <w:sz w:val="20"/>
                <w:szCs w:val="16"/>
              </w:rPr>
              <w:t>.</w:t>
            </w:r>
          </w:p>
        </w:tc>
        <w:tc>
          <w:tcPr>
            <w:tcW w:w="2773" w:type="pct"/>
            <w:shd w:val="clear" w:color="auto" w:fill="FFFFFF" w:themeFill="background1"/>
            <w:tcMar>
              <w:left w:w="57" w:type="dxa"/>
              <w:right w:w="57" w:type="dxa"/>
            </w:tcMar>
          </w:tcPr>
          <w:p w14:paraId="2803B81F" w14:textId="77777777" w:rsidR="00B40F47" w:rsidRPr="00BB75C5" w:rsidRDefault="00B40F47" w:rsidP="007843C9">
            <w:pPr>
              <w:pStyle w:val="Tabletext"/>
              <w:rPr>
                <w:sz w:val="20"/>
              </w:rPr>
            </w:pPr>
            <w:r w:rsidRPr="00BB75C5">
              <w:rPr>
                <w:sz w:val="20"/>
              </w:rPr>
              <w:t>Examen et mise à jour de plus de 385 dossiers d'assurance maladie SAP.</w:t>
            </w:r>
          </w:p>
          <w:p w14:paraId="31BB46B1" w14:textId="27229EA5" w:rsidR="00B40F47" w:rsidRPr="00BB75C5" w:rsidRDefault="00B40F47" w:rsidP="007843C9">
            <w:pPr>
              <w:pStyle w:val="Tabletext"/>
              <w:rPr>
                <w:sz w:val="20"/>
              </w:rPr>
            </w:pPr>
            <w:r w:rsidRPr="00BB75C5">
              <w:rPr>
                <w:sz w:val="20"/>
              </w:rPr>
              <w:t>Quelque 3</w:t>
            </w:r>
            <w:r w:rsidR="00AD36EB" w:rsidRPr="00BB75C5">
              <w:rPr>
                <w:sz w:val="20"/>
              </w:rPr>
              <w:t> </w:t>
            </w:r>
            <w:r w:rsidRPr="00BB75C5">
              <w:rPr>
                <w:sz w:val="20"/>
              </w:rPr>
              <w:t>074 dossiers d'assurance maladie SAP ont été mis à jour dans le cadre de l'exercice de nettoyage des données réalisé en 2025.</w:t>
            </w:r>
          </w:p>
        </w:tc>
      </w:tr>
      <w:tr w:rsidR="00183438" w:rsidRPr="00BB75C5" w14:paraId="5711C06F" w14:textId="77777777" w:rsidTr="00EA1B9B">
        <w:trPr>
          <w:trHeight w:val="20"/>
        </w:trPr>
        <w:tc>
          <w:tcPr>
            <w:tcW w:w="118" w:type="pct"/>
            <w:shd w:val="clear" w:color="auto" w:fill="FFFFFF" w:themeFill="background1"/>
            <w:tcMar>
              <w:left w:w="57" w:type="dxa"/>
              <w:right w:w="57" w:type="dxa"/>
            </w:tcMar>
            <w:vAlign w:val="center"/>
          </w:tcPr>
          <w:p w14:paraId="59638C3B" w14:textId="77777777" w:rsidR="00B40F47" w:rsidRPr="00BB75C5" w:rsidRDefault="00B40F47" w:rsidP="00D8598B">
            <w:pPr>
              <w:pStyle w:val="Tabletext"/>
              <w:jc w:val="center"/>
              <w:rPr>
                <w:b/>
                <w:bCs/>
                <w:sz w:val="20"/>
              </w:rPr>
            </w:pPr>
            <w:r w:rsidRPr="00BB75C5">
              <w:rPr>
                <w:b/>
                <w:bCs/>
                <w:sz w:val="20"/>
              </w:rPr>
              <w:t>20</w:t>
            </w:r>
          </w:p>
        </w:tc>
        <w:tc>
          <w:tcPr>
            <w:tcW w:w="570" w:type="pct"/>
            <w:shd w:val="clear" w:color="auto" w:fill="FFFFFF" w:themeFill="background1"/>
            <w:tcMar>
              <w:left w:w="57" w:type="dxa"/>
              <w:right w:w="57" w:type="dxa"/>
            </w:tcMar>
            <w:vAlign w:val="center"/>
          </w:tcPr>
          <w:p w14:paraId="5B07A2DA" w14:textId="77777777" w:rsidR="00B40F47" w:rsidRPr="00BB75C5" w:rsidRDefault="00B40F47" w:rsidP="00D8598B">
            <w:pPr>
              <w:pStyle w:val="Tabletext"/>
              <w:rPr>
                <w:sz w:val="20"/>
              </w:rPr>
            </w:pPr>
            <w:r w:rsidRPr="00BB75C5">
              <w:rPr>
                <w:sz w:val="20"/>
              </w:rPr>
              <w:t>Culture et motivation</w:t>
            </w:r>
          </w:p>
        </w:tc>
        <w:tc>
          <w:tcPr>
            <w:tcW w:w="1539" w:type="pct"/>
            <w:shd w:val="clear" w:color="auto" w:fill="FFFFFF" w:themeFill="background1"/>
            <w:tcMar>
              <w:left w:w="57" w:type="dxa"/>
              <w:right w:w="57" w:type="dxa"/>
            </w:tcMar>
            <w:vAlign w:val="center"/>
          </w:tcPr>
          <w:p w14:paraId="4EFF62DB" w14:textId="031B48D1" w:rsidR="00B40F47" w:rsidRPr="00BB75C5" w:rsidRDefault="00183438" w:rsidP="00D8598B">
            <w:pPr>
              <w:pStyle w:val="enumlev1"/>
              <w:tabs>
                <w:tab w:val="clear" w:pos="567"/>
                <w:tab w:val="left" w:pos="366"/>
              </w:tabs>
              <w:spacing w:before="40" w:after="40"/>
              <w:ind w:left="366" w:hanging="366"/>
              <w:rPr>
                <w:sz w:val="20"/>
              </w:rPr>
            </w:pPr>
            <w:r w:rsidRPr="00BB75C5">
              <w:rPr>
                <w:sz w:val="20"/>
                <w:szCs w:val="16"/>
              </w:rPr>
              <w:t>–</w:t>
            </w:r>
            <w:r w:rsidR="00B40F47" w:rsidRPr="00BB75C5">
              <w:rPr>
                <w:sz w:val="20"/>
                <w:szCs w:val="16"/>
              </w:rPr>
              <w:tab/>
              <w:t>Initiatives pour la santé mentale et le bien-être</w:t>
            </w:r>
            <w:r w:rsidR="00445B53" w:rsidRPr="00BB75C5">
              <w:rPr>
                <w:sz w:val="20"/>
                <w:szCs w:val="16"/>
              </w:rPr>
              <w:t>.</w:t>
            </w:r>
          </w:p>
        </w:tc>
        <w:tc>
          <w:tcPr>
            <w:tcW w:w="2773" w:type="pct"/>
            <w:shd w:val="clear" w:color="auto" w:fill="FFFFFF" w:themeFill="background1"/>
            <w:tcMar>
              <w:left w:w="57" w:type="dxa"/>
              <w:right w:w="57" w:type="dxa"/>
            </w:tcMar>
          </w:tcPr>
          <w:p w14:paraId="36804759" w14:textId="7D4833AD" w:rsidR="00B40F47" w:rsidRPr="00BB75C5" w:rsidRDefault="00B40F47" w:rsidP="007843C9">
            <w:pPr>
              <w:pStyle w:val="Tabletext"/>
              <w:rPr>
                <w:sz w:val="20"/>
              </w:rPr>
            </w:pPr>
            <w:r w:rsidRPr="00BB75C5">
              <w:rPr>
                <w:sz w:val="20"/>
              </w:rPr>
              <w:t>Séances de pleine conscience et de bien-être à l'intention du personnel au siège et hors siège, y compris des activités de gestion du stress et des ressources en</w:t>
            </w:r>
            <w:r w:rsidR="00714616" w:rsidRPr="00BB75C5">
              <w:rPr>
                <w:sz w:val="20"/>
              </w:rPr>
              <w:t> </w:t>
            </w:r>
            <w:r w:rsidRPr="00BB75C5">
              <w:rPr>
                <w:sz w:val="20"/>
              </w:rPr>
              <w:t>ligne (la "Liste de lecture sur le bien-être", par</w:t>
            </w:r>
            <w:r w:rsidR="00714616" w:rsidRPr="00BB75C5">
              <w:rPr>
                <w:sz w:val="20"/>
              </w:rPr>
              <w:t xml:space="preserve"> </w:t>
            </w:r>
            <w:r w:rsidRPr="00BB75C5">
              <w:rPr>
                <w:sz w:val="20"/>
              </w:rPr>
              <w:t>exemple).</w:t>
            </w:r>
          </w:p>
          <w:p w14:paraId="723DE85C" w14:textId="7692B5A8" w:rsidR="00B40F47" w:rsidRPr="00BB75C5" w:rsidRDefault="00B40F47" w:rsidP="007843C9">
            <w:pPr>
              <w:pStyle w:val="Tabletext"/>
              <w:rPr>
                <w:sz w:val="20"/>
              </w:rPr>
            </w:pPr>
            <w:r w:rsidRPr="00BB75C5">
              <w:rPr>
                <w:sz w:val="20"/>
              </w:rPr>
              <w:t>Accès à des services de conseil confidentiels, avec 206 séances individuelles en</w:t>
            </w:r>
            <w:r w:rsidR="00714616" w:rsidRPr="00BB75C5">
              <w:rPr>
                <w:sz w:val="20"/>
              </w:rPr>
              <w:t> </w:t>
            </w:r>
            <w:r w:rsidRPr="00BB75C5">
              <w:rPr>
                <w:sz w:val="20"/>
              </w:rPr>
              <w:t>2025, et amélioration des mécanismes d'orientation.</w:t>
            </w:r>
          </w:p>
          <w:p w14:paraId="4C08191E" w14:textId="77777777" w:rsidR="00B40F47" w:rsidRPr="00BB75C5" w:rsidRDefault="00B40F47" w:rsidP="007843C9">
            <w:pPr>
              <w:pStyle w:val="Tabletext"/>
              <w:rPr>
                <w:sz w:val="20"/>
              </w:rPr>
            </w:pPr>
            <w:r w:rsidRPr="00BB75C5">
              <w:rPr>
                <w:sz w:val="20"/>
              </w:rPr>
              <w:t>Une fonction d'ombudsman partagé a été créée en janvier 2026</w:t>
            </w:r>
          </w:p>
          <w:p w14:paraId="6DB86BF0" w14:textId="77777777" w:rsidR="00B40F47" w:rsidRPr="00BB75C5" w:rsidRDefault="00B40F47" w:rsidP="007843C9">
            <w:pPr>
              <w:pStyle w:val="Tabletext"/>
              <w:rPr>
                <w:sz w:val="20"/>
              </w:rPr>
            </w:pPr>
            <w:r w:rsidRPr="00BB75C5">
              <w:rPr>
                <w:sz w:val="20"/>
              </w:rPr>
              <w:t>Séances de formation sur les microagressions, les préjugés inconscients et l'encadrement inclusif, etc.</w:t>
            </w:r>
          </w:p>
        </w:tc>
      </w:tr>
    </w:tbl>
    <w:p w14:paraId="45560EFB" w14:textId="77777777" w:rsidR="006F31BB" w:rsidRDefault="006F31BB" w:rsidP="006F31BB"/>
    <w:p w14:paraId="5307F28F" w14:textId="5D4BF07F" w:rsidR="00897553" w:rsidRPr="00BB75C5" w:rsidRDefault="006A11AE" w:rsidP="002D2336">
      <w:pPr>
        <w:jc w:val="center"/>
      </w:pPr>
      <w:r w:rsidRPr="00BB75C5">
        <w:t>______________</w:t>
      </w:r>
    </w:p>
    <w:sectPr w:rsidR="00897553" w:rsidRPr="00BB75C5" w:rsidSect="00B40F47">
      <w:footerReference w:type="default" r:id="rId17"/>
      <w:headerReference w:type="first" r:id="rId18"/>
      <w:footerReference w:type="first" r:id="rId19"/>
      <w:pgSz w:w="16840" w:h="11907" w:orient="landscape" w:code="9"/>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C720" w14:textId="77777777" w:rsidR="00B40F47" w:rsidRDefault="00B40F47">
      <w:r>
        <w:separator/>
      </w:r>
    </w:p>
  </w:endnote>
  <w:endnote w:type="continuationSeparator" w:id="0">
    <w:p w14:paraId="5690EA9E" w14:textId="77777777" w:rsidR="00B40F47" w:rsidRDefault="00B4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BE7D" w14:textId="585F1B81" w:rsidR="00732045" w:rsidRDefault="00BB75C5">
    <w:pPr>
      <w:pStyle w:val="Footer"/>
    </w:pPr>
    <w:fldSimple w:instr=" FILENAME \p \* MERGEFORMAT ">
      <w:r w:rsidR="00B40F47">
        <w:t>Document1</w:t>
      </w:r>
    </w:fldSimple>
    <w:r w:rsidR="00732045">
      <w:tab/>
    </w:r>
    <w:r w:rsidR="002F1B76">
      <w:fldChar w:fldCharType="begin"/>
    </w:r>
    <w:r w:rsidR="00732045">
      <w:instrText xml:space="preserve"> savedate \@ dd.MM.yy </w:instrText>
    </w:r>
    <w:r w:rsidR="002F1B76">
      <w:fldChar w:fldCharType="separate"/>
    </w:r>
    <w:r w:rsidR="00E574E2">
      <w:t>16.04.26</w:t>
    </w:r>
    <w:r w:rsidR="002F1B76">
      <w:fldChar w:fldCharType="end"/>
    </w:r>
    <w:r w:rsidR="00732045">
      <w:tab/>
    </w:r>
    <w:r w:rsidR="002F1B76">
      <w:fldChar w:fldCharType="begin"/>
    </w:r>
    <w:r w:rsidR="00732045">
      <w:instrText xml:space="preserve"> printdate \@ dd.MM.yy </w:instrText>
    </w:r>
    <w:r w:rsidR="002F1B76">
      <w:fldChar w:fldCharType="separate"/>
    </w:r>
    <w:r w:rsidR="00B40F47">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585C178" w14:textId="77777777" w:rsidTr="00E31DCE">
      <w:trPr>
        <w:jc w:val="center"/>
      </w:trPr>
      <w:tc>
        <w:tcPr>
          <w:tcW w:w="1803" w:type="dxa"/>
          <w:vAlign w:val="center"/>
        </w:tcPr>
        <w:p w14:paraId="55C87AD3" w14:textId="7BF09235" w:rsidR="00A51849" w:rsidRDefault="00B40F47" w:rsidP="00A51849">
          <w:pPr>
            <w:pStyle w:val="Header"/>
            <w:jc w:val="left"/>
            <w:rPr>
              <w:noProof/>
            </w:rPr>
          </w:pPr>
          <w:r>
            <w:rPr>
              <w:noProof/>
            </w:rPr>
            <w:t>2600751</w:t>
          </w:r>
        </w:p>
      </w:tc>
      <w:tc>
        <w:tcPr>
          <w:tcW w:w="8261" w:type="dxa"/>
        </w:tcPr>
        <w:p w14:paraId="071CC387" w14:textId="50CEE8FB"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B40F47">
            <w:rPr>
              <w:bCs/>
            </w:rPr>
            <w:t>66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75C17F9"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E555C5B" w14:textId="77777777" w:rsidTr="00E31DCE">
      <w:trPr>
        <w:jc w:val="center"/>
      </w:trPr>
      <w:tc>
        <w:tcPr>
          <w:tcW w:w="1803" w:type="dxa"/>
          <w:vAlign w:val="center"/>
        </w:tcPr>
        <w:p w14:paraId="27156043"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7A1AB9C3" w14:textId="75F9DE4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B40F47">
            <w:rPr>
              <w:bCs/>
            </w:rPr>
            <w:t>66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BC50C43" w14:textId="77777777" w:rsidR="00732045" w:rsidRPr="00A51849" w:rsidRDefault="00732045" w:rsidP="00FC6D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8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5"/>
      <w:gridCol w:w="8261"/>
    </w:tblGrid>
    <w:tr w:rsidR="008F6AD7" w:rsidRPr="00784011" w14:paraId="057F2780" w14:textId="77777777" w:rsidTr="008F6AD7">
      <w:trPr>
        <w:jc w:val="center"/>
      </w:trPr>
      <w:tc>
        <w:tcPr>
          <w:tcW w:w="5615" w:type="dxa"/>
          <w:vAlign w:val="center"/>
        </w:tcPr>
        <w:p w14:paraId="470C2794" w14:textId="77777777" w:rsidR="008F6AD7" w:rsidRDefault="008F6AD7" w:rsidP="00A51849">
          <w:pPr>
            <w:pStyle w:val="Header"/>
            <w:jc w:val="left"/>
            <w:rPr>
              <w:noProof/>
            </w:rPr>
          </w:pPr>
          <w:r>
            <w:rPr>
              <w:noProof/>
            </w:rPr>
            <w:t>2600751</w:t>
          </w:r>
        </w:p>
      </w:tc>
      <w:tc>
        <w:tcPr>
          <w:tcW w:w="8261" w:type="dxa"/>
        </w:tcPr>
        <w:p w14:paraId="38573AFF" w14:textId="77777777" w:rsidR="008F6AD7" w:rsidRPr="00E06FD5" w:rsidRDefault="008F6AD7"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66</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7A1B0B53" w14:textId="77777777" w:rsidR="008F6AD7" w:rsidRPr="00A51849" w:rsidRDefault="008F6AD7" w:rsidP="00FC6D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9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9"/>
      <w:gridCol w:w="8261"/>
    </w:tblGrid>
    <w:tr w:rsidR="00B40F47" w:rsidRPr="00784011" w14:paraId="08FE20A9" w14:textId="77777777" w:rsidTr="00AD36EB">
      <w:trPr>
        <w:jc w:val="center"/>
      </w:trPr>
      <w:tc>
        <w:tcPr>
          <w:tcW w:w="5709" w:type="dxa"/>
          <w:vAlign w:val="center"/>
        </w:tcPr>
        <w:p w14:paraId="7CDE0421" w14:textId="4EDE4693" w:rsidR="00B40F47" w:rsidRPr="00FC6D7D" w:rsidRDefault="00B40F47" w:rsidP="00A51849">
          <w:pPr>
            <w:pStyle w:val="Header"/>
            <w:jc w:val="left"/>
            <w:rPr>
              <w:noProof/>
              <w:color w:val="0563C1"/>
            </w:rPr>
          </w:pPr>
          <w:r>
            <w:t>2600751</w:t>
          </w:r>
        </w:p>
      </w:tc>
      <w:tc>
        <w:tcPr>
          <w:tcW w:w="8261" w:type="dxa"/>
        </w:tcPr>
        <w:p w14:paraId="6C5160DE" w14:textId="77777777" w:rsidR="00B40F47" w:rsidRPr="00E06FD5" w:rsidRDefault="00B40F47"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66</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18379830" w14:textId="77777777" w:rsidR="00B40F47" w:rsidRPr="00A51849" w:rsidRDefault="00B40F47"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5A44" w14:textId="77777777" w:rsidR="00B40F47" w:rsidRDefault="00B40F47">
      <w:r>
        <w:t>____________________</w:t>
      </w:r>
    </w:p>
  </w:footnote>
  <w:footnote w:type="continuationSeparator" w:id="0">
    <w:p w14:paraId="2AD5ADB7" w14:textId="77777777" w:rsidR="00B40F47" w:rsidRDefault="00B40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890E"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840D6CC"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143F"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ECC4" w14:textId="6CF31BF0" w:rsidR="00B40F47" w:rsidRPr="00EA1B9B" w:rsidRDefault="00B40F47" w:rsidP="00EA1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47"/>
    <w:rsid w:val="00025B8D"/>
    <w:rsid w:val="00076A2C"/>
    <w:rsid w:val="0008592F"/>
    <w:rsid w:val="000D0D0A"/>
    <w:rsid w:val="00103163"/>
    <w:rsid w:val="00106B19"/>
    <w:rsid w:val="001133EF"/>
    <w:rsid w:val="00115D93"/>
    <w:rsid w:val="001247A8"/>
    <w:rsid w:val="001342E0"/>
    <w:rsid w:val="001370B2"/>
    <w:rsid w:val="001378C0"/>
    <w:rsid w:val="001658F9"/>
    <w:rsid w:val="00183438"/>
    <w:rsid w:val="0018694A"/>
    <w:rsid w:val="0019129B"/>
    <w:rsid w:val="001A0C5B"/>
    <w:rsid w:val="001A3287"/>
    <w:rsid w:val="001A6508"/>
    <w:rsid w:val="001D4C31"/>
    <w:rsid w:val="001E2D5A"/>
    <w:rsid w:val="001E4D21"/>
    <w:rsid w:val="00207CD1"/>
    <w:rsid w:val="002258DB"/>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C3FAE"/>
    <w:rsid w:val="004038CB"/>
    <w:rsid w:val="0040546F"/>
    <w:rsid w:val="004177BD"/>
    <w:rsid w:val="00423563"/>
    <w:rsid w:val="0042404A"/>
    <w:rsid w:val="00445B53"/>
    <w:rsid w:val="0044618F"/>
    <w:rsid w:val="00465C35"/>
    <w:rsid w:val="0046769A"/>
    <w:rsid w:val="00475FB3"/>
    <w:rsid w:val="004C37A9"/>
    <w:rsid w:val="004D1D50"/>
    <w:rsid w:val="004F259E"/>
    <w:rsid w:val="004F633A"/>
    <w:rsid w:val="00504C7F"/>
    <w:rsid w:val="00506749"/>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5509F"/>
    <w:rsid w:val="006643AB"/>
    <w:rsid w:val="006A11AE"/>
    <w:rsid w:val="006B224B"/>
    <w:rsid w:val="006F0A53"/>
    <w:rsid w:val="006F31BB"/>
    <w:rsid w:val="0071402E"/>
    <w:rsid w:val="00714616"/>
    <w:rsid w:val="007210CD"/>
    <w:rsid w:val="00732045"/>
    <w:rsid w:val="0073275D"/>
    <w:rsid w:val="007369DB"/>
    <w:rsid w:val="0077110E"/>
    <w:rsid w:val="007843C9"/>
    <w:rsid w:val="007956C2"/>
    <w:rsid w:val="00796BDB"/>
    <w:rsid w:val="007A187E"/>
    <w:rsid w:val="007C72C2"/>
    <w:rsid w:val="007D4436"/>
    <w:rsid w:val="007F257A"/>
    <w:rsid w:val="007F3665"/>
    <w:rsid w:val="00800037"/>
    <w:rsid w:val="0082299A"/>
    <w:rsid w:val="0083391C"/>
    <w:rsid w:val="0084546D"/>
    <w:rsid w:val="00861D73"/>
    <w:rsid w:val="00882919"/>
    <w:rsid w:val="008959F5"/>
    <w:rsid w:val="00897553"/>
    <w:rsid w:val="008A4E87"/>
    <w:rsid w:val="008D76E6"/>
    <w:rsid w:val="008F6AD7"/>
    <w:rsid w:val="0092392D"/>
    <w:rsid w:val="0093234A"/>
    <w:rsid w:val="00932991"/>
    <w:rsid w:val="00956A78"/>
    <w:rsid w:val="0097363B"/>
    <w:rsid w:val="00973F53"/>
    <w:rsid w:val="0098348E"/>
    <w:rsid w:val="009A6BAA"/>
    <w:rsid w:val="009A76A8"/>
    <w:rsid w:val="009C307F"/>
    <w:rsid w:val="009C353C"/>
    <w:rsid w:val="009C5528"/>
    <w:rsid w:val="009D5955"/>
    <w:rsid w:val="009F0FB8"/>
    <w:rsid w:val="00A01F4F"/>
    <w:rsid w:val="00A109AF"/>
    <w:rsid w:val="00A125FB"/>
    <w:rsid w:val="00A2113E"/>
    <w:rsid w:val="00A23A51"/>
    <w:rsid w:val="00A24607"/>
    <w:rsid w:val="00A25CD3"/>
    <w:rsid w:val="00A51849"/>
    <w:rsid w:val="00A709FE"/>
    <w:rsid w:val="00A73C60"/>
    <w:rsid w:val="00A74D29"/>
    <w:rsid w:val="00A82767"/>
    <w:rsid w:val="00AA332F"/>
    <w:rsid w:val="00AA4105"/>
    <w:rsid w:val="00AA7BBB"/>
    <w:rsid w:val="00AB64A8"/>
    <w:rsid w:val="00AC0266"/>
    <w:rsid w:val="00AC0F1D"/>
    <w:rsid w:val="00AD24EC"/>
    <w:rsid w:val="00AD36EB"/>
    <w:rsid w:val="00B27B00"/>
    <w:rsid w:val="00B309F9"/>
    <w:rsid w:val="00B32B60"/>
    <w:rsid w:val="00B40F47"/>
    <w:rsid w:val="00B427DF"/>
    <w:rsid w:val="00B51005"/>
    <w:rsid w:val="00B61619"/>
    <w:rsid w:val="00BB38C1"/>
    <w:rsid w:val="00BB4545"/>
    <w:rsid w:val="00BB75C5"/>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4F36"/>
    <w:rsid w:val="00D553A2"/>
    <w:rsid w:val="00D5721B"/>
    <w:rsid w:val="00D72F49"/>
    <w:rsid w:val="00D774D3"/>
    <w:rsid w:val="00D8598B"/>
    <w:rsid w:val="00D904E8"/>
    <w:rsid w:val="00D96E9C"/>
    <w:rsid w:val="00DA08C3"/>
    <w:rsid w:val="00DB5A3E"/>
    <w:rsid w:val="00DC22AA"/>
    <w:rsid w:val="00DD1A99"/>
    <w:rsid w:val="00DE62C6"/>
    <w:rsid w:val="00DF74DD"/>
    <w:rsid w:val="00E25AD0"/>
    <w:rsid w:val="00E4428F"/>
    <w:rsid w:val="00E4448E"/>
    <w:rsid w:val="00E47427"/>
    <w:rsid w:val="00E574E2"/>
    <w:rsid w:val="00E611F2"/>
    <w:rsid w:val="00E730C6"/>
    <w:rsid w:val="00E806A2"/>
    <w:rsid w:val="00E93668"/>
    <w:rsid w:val="00E95647"/>
    <w:rsid w:val="00EA1B9B"/>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F3285"/>
  <w15:docId w15:val="{79E02641-4D33-4113-83E0-545B8D05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B427DF"/>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INF-0013/fr"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048-F.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md/S25-CL-C-0066/fr"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itu.int/md/S23-CL-INF-0013/fr"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E556-1EEF-4D28-AB14-FF5409C1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2</TotalTime>
  <Pages>14</Pages>
  <Words>6584</Words>
  <Characters>36673</Characters>
  <Application>Microsoft Office Word</Application>
  <DocSecurity>0</DocSecurity>
  <Lines>679</Lines>
  <Paragraphs>280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42977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d'activité sur la mise en œuvre du plan de transformation des ressources humaines et de la Résolution 48 (Rév. Bucarest, 2022) de la Conférence de plénipotentiaires</dc:title>
  <dc:subject>Conseil 2026 de l'UIT</dc:subject>
  <cp:keywords>C26; C2026; Council 2026; PP26</cp:keywords>
  <dc:description/>
  <cp:lastPrinted>2000-07-18T08:55:00Z</cp:lastPrinted>
  <dcterms:created xsi:type="dcterms:W3CDTF">2026-04-20T16:30:00Z</dcterms:created>
  <dcterms:modified xsi:type="dcterms:W3CDTF">2026-04-20T16:30:00Z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