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7BB41544" w14:textId="77777777" w:rsidTr="00954C49">
        <w:trPr>
          <w:cantSplit/>
          <w:trHeight w:val="23"/>
        </w:trPr>
        <w:tc>
          <w:tcPr>
            <w:tcW w:w="3969" w:type="dxa"/>
            <w:vMerge w:val="restart"/>
            <w:tcMar>
              <w:left w:w="0" w:type="dxa"/>
            </w:tcMar>
          </w:tcPr>
          <w:p w14:paraId="7E265BAC" w14:textId="0CADD59A"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0C52DF">
              <w:rPr>
                <w:b/>
              </w:rPr>
              <w:t>ADM 3</w:t>
            </w:r>
          </w:p>
        </w:tc>
        <w:tc>
          <w:tcPr>
            <w:tcW w:w="5245" w:type="dxa"/>
          </w:tcPr>
          <w:p w14:paraId="2097D431" w14:textId="5A55422C"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0C52DF">
              <w:rPr>
                <w:b/>
              </w:rPr>
              <w:t>66</w:t>
            </w:r>
            <w:r w:rsidRPr="00C0458D">
              <w:rPr>
                <w:b/>
              </w:rPr>
              <w:t>-E</w:t>
            </w:r>
          </w:p>
        </w:tc>
      </w:tr>
      <w:tr w:rsidR="00AD3606" w:rsidRPr="00C0458D" w14:paraId="6004CFF3" w14:textId="77777777" w:rsidTr="00954C49">
        <w:trPr>
          <w:cantSplit/>
        </w:trPr>
        <w:tc>
          <w:tcPr>
            <w:tcW w:w="3969" w:type="dxa"/>
            <w:vMerge/>
          </w:tcPr>
          <w:p w14:paraId="46A0DE1E"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24760E06" w14:textId="201B0DCC" w:rsidR="00AD3606" w:rsidRPr="00C0458D" w:rsidRDefault="005A0A10" w:rsidP="00954C49">
            <w:pPr>
              <w:tabs>
                <w:tab w:val="left" w:pos="851"/>
              </w:tabs>
              <w:spacing w:before="0"/>
              <w:jc w:val="right"/>
              <w:rPr>
                <w:b/>
              </w:rPr>
            </w:pPr>
            <w:r>
              <w:rPr>
                <w:b/>
              </w:rPr>
              <w:t>30</w:t>
            </w:r>
            <w:r w:rsidR="000C52DF">
              <w:rPr>
                <w:b/>
              </w:rPr>
              <w:t xml:space="preserve"> March 2026</w:t>
            </w:r>
          </w:p>
        </w:tc>
      </w:tr>
      <w:tr w:rsidR="00AD3606" w:rsidRPr="00C0458D" w14:paraId="1472F147" w14:textId="77777777" w:rsidTr="00954C49">
        <w:trPr>
          <w:cantSplit/>
          <w:trHeight w:val="23"/>
        </w:trPr>
        <w:tc>
          <w:tcPr>
            <w:tcW w:w="3969" w:type="dxa"/>
            <w:vMerge/>
          </w:tcPr>
          <w:p w14:paraId="33AA79F7"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2E15C6A8"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35383239" w14:textId="77777777" w:rsidTr="00954C49">
        <w:trPr>
          <w:cantSplit/>
          <w:trHeight w:val="23"/>
        </w:trPr>
        <w:tc>
          <w:tcPr>
            <w:tcW w:w="3969" w:type="dxa"/>
          </w:tcPr>
          <w:p w14:paraId="189EE6E5" w14:textId="77777777" w:rsidR="00472BAD" w:rsidRPr="00C0458D" w:rsidRDefault="00472BAD" w:rsidP="00954C49">
            <w:pPr>
              <w:tabs>
                <w:tab w:val="left" w:pos="851"/>
              </w:tabs>
              <w:spacing w:line="240" w:lineRule="atLeast"/>
              <w:rPr>
                <w:b/>
              </w:rPr>
            </w:pPr>
          </w:p>
        </w:tc>
        <w:tc>
          <w:tcPr>
            <w:tcW w:w="5245" w:type="dxa"/>
          </w:tcPr>
          <w:p w14:paraId="230C9837" w14:textId="77777777" w:rsidR="00472BAD" w:rsidRPr="00C0458D" w:rsidRDefault="00472BAD" w:rsidP="00954C49">
            <w:pPr>
              <w:tabs>
                <w:tab w:val="left" w:pos="851"/>
              </w:tabs>
              <w:spacing w:before="0" w:line="240" w:lineRule="atLeast"/>
              <w:jc w:val="right"/>
              <w:rPr>
                <w:b/>
              </w:rPr>
            </w:pPr>
          </w:p>
        </w:tc>
      </w:tr>
      <w:tr w:rsidR="00AD3606" w:rsidRPr="00C0458D" w14:paraId="3301DFF2" w14:textId="77777777" w:rsidTr="00954C49">
        <w:trPr>
          <w:cantSplit/>
        </w:trPr>
        <w:tc>
          <w:tcPr>
            <w:tcW w:w="9214" w:type="dxa"/>
            <w:gridSpan w:val="2"/>
            <w:tcMar>
              <w:left w:w="0" w:type="dxa"/>
            </w:tcMar>
          </w:tcPr>
          <w:p w14:paraId="47EB900B"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147EA865" w14:textId="77777777" w:rsidTr="00954C49">
        <w:trPr>
          <w:cantSplit/>
        </w:trPr>
        <w:tc>
          <w:tcPr>
            <w:tcW w:w="9214" w:type="dxa"/>
            <w:gridSpan w:val="2"/>
            <w:tcMar>
              <w:left w:w="0" w:type="dxa"/>
            </w:tcMar>
          </w:tcPr>
          <w:p w14:paraId="69F91A9B" w14:textId="4072D42E" w:rsidR="00AD3606" w:rsidRPr="00176F47" w:rsidRDefault="00C70A92" w:rsidP="00954C49">
            <w:pPr>
              <w:pStyle w:val="Subtitle"/>
              <w:framePr w:hSpace="0" w:wrap="auto" w:hAnchor="text" w:xAlign="left" w:yAlign="inline"/>
              <w:rPr>
                <w:lang w:eastAsia="zh-CN"/>
              </w:rPr>
            </w:pPr>
            <w:bookmarkStart w:id="9" w:name="_Hlk160613238"/>
            <w:bookmarkStart w:id="10" w:name="dtitle1" w:colFirst="0" w:colLast="0"/>
            <w:bookmarkEnd w:id="8"/>
            <w:r w:rsidRPr="00B844FA">
              <w:t xml:space="preserve">PROGRESS REPORT ON THE IMPLEMENTATION OF THE </w:t>
            </w:r>
            <w:r>
              <w:br/>
            </w:r>
            <w:r w:rsidRPr="00B844FA">
              <w:t xml:space="preserve">HUMAN RESOURCES </w:t>
            </w:r>
            <w:r>
              <w:t>TRANSFORMATION</w:t>
            </w:r>
            <w:r w:rsidRPr="00B844FA">
              <w:t xml:space="preserve"> PLAN</w:t>
            </w:r>
            <w:bookmarkEnd w:id="9"/>
            <w:r>
              <w:rPr>
                <w:lang w:eastAsia="zh-CN"/>
              </w:rPr>
              <w:t xml:space="preserve"> AND </w:t>
            </w:r>
            <w:r>
              <w:br/>
            </w:r>
            <w:r>
              <w:rPr>
                <w:lang w:eastAsia="zh-CN"/>
              </w:rPr>
              <w:t>OF RESOLUTION 48</w:t>
            </w:r>
            <w:r w:rsidRPr="00D36516">
              <w:rPr>
                <w:lang w:eastAsia="zh-CN"/>
              </w:rPr>
              <w:t xml:space="preserve"> (REV. BUCHAREST, 2022)</w:t>
            </w:r>
          </w:p>
        </w:tc>
      </w:tr>
      <w:tr w:rsidR="00AD3606" w:rsidRPr="00C0458D" w14:paraId="573C6441" w14:textId="77777777" w:rsidTr="00954C49">
        <w:trPr>
          <w:cantSplit/>
        </w:trPr>
        <w:tc>
          <w:tcPr>
            <w:tcW w:w="9214" w:type="dxa"/>
            <w:gridSpan w:val="2"/>
            <w:tcBorders>
              <w:top w:val="single" w:sz="4" w:space="0" w:color="auto"/>
              <w:bottom w:val="single" w:sz="4" w:space="0" w:color="auto"/>
            </w:tcBorders>
            <w:tcMar>
              <w:left w:w="0" w:type="dxa"/>
            </w:tcMar>
          </w:tcPr>
          <w:p w14:paraId="5A0ED660" w14:textId="77777777" w:rsidR="00AD3606" w:rsidRPr="00C0458D" w:rsidRDefault="00F16BAB" w:rsidP="00954C49">
            <w:pPr>
              <w:spacing w:before="160"/>
              <w:rPr>
                <w:b/>
                <w:bCs/>
                <w:sz w:val="26"/>
                <w:szCs w:val="26"/>
              </w:rPr>
            </w:pPr>
            <w:r w:rsidRPr="00C0458D">
              <w:rPr>
                <w:b/>
                <w:bCs/>
                <w:sz w:val="26"/>
                <w:szCs w:val="26"/>
              </w:rPr>
              <w:t>Purpose</w:t>
            </w:r>
          </w:p>
          <w:p w14:paraId="050B5E55" w14:textId="77777777" w:rsidR="000C52DF" w:rsidRPr="00D2670C" w:rsidRDefault="000C52DF" w:rsidP="000C52DF">
            <w:pPr>
              <w:spacing w:before="100"/>
              <w:jc w:val="both"/>
              <w:rPr>
                <w:lang w:eastAsia="zh-CN"/>
              </w:rPr>
            </w:pPr>
            <w:r>
              <w:rPr>
                <w:lang w:eastAsia="zh-CN"/>
              </w:rPr>
              <w:t xml:space="preserve">The </w:t>
            </w:r>
            <w:r w:rsidRPr="00D2670C">
              <w:rPr>
                <w:lang w:eastAsia="zh-CN"/>
              </w:rPr>
              <w:t xml:space="preserve">Human Resources Transformation Plan (HRTP) aims to drive organizational excellence by advancing </w:t>
            </w:r>
            <w:r w:rsidRPr="00D2670C">
              <w:rPr>
                <w:rFonts w:asciiTheme="minorHAnsi" w:eastAsia="Calibri" w:hAnsiTheme="minorHAnsi" w:cstheme="minorHAnsi"/>
                <w:szCs w:val="24"/>
                <w:lang w:eastAsia="en-GB"/>
              </w:rPr>
              <w:t>three distinct</w:t>
            </w:r>
            <w:r w:rsidRPr="00D2670C">
              <w:rPr>
                <w:rFonts w:asciiTheme="minorHAnsi" w:hAnsiTheme="minorHAnsi" w:cstheme="minorHAnsi" w:hint="eastAsia"/>
                <w:szCs w:val="24"/>
                <w:lang w:eastAsia="zh-CN"/>
              </w:rPr>
              <w:t xml:space="preserve"> </w:t>
            </w:r>
            <w:r w:rsidRPr="00D2670C">
              <w:rPr>
                <w:rFonts w:asciiTheme="minorHAnsi" w:eastAsia="Calibri" w:hAnsiTheme="minorHAnsi" w:cstheme="minorHAnsi"/>
                <w:szCs w:val="24"/>
                <w:lang w:eastAsia="en-GB"/>
              </w:rPr>
              <w:t>areas</w:t>
            </w:r>
            <w:r w:rsidRPr="00D2670C">
              <w:rPr>
                <w:rFonts w:hint="eastAsia"/>
                <w:lang w:eastAsia="zh-CN"/>
              </w:rPr>
              <w:t xml:space="preserve">: </w:t>
            </w:r>
            <w:r w:rsidRPr="00D2670C">
              <w:rPr>
                <w:lang w:eastAsia="zh-CN"/>
              </w:rPr>
              <w:t>people, culture, and services. This strategic initiative is designed to build an agile</w:t>
            </w:r>
            <w:r w:rsidRPr="00D2670C">
              <w:rPr>
                <w:rFonts w:hint="eastAsia"/>
                <w:lang w:eastAsia="zh-CN"/>
              </w:rPr>
              <w:t xml:space="preserve">, capable, and empowered </w:t>
            </w:r>
            <w:r w:rsidRPr="00D2670C">
              <w:rPr>
                <w:lang w:eastAsia="zh-CN"/>
              </w:rPr>
              <w:t xml:space="preserve">workforce, foster </w:t>
            </w:r>
            <w:r w:rsidRPr="00D2670C">
              <w:t>a</w:t>
            </w:r>
            <w:r w:rsidRPr="00D2670C">
              <w:rPr>
                <w:rFonts w:hint="eastAsia"/>
                <w:lang w:eastAsia="zh-CN"/>
              </w:rPr>
              <w:t xml:space="preserve"> </w:t>
            </w:r>
            <w:r w:rsidRPr="00D2670C">
              <w:t>cultur</w:t>
            </w:r>
            <w:r w:rsidRPr="00D2670C">
              <w:rPr>
                <w:rFonts w:hint="eastAsia"/>
                <w:lang w:eastAsia="zh-CN"/>
              </w:rPr>
              <w:t>e where people feel safe</w:t>
            </w:r>
            <w:r w:rsidRPr="00D2670C">
              <w:rPr>
                <w:lang w:eastAsia="zh-CN"/>
              </w:rPr>
              <w:t>,</w:t>
            </w:r>
            <w:r w:rsidRPr="00D2670C">
              <w:rPr>
                <w:rFonts w:hint="eastAsia"/>
                <w:lang w:eastAsia="zh-CN"/>
              </w:rPr>
              <w:t xml:space="preserve"> valued, and able to deliver to their best,</w:t>
            </w:r>
            <w:r w:rsidRPr="00D2670C">
              <w:rPr>
                <w:lang w:eastAsia="zh-CN"/>
              </w:rPr>
              <w:t xml:space="preserve"> and enhance HR</w:t>
            </w:r>
            <w:r w:rsidRPr="00D2670C">
              <w:rPr>
                <w:rFonts w:hint="eastAsia"/>
                <w:lang w:eastAsia="zh-CN"/>
              </w:rPr>
              <w:t xml:space="preserve"> service delivery to better support our people</w:t>
            </w:r>
            <w:r w:rsidRPr="00D2670C">
              <w:rPr>
                <w:lang w:eastAsia="zh-CN"/>
              </w:rPr>
              <w:t>.</w:t>
            </w:r>
            <w:r w:rsidRPr="00D2670C">
              <w:rPr>
                <w:rFonts w:hint="eastAsia"/>
                <w:lang w:eastAsia="zh-CN"/>
              </w:rPr>
              <w:t xml:space="preserve"> </w:t>
            </w:r>
            <w:r w:rsidRPr="00D2670C">
              <w:t>Success markers include enabling a supportive work environment, effective talent management, a shared organizational vision, modernized HR policies, clearly defined roles, and enhanced operational</w:t>
            </w:r>
            <w:r w:rsidRPr="00D2670C">
              <w:rPr>
                <w:rFonts w:hint="eastAsia"/>
                <w:lang w:eastAsia="zh-CN"/>
              </w:rPr>
              <w:t xml:space="preserve"> </w:t>
            </w:r>
            <w:r w:rsidRPr="00D2670C">
              <w:rPr>
                <w:lang w:eastAsia="zh-CN"/>
              </w:rPr>
              <w:t>agility.</w:t>
            </w:r>
            <w:r w:rsidRPr="00D2670C">
              <w:rPr>
                <w:rFonts w:hint="eastAsia"/>
                <w:lang w:eastAsia="zh-CN"/>
              </w:rPr>
              <w:t xml:space="preserve"> </w:t>
            </w:r>
          </w:p>
          <w:p w14:paraId="0642F6BF" w14:textId="7D494FCC" w:rsidR="00AD3606" w:rsidRPr="00C0458D" w:rsidRDefault="000C52DF" w:rsidP="000C52DF">
            <w:pPr>
              <w:spacing w:before="100"/>
              <w:jc w:val="both"/>
              <w:rPr>
                <w:lang w:eastAsia="zh-CN"/>
              </w:rPr>
            </w:pPr>
            <w:r w:rsidRPr="00D2670C">
              <w:t>The</w:t>
            </w:r>
            <w:r w:rsidRPr="00D2670C">
              <w:rPr>
                <w:rFonts w:hint="eastAsia"/>
                <w:lang w:eastAsia="zh-CN"/>
              </w:rPr>
              <w:t xml:space="preserve"> </w:t>
            </w:r>
            <w:r w:rsidRPr="00D2670C">
              <w:rPr>
                <w:lang w:eastAsia="zh-CN"/>
              </w:rPr>
              <w:t>HRTP responds</w:t>
            </w:r>
            <w:r w:rsidRPr="00D2670C">
              <w:rPr>
                <w:rFonts w:hint="eastAsia"/>
                <w:lang w:eastAsia="zh-CN"/>
              </w:rPr>
              <w:t xml:space="preserve"> to Resolution 48 </w:t>
            </w:r>
            <w:r w:rsidRPr="00D2670C">
              <w:rPr>
                <w:lang w:eastAsia="zh-CN"/>
              </w:rPr>
              <w:t>(</w:t>
            </w:r>
            <w:r w:rsidRPr="004D1FBE">
              <w:rPr>
                <w:lang w:eastAsia="zh-CN"/>
              </w:rPr>
              <w:t>Rev. Bucharest, 2022)</w:t>
            </w:r>
            <w:r>
              <w:rPr>
                <w:rFonts w:hint="eastAsia"/>
                <w:lang w:eastAsia="zh-CN"/>
              </w:rPr>
              <w:t xml:space="preserve"> and </w:t>
            </w:r>
            <w:r w:rsidRPr="00F548F5">
              <w:rPr>
                <w:lang w:eastAsia="zh-CN"/>
              </w:rPr>
              <w:t xml:space="preserve">serves as a pivotal driver of the ITU Transformation Roadmap. This progress report highlights the key results achieved in each area </w:t>
            </w:r>
            <w:r w:rsidRPr="00D25383">
              <w:rPr>
                <w:lang w:eastAsia="zh-CN"/>
              </w:rPr>
              <w:t>in 2025 and early 2026</w:t>
            </w:r>
            <w:r w:rsidRPr="000167BF">
              <w:rPr>
                <w:rFonts w:hint="eastAsia"/>
                <w:lang w:eastAsia="zh-CN"/>
              </w:rPr>
              <w:t xml:space="preserve">, </w:t>
            </w:r>
            <w:r w:rsidRPr="000167BF">
              <w:rPr>
                <w:lang w:eastAsia="zh-CN"/>
              </w:rPr>
              <w:t>contributing to the implementation of both the Transformation Roadmap</w:t>
            </w:r>
            <w:r w:rsidRPr="000167BF">
              <w:rPr>
                <w:rFonts w:hint="eastAsia"/>
                <w:lang w:eastAsia="zh-CN"/>
              </w:rPr>
              <w:t xml:space="preserve"> </w:t>
            </w:r>
            <w:r w:rsidRPr="000167BF">
              <w:rPr>
                <w:lang w:eastAsia="zh-CN"/>
              </w:rPr>
              <w:t>and Resolution 48</w:t>
            </w:r>
            <w:r w:rsidRPr="000167BF">
              <w:rPr>
                <w:rFonts w:hint="eastAsia"/>
                <w:lang w:eastAsia="zh-CN"/>
              </w:rPr>
              <w:t xml:space="preserve"> </w:t>
            </w:r>
            <w:r w:rsidRPr="000167BF">
              <w:rPr>
                <w:lang w:eastAsia="zh-CN"/>
              </w:rPr>
              <w:t>(Rev. Bucharest, 2022).</w:t>
            </w:r>
          </w:p>
          <w:p w14:paraId="5200B701"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0079955B" w14:textId="7DF5345D" w:rsidR="00722551" w:rsidRDefault="000C52DF" w:rsidP="000C52DF">
            <w:pPr>
              <w:spacing w:before="100"/>
              <w:jc w:val="both"/>
            </w:pPr>
            <w:r w:rsidRPr="00B844FA">
              <w:t xml:space="preserve">The Council is invited to </w:t>
            </w:r>
            <w:r w:rsidRPr="00B844FA">
              <w:rPr>
                <w:b/>
                <w:bCs/>
              </w:rPr>
              <w:t>take note</w:t>
            </w:r>
            <w:r w:rsidRPr="00B844FA">
              <w:t xml:space="preserve"> of the progress report on the implementation of the </w:t>
            </w:r>
            <w:r>
              <w:t>Human Resources Transformation Plan</w:t>
            </w:r>
            <w:r>
              <w:rPr>
                <w:rFonts w:hint="eastAsia"/>
                <w:lang w:eastAsia="zh-CN"/>
              </w:rPr>
              <w:t xml:space="preserve"> and of Resolution 48 (Rev. Bucharest, 2022)</w:t>
            </w:r>
            <w:r w:rsidRPr="00B844FA">
              <w:t>.</w:t>
            </w:r>
          </w:p>
          <w:p w14:paraId="53637E6D"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2AF6088C" w14:textId="58807608" w:rsidR="00722551" w:rsidRPr="00F16BAB" w:rsidRDefault="000C52DF" w:rsidP="000C52DF">
            <w:pPr>
              <w:spacing w:before="100"/>
            </w:pPr>
            <w:r w:rsidRPr="00B844FA">
              <w:t>Excellence in human resources and organizational innovation.</w:t>
            </w:r>
          </w:p>
          <w:p w14:paraId="3BB2A5D9" w14:textId="77777777" w:rsidR="00722551" w:rsidRDefault="00722551" w:rsidP="00954C49">
            <w:pPr>
              <w:spacing w:before="160"/>
              <w:rPr>
                <w:b/>
                <w:bCs/>
                <w:sz w:val="26"/>
                <w:szCs w:val="26"/>
              </w:rPr>
            </w:pPr>
            <w:r>
              <w:rPr>
                <w:b/>
                <w:bCs/>
                <w:sz w:val="26"/>
                <w:szCs w:val="26"/>
              </w:rPr>
              <w:t>Financial implications</w:t>
            </w:r>
          </w:p>
          <w:p w14:paraId="4F913825" w14:textId="3FB35CF7" w:rsidR="00453079" w:rsidRPr="00453079" w:rsidRDefault="000C52DF" w:rsidP="000C52DF">
            <w:pPr>
              <w:spacing w:before="160"/>
              <w:rPr>
                <w:szCs w:val="24"/>
              </w:rPr>
            </w:pPr>
            <w:r w:rsidRPr="00D2670C">
              <w:rPr>
                <w:szCs w:val="24"/>
              </w:rPr>
              <w:t>Within the allocated budget</w:t>
            </w:r>
            <w:r w:rsidR="005109D4">
              <w:rPr>
                <w:szCs w:val="24"/>
              </w:rPr>
              <w:t>s</w:t>
            </w:r>
            <w:r>
              <w:rPr>
                <w:szCs w:val="24"/>
              </w:rPr>
              <w:t xml:space="preserve"> </w:t>
            </w:r>
            <w:r w:rsidR="005109D4">
              <w:rPr>
                <w:szCs w:val="24"/>
              </w:rPr>
              <w:t>2024-</w:t>
            </w:r>
            <w:r>
              <w:rPr>
                <w:szCs w:val="24"/>
              </w:rPr>
              <w:t>202</w:t>
            </w:r>
            <w:r>
              <w:rPr>
                <w:rFonts w:hint="eastAsia"/>
                <w:szCs w:val="24"/>
                <w:lang w:eastAsia="zh-CN"/>
              </w:rPr>
              <w:t>5</w:t>
            </w:r>
            <w:r w:rsidR="005109D4">
              <w:rPr>
                <w:szCs w:val="24"/>
                <w:lang w:eastAsia="zh-CN"/>
              </w:rPr>
              <w:t xml:space="preserve"> and </w:t>
            </w:r>
            <w:r>
              <w:rPr>
                <w:szCs w:val="24"/>
              </w:rPr>
              <w:t>202</w:t>
            </w:r>
            <w:r>
              <w:rPr>
                <w:rFonts w:hint="eastAsia"/>
                <w:szCs w:val="24"/>
                <w:lang w:eastAsia="zh-CN"/>
              </w:rPr>
              <w:t>6</w:t>
            </w:r>
            <w:r w:rsidR="005109D4">
              <w:rPr>
                <w:szCs w:val="24"/>
                <w:lang w:eastAsia="zh-CN"/>
              </w:rPr>
              <w:t>-2027</w:t>
            </w:r>
            <w:r w:rsidRPr="00D2670C">
              <w:rPr>
                <w:szCs w:val="24"/>
              </w:rPr>
              <w:t>.</w:t>
            </w:r>
          </w:p>
          <w:p w14:paraId="1123B3C5" w14:textId="77777777" w:rsidR="00C0458D" w:rsidRDefault="00C0458D" w:rsidP="00954C49">
            <w:r>
              <w:t>_______________</w:t>
            </w:r>
          </w:p>
          <w:p w14:paraId="21B43541" w14:textId="77777777" w:rsidR="00AD3606" w:rsidRPr="00C0458D" w:rsidRDefault="00AD3606" w:rsidP="00954C49">
            <w:pPr>
              <w:spacing w:before="160"/>
              <w:rPr>
                <w:b/>
                <w:bCs/>
                <w:sz w:val="26"/>
                <w:szCs w:val="26"/>
              </w:rPr>
            </w:pPr>
            <w:r w:rsidRPr="00C0458D">
              <w:rPr>
                <w:b/>
                <w:bCs/>
                <w:sz w:val="26"/>
                <w:szCs w:val="26"/>
              </w:rPr>
              <w:t>References</w:t>
            </w:r>
          </w:p>
          <w:p w14:paraId="196BCA4B" w14:textId="1E35A3E1" w:rsidR="00AD3606" w:rsidRPr="00722551" w:rsidRDefault="000C52DF" w:rsidP="00954C49">
            <w:pPr>
              <w:spacing w:after="160"/>
              <w:rPr>
                <w:i/>
                <w:iCs/>
                <w:sz w:val="22"/>
                <w:szCs w:val="22"/>
              </w:rPr>
            </w:pPr>
            <w:r w:rsidRPr="71342DC1">
              <w:rPr>
                <w:i/>
                <w:iCs/>
                <w:sz w:val="22"/>
                <w:szCs w:val="22"/>
              </w:rPr>
              <w:t xml:space="preserve">Council Documents </w:t>
            </w:r>
            <w:hyperlink r:id="rId11" w:history="1">
              <w:r w:rsidRPr="71342DC1">
                <w:rPr>
                  <w:rStyle w:val="Hyperlink"/>
                  <w:i/>
                  <w:iCs/>
                  <w:sz w:val="22"/>
                  <w:szCs w:val="22"/>
                </w:rPr>
                <w:t>C23/INF/13</w:t>
              </w:r>
            </w:hyperlink>
            <w:r w:rsidRPr="00B447B1">
              <w:rPr>
                <w:rStyle w:val="Hyperlink"/>
                <w:i/>
                <w:iCs/>
                <w:color w:val="auto"/>
                <w:sz w:val="22"/>
                <w:szCs w:val="22"/>
                <w:u w:val="none"/>
              </w:rPr>
              <w:t xml:space="preserve">, </w:t>
            </w:r>
            <w:hyperlink r:id="rId12" w:history="1">
              <w:hyperlink r:id="rId13" w:history="1">
                <w:r w:rsidRPr="71342DC1">
                  <w:rPr>
                    <w:rStyle w:val="Hyperlink"/>
                    <w:i/>
                    <w:iCs/>
                    <w:sz w:val="22"/>
                    <w:szCs w:val="22"/>
                  </w:rPr>
                  <w:t>C24/29</w:t>
                </w:r>
              </w:hyperlink>
            </w:hyperlink>
            <w:r w:rsidRPr="00CC6ACA">
              <w:t xml:space="preserve"> </w:t>
            </w:r>
            <w:r w:rsidRPr="00CC6ACA">
              <w:rPr>
                <w:i/>
                <w:iCs/>
                <w:sz w:val="22"/>
                <w:szCs w:val="22"/>
              </w:rPr>
              <w:t>and</w:t>
            </w:r>
            <w:r w:rsidRPr="00CC6ACA">
              <w:rPr>
                <w:rFonts w:hint="eastAsia"/>
              </w:rPr>
              <w:t xml:space="preserve"> </w:t>
            </w:r>
            <w:hyperlink r:id="rId14" w:history="1">
              <w:r w:rsidRPr="00B447B1">
                <w:rPr>
                  <w:rStyle w:val="Hyperlink"/>
                  <w:i/>
                  <w:iCs/>
                  <w:sz w:val="22"/>
                  <w:szCs w:val="22"/>
                  <w:lang w:eastAsia="zh-CN"/>
                </w:rPr>
                <w:t>C25/</w:t>
              </w:r>
              <w:r w:rsidR="00CC6ACA">
                <w:rPr>
                  <w:rStyle w:val="Hyperlink"/>
                  <w:i/>
                  <w:iCs/>
                  <w:sz w:val="22"/>
                  <w:szCs w:val="22"/>
                  <w:lang w:eastAsia="zh-CN"/>
                </w:rPr>
                <w:t>6</w:t>
              </w:r>
              <w:r w:rsidRPr="00B447B1">
                <w:rPr>
                  <w:rStyle w:val="Hyperlink"/>
                  <w:i/>
                  <w:iCs/>
                  <w:sz w:val="22"/>
                  <w:szCs w:val="22"/>
                  <w:lang w:eastAsia="zh-CN"/>
                </w:rPr>
                <w:t>6</w:t>
              </w:r>
            </w:hyperlink>
            <w:r w:rsidRPr="71342DC1">
              <w:rPr>
                <w:rStyle w:val="Hyperlink"/>
                <w:i/>
                <w:iCs/>
                <w:color w:val="auto"/>
                <w:sz w:val="22"/>
                <w:szCs w:val="22"/>
                <w:u w:val="none"/>
              </w:rPr>
              <w:t>;</w:t>
            </w:r>
            <w:r w:rsidR="00CC6ACA">
              <w:rPr>
                <w:rStyle w:val="Hyperlink"/>
                <w:i/>
                <w:iCs/>
                <w:color w:val="auto"/>
                <w:sz w:val="22"/>
                <w:szCs w:val="22"/>
                <w:u w:val="none"/>
              </w:rPr>
              <w:t xml:space="preserve"> </w:t>
            </w:r>
            <w:r w:rsidR="00CC6ACA" w:rsidRPr="00CC6ACA">
              <w:rPr>
                <w:rStyle w:val="Hyperlink"/>
                <w:i/>
                <w:iCs/>
                <w:color w:val="auto"/>
                <w:sz w:val="22"/>
                <w:szCs w:val="22"/>
                <w:u w:val="none"/>
              </w:rPr>
              <w:t xml:space="preserve">Resolution </w:t>
            </w:r>
            <w:hyperlink r:id="rId15">
              <w:r w:rsidRPr="71342DC1">
                <w:rPr>
                  <w:rStyle w:val="Hyperlink"/>
                  <w:i/>
                  <w:iCs/>
                  <w:sz w:val="22"/>
                  <w:szCs w:val="22"/>
                </w:rPr>
                <w:t>48 (Rev. Bucharest, 2022)</w:t>
              </w:r>
            </w:hyperlink>
            <w:r w:rsidRPr="71342DC1">
              <w:rPr>
                <w:i/>
                <w:iCs/>
                <w:sz w:val="22"/>
                <w:szCs w:val="22"/>
              </w:rPr>
              <w:t xml:space="preserve"> of the Plenipotentiary Conference</w:t>
            </w:r>
          </w:p>
        </w:tc>
      </w:tr>
    </w:tbl>
    <w:p w14:paraId="42DEF69E" w14:textId="77777777" w:rsidR="00E227F3" w:rsidRPr="00C70A92" w:rsidRDefault="00E227F3">
      <w:pPr>
        <w:tabs>
          <w:tab w:val="clear" w:pos="567"/>
          <w:tab w:val="clear" w:pos="1134"/>
          <w:tab w:val="clear" w:pos="1701"/>
          <w:tab w:val="clear" w:pos="2268"/>
          <w:tab w:val="clear" w:pos="2835"/>
        </w:tabs>
        <w:overflowPunct/>
        <w:autoSpaceDE/>
        <w:autoSpaceDN/>
        <w:adjustRightInd/>
        <w:spacing w:before="0"/>
        <w:textAlignment w:val="auto"/>
        <w:rPr>
          <w:sz w:val="12"/>
          <w:szCs w:val="12"/>
        </w:rPr>
      </w:pPr>
      <w:bookmarkStart w:id="11" w:name="_Hlk133421428"/>
      <w:bookmarkEnd w:id="2"/>
      <w:bookmarkEnd w:id="10"/>
    </w:p>
    <w:bookmarkEnd w:id="3"/>
    <w:bookmarkEnd w:id="4"/>
    <w:p w14:paraId="7EA7DF8A" w14:textId="77777777" w:rsidR="0090147A" w:rsidRPr="00C70A92" w:rsidRDefault="0090147A">
      <w:pPr>
        <w:tabs>
          <w:tab w:val="clear" w:pos="567"/>
          <w:tab w:val="clear" w:pos="1134"/>
          <w:tab w:val="clear" w:pos="1701"/>
          <w:tab w:val="clear" w:pos="2268"/>
          <w:tab w:val="clear" w:pos="2835"/>
        </w:tabs>
        <w:overflowPunct/>
        <w:autoSpaceDE/>
        <w:autoSpaceDN/>
        <w:adjustRightInd/>
        <w:spacing w:before="0"/>
        <w:textAlignment w:val="auto"/>
        <w:rPr>
          <w:b/>
          <w:sz w:val="12"/>
          <w:szCs w:val="12"/>
        </w:rPr>
      </w:pPr>
      <w:r w:rsidRPr="00C70A92">
        <w:rPr>
          <w:sz w:val="12"/>
          <w:szCs w:val="12"/>
        </w:rPr>
        <w:br w:type="page"/>
      </w:r>
    </w:p>
    <w:p w14:paraId="3A5110C8" w14:textId="1FAB3883" w:rsidR="00CC6ACA" w:rsidRPr="00C70A92" w:rsidRDefault="00CC6ACA" w:rsidP="00C70A92">
      <w:pPr>
        <w:pStyle w:val="Headingb"/>
      </w:pPr>
      <w:bookmarkStart w:id="12" w:name="_Hlk195627763"/>
      <w:bookmarkEnd w:id="5"/>
      <w:bookmarkEnd w:id="11"/>
      <w:r w:rsidRPr="00C70A92">
        <w:lastRenderedPageBreak/>
        <w:t>People</w:t>
      </w:r>
      <w:r w:rsidR="006D5032">
        <w:t xml:space="preserve"> –</w:t>
      </w:r>
      <w:r w:rsidRPr="00C70A92">
        <w:t xml:space="preserve"> Achieving an agile, capable, and empowered workforce</w:t>
      </w:r>
    </w:p>
    <w:bookmarkEnd w:id="12"/>
    <w:p w14:paraId="52FD9665" w14:textId="77777777" w:rsidR="00CC6ACA" w:rsidRPr="000C0D54" w:rsidRDefault="00CC6ACA" w:rsidP="00C70A92">
      <w:pPr>
        <w:jc w:val="both"/>
      </w:pPr>
      <w:r>
        <w:rPr>
          <w:lang w:eastAsia="zh-CN"/>
        </w:rPr>
        <w:t xml:space="preserve">People, the first pillar of the </w:t>
      </w:r>
      <w:r w:rsidRPr="00D2670C">
        <w:rPr>
          <w:lang w:eastAsia="zh-CN"/>
        </w:rPr>
        <w:t>Human Resources Transformation Plan (HRTP</w:t>
      </w:r>
      <w:r w:rsidRPr="00C766A9">
        <w:rPr>
          <w:lang w:eastAsia="zh-CN"/>
        </w:rPr>
        <w:t xml:space="preserve">) </w:t>
      </w:r>
      <w:r w:rsidRPr="00C766A9">
        <w:t>emphasizes</w:t>
      </w:r>
      <w:r w:rsidRPr="000C0D54">
        <w:t xml:space="preserve"> </w:t>
      </w:r>
      <w:r w:rsidRPr="002515AC">
        <w:rPr>
          <w:rFonts w:hint="eastAsia"/>
        </w:rPr>
        <w:t xml:space="preserve">building </w:t>
      </w:r>
      <w:r w:rsidRPr="002515AC">
        <w:t>an agile, talented, and change-ready workforce</w:t>
      </w:r>
      <w:r w:rsidRPr="002515AC">
        <w:rPr>
          <w:rFonts w:hint="eastAsia"/>
        </w:rPr>
        <w:t xml:space="preserve"> - one</w:t>
      </w:r>
      <w:r w:rsidRPr="002515AC">
        <w:t xml:space="preserve"> that takes ownership for results</w:t>
      </w:r>
      <w:r w:rsidRPr="000C0D54">
        <w:t xml:space="preserve">. This </w:t>
      </w:r>
      <w:r w:rsidRPr="002515AC">
        <w:t>involves</w:t>
      </w:r>
      <w:r w:rsidRPr="000C0D54">
        <w:t xml:space="preserve"> </w:t>
      </w:r>
      <w:r w:rsidRPr="002515AC">
        <w:rPr>
          <w:rFonts w:hint="eastAsia"/>
        </w:rPr>
        <w:t>a</w:t>
      </w:r>
      <w:r w:rsidRPr="002515AC">
        <w:t xml:space="preserve">ttracting, onboarding, and retaining talented people who </w:t>
      </w:r>
      <w:r w:rsidRPr="000C0D54">
        <w:t>uphold the highest standards of efficiency, competence, and integrity.</w:t>
      </w:r>
    </w:p>
    <w:p w14:paraId="657F78A8" w14:textId="77777777" w:rsidR="00CC6ACA" w:rsidRPr="00CB7826" w:rsidRDefault="00CC6ACA" w:rsidP="00C70A92">
      <w:pPr>
        <w:jc w:val="both"/>
      </w:pPr>
      <w:r w:rsidRPr="002515AC">
        <w:t>Additionally</w:t>
      </w:r>
      <w:r w:rsidRPr="00CB7826">
        <w:t>,</w:t>
      </w:r>
      <w:r w:rsidRPr="00CB7826">
        <w:rPr>
          <w:rFonts w:hint="eastAsia"/>
          <w:lang w:eastAsia="zh-CN"/>
        </w:rPr>
        <w:t xml:space="preserve"> </w:t>
      </w:r>
      <w:r>
        <w:t>the plan provides for</w:t>
      </w:r>
      <w:r w:rsidRPr="00CB7826">
        <w:rPr>
          <w:rFonts w:hint="eastAsia"/>
          <w:lang w:eastAsia="zh-CN"/>
        </w:rPr>
        <w:t xml:space="preserve"> </w:t>
      </w:r>
      <w:r w:rsidRPr="00CB7826">
        <w:t>strengthen</w:t>
      </w:r>
      <w:r w:rsidRPr="00CB7826">
        <w:rPr>
          <w:rFonts w:hint="eastAsia"/>
        </w:rPr>
        <w:t>ing</w:t>
      </w:r>
      <w:r w:rsidRPr="00CB7826">
        <w:t xml:space="preserve"> the recruitment of younger staff members to </w:t>
      </w:r>
      <w:r w:rsidRPr="00CB7826">
        <w:rPr>
          <w:rFonts w:hint="eastAsia"/>
          <w:lang w:eastAsia="zh-CN"/>
        </w:rPr>
        <w:t>i</w:t>
      </w:r>
      <w:r w:rsidRPr="00CB7826">
        <w:t>ntroduce fresh talent, new skills, and inspiration, while maintaining a balance with the expertise and commitment of existing staff.</w:t>
      </w:r>
    </w:p>
    <w:p w14:paraId="6644A84F" w14:textId="77777777" w:rsidR="00CC6ACA" w:rsidRDefault="00CC6ACA" w:rsidP="00C70A92">
      <w:pPr>
        <w:jc w:val="both"/>
      </w:pPr>
      <w:r>
        <w:t>Through implementation of the HRTP, ITU</w:t>
      </w:r>
      <w:r w:rsidRPr="00CB7826">
        <w:t xml:space="preserve"> aims </w:t>
      </w:r>
      <w:r w:rsidRPr="00CB7826">
        <w:rPr>
          <w:rFonts w:hint="eastAsia"/>
        </w:rPr>
        <w:t xml:space="preserve">not only </w:t>
      </w:r>
      <w:r w:rsidRPr="00CB7826">
        <w:t>to</w:t>
      </w:r>
      <w:r w:rsidRPr="000C0D54">
        <w:t xml:space="preserve"> create a</w:t>
      </w:r>
      <w:r>
        <w:rPr>
          <w:rFonts w:hint="eastAsia"/>
          <w:lang w:eastAsia="zh-CN"/>
        </w:rPr>
        <w:t>n</w:t>
      </w:r>
      <w:r w:rsidRPr="000C0D54">
        <w:t xml:space="preserve"> </w:t>
      </w:r>
      <w:r w:rsidRPr="00B940FB">
        <w:t>enabling</w:t>
      </w:r>
      <w:r>
        <w:rPr>
          <w:rFonts w:hint="eastAsia"/>
          <w:lang w:eastAsia="zh-CN"/>
        </w:rPr>
        <w:t xml:space="preserve"> </w:t>
      </w:r>
      <w:r w:rsidRPr="000C0D54">
        <w:t>work environment</w:t>
      </w:r>
      <w:r>
        <w:rPr>
          <w:rFonts w:hint="eastAsia"/>
          <w:lang w:eastAsia="zh-CN"/>
        </w:rPr>
        <w:t xml:space="preserve">, </w:t>
      </w:r>
      <w:r w:rsidRPr="002515AC">
        <w:rPr>
          <w:rFonts w:hint="eastAsia"/>
        </w:rPr>
        <w:t xml:space="preserve">but also to </w:t>
      </w:r>
      <w:r>
        <w:rPr>
          <w:rFonts w:hint="eastAsia"/>
          <w:lang w:eastAsia="zh-CN"/>
        </w:rPr>
        <w:t>enhance</w:t>
      </w:r>
      <w:r w:rsidRPr="002515AC">
        <w:t xml:space="preserve"> organizational performance and empower staff to continuously</w:t>
      </w:r>
      <w:r>
        <w:rPr>
          <w:rFonts w:hint="eastAsia"/>
          <w:lang w:eastAsia="zh-CN"/>
        </w:rPr>
        <w:t xml:space="preserve"> </w:t>
      </w:r>
      <w:r w:rsidRPr="002515AC">
        <w:t xml:space="preserve">develop their knowledge and skills, in </w:t>
      </w:r>
      <w:r>
        <w:rPr>
          <w:rFonts w:hint="eastAsia"/>
          <w:lang w:eastAsia="zh-CN"/>
        </w:rPr>
        <w:t>alignment</w:t>
      </w:r>
      <w:r w:rsidRPr="002515AC">
        <w:t xml:space="preserve"> with ITU’s strategic objectives</w:t>
      </w:r>
      <w:r w:rsidRPr="000C0D54">
        <w:t>.</w:t>
      </w:r>
    </w:p>
    <w:p w14:paraId="72F9D263" w14:textId="77777777" w:rsidR="00CC6ACA" w:rsidRPr="00B844FA" w:rsidRDefault="00CC6ACA" w:rsidP="00C70A92">
      <w:pPr>
        <w:jc w:val="both"/>
      </w:pPr>
      <w:r w:rsidRPr="00B844FA">
        <w:t>Key highlights:</w:t>
      </w:r>
    </w:p>
    <w:p w14:paraId="75090B2F" w14:textId="77777777" w:rsidR="00CC6ACA" w:rsidRPr="00C70A92" w:rsidRDefault="00CC6ACA" w:rsidP="00C70A92">
      <w:pPr>
        <w:pStyle w:val="enumlev1"/>
        <w:jc w:val="both"/>
      </w:pPr>
      <w:r w:rsidRPr="00C70A92">
        <w:t>1</w:t>
      </w:r>
      <w:r w:rsidRPr="00C70A92">
        <w:tab/>
        <w:t>A comprehensive and cost-effective annual learning plan was rolled out, with visibility significantly enhanced via the “Let’s Learn” newsletter and a centralized SharePoint site. These platforms ensure that staff members have real-time access to the annual learning plan and ongoing professional development opportunities,</w:t>
      </w:r>
      <w:r w:rsidRPr="00C70A92">
        <w:rPr>
          <w:rFonts w:hint="eastAsia"/>
        </w:rPr>
        <w:t xml:space="preserve"> </w:t>
      </w:r>
      <w:r w:rsidRPr="00C70A92">
        <w:t xml:space="preserve">while also actively promoting self-paced learning as a cornerstone of a self-driven learning culture. By empowering </w:t>
      </w:r>
      <w:r w:rsidRPr="00C70A92">
        <w:rPr>
          <w:rFonts w:hint="eastAsia"/>
        </w:rPr>
        <w:t xml:space="preserve">staff </w:t>
      </w:r>
      <w:r w:rsidRPr="00C70A92">
        <w:t xml:space="preserve">to take ownership of their development and engage with learning resources at their own pace, we are fostering greater accountability, flexibility, and continuous growth across the </w:t>
      </w:r>
      <w:r w:rsidRPr="00C70A92">
        <w:rPr>
          <w:rFonts w:hint="eastAsia"/>
        </w:rPr>
        <w:t>U</w:t>
      </w:r>
      <w:r w:rsidRPr="00C70A92">
        <w:t>nion. The learning plan remains dynamic, regularly monitored and updated to respond proactively to emerging needs and evolving organizational priorities.</w:t>
      </w:r>
    </w:p>
    <w:p w14:paraId="76FF0793" w14:textId="1899F1DD" w:rsidR="00CC6ACA" w:rsidRPr="00C70A92" w:rsidRDefault="00CC6ACA" w:rsidP="00C70A92">
      <w:pPr>
        <w:pStyle w:val="enumlev1"/>
        <w:jc w:val="both"/>
      </w:pPr>
      <w:r>
        <w:t>2</w:t>
      </w:r>
      <w:r>
        <w:tab/>
        <w:t xml:space="preserve">Mandatory training compliance has been significantly enhanced through a strengthened partnership with HR focal points, leveraging digital tools to improve regular tracking and communication. </w:t>
      </w:r>
      <w:r w:rsidR="2A70ED2C">
        <w:t>Completion rates increased from 5 per cent in September 2024 to 52</w:t>
      </w:r>
      <w:r w:rsidR="005A0A10">
        <w:t> </w:t>
      </w:r>
      <w:r w:rsidR="2A70ED2C">
        <w:t>per cent by the end of February 2026, with a systematic monitoring mechanism and a dedicated focal point within HRMD in place to ensure sustained progress</w:t>
      </w:r>
      <w:r>
        <w:t>.</w:t>
      </w:r>
    </w:p>
    <w:p w14:paraId="30D29C32" w14:textId="4B3034E5" w:rsidR="00CC6ACA" w:rsidRPr="00C70A92" w:rsidRDefault="00CC6ACA" w:rsidP="00C70A92">
      <w:pPr>
        <w:pStyle w:val="enumlev1"/>
        <w:jc w:val="both"/>
      </w:pPr>
      <w:r>
        <w:t>3</w:t>
      </w:r>
      <w:r>
        <w:tab/>
        <w:t xml:space="preserve">Digital upskilling was delivered across key tools and through close collaboration with the Transformation Team to advance AI upskilling. This included various practical training sessions for Copilot Champions </w:t>
      </w:r>
      <w:r w:rsidRPr="6E86A8A3">
        <w:rPr>
          <w:rFonts w:eastAsia="SimSun"/>
        </w:rPr>
        <w:t>complemented by an in-person event attended by the Secretary-General and supported by structured monthly follow-ups to sustain momentum and reinforce adoption</w:t>
      </w:r>
      <w:r>
        <w:t>. In addition, a targeted communication campaign was rolled out to all staff members highlighting curated self-paced learning pathways and a range of AI-driven learning opportunities. This approach aimed to promote continuous upskilling, encourage proactive engagement with emerging technologies, and embed AI literacy as a core capability across the organization. The inaugural “AI for HR” session was successfully delivered at the AI for Good Global Summit, engaging 92 HR Directors and HR professionals across the UN agencies and international organizations and receiving exceptionally positive feedback.</w:t>
      </w:r>
    </w:p>
    <w:p w14:paraId="1ABF0581" w14:textId="77777777" w:rsidR="00CC6ACA" w:rsidRPr="00C70A92" w:rsidRDefault="00CC6ACA" w:rsidP="00C70A92">
      <w:pPr>
        <w:pStyle w:val="enumlev1"/>
        <w:jc w:val="both"/>
        <w:rPr>
          <w:highlight w:val="cyan"/>
        </w:rPr>
      </w:pPr>
      <w:r w:rsidRPr="00C70A92">
        <w:t>4</w:t>
      </w:r>
      <w:r w:rsidRPr="00C70A92">
        <w:tab/>
        <w:t xml:space="preserve">Career development and core competencies were strengthened through targeted masterclass series and functional skills training, with recordings and resources made available on demand. </w:t>
      </w:r>
      <w:r w:rsidRPr="00C70A92">
        <w:rPr>
          <w:rFonts w:eastAsia="SimSun"/>
        </w:rPr>
        <w:t xml:space="preserve">Targeted learning opportunities were delivered for General Service staff to strengthen future-ready capabilities and support evolving organizational needs. This included the implementation of the Gameshifter Programme, designed to build adaptability, innovation, and growth-oriented mindsets. Specialized training on </w:t>
      </w:r>
      <w:r w:rsidRPr="00C70A92">
        <w:rPr>
          <w:rFonts w:eastAsia="SimSun"/>
        </w:rPr>
        <w:lastRenderedPageBreak/>
        <w:t xml:space="preserve">“Digital Skills and AI Tools for Programme Delivery” was delivered in collaboration with the International Training Centre of the International Labour Organization (ITCILO), equipping participants with practical competencies to leverage emerging technologies. The aim of this initiative was to equip General Service staff with the skills, confidence, and digital fluency required to thrive in a rapidly evolving work environment. </w:t>
      </w:r>
      <w:r w:rsidRPr="00C70A92">
        <w:t>In parallel, HRMD continues to further build HR capabilities through certification, as appropriate, to strengthen internal expertise.</w:t>
      </w:r>
    </w:p>
    <w:p w14:paraId="2D42E973" w14:textId="77777777" w:rsidR="00CC6ACA" w:rsidRPr="00C70A92" w:rsidRDefault="00CC6ACA" w:rsidP="00C70A92">
      <w:pPr>
        <w:pStyle w:val="enumlev1"/>
        <w:jc w:val="both"/>
        <w:rPr>
          <w:highlight w:val="cyan"/>
        </w:rPr>
      </w:pPr>
      <w:r w:rsidRPr="00C70A92">
        <w:t>5</w:t>
      </w:r>
      <w:r w:rsidRPr="00C70A92">
        <w:tab/>
        <w:t xml:space="preserve">To ensure seamless staff integration, two rounds of the Newcomer Induction programme were delivered in 2025 (March and September). The programme is being digitalized through a virtual onboarding solution and updated intranet resources by </w:t>
      </w:r>
      <w:r w:rsidRPr="00C70A92">
        <w:rPr>
          <w:rFonts w:hint="eastAsia"/>
        </w:rPr>
        <w:t xml:space="preserve">the </w:t>
      </w:r>
      <w:r w:rsidRPr="00C70A92">
        <w:t>end of 2026.</w:t>
      </w:r>
    </w:p>
    <w:p w14:paraId="7B02B478" w14:textId="5336DC30" w:rsidR="00CC6ACA" w:rsidRPr="00C70A92" w:rsidRDefault="00CC6ACA" w:rsidP="00C70A92">
      <w:pPr>
        <w:pStyle w:val="enumlev1"/>
        <w:jc w:val="both"/>
        <w:rPr>
          <w:highlight w:val="cyan"/>
        </w:rPr>
      </w:pPr>
      <w:r w:rsidRPr="00C70A92">
        <w:rPr>
          <w:rFonts w:hint="eastAsia"/>
        </w:rPr>
        <w:t>6</w:t>
      </w:r>
      <w:r w:rsidRPr="00C70A92">
        <w:tab/>
      </w:r>
      <w:r w:rsidR="3378541B">
        <w:t xml:space="preserve"> Targeted support was provided to Bureaux and Regional Offices to address specific operational requirements. This included tailored capacity-building initiatives, notably specialized training on project evaluation for a newly established evaluation community in collaboration with the Changemakers evaluation group and the Evaluation Specialist, as well as security-related training delivered in coordination with BDT and the Security team, which contributed to staff preparedness for WTDC-25. In addition, support was extended for individual specialized training needs</w:t>
      </w:r>
      <w:r w:rsidRPr="00C70A92">
        <w:rPr>
          <w:rFonts w:hint="eastAsia"/>
        </w:rPr>
        <w:t>.</w:t>
      </w:r>
    </w:p>
    <w:p w14:paraId="31D25BAD" w14:textId="235FBDB2" w:rsidR="00CC6ACA" w:rsidRPr="00C70A92" w:rsidRDefault="00CC6ACA" w:rsidP="00C70A92">
      <w:pPr>
        <w:pStyle w:val="enumlev1"/>
        <w:jc w:val="both"/>
        <w:rPr>
          <w:highlight w:val="yellow"/>
        </w:rPr>
      </w:pPr>
      <w:r w:rsidRPr="00C70A92">
        <w:t>7</w:t>
      </w:r>
      <w:r w:rsidRPr="00C70A92">
        <w:tab/>
        <w:t>The performance management process has been streamlined across all phases by simplifying forms, removing redundant clicks, and synthesizing information. This makes the process less cumbersome, enabling staff and managers to focus on dialogue and regular feedback. The simplified ePMDS tool has reduced supervisor evaluation time by at least 50 per cent, allowing for more efficient performance discussions rather than focus</w:t>
      </w:r>
      <w:r w:rsidRPr="00C70A92">
        <w:rPr>
          <w:rFonts w:hint="eastAsia"/>
        </w:rPr>
        <w:t>ing</w:t>
      </w:r>
      <w:r w:rsidRPr="00C70A92">
        <w:t xml:space="preserve"> on the tool in the system.</w:t>
      </w:r>
    </w:p>
    <w:p w14:paraId="6E13CDE4" w14:textId="14343699" w:rsidR="00CC6ACA" w:rsidRPr="00C70A92" w:rsidRDefault="00CC6ACA" w:rsidP="005A0A10">
      <w:pPr>
        <w:pStyle w:val="enumlev1"/>
        <w:ind w:left="562" w:hanging="562"/>
        <w:jc w:val="both"/>
        <w:rPr>
          <w:highlight w:val="yellow"/>
        </w:rPr>
      </w:pPr>
      <w:r>
        <w:t>8</w:t>
      </w:r>
      <w:r>
        <w:tab/>
        <w:t xml:space="preserve">The ongoing review of the performance management process is adopting a collaborative approach through innovation labs to </w:t>
      </w:r>
      <w:r w:rsidR="6A45FF50">
        <w:t>improve</w:t>
      </w:r>
      <w:r>
        <w:t xml:space="preserve"> </w:t>
      </w:r>
      <w:r w:rsidR="7BD0899C">
        <w:t>the</w:t>
      </w:r>
      <w:r>
        <w:t xml:space="preserve"> process</w:t>
      </w:r>
      <w:r w:rsidR="4A274105">
        <w:t xml:space="preserve"> and tools</w:t>
      </w:r>
      <w:r>
        <w:t xml:space="preserve"> </w:t>
      </w:r>
      <w:r w:rsidR="7E12FB17">
        <w:t>to</w:t>
      </w:r>
      <w:r w:rsidR="5357D063">
        <w:t xml:space="preserve"> </w:t>
      </w:r>
      <w:r>
        <w:t>addresses underperformance, link</w:t>
      </w:r>
      <w:r w:rsidR="5BB3E66B">
        <w:t xml:space="preserve"> </w:t>
      </w:r>
      <w:r>
        <w:t>learning to performance, recognize individual and team achievements, and foster open dialogue and continuous feedback, with implementation targeted for 2026.</w:t>
      </w:r>
    </w:p>
    <w:p w14:paraId="08CEA010" w14:textId="77777777" w:rsidR="00CC6ACA" w:rsidRPr="00C70A92" w:rsidRDefault="00CC6ACA" w:rsidP="00C70A92">
      <w:pPr>
        <w:pStyle w:val="enumlev1"/>
        <w:jc w:val="both"/>
      </w:pPr>
      <w:r w:rsidRPr="00C70A92">
        <w:rPr>
          <w:rFonts w:hint="eastAsia"/>
        </w:rPr>
        <w:t>9</w:t>
      </w:r>
      <w:r w:rsidRPr="00C70A92">
        <w:tab/>
        <w:t>The ITU recruitment framework is being strengthened to improve efficiencies</w:t>
      </w:r>
      <w:r w:rsidRPr="00C70A92">
        <w:rPr>
          <w:rFonts w:hint="eastAsia"/>
        </w:rPr>
        <w:t xml:space="preserve"> in</w:t>
      </w:r>
      <w:r w:rsidRPr="00C70A92">
        <w:t xml:space="preserve"> time-to-hire and administrative effort, </w:t>
      </w:r>
      <w:r w:rsidRPr="00C70A92">
        <w:rPr>
          <w:rFonts w:hint="eastAsia"/>
        </w:rPr>
        <w:t>while</w:t>
      </w:r>
      <w:r w:rsidRPr="00C70A92">
        <w:t xml:space="preserve"> mitigat</w:t>
      </w:r>
      <w:r w:rsidRPr="00C70A92">
        <w:rPr>
          <w:rFonts w:hint="eastAsia"/>
        </w:rPr>
        <w:t>ing</w:t>
      </w:r>
      <w:r w:rsidRPr="00C70A92">
        <w:t xml:space="preserve"> compliance and accountability risks. In the first phase of the fixed-term recruitment transformation, new workflows, key performance indicators (KPIs), an accountability framework and a draft policy were developed, </w:t>
      </w:r>
      <w:r w:rsidRPr="00C70A92">
        <w:rPr>
          <w:rFonts w:hint="eastAsia"/>
        </w:rPr>
        <w:t>informed by</w:t>
      </w:r>
      <w:r w:rsidRPr="00C70A92">
        <w:t xml:space="preserve"> internal consultations and </w:t>
      </w:r>
      <w:r w:rsidRPr="00C70A92">
        <w:rPr>
          <w:rFonts w:hint="eastAsia"/>
        </w:rPr>
        <w:t>UN</w:t>
      </w:r>
      <w:r w:rsidRPr="00C70A92">
        <w:t xml:space="preserve"> benchmarking</w:t>
      </w:r>
      <w:r w:rsidRPr="00C70A92">
        <w:rPr>
          <w:rFonts w:hint="eastAsia"/>
        </w:rPr>
        <w:t xml:space="preserve">. </w:t>
      </w:r>
      <w:r w:rsidRPr="00C70A92">
        <w:t>The recruitment policy is expected to be finalized in 2026</w:t>
      </w:r>
      <w:r w:rsidRPr="00C70A92">
        <w:rPr>
          <w:rFonts w:hint="eastAsia"/>
        </w:rPr>
        <w:t xml:space="preserve">, </w:t>
      </w:r>
      <w:r w:rsidRPr="00C70A92">
        <w:t>and ITU will migrate to INSPIRA as its core recruitment platform, in alignment with UN80 and shared services objectives, to deliver lower annual operating costs with significantly higher value, a predictable cost model and reduced operational burden, and timely alignment with enterprise modernization.</w:t>
      </w:r>
      <w:r w:rsidRPr="00C70A92">
        <w:rPr>
          <w:rFonts w:hint="eastAsia"/>
        </w:rPr>
        <w:t xml:space="preserve"> </w:t>
      </w:r>
      <w:r w:rsidRPr="00C70A92">
        <w:t>Work is also under way to strengthen outreach and employer branding to attract diverse, high-quality talent.</w:t>
      </w:r>
    </w:p>
    <w:p w14:paraId="79DF3F94" w14:textId="321F4354" w:rsidR="00CC6ACA" w:rsidRPr="00C70A92" w:rsidRDefault="00CC6ACA" w:rsidP="00C70A92">
      <w:pPr>
        <w:pStyle w:val="enumlev1"/>
        <w:jc w:val="both"/>
      </w:pPr>
      <w:r w:rsidRPr="00C70A92">
        <w:rPr>
          <w:rFonts w:hint="eastAsia"/>
        </w:rPr>
        <w:t>10</w:t>
      </w:r>
      <w:r w:rsidRPr="00C70A92">
        <w:tab/>
        <w:t>Strategic workforce planning</w:t>
      </w:r>
      <w:r w:rsidR="00CB1E21">
        <w:t xml:space="preserve"> </w:t>
      </w:r>
      <w:r w:rsidRPr="00C70A92">
        <w:t>is being strengthened to support the efficient allocation of</w:t>
      </w:r>
      <w:r w:rsidR="00CB1E21">
        <w:t xml:space="preserve"> </w:t>
      </w:r>
      <w:r w:rsidRPr="00C70A92">
        <w:t>human resources to meet ITU</w:t>
      </w:r>
      <w:r w:rsidR="00F32FD7">
        <w:t>’</w:t>
      </w:r>
      <w:r w:rsidRPr="00C70A92">
        <w:t>s evolving needs.</w:t>
      </w:r>
      <w:r w:rsidR="00CB1E21">
        <w:t xml:space="preserve"> </w:t>
      </w:r>
      <w:r w:rsidRPr="00C70A92">
        <w:t>Building on internal consultations and</w:t>
      </w:r>
      <w:r w:rsidR="00CB1E21">
        <w:t xml:space="preserve"> </w:t>
      </w:r>
      <w:r w:rsidRPr="00C70A92">
        <w:t>UN</w:t>
      </w:r>
      <w:r w:rsidR="00CB1E21">
        <w:t xml:space="preserve"> </w:t>
      </w:r>
      <w:r w:rsidRPr="00C70A92">
        <w:t>benchmarking, work is progressing on establishing a competency framework, skills matrix, training needs, and a succession planning model. This work will continue into the third quarter of 2026</w:t>
      </w:r>
      <w:r w:rsidRPr="00C70A92">
        <w:rPr>
          <w:rFonts w:hint="eastAsia"/>
        </w:rPr>
        <w:t xml:space="preserve">. </w:t>
      </w:r>
      <w:r w:rsidRPr="00C70A92">
        <w:t xml:space="preserve">As part of the Workforce Planning Framework (WFP), ITU is advancing a standardized, Union-wide framework to assess the most appropriate </w:t>
      </w:r>
      <w:r w:rsidRPr="00C70A92">
        <w:lastRenderedPageBreak/>
        <w:t>location and contract modality for posts when they are opened for recruitment, ensuring that recruitment and placement decisions are aligned with both organizational priorities and the realities of a global operating model, while strengthening regional presence by bringing staff closer to Member States. This data-driven framework reinforces fairness, transparency, and adaptability, positioning the organization to meet future challenges and Member State needs with greater efficiency and impact.</w:t>
      </w:r>
    </w:p>
    <w:p w14:paraId="049712B2" w14:textId="77777777" w:rsidR="00CC6ACA" w:rsidRPr="00C70A92" w:rsidRDefault="00CC6ACA" w:rsidP="00C70A92">
      <w:pPr>
        <w:pStyle w:val="enumlev1"/>
        <w:jc w:val="both"/>
      </w:pPr>
      <w:r w:rsidRPr="00C70A92">
        <w:t>11</w:t>
      </w:r>
      <w:r w:rsidRPr="00C70A92">
        <w:tab/>
        <w:t xml:space="preserve">As of February 2026, the number of Junior Professional Officers (JPOs) is 5, with an additional 4 to 6 anticipated to </w:t>
      </w:r>
      <w:r w:rsidRPr="00C70A92">
        <w:rPr>
          <w:rFonts w:hint="eastAsia"/>
        </w:rPr>
        <w:t xml:space="preserve">be </w:t>
      </w:r>
      <w:r w:rsidRPr="00C70A92">
        <w:t>onboard</w:t>
      </w:r>
      <w:r w:rsidRPr="00C70A92">
        <w:rPr>
          <w:rFonts w:hint="eastAsia"/>
        </w:rPr>
        <w:t>ed</w:t>
      </w:r>
      <w:r w:rsidRPr="00C70A92">
        <w:t xml:space="preserve"> later this year. This growth bolsters ITU’s talent pipeline, fostering a future-ready workforce while enhancing institutional efficiency and agility.</w:t>
      </w:r>
    </w:p>
    <w:p w14:paraId="32B4E8F1" w14:textId="67919563" w:rsidR="00CC6ACA" w:rsidRPr="006D5032" w:rsidRDefault="00CC6ACA" w:rsidP="00C70A92">
      <w:pPr>
        <w:pStyle w:val="enumlev1"/>
        <w:jc w:val="both"/>
        <w:rPr>
          <w:spacing w:val="-3"/>
        </w:rPr>
      </w:pPr>
      <w:bookmarkStart w:id="13" w:name="_Hlk195106213"/>
      <w:r w:rsidRPr="006D5032">
        <w:rPr>
          <w:spacing w:val="2"/>
        </w:rPr>
        <w:t>12</w:t>
      </w:r>
      <w:r w:rsidRPr="006D5032">
        <w:rPr>
          <w:spacing w:val="2"/>
        </w:rPr>
        <w:tab/>
      </w:r>
      <w:r w:rsidRPr="006D5032">
        <w:rPr>
          <w:spacing w:val="-3"/>
        </w:rPr>
        <w:t>The Young Professionals Programme (YPP), launched in 2024, is a cornerstone of ITU’s</w:t>
      </w:r>
      <w:r w:rsidR="006D5032" w:rsidRPr="006D5032">
        <w:rPr>
          <w:spacing w:val="-3"/>
        </w:rPr>
        <w:t xml:space="preserve"> </w:t>
      </w:r>
      <w:r w:rsidRPr="006D5032">
        <w:rPr>
          <w:spacing w:val="-3"/>
        </w:rPr>
        <w:t>commitment to workforce revitalization and youth engagement. Following the</w:t>
      </w:r>
      <w:r w:rsidR="006D5032" w:rsidRPr="006D5032">
        <w:rPr>
          <w:spacing w:val="-3"/>
        </w:rPr>
        <w:t xml:space="preserve"> </w:t>
      </w:r>
      <w:r w:rsidRPr="006D5032">
        <w:rPr>
          <w:spacing w:val="-3"/>
        </w:rPr>
        <w:t>onboarding of six professionals from Least Developed Countries (LDCs) in 2025</w:t>
      </w:r>
      <w:r w:rsidR="00986E98" w:rsidRPr="006D5032">
        <w:rPr>
          <w:spacing w:val="-3"/>
        </w:rPr>
        <w:t xml:space="preserve"> </w:t>
      </w:r>
      <w:r w:rsidRPr="006D5032">
        <w:rPr>
          <w:spacing w:val="-3"/>
        </w:rPr>
        <w:t>—advancing geographic representation—</w:t>
      </w:r>
      <w:r w:rsidR="00986E98" w:rsidRPr="006D5032">
        <w:rPr>
          <w:spacing w:val="-3"/>
        </w:rPr>
        <w:t xml:space="preserve"> </w:t>
      </w:r>
      <w:r w:rsidRPr="006D5032">
        <w:rPr>
          <w:spacing w:val="-3"/>
        </w:rPr>
        <w:t xml:space="preserve">the Union will sustain this momentum, further infusing ITU with fresh perspectives and future-ready digital skills. </w:t>
      </w:r>
    </w:p>
    <w:bookmarkEnd w:id="13"/>
    <w:p w14:paraId="61593AD1" w14:textId="64E066DA" w:rsidR="00CC6ACA" w:rsidRPr="006D5032" w:rsidRDefault="00CC6ACA" w:rsidP="00C70A92">
      <w:pPr>
        <w:pStyle w:val="enumlev1"/>
        <w:jc w:val="both"/>
      </w:pPr>
      <w:r w:rsidRPr="006D5032">
        <w:rPr>
          <w:spacing w:val="2"/>
        </w:rPr>
        <w:t>13</w:t>
      </w:r>
      <w:r w:rsidRPr="006D5032">
        <w:rPr>
          <w:spacing w:val="2"/>
        </w:rPr>
        <w:tab/>
        <w:t>Gender parity in recruitment was strengthened through balanced recruitment panels</w:t>
      </w:r>
      <w:r w:rsidR="006D5032" w:rsidRPr="006D5032">
        <w:rPr>
          <w:spacing w:val="2"/>
        </w:rPr>
        <w:t xml:space="preserve"> </w:t>
      </w:r>
      <w:r w:rsidRPr="006D5032">
        <w:rPr>
          <w:spacing w:val="2"/>
        </w:rPr>
        <w:t xml:space="preserve">—ensuring both </w:t>
      </w:r>
      <w:r w:rsidR="2BBFE266" w:rsidRPr="006D5032">
        <w:rPr>
          <w:spacing w:val="2"/>
        </w:rPr>
        <w:t>men and women</w:t>
      </w:r>
      <w:r w:rsidRPr="006D5032">
        <w:rPr>
          <w:spacing w:val="2"/>
        </w:rPr>
        <w:t xml:space="preserve"> are represented on every panel at each step of the recruitment process. Special recruitment measures and targeted outreach have been defined to support parity and geographic diversity. These include requiring shortlists to feature</w:t>
      </w:r>
      <w:r w:rsidRPr="006D5032">
        <w:rPr>
          <w:rFonts w:hint="eastAsia"/>
          <w:spacing w:val="2"/>
        </w:rPr>
        <w:t>,</w:t>
      </w:r>
      <w:r w:rsidRPr="006D5032">
        <w:rPr>
          <w:spacing w:val="2"/>
        </w:rPr>
        <w:t xml:space="preserve"> wh</w:t>
      </w:r>
      <w:r w:rsidRPr="006D5032">
        <w:rPr>
          <w:rFonts w:hint="eastAsia"/>
          <w:spacing w:val="2"/>
        </w:rPr>
        <w:t>ere</w:t>
      </w:r>
      <w:r w:rsidRPr="006D5032">
        <w:rPr>
          <w:spacing w:val="2"/>
        </w:rPr>
        <w:t xml:space="preserve"> possible</w:t>
      </w:r>
      <w:r w:rsidRPr="006D5032">
        <w:rPr>
          <w:rFonts w:hint="eastAsia"/>
          <w:spacing w:val="2"/>
        </w:rPr>
        <w:t>,</w:t>
      </w:r>
      <w:r w:rsidRPr="006D5032">
        <w:rPr>
          <w:spacing w:val="2"/>
        </w:rPr>
        <w:t xml:space="preserve"> 50 per cent of the underrepresented gender (where parity is not met) and reinforcing managerial accountability. Work is under way to further align recruitment communications and practices with inclusive standards.</w:t>
      </w:r>
    </w:p>
    <w:p w14:paraId="373258E4" w14:textId="11FBFE23" w:rsidR="00CC6ACA" w:rsidRPr="00C70A92" w:rsidRDefault="00CC6ACA" w:rsidP="00C70A92">
      <w:pPr>
        <w:pStyle w:val="enumlev1"/>
        <w:jc w:val="both"/>
      </w:pPr>
      <w:r w:rsidRPr="00C70A92">
        <w:t>1</w:t>
      </w:r>
      <w:r w:rsidRPr="00C70A92">
        <w:rPr>
          <w:rFonts w:hint="eastAsia"/>
        </w:rPr>
        <w:t>4</w:t>
      </w:r>
      <w:r w:rsidRPr="00C70A92">
        <w:tab/>
        <w:t>A second tranche of the Voluntary Separation Programme (VSP) was implemented</w:t>
      </w:r>
      <w:r w:rsidRPr="00C70A92">
        <w:rPr>
          <w:rFonts w:hint="eastAsia"/>
        </w:rPr>
        <w:t xml:space="preserve"> </w:t>
      </w:r>
      <w:r w:rsidRPr="00C70A92">
        <w:t>to</w:t>
      </w:r>
      <w:r w:rsidRPr="00C70A92">
        <w:rPr>
          <w:rFonts w:hint="eastAsia"/>
        </w:rPr>
        <w:t xml:space="preserve"> </w:t>
      </w:r>
      <w:r w:rsidRPr="00C70A92">
        <w:t xml:space="preserve">optimize budgetary expenditure, reorganize the Union’s structures and resource allocation, and improve ITU’s ability to recruit the necessary skill profiles. Following </w:t>
      </w:r>
      <w:r w:rsidRPr="00C70A92">
        <w:rPr>
          <w:rFonts w:hint="eastAsia"/>
        </w:rPr>
        <w:t xml:space="preserve">the </w:t>
      </w:r>
      <w:r w:rsidRPr="00C70A92">
        <w:t>recommendation by the Coordination Committee (CoCo) and approval by the Secretary</w:t>
      </w:r>
      <w:r w:rsidR="079A0599" w:rsidRPr="00C70A92">
        <w:t>-</w:t>
      </w:r>
      <w:r w:rsidR="006D5032">
        <w:noBreakHyphen/>
      </w:r>
      <w:r w:rsidRPr="00C70A92">
        <w:t>General,</w:t>
      </w:r>
      <w:r w:rsidRPr="00C70A92">
        <w:rPr>
          <w:rFonts w:hint="eastAsia"/>
        </w:rPr>
        <w:t xml:space="preserve"> </w:t>
      </w:r>
      <w:r w:rsidRPr="00C70A92">
        <w:t>15 staff members were separated under the VSP 2024 (representing approximately 2.5 per cent of regular staff), with departures completed in 2025</w:t>
      </w:r>
      <w:r w:rsidRPr="00C70A92">
        <w:rPr>
          <w:rFonts w:hint="eastAsia"/>
        </w:rPr>
        <w:t>.</w:t>
      </w:r>
      <w:r w:rsidRPr="00C70A92">
        <w:t xml:space="preserve"> </w:t>
      </w:r>
    </w:p>
    <w:p w14:paraId="2188EB10" w14:textId="2DAD60E9" w:rsidR="00CC6ACA" w:rsidRPr="002D031A" w:rsidRDefault="00CC6ACA" w:rsidP="00C70A92">
      <w:pPr>
        <w:pStyle w:val="Headingb"/>
      </w:pPr>
      <w:r w:rsidRPr="002D031A">
        <w:t>Culture</w:t>
      </w:r>
      <w:r w:rsidR="006D5032">
        <w:t xml:space="preserve"> –</w:t>
      </w:r>
      <w:r w:rsidRPr="002D031A">
        <w:t xml:space="preserve"> Establishing a culture where people feel safe, valued, and able to deliver to their best</w:t>
      </w:r>
    </w:p>
    <w:p w14:paraId="1CAE7C30" w14:textId="23680A9A" w:rsidR="00CC6ACA" w:rsidRPr="00C60B93" w:rsidRDefault="00CC6ACA" w:rsidP="00C70A92">
      <w:pPr>
        <w:jc w:val="both"/>
        <w:rPr>
          <w:lang w:eastAsia="zh-CN"/>
        </w:rPr>
      </w:pPr>
      <w:r>
        <w:rPr>
          <w:lang w:eastAsia="zh-CN"/>
        </w:rPr>
        <w:t>Culture, the second pillar of the HRTP recogni</w:t>
      </w:r>
      <w:r w:rsidR="00DF10FD">
        <w:rPr>
          <w:lang w:eastAsia="zh-CN"/>
        </w:rPr>
        <w:t>z</w:t>
      </w:r>
      <w:r>
        <w:rPr>
          <w:lang w:eastAsia="zh-CN"/>
        </w:rPr>
        <w:t xml:space="preserve">es ITU’s commitment </w:t>
      </w:r>
      <w:r w:rsidRPr="00C60B93">
        <w:rPr>
          <w:lang w:eastAsia="zh-CN"/>
        </w:rPr>
        <w:t xml:space="preserve">to fostering </w:t>
      </w:r>
      <w:r w:rsidRPr="00136D7B">
        <w:rPr>
          <w:lang w:eastAsia="zh-CN"/>
        </w:rPr>
        <w:t>an inclusive culture, shaped by strong facilitative leadership, in a respectful, ethical, and fair workplace where people feel safe, trusted, valued, and able to perform at their best</w:t>
      </w:r>
      <w:r w:rsidRPr="00C60B93">
        <w:rPr>
          <w:lang w:eastAsia="zh-CN"/>
        </w:rPr>
        <w:t>.</w:t>
      </w:r>
      <w:r w:rsidRPr="000D6A22">
        <w:rPr>
          <w:rFonts w:hint="eastAsia"/>
          <w:lang w:eastAsia="zh-CN"/>
        </w:rPr>
        <w:t xml:space="preserve"> </w:t>
      </w:r>
      <w:r w:rsidRPr="00C60B93">
        <w:rPr>
          <w:lang w:eastAsia="zh-CN"/>
        </w:rPr>
        <w:t xml:space="preserve">Creating such an </w:t>
      </w:r>
      <w:r w:rsidRPr="008259C8">
        <w:rPr>
          <w:spacing w:val="-2"/>
          <w:lang w:eastAsia="zh-CN"/>
        </w:rPr>
        <w:t>environment inspires creativity, psychological safety, high performance, and staff engagement.</w:t>
      </w:r>
    </w:p>
    <w:p w14:paraId="6CDEF9D4" w14:textId="77777777" w:rsidR="00CC6ACA" w:rsidRPr="00C60B93" w:rsidRDefault="00CC6ACA" w:rsidP="00C70A92">
      <w:pPr>
        <w:jc w:val="both"/>
        <w:rPr>
          <w:lang w:eastAsia="zh-CN"/>
        </w:rPr>
      </w:pPr>
      <w:r w:rsidRPr="006C519C">
        <w:rPr>
          <w:lang w:eastAsia="zh-CN"/>
        </w:rPr>
        <w:t>The HRTP</w:t>
      </w:r>
      <w:r w:rsidRPr="00CB7826">
        <w:rPr>
          <w:lang w:eastAsia="zh-CN"/>
        </w:rPr>
        <w:t xml:space="preserve"> prioritize</w:t>
      </w:r>
      <w:r w:rsidRPr="00CB7826">
        <w:rPr>
          <w:rFonts w:hint="eastAsia"/>
          <w:lang w:eastAsia="zh-CN"/>
        </w:rPr>
        <w:t>s</w:t>
      </w:r>
      <w:r w:rsidRPr="00C60B93">
        <w:rPr>
          <w:lang w:eastAsia="zh-CN"/>
        </w:rPr>
        <w:t xml:space="preserve"> conditions of service, well-being, and work-life balance through occupational and mental health support measures and family-friendly policies.</w:t>
      </w:r>
    </w:p>
    <w:p w14:paraId="4123234A" w14:textId="77777777" w:rsidR="00CC6ACA" w:rsidRDefault="00CC6ACA" w:rsidP="00C70A92">
      <w:pPr>
        <w:jc w:val="both"/>
        <w:rPr>
          <w:lang w:eastAsia="zh-CN"/>
        </w:rPr>
      </w:pPr>
      <w:r w:rsidRPr="000D6A22">
        <w:rPr>
          <w:lang w:eastAsia="zh-CN"/>
        </w:rPr>
        <w:t>Additionally, ITU strives to be an accessible and attractive employer for all</w:t>
      </w:r>
      <w:r w:rsidRPr="00C60B93">
        <w:rPr>
          <w:lang w:eastAsia="zh-CN"/>
        </w:rPr>
        <w:t>.</w:t>
      </w:r>
    </w:p>
    <w:p w14:paraId="7C0DAFA9" w14:textId="77777777" w:rsidR="00CC6ACA" w:rsidRPr="00B844FA" w:rsidRDefault="00CC6ACA" w:rsidP="00C70A92">
      <w:pPr>
        <w:jc w:val="both"/>
        <w:rPr>
          <w:lang w:eastAsia="zh-CN"/>
        </w:rPr>
      </w:pPr>
      <w:r w:rsidRPr="00B844FA">
        <w:t>Key highlights:</w:t>
      </w:r>
    </w:p>
    <w:p w14:paraId="3418E82C" w14:textId="5D1C1357" w:rsidR="00CC6ACA" w:rsidRPr="00C70A92" w:rsidRDefault="00CC6ACA" w:rsidP="00C70A92">
      <w:pPr>
        <w:pStyle w:val="enumlev1"/>
        <w:jc w:val="both"/>
        <w:rPr>
          <w:highlight w:val="magenta"/>
        </w:rPr>
      </w:pPr>
      <w:r>
        <w:t>1</w:t>
      </w:r>
      <w:r>
        <w:tab/>
      </w:r>
      <w:r w:rsidR="57C371F3" w:rsidRPr="6E86A8A3">
        <w:t xml:space="preserve">ITU conducted its first Employee Engagement Survey (EES) in early 2025 as part of the </w:t>
      </w:r>
      <w:r w:rsidR="4F7B8158" w:rsidRPr="6E86A8A3">
        <w:t>HRTP</w:t>
      </w:r>
      <w:r w:rsidR="57C371F3" w:rsidRPr="6E86A8A3">
        <w:t xml:space="preserve">, providing </w:t>
      </w:r>
      <w:r w:rsidR="063F2BE3" w:rsidRPr="6E86A8A3">
        <w:t xml:space="preserve">a </w:t>
      </w:r>
      <w:r w:rsidR="4724EC68" w:rsidRPr="6E86A8A3">
        <w:t>solid evidence</w:t>
      </w:r>
      <w:r w:rsidR="367DE3B0" w:rsidRPr="6E86A8A3">
        <w:t xml:space="preserve"> base for identifying strengths and areas requiring further attentio</w:t>
      </w:r>
      <w:r w:rsidR="7581B34F" w:rsidRPr="6E86A8A3">
        <w:t>n</w:t>
      </w:r>
      <w:r w:rsidR="57C371F3" w:rsidRPr="6E86A8A3">
        <w:t xml:space="preserve">. </w:t>
      </w:r>
      <w:r>
        <w:t>Building on EES</w:t>
      </w:r>
      <w:r w:rsidR="32E098B1">
        <w:t xml:space="preserve"> results</w:t>
      </w:r>
      <w:r>
        <w:t>, ITU implemented a follow-up action plan focused on workplace culture, management practices and operational efficiency. The plan combines organization-wide initiatives —</w:t>
      </w:r>
      <w:r w:rsidR="63C6322F">
        <w:t xml:space="preserve"> </w:t>
      </w:r>
      <w:r>
        <w:t>including Open-Door Sessions with Elected Officials, Innovation and Learning Programme, a Brown Bag Lunch Series</w:t>
      </w:r>
      <w:r w:rsidR="006D2DD9">
        <w:t>,</w:t>
      </w:r>
      <w:r>
        <w:t xml:space="preserve"> and </w:t>
      </w:r>
      <w:r>
        <w:lastRenderedPageBreak/>
        <w:t xml:space="preserve">an ITU-wide Mentorship Programme, and departmental and bureau-level actions created at the grassroots level. </w:t>
      </w:r>
    </w:p>
    <w:p w14:paraId="3A8FAA8A" w14:textId="011A3ECC" w:rsidR="00CC6ACA" w:rsidRPr="00C70A92" w:rsidRDefault="00CC6ACA" w:rsidP="00C70A92">
      <w:pPr>
        <w:pStyle w:val="enumlev1"/>
        <w:jc w:val="both"/>
      </w:pPr>
      <w:r w:rsidRPr="00C70A92">
        <w:t>2</w:t>
      </w:r>
      <w:r w:rsidRPr="00C70A92">
        <w:tab/>
        <w:t>A</w:t>
      </w:r>
      <w:r w:rsidRPr="00C70A92">
        <w:rPr>
          <w:rFonts w:hint="eastAsia"/>
        </w:rPr>
        <w:t xml:space="preserve"> </w:t>
      </w:r>
      <w:r w:rsidRPr="00C70A92">
        <w:t>rewards and recognition framework has been launched to celebrate service and performance, directly responding to EES feedback and Staff Council recommendations. On 8 December 2025, the Long-Standing Service Recognition Ceremony honoured 210</w:t>
      </w:r>
      <w:r w:rsidR="00A23F32">
        <w:t> </w:t>
      </w:r>
      <w:r w:rsidRPr="00C70A92">
        <w:t>colleagues with over 20 years of service. In 2026, the framework will expand with the launch of the second pillar, Team Awards, to recognize collective achievements and reinforce a sense of belonging, complemented by informal shout-outs and manager-led appreciation to ensure people feel valued</w:t>
      </w:r>
      <w:r w:rsidRPr="00C70A92">
        <w:rPr>
          <w:rFonts w:hint="eastAsia"/>
        </w:rPr>
        <w:t xml:space="preserve">. </w:t>
      </w:r>
      <w:r w:rsidRPr="00C70A92">
        <w:t>This proactive approach translates staff feedback into visible recognition, reinforcing a shared sense of purpose and deepening long-term commitment to the Union.</w:t>
      </w:r>
    </w:p>
    <w:p w14:paraId="348E3FB5" w14:textId="61EF4207" w:rsidR="00CC6ACA" w:rsidRPr="00A23F32" w:rsidRDefault="00CC6ACA" w:rsidP="00C70A92">
      <w:pPr>
        <w:pStyle w:val="enumlev1"/>
        <w:jc w:val="both"/>
      </w:pPr>
      <w:r w:rsidRPr="00A23F32">
        <w:rPr>
          <w:spacing w:val="-2"/>
        </w:rPr>
        <w:t>3</w:t>
      </w:r>
      <w:r w:rsidRPr="00A23F32">
        <w:rPr>
          <w:spacing w:val="-2"/>
        </w:rPr>
        <w:tab/>
        <w:t>A structured leadership development programme was implemented to strengthen leadership capabilities and support succession planning, including Inclusive Leadership (P5 and above) with dedicated modules on fostering psychological safety, managing bias and microaggressions and advancing gender and racial inclusivity. This was reinforced through Adaptive Leadership workshops for staff at P4 and above</w:t>
      </w:r>
      <w:r w:rsidR="2E964A76" w:rsidRPr="00A23F32">
        <w:rPr>
          <w:spacing w:val="-2"/>
        </w:rPr>
        <w:t>, including the Elected Officials,</w:t>
      </w:r>
      <w:r w:rsidRPr="00A23F32">
        <w:rPr>
          <w:spacing w:val="-2"/>
        </w:rPr>
        <w:t xml:space="preserve"> and the Future ITU Leaders programme for ChangeMakers. Building on this, the curriculum expands in early</w:t>
      </w:r>
      <w:r w:rsidR="00A23F32" w:rsidRPr="00A23F32">
        <w:rPr>
          <w:spacing w:val="-2"/>
        </w:rPr>
        <w:t> </w:t>
      </w:r>
      <w:r w:rsidRPr="00A23F32">
        <w:rPr>
          <w:spacing w:val="-2"/>
        </w:rPr>
        <w:t xml:space="preserve">2026 to include Advanced Adaptive Leadership workshops and people management training. </w:t>
      </w:r>
    </w:p>
    <w:p w14:paraId="502ED8D9" w14:textId="77777777" w:rsidR="00CC6ACA" w:rsidRPr="00A23F32" w:rsidRDefault="00CC6ACA" w:rsidP="00C70A92">
      <w:pPr>
        <w:pStyle w:val="enumlev1"/>
        <w:jc w:val="both"/>
        <w:rPr>
          <w:spacing w:val="-2"/>
        </w:rPr>
      </w:pPr>
      <w:r w:rsidRPr="00A23F32">
        <w:rPr>
          <w:spacing w:val="-2"/>
        </w:rPr>
        <w:t>4</w:t>
      </w:r>
      <w:r w:rsidRPr="00A23F32">
        <w:rPr>
          <w:spacing w:val="-2"/>
        </w:rPr>
        <w:tab/>
        <w:t>Under the memoranda of understanding (MOUs) signed by ITU, in partnership with the World Intellectual Property Organization (WIPO), and the United Nations Ombudsman and Mediation Services (UNOMS), a shared Ombudsman took up her functions at ITU in January 2026. This initiative ensures access to neutral, independent, and confidential conflict-resolution services, fostering a respectful and trustworthy work environment. To strengthen visibility and trust, a hybrid information session was held for all staff, including those in regional offices, to outline available services. Additionally, in February 2026, a “Workplace Roadmap” session was launched Union-wide, providing staff with a clear "Where-to-Go Guide" to navigate support options, clarify focal points, and access key resources efficiently. Additional follow</w:t>
      </w:r>
      <w:r w:rsidRPr="00A23F32">
        <w:rPr>
          <w:rFonts w:hint="eastAsia"/>
          <w:spacing w:val="-2"/>
        </w:rPr>
        <w:t>-</w:t>
      </w:r>
      <w:r w:rsidRPr="00A23F32">
        <w:rPr>
          <w:spacing w:val="-2"/>
        </w:rPr>
        <w:t>up sessions will be organized throughout 2026.</w:t>
      </w:r>
    </w:p>
    <w:p w14:paraId="3041CB5C" w14:textId="191EC9EC" w:rsidR="00CC6ACA" w:rsidRPr="00C70A92" w:rsidRDefault="00CC6ACA" w:rsidP="005A0A10">
      <w:pPr>
        <w:pStyle w:val="enumlev1"/>
        <w:ind w:left="562" w:hanging="562"/>
        <w:jc w:val="both"/>
      </w:pPr>
      <w:r>
        <w:t>5</w:t>
      </w:r>
      <w:r>
        <w:tab/>
        <w:t>The ITU Gender Parity Implementation Plan is rooted in ITU’s Gender Parity Strategy, endorsed by the Council in 2018, and supports the objectives of the United Nations</w:t>
      </w:r>
      <w:r w:rsidR="52AB8F6D">
        <w:t xml:space="preserve"> (UN)</w:t>
      </w:r>
      <w:r w:rsidR="25166C98">
        <w:t xml:space="preserve"> </w:t>
      </w:r>
      <w:r>
        <w:t>System-wide Gender Parity Strategy. Going beyond numerical targets, the Plan embeds gender perspectives across HR processes and organizational practices. It establishes time-bound measures to strengthen accountability, improve workforce representation, career progression and targeted training</w:t>
      </w:r>
      <w:r w:rsidR="00A23F32">
        <w:t xml:space="preserve"> </w:t>
      </w:r>
      <w:r>
        <w:t>—positioning ITU as a model organization for achieving gender parity.</w:t>
      </w:r>
    </w:p>
    <w:p w14:paraId="672349AF" w14:textId="4D3529FE" w:rsidR="00CC6ACA" w:rsidRPr="00C70A92" w:rsidRDefault="00CC6ACA" w:rsidP="00C70A92">
      <w:pPr>
        <w:pStyle w:val="enumlev1"/>
        <w:jc w:val="both"/>
      </w:pPr>
      <w:r w:rsidRPr="00C70A92">
        <w:t>6</w:t>
      </w:r>
      <w:r w:rsidRPr="00C70A92">
        <w:tab/>
        <w:t xml:space="preserve">Gender representation at senior leadership level remains </w:t>
      </w:r>
      <w:r w:rsidR="3E3D0A63">
        <w:t>balanced</w:t>
      </w:r>
      <w:r w:rsidRPr="00C70A92">
        <w:t>, with women occupying 60</w:t>
      </w:r>
      <w:r w:rsidRPr="00C70A92">
        <w:rPr>
          <w:rFonts w:hint="eastAsia"/>
        </w:rPr>
        <w:t xml:space="preserve"> </w:t>
      </w:r>
      <w:r w:rsidRPr="00C70A92">
        <w:t xml:space="preserve">per cent of D2 posts as of </w:t>
      </w:r>
      <w:r w:rsidRPr="00C70A92">
        <w:rPr>
          <w:rFonts w:hint="eastAsia"/>
        </w:rPr>
        <w:t>February 2026</w:t>
      </w:r>
      <w:r w:rsidRPr="00C70A92">
        <w:t>. Women are also well represented at the junior professional level (P1</w:t>
      </w:r>
      <w:r w:rsidR="00A23F32">
        <w:t>-</w:t>
      </w:r>
      <w:r w:rsidRPr="00C70A92">
        <w:t>P2) and account for 47 per cent</w:t>
      </w:r>
      <w:r w:rsidRPr="00C70A92">
        <w:rPr>
          <w:rFonts w:hint="eastAsia"/>
        </w:rPr>
        <w:t xml:space="preserve"> </w:t>
      </w:r>
      <w:r w:rsidRPr="00C70A92">
        <w:t>and 4</w:t>
      </w:r>
      <w:r w:rsidRPr="00C70A92">
        <w:rPr>
          <w:rFonts w:hint="eastAsia"/>
        </w:rPr>
        <w:t>5</w:t>
      </w:r>
      <w:r w:rsidRPr="00C70A92">
        <w:t xml:space="preserve"> per cent of staff at the P3 and P4 levels, respectively. Women remain less represented at the P5 and D1 levels</w:t>
      </w:r>
      <w:r w:rsidRPr="00C70A92">
        <w:rPr>
          <w:rFonts w:hint="eastAsia"/>
        </w:rPr>
        <w:t xml:space="preserve"> (33 per cent and 32 per cent, </w:t>
      </w:r>
      <w:r w:rsidRPr="00C70A92">
        <w:t>respectively</w:t>
      </w:r>
      <w:r w:rsidRPr="00C70A92">
        <w:rPr>
          <w:rFonts w:hint="eastAsia"/>
        </w:rPr>
        <w:t>)</w:t>
      </w:r>
      <w:r w:rsidRPr="00C70A92">
        <w:t>, and targeted actions will continue to strengthen parity at these grades.</w:t>
      </w:r>
    </w:p>
    <w:p w14:paraId="4FCEA06E" w14:textId="67214848" w:rsidR="00CC6ACA" w:rsidRPr="00C70A92" w:rsidRDefault="00CC6ACA" w:rsidP="00C70A92">
      <w:pPr>
        <w:pStyle w:val="enumlev1"/>
        <w:jc w:val="both"/>
      </w:pPr>
      <w:r w:rsidRPr="00C70A92">
        <w:rPr>
          <w:rFonts w:hint="eastAsia"/>
        </w:rPr>
        <w:t>7</w:t>
      </w:r>
      <w:r w:rsidRPr="00C70A92">
        <w:tab/>
        <w:t>Following the 2023 UN-wide health survey, ITU launched its Mental Health and Well</w:t>
      </w:r>
      <w:r w:rsidR="00A23F32">
        <w:noBreakHyphen/>
      </w:r>
      <w:r w:rsidRPr="00C70A92">
        <w:t>being Action Plan</w:t>
      </w:r>
      <w:r w:rsidRPr="00C70A92">
        <w:rPr>
          <w:rFonts w:hint="eastAsia"/>
        </w:rPr>
        <w:t xml:space="preserve"> at the beginning of 2025</w:t>
      </w:r>
      <w:r w:rsidRPr="00C70A92">
        <w:t xml:space="preserve">, structured around Prevent, Promote and Support. Implementation </w:t>
      </w:r>
      <w:r w:rsidRPr="00C70A92">
        <w:rPr>
          <w:rFonts w:hint="eastAsia"/>
        </w:rPr>
        <w:t xml:space="preserve">has </w:t>
      </w:r>
      <w:r w:rsidRPr="00C70A92">
        <w:t xml:space="preserve">begun with the launch of EES and the establishment and onboarding of </w:t>
      </w:r>
      <w:r w:rsidRPr="00C70A92">
        <w:rPr>
          <w:rFonts w:hint="eastAsia"/>
        </w:rPr>
        <w:t>the</w:t>
      </w:r>
      <w:r w:rsidRPr="00C70A92">
        <w:t xml:space="preserve"> Ombudsman function</w:t>
      </w:r>
      <w:r w:rsidRPr="00C70A92">
        <w:rPr>
          <w:rFonts w:hint="eastAsia"/>
        </w:rPr>
        <w:t>.</w:t>
      </w:r>
      <w:r w:rsidRPr="00C70A92">
        <w:t xml:space="preserve"> Other initiatives</w:t>
      </w:r>
      <w:r w:rsidRPr="00C70A92">
        <w:rPr>
          <w:rFonts w:hint="eastAsia"/>
        </w:rPr>
        <w:t xml:space="preserve"> </w:t>
      </w:r>
      <w:r w:rsidRPr="00C70A92">
        <w:t xml:space="preserve">included </w:t>
      </w:r>
      <w:r w:rsidRPr="00C70A92">
        <w:rPr>
          <w:rFonts w:hint="eastAsia"/>
        </w:rPr>
        <w:t xml:space="preserve">a well-being </w:t>
      </w:r>
      <w:r w:rsidRPr="00C70A92">
        <w:rPr>
          <w:rFonts w:hint="eastAsia"/>
        </w:rPr>
        <w:lastRenderedPageBreak/>
        <w:t xml:space="preserve">playlist, </w:t>
      </w:r>
      <w:r w:rsidRPr="00C70A92">
        <w:t>stigma-reduction interventions, mental health literacy</w:t>
      </w:r>
      <w:r w:rsidRPr="00C70A92">
        <w:rPr>
          <w:rFonts w:hint="eastAsia"/>
        </w:rPr>
        <w:t xml:space="preserve"> </w:t>
      </w:r>
      <w:r w:rsidRPr="00C70A92">
        <w:t>training, and training on effective communication.</w:t>
      </w:r>
    </w:p>
    <w:p w14:paraId="44ED7E58" w14:textId="3A920CCC" w:rsidR="00CC6ACA" w:rsidRPr="00C70A92" w:rsidRDefault="00CC6ACA" w:rsidP="00C70A92">
      <w:pPr>
        <w:pStyle w:val="enumlev1"/>
        <w:jc w:val="both"/>
        <w:rPr>
          <w:highlight w:val="cyan"/>
        </w:rPr>
      </w:pPr>
      <w:r w:rsidRPr="00C70A92">
        <w:rPr>
          <w:rFonts w:hint="eastAsia"/>
        </w:rPr>
        <w:t>8</w:t>
      </w:r>
      <w:r w:rsidRPr="00C70A92">
        <w:tab/>
        <w:t>Well-being services were reinforced through dedicated support</w:t>
      </w:r>
      <w:r w:rsidR="00A23F32">
        <w:t xml:space="preserve"> </w:t>
      </w:r>
      <w:r w:rsidRPr="00C70A92">
        <w:t xml:space="preserve">—including individual counselling sessions, mindfulness sessions in </w:t>
      </w:r>
      <w:r w:rsidRPr="00C70A92">
        <w:rPr>
          <w:rFonts w:hint="eastAsia"/>
        </w:rPr>
        <w:t>three</w:t>
      </w:r>
      <w:r w:rsidRPr="00C70A92">
        <w:t xml:space="preserve"> languages, case management—</w:t>
      </w:r>
      <w:r w:rsidR="00A23F32">
        <w:t xml:space="preserve"> </w:t>
      </w:r>
      <w:r w:rsidRPr="00C70A92">
        <w:t>complemented by targeted sessions in</w:t>
      </w:r>
      <w:r w:rsidRPr="00C70A92">
        <w:rPr>
          <w:rFonts w:hint="eastAsia"/>
        </w:rPr>
        <w:t xml:space="preserve"> </w:t>
      </w:r>
      <w:r w:rsidRPr="00C70A92">
        <w:t xml:space="preserve">coordination with Learning and Development. Additionally, Return-to-Work (RTW) guidelines have been </w:t>
      </w:r>
      <w:r w:rsidRPr="00C70A92">
        <w:rPr>
          <w:rFonts w:hint="eastAsia"/>
        </w:rPr>
        <w:t>d</w:t>
      </w:r>
      <w:r w:rsidRPr="00C70A92">
        <w:t>rafted</w:t>
      </w:r>
      <w:r w:rsidRPr="00C70A92">
        <w:rPr>
          <w:rFonts w:hint="eastAsia"/>
        </w:rPr>
        <w:t xml:space="preserve"> t</w:t>
      </w:r>
      <w:r w:rsidRPr="00C70A92">
        <w:t>o support staff reintegrating into the workplace following long-term sick leave.</w:t>
      </w:r>
    </w:p>
    <w:p w14:paraId="6614BC66" w14:textId="480B9A58" w:rsidR="00CC6ACA" w:rsidRPr="00C70A92" w:rsidRDefault="00CC6ACA" w:rsidP="005A0A10">
      <w:pPr>
        <w:pStyle w:val="enumlev1"/>
        <w:ind w:left="562" w:hanging="562"/>
        <w:jc w:val="both"/>
      </w:pPr>
      <w:r>
        <w:t>9</w:t>
      </w:r>
      <w:r>
        <w:tab/>
        <w:t>The Working Hours and Flexible Working Arrangements policy was issued on</w:t>
      </w:r>
      <w:r w:rsidR="00A23F32">
        <w:t> </w:t>
      </w:r>
      <w:r>
        <w:t>25</w:t>
      </w:r>
      <w:r w:rsidR="00A23F32">
        <w:t> </w:t>
      </w:r>
      <w:r>
        <w:t xml:space="preserve">February 2026. The policy brings working hours and flexible working arrangements, including teleworking, together into one clear and comprehensive framework aligned with best practices in the </w:t>
      </w:r>
      <w:r w:rsidR="6B3C5BDA">
        <w:t xml:space="preserve">UN </w:t>
      </w:r>
      <w:r>
        <w:t>common system.</w:t>
      </w:r>
      <w:r w:rsidR="37811016">
        <w:t xml:space="preserve"> ITU has maintained the current arrangements for teleworking </w:t>
      </w:r>
      <w:r w:rsidR="47FAEB2B">
        <w:t>while</w:t>
      </w:r>
      <w:r w:rsidR="37811016">
        <w:t xml:space="preserve"> </w:t>
      </w:r>
      <w:r w:rsidR="11EDD9C7">
        <w:t>closely monitoring</w:t>
      </w:r>
      <w:r w:rsidR="37811016">
        <w:t xml:space="preserve"> developments in other UN common system organizations, which may inform future policy adjustments.</w:t>
      </w:r>
      <w:r>
        <w:t xml:space="preserve"> </w:t>
      </w:r>
      <w:r w:rsidR="105E2E29">
        <w:t xml:space="preserve">The policy also </w:t>
      </w:r>
      <w:r>
        <w:t>outlines staff and supervisor responsibilities and supports work–life balance while ensuring ITU fulfils its operational requirements.</w:t>
      </w:r>
    </w:p>
    <w:p w14:paraId="448C8B5E" w14:textId="59F578A0" w:rsidR="00CC6ACA" w:rsidRPr="00B844FA" w:rsidRDefault="00CC6ACA" w:rsidP="00C70A92">
      <w:pPr>
        <w:pStyle w:val="Headingb"/>
      </w:pPr>
      <w:r w:rsidRPr="002D031A">
        <w:t>Services</w:t>
      </w:r>
      <w:r w:rsidR="00A23F32">
        <w:t xml:space="preserve"> –</w:t>
      </w:r>
      <w:r w:rsidRPr="002D031A">
        <w:t xml:space="preserve"> Delivering excellence-driven HR services to support our people</w:t>
      </w:r>
    </w:p>
    <w:p w14:paraId="5ECB67B8" w14:textId="77777777" w:rsidR="00CC6ACA" w:rsidRPr="00CB7826" w:rsidRDefault="00CC6ACA" w:rsidP="00C70A92">
      <w:pPr>
        <w:jc w:val="both"/>
        <w:rPr>
          <w:lang w:eastAsia="zh-CN"/>
        </w:rPr>
      </w:pPr>
      <w:r w:rsidRPr="006C519C">
        <w:rPr>
          <w:lang w:eastAsia="zh-CN"/>
        </w:rPr>
        <w:t xml:space="preserve">The </w:t>
      </w:r>
      <w:r>
        <w:rPr>
          <w:lang w:eastAsia="zh-CN"/>
        </w:rPr>
        <w:t xml:space="preserve">third pillar of the </w:t>
      </w:r>
      <w:r w:rsidRPr="006C519C">
        <w:rPr>
          <w:lang w:eastAsia="zh-CN"/>
        </w:rPr>
        <w:t>HRTP</w:t>
      </w:r>
      <w:r>
        <w:rPr>
          <w:lang w:eastAsia="zh-CN"/>
        </w:rPr>
        <w:t>, Services, furthers</w:t>
      </w:r>
      <w:r w:rsidRPr="00CB7826">
        <w:rPr>
          <w:lang w:eastAsia="zh-CN"/>
        </w:rPr>
        <w:t xml:space="preserve"> the organization’s commitment to leveraging fit-for-purpose technologies to enhance the employee experience and to deliver streamlined, efficient HR services that best meet the needs of our people. </w:t>
      </w:r>
    </w:p>
    <w:p w14:paraId="3C56DE21" w14:textId="002D0BEC" w:rsidR="00CC6ACA" w:rsidRPr="00C3006F" w:rsidRDefault="00CC6ACA" w:rsidP="00C70A92">
      <w:pPr>
        <w:jc w:val="both"/>
        <w:rPr>
          <w:lang w:eastAsia="zh-CN"/>
        </w:rPr>
      </w:pPr>
      <w:r>
        <w:rPr>
          <w:lang w:eastAsia="zh-CN"/>
        </w:rPr>
        <w:t>Under this pillar</w:t>
      </w:r>
      <w:r>
        <w:rPr>
          <w:rFonts w:hint="eastAsia"/>
          <w:lang w:eastAsia="zh-CN"/>
        </w:rPr>
        <w:t>,</w:t>
      </w:r>
      <w:r>
        <w:rPr>
          <w:lang w:eastAsia="zh-CN"/>
        </w:rPr>
        <w:t xml:space="preserve"> the HRTP also recogni</w:t>
      </w:r>
      <w:r w:rsidR="00154BBC">
        <w:rPr>
          <w:lang w:eastAsia="zh-CN"/>
        </w:rPr>
        <w:t>z</w:t>
      </w:r>
      <w:r>
        <w:rPr>
          <w:lang w:eastAsia="zh-CN"/>
        </w:rPr>
        <w:t>es the need</w:t>
      </w:r>
      <w:r w:rsidRPr="00CB7826">
        <w:rPr>
          <w:lang w:eastAsia="zh-CN"/>
        </w:rPr>
        <w:t xml:space="preserve"> </w:t>
      </w:r>
      <w:r w:rsidRPr="00C3006F">
        <w:rPr>
          <w:lang w:eastAsia="zh-CN"/>
        </w:rPr>
        <w:t>to refine processes</w:t>
      </w:r>
      <w:r>
        <w:rPr>
          <w:rFonts w:hint="eastAsia"/>
          <w:lang w:eastAsia="zh-CN"/>
        </w:rPr>
        <w:t xml:space="preserve"> </w:t>
      </w:r>
      <w:r w:rsidRPr="00C3006F">
        <w:rPr>
          <w:lang w:eastAsia="zh-CN"/>
        </w:rPr>
        <w:t>by eliminating unnecessary bureaucracy, fostering transparency, and strengthening accountability. A key priority is to create a work environment where decision-making is</w:t>
      </w:r>
      <w:r>
        <w:rPr>
          <w:rFonts w:hint="eastAsia"/>
          <w:lang w:eastAsia="zh-CN"/>
        </w:rPr>
        <w:t xml:space="preserve"> </w:t>
      </w:r>
      <w:r w:rsidRPr="00C3006F">
        <w:rPr>
          <w:lang w:eastAsia="zh-CN"/>
        </w:rPr>
        <w:t>data</w:t>
      </w:r>
      <w:r>
        <w:rPr>
          <w:lang w:eastAsia="zh-CN"/>
        </w:rPr>
        <w:t>-driven, made at the right level</w:t>
      </w:r>
      <w:r>
        <w:rPr>
          <w:rFonts w:hint="eastAsia"/>
          <w:lang w:eastAsia="zh-CN"/>
        </w:rPr>
        <w:t xml:space="preserve">, </w:t>
      </w:r>
      <w:r w:rsidRPr="002F2B45">
        <w:rPr>
          <w:lang w:eastAsia="zh-CN"/>
        </w:rPr>
        <w:t>informed by people analytics</w:t>
      </w:r>
      <w:r>
        <w:rPr>
          <w:rFonts w:hint="eastAsia"/>
          <w:lang w:eastAsia="zh-CN"/>
        </w:rPr>
        <w:t xml:space="preserve"> and </w:t>
      </w:r>
      <w:r w:rsidRPr="002F2B45">
        <w:rPr>
          <w:lang w:eastAsia="zh-CN"/>
        </w:rPr>
        <w:t>aligned with business needs</w:t>
      </w:r>
      <w:r w:rsidRPr="00C3006F">
        <w:rPr>
          <w:lang w:eastAsia="zh-CN"/>
        </w:rPr>
        <w:t>.</w:t>
      </w:r>
    </w:p>
    <w:p w14:paraId="6B945B1F" w14:textId="77777777" w:rsidR="00CC6ACA" w:rsidRDefault="00CC6ACA" w:rsidP="00C70A92">
      <w:pPr>
        <w:jc w:val="both"/>
        <w:rPr>
          <w:lang w:eastAsia="zh-CN"/>
        </w:rPr>
      </w:pPr>
      <w:r w:rsidRPr="00C3006F">
        <w:rPr>
          <w:lang w:eastAsia="zh-CN"/>
        </w:rPr>
        <w:t xml:space="preserve">ITU is committed to establishing a robust and fair regulatory framework in collaboration with </w:t>
      </w:r>
      <w:r>
        <w:rPr>
          <w:lang w:eastAsia="zh-CN"/>
        </w:rPr>
        <w:t>key stakeholders</w:t>
      </w:r>
      <w:r>
        <w:rPr>
          <w:rFonts w:hint="eastAsia"/>
          <w:lang w:eastAsia="zh-CN"/>
        </w:rPr>
        <w:t>,</w:t>
      </w:r>
      <w:r>
        <w:rPr>
          <w:lang w:eastAsia="zh-CN"/>
        </w:rPr>
        <w:t xml:space="preserve"> including management and </w:t>
      </w:r>
      <w:r w:rsidRPr="00C3006F">
        <w:rPr>
          <w:lang w:eastAsia="zh-CN"/>
        </w:rPr>
        <w:t>staff representatives</w:t>
      </w:r>
      <w:r>
        <w:rPr>
          <w:rFonts w:hint="eastAsia"/>
          <w:lang w:eastAsia="zh-CN"/>
        </w:rPr>
        <w:t>,</w:t>
      </w:r>
      <w:r w:rsidRPr="00C3006F">
        <w:rPr>
          <w:lang w:eastAsia="zh-CN"/>
        </w:rPr>
        <w:t xml:space="preserve"> ensur</w:t>
      </w:r>
      <w:r>
        <w:rPr>
          <w:rFonts w:hint="eastAsia"/>
          <w:lang w:eastAsia="zh-CN"/>
        </w:rPr>
        <w:t>ing</w:t>
      </w:r>
      <w:r w:rsidRPr="00C3006F">
        <w:rPr>
          <w:lang w:eastAsia="zh-CN"/>
        </w:rPr>
        <w:t xml:space="preserve"> that policies and HR services are responsive to the needs of both staff and managers.</w:t>
      </w:r>
    </w:p>
    <w:p w14:paraId="3578AAE0" w14:textId="77777777" w:rsidR="00CC6ACA" w:rsidRPr="00922525" w:rsidRDefault="00CC6ACA" w:rsidP="00C70A92">
      <w:pPr>
        <w:jc w:val="both"/>
        <w:rPr>
          <w:lang w:eastAsia="zh-CN"/>
        </w:rPr>
      </w:pPr>
      <w:r w:rsidRPr="00B844FA">
        <w:t>Key highlights:</w:t>
      </w:r>
    </w:p>
    <w:p w14:paraId="71401B87" w14:textId="0FD6A28C" w:rsidR="00CC6ACA" w:rsidRPr="00C70A92" w:rsidRDefault="00CC6ACA" w:rsidP="00C70A92">
      <w:pPr>
        <w:pStyle w:val="enumlev1"/>
        <w:jc w:val="both"/>
      </w:pPr>
      <w:r>
        <w:t>1</w:t>
      </w:r>
      <w:r>
        <w:tab/>
        <w:t>HRMD continues to strengthen ITU’s regulatory framework to align with evolving workforce needs with policy updates progressing for recruitment, temporary appointments, relocation lump sum and rental subsidy. A key policy focus is replacing Special Services Agreements (SSAs) with a new Consultant Policy aligned with UN best practices. This new policy introduces delegated authority to managers, a unified fee scale, and expanded use of rosters, ensuring more timely access to specialized expertise and surge capacity.</w:t>
      </w:r>
    </w:p>
    <w:p w14:paraId="436D072C" w14:textId="77777777" w:rsidR="00CC6ACA" w:rsidRPr="00C70A92" w:rsidRDefault="00CC6ACA" w:rsidP="00C70A92">
      <w:pPr>
        <w:pStyle w:val="enumlev1"/>
        <w:jc w:val="both"/>
      </w:pPr>
      <w:r w:rsidRPr="00C70A92">
        <w:t>2</w:t>
      </w:r>
      <w:r w:rsidRPr="00C70A92">
        <w:tab/>
        <w:t xml:space="preserve">HRMD is leading a Union-wide effort to </w:t>
      </w:r>
      <w:r w:rsidRPr="00C70A92">
        <w:rPr>
          <w:rFonts w:hint="eastAsia"/>
        </w:rPr>
        <w:t>develop</w:t>
      </w:r>
      <w:r w:rsidRPr="00C70A92">
        <w:t xml:space="preserve"> a Delegation of Authority Framework for ITU, aiming to decentralize decision-making and align authority with responsibility. The framework, based on UN best practices, ensures proper and transparent delegation of authority and is now undergoing final internal review.</w:t>
      </w:r>
    </w:p>
    <w:p w14:paraId="48B90A03" w14:textId="77777777" w:rsidR="00CC6ACA" w:rsidRPr="00C70A92" w:rsidRDefault="00CC6ACA" w:rsidP="00C70A92">
      <w:pPr>
        <w:pStyle w:val="enumlev1"/>
        <w:jc w:val="both"/>
      </w:pPr>
      <w:r w:rsidRPr="00C70A92">
        <w:rPr>
          <w:rFonts w:hint="eastAsia"/>
        </w:rPr>
        <w:t>3</w:t>
      </w:r>
      <w:r w:rsidRPr="00C70A92">
        <w:tab/>
        <w:t>HRMD launched a series of HR talks, which provide awareness-raising sessions on HR policies and procedures. The first one was held in November 2025 on</w:t>
      </w:r>
      <w:r w:rsidRPr="00C70A92">
        <w:rPr>
          <w:rFonts w:hint="eastAsia"/>
        </w:rPr>
        <w:t xml:space="preserve"> </w:t>
      </w:r>
      <w:r w:rsidRPr="00C70A92">
        <w:t>the SSA recruitment process</w:t>
      </w:r>
      <w:r w:rsidRPr="00C70A92">
        <w:rPr>
          <w:rFonts w:hint="eastAsia"/>
        </w:rPr>
        <w:t>.</w:t>
      </w:r>
      <w:r w:rsidRPr="00C70A92">
        <w:t xml:space="preserve"> Further sessions are </w:t>
      </w:r>
      <w:r w:rsidRPr="00C70A92">
        <w:rPr>
          <w:rFonts w:hint="eastAsia"/>
        </w:rPr>
        <w:t xml:space="preserve">being </w:t>
      </w:r>
      <w:r w:rsidRPr="00C70A92">
        <w:t>planned.</w:t>
      </w:r>
    </w:p>
    <w:p w14:paraId="7DC1E58F" w14:textId="77777777" w:rsidR="00CC6ACA" w:rsidRPr="00C70A92" w:rsidRDefault="00CC6ACA" w:rsidP="00C70A92">
      <w:pPr>
        <w:pStyle w:val="enumlev1"/>
        <w:jc w:val="both"/>
      </w:pPr>
      <w:r w:rsidRPr="00C70A92">
        <w:t>4</w:t>
      </w:r>
      <w:r w:rsidRPr="00C70A92">
        <w:tab/>
        <w:t>Targeted performance management training and related change-management efforts</w:t>
      </w:r>
      <w:r w:rsidRPr="00C70A92">
        <w:rPr>
          <w:rFonts w:hint="eastAsia"/>
        </w:rPr>
        <w:t xml:space="preserve"> </w:t>
      </w:r>
      <w:r w:rsidRPr="00C70A92">
        <w:t xml:space="preserve">were supported through </w:t>
      </w:r>
      <w:r w:rsidRPr="00C70A92">
        <w:rPr>
          <w:rFonts w:hint="eastAsia"/>
        </w:rPr>
        <w:t>six</w:t>
      </w:r>
      <w:r w:rsidRPr="00C70A92">
        <w:t xml:space="preserve"> information sessions delivered to managers and staff across </w:t>
      </w:r>
      <w:r w:rsidRPr="00C70A92">
        <w:lastRenderedPageBreak/>
        <w:t>the Union.</w:t>
      </w:r>
      <w:r w:rsidRPr="00C70A92">
        <w:rPr>
          <w:rFonts w:hint="eastAsia"/>
        </w:rPr>
        <w:t xml:space="preserve"> </w:t>
      </w:r>
      <w:r w:rsidRPr="00C70A92">
        <w:t>A modern, user-friendly Performance Management page was launched, contributing to a de</w:t>
      </w:r>
      <w:r w:rsidRPr="00C70A92">
        <w:rPr>
          <w:rFonts w:hint="eastAsia"/>
        </w:rPr>
        <w:t>duction</w:t>
      </w:r>
      <w:r w:rsidRPr="00C70A92" w:rsidDel="00E32853">
        <w:t xml:space="preserve"> </w:t>
      </w:r>
      <w:r w:rsidRPr="00C70A92">
        <w:rPr>
          <w:rFonts w:hint="eastAsia"/>
        </w:rPr>
        <w:t xml:space="preserve">in </w:t>
      </w:r>
      <w:r w:rsidRPr="00C70A92">
        <w:t>system-related queries on end-year evaluations.</w:t>
      </w:r>
      <w:bookmarkStart w:id="14" w:name="_Hlk195088523"/>
    </w:p>
    <w:p w14:paraId="1290A24D" w14:textId="77777777" w:rsidR="00CC6ACA" w:rsidRPr="00C70A92" w:rsidRDefault="00CC6ACA" w:rsidP="00C70A92">
      <w:pPr>
        <w:pStyle w:val="enumlev1"/>
        <w:jc w:val="both"/>
      </w:pPr>
      <w:r w:rsidRPr="00C70A92">
        <w:t>5</w:t>
      </w:r>
      <w:r w:rsidRPr="00C70A92">
        <w:tab/>
        <w:t>Field support was enhanced through strengthened communication between HRMD and Regional Offices</w:t>
      </w:r>
      <w:r w:rsidRPr="00C70A92">
        <w:rPr>
          <w:rFonts w:hint="eastAsia"/>
        </w:rPr>
        <w:t xml:space="preserve">. </w:t>
      </w:r>
      <w:r w:rsidRPr="00C70A92">
        <w:t>HRMD convened</w:t>
      </w:r>
      <w:r w:rsidRPr="00C70A92">
        <w:rPr>
          <w:rFonts w:hint="eastAsia"/>
        </w:rPr>
        <w:t xml:space="preserve"> </w:t>
      </w:r>
      <w:r w:rsidRPr="00C70A92">
        <w:t xml:space="preserve">meetings </w:t>
      </w:r>
      <w:r w:rsidRPr="00C70A92">
        <w:rPr>
          <w:rFonts w:hint="eastAsia"/>
        </w:rPr>
        <w:t>on</w:t>
      </w:r>
      <w:r w:rsidRPr="00C70A92">
        <w:t xml:space="preserve"> social security benefits across</w:t>
      </w:r>
      <w:r w:rsidRPr="00C70A92">
        <w:rPr>
          <w:rFonts w:hint="eastAsia"/>
        </w:rPr>
        <w:t xml:space="preserve"> </w:t>
      </w:r>
      <w:r w:rsidRPr="00C70A92">
        <w:t>regions and channelled field concerns to the United Nations Staff Mutual Insurance Society (UNSMIS) ahead of town halls</w:t>
      </w:r>
      <w:r w:rsidRPr="00C70A92">
        <w:rPr>
          <w:rFonts w:hint="eastAsia"/>
        </w:rPr>
        <w:t xml:space="preserve">. </w:t>
      </w:r>
      <w:r w:rsidRPr="00C70A92">
        <w:t>Following these exchanges,</w:t>
      </w:r>
      <w:r w:rsidRPr="00C70A92">
        <w:rPr>
          <w:rFonts w:hint="eastAsia"/>
        </w:rPr>
        <w:t xml:space="preserve"> </w:t>
      </w:r>
      <w:r w:rsidRPr="00C70A92">
        <w:t>the HR portal and SharePoint site were updated with streamlined guidance on emergency hospitalization and medical procedures, complemented by new FAQs</w:t>
      </w:r>
      <w:r w:rsidRPr="00C70A92">
        <w:rPr>
          <w:rFonts w:hint="eastAsia"/>
        </w:rPr>
        <w:t>,</w:t>
      </w:r>
      <w:r w:rsidRPr="00C70A92">
        <w:t xml:space="preserve"> to ensure field colleagues have clear, accessible support</w:t>
      </w:r>
      <w:r w:rsidRPr="00C70A92">
        <w:rPr>
          <w:rFonts w:hint="eastAsia"/>
        </w:rPr>
        <w:t xml:space="preserve">. </w:t>
      </w:r>
      <w:r w:rsidRPr="00C70A92">
        <w:t>In addition, dedicated webinar</w:t>
      </w:r>
      <w:r w:rsidRPr="00C70A92">
        <w:rPr>
          <w:rFonts w:hint="eastAsia"/>
        </w:rPr>
        <w:t>s</w:t>
      </w:r>
      <w:r w:rsidRPr="00C70A92">
        <w:t xml:space="preserve"> on medical emergencies </w:t>
      </w:r>
      <w:r w:rsidRPr="00C70A92">
        <w:rPr>
          <w:rFonts w:hint="eastAsia"/>
        </w:rPr>
        <w:t>are</w:t>
      </w:r>
      <w:r w:rsidRPr="00C70A92">
        <w:t xml:space="preserve"> being prepared </w:t>
      </w:r>
      <w:r w:rsidRPr="00C70A92">
        <w:rPr>
          <w:rFonts w:hint="eastAsia"/>
        </w:rPr>
        <w:t xml:space="preserve">jointly </w:t>
      </w:r>
      <w:r w:rsidRPr="00C70A92">
        <w:t>with HRMD, UNSMIS and Security to provide</w:t>
      </w:r>
      <w:r w:rsidRPr="00C70A92">
        <w:rPr>
          <w:rFonts w:hint="eastAsia"/>
        </w:rPr>
        <w:t xml:space="preserve"> </w:t>
      </w:r>
      <w:r w:rsidRPr="00C70A92">
        <w:t>guidance to field colleagues</w:t>
      </w:r>
      <w:r w:rsidRPr="00C70A92">
        <w:rPr>
          <w:rFonts w:hint="eastAsia"/>
        </w:rPr>
        <w:t>.</w:t>
      </w:r>
    </w:p>
    <w:bookmarkEnd w:id="14"/>
    <w:p w14:paraId="51AF277B" w14:textId="77777777" w:rsidR="00CC6ACA" w:rsidRPr="00C70A92" w:rsidRDefault="00CC6ACA" w:rsidP="00C70A92">
      <w:pPr>
        <w:pStyle w:val="enumlev1"/>
        <w:jc w:val="both"/>
      </w:pPr>
      <w:r w:rsidRPr="00C70A92">
        <w:t>6</w:t>
      </w:r>
      <w:r w:rsidRPr="00C70A92">
        <w:tab/>
        <w:t>HR service operations in social security, insurance, and compliance continued through close collaboration with partners, including UNSMIS and the</w:t>
      </w:r>
      <w:r w:rsidRPr="00C70A92">
        <w:rPr>
          <w:rFonts w:hint="eastAsia"/>
        </w:rPr>
        <w:t xml:space="preserve"> </w:t>
      </w:r>
      <w:r w:rsidRPr="00C70A92">
        <w:t>United Nations Joint Staff Pension Fund (UNJSPF). This engagement featured town hall meetings for staff and retirees, pension enrolment data validation, and dedicated client support.</w:t>
      </w:r>
    </w:p>
    <w:p w14:paraId="478A8CC6" w14:textId="77777777" w:rsidR="00CC6ACA" w:rsidRPr="00C70A92" w:rsidRDefault="00CC6ACA" w:rsidP="00C70A92">
      <w:pPr>
        <w:pStyle w:val="enumlev1"/>
        <w:jc w:val="both"/>
      </w:pPr>
      <w:r w:rsidRPr="00C70A92">
        <w:t>7</w:t>
      </w:r>
      <w:r w:rsidRPr="00C70A92">
        <w:tab/>
        <w:t>Client service for staff financial queries was strengthened through ongoing guidance on global payroll and staff financial benefits, including banking-related guidance and liaison with UNDP for payment requests.</w:t>
      </w:r>
      <w:r w:rsidRPr="00C70A92">
        <w:rPr>
          <w:rFonts w:hint="eastAsia"/>
        </w:rPr>
        <w:t xml:space="preserve"> </w:t>
      </w:r>
      <w:r w:rsidRPr="00C70A92">
        <w:t>To further streamline operations, new Standard Operating Procedures (SOPs) were developed, improving the efficiency and consistency of payroll activities.</w:t>
      </w:r>
    </w:p>
    <w:p w14:paraId="294761C5" w14:textId="60084F55" w:rsidR="00CC6ACA" w:rsidRPr="00C70A92" w:rsidRDefault="00CC6ACA" w:rsidP="00C70A92">
      <w:pPr>
        <w:pStyle w:val="enumlev1"/>
        <w:jc w:val="both"/>
      </w:pPr>
      <w:r w:rsidRPr="00C70A92">
        <w:t>8</w:t>
      </w:r>
      <w:r w:rsidRPr="00C70A92">
        <w:tab/>
      </w:r>
      <w:r w:rsidRPr="00C70A92">
        <w:rPr>
          <w:rFonts w:hint="eastAsia"/>
        </w:rPr>
        <w:t xml:space="preserve">HRMD </w:t>
      </w:r>
      <w:r w:rsidRPr="00C70A92">
        <w:t xml:space="preserve">supported the Deputy Secretary-General’s leadership in the </w:t>
      </w:r>
      <w:r w:rsidRPr="00C70A92">
        <w:rPr>
          <w:rFonts w:hint="eastAsia"/>
        </w:rPr>
        <w:t>UN</w:t>
      </w:r>
      <w:r w:rsidRPr="00C70A92">
        <w:t xml:space="preserve"> Chief Executives Board </w:t>
      </w:r>
      <w:r w:rsidRPr="00C70A92">
        <w:rPr>
          <w:rFonts w:hint="eastAsia"/>
        </w:rPr>
        <w:t>(CEB)</w:t>
      </w:r>
      <w:r w:rsidRPr="00C70A92">
        <w:t xml:space="preserve"> Task Force</w:t>
      </w:r>
      <w:r w:rsidRPr="00C70A92">
        <w:rPr>
          <w:rFonts w:hint="eastAsia"/>
        </w:rPr>
        <w:t xml:space="preserve"> </w:t>
      </w:r>
      <w:r w:rsidRPr="00C70A92">
        <w:t>to Prevent and Respond to Sexual Harassment.</w:t>
      </w:r>
      <w:r w:rsidRPr="60EDD7ED">
        <w:rPr>
          <w:rStyle w:val="CommentReference"/>
          <w:rFonts w:hint="eastAsia"/>
          <w:sz w:val="24"/>
          <w:szCs w:val="24"/>
        </w:rPr>
        <w:t xml:space="preserve"> </w:t>
      </w:r>
      <w:r w:rsidRPr="60EDD7ED">
        <w:rPr>
          <w:rStyle w:val="CommentReference"/>
          <w:sz w:val="24"/>
          <w:szCs w:val="24"/>
        </w:rPr>
        <w:t xml:space="preserve">Additionally, </w:t>
      </w:r>
      <w:r w:rsidRPr="00C70A92">
        <w:t>throughout the year, HRMD provided guidance to staff and managers on complex operational and administrative matters, contributing to enhanced efficiency, consistency, and transparency in processes related to resignations, retirements, and performance improvement plans, amongst others.</w:t>
      </w:r>
      <w:r w:rsidRPr="60EDD7ED">
        <w:rPr>
          <w:rStyle w:val="CommentReference"/>
          <w:sz w:val="24"/>
          <w:szCs w:val="24"/>
        </w:rPr>
        <w:t xml:space="preserve"> </w:t>
      </w:r>
      <w:r w:rsidR="6CC74938">
        <w:t xml:space="preserve"> In 2025, one disciplinary sanction—a verbal reprimand for unauthorized use of ITU resources—was applied to an ITU staff member. No sanctions were applied in relation to allegations of sexual exploitation and abuse, sexual harassment or any other type of misconduct</w:t>
      </w:r>
      <w:r>
        <w:t xml:space="preserve">. </w:t>
      </w:r>
    </w:p>
    <w:p w14:paraId="327E943D" w14:textId="77777777" w:rsidR="00CC6ACA" w:rsidRPr="00C70A92" w:rsidRDefault="00CC6ACA" w:rsidP="00C70A92">
      <w:pPr>
        <w:pStyle w:val="enumlev1"/>
        <w:jc w:val="both"/>
      </w:pPr>
      <w:r w:rsidRPr="00C70A92">
        <w:t>9</w:t>
      </w:r>
      <w:r w:rsidRPr="00C70A92">
        <w:tab/>
        <w:t>The mapping and review of HR Operations processes continued, with a focus on streamlining and simplifying key steps and procedures.</w:t>
      </w:r>
      <w:r w:rsidRPr="00C70A92">
        <w:rPr>
          <w:rFonts w:hint="eastAsia"/>
        </w:rPr>
        <w:t xml:space="preserve"> </w:t>
      </w:r>
      <w:r w:rsidRPr="00C70A92">
        <w:t>In line with HRMD’s business efficiency and automation priorities, in collaboration with the ISD/ERP team, a number of</w:t>
      </w:r>
      <w:r w:rsidRPr="00C70A92">
        <w:rPr>
          <w:rFonts w:hint="eastAsia"/>
        </w:rPr>
        <w:t xml:space="preserve"> </w:t>
      </w:r>
      <w:r w:rsidRPr="00C70A92">
        <w:t>SAP HR enhancements were delivered, with additional improvements under development. HRMD has developed archiving guidelines and is initiating the process of archiving important documents to enhance traceability and improve knowledge management</w:t>
      </w:r>
      <w:r w:rsidRPr="00C70A92">
        <w:rPr>
          <w:rFonts w:hint="eastAsia"/>
        </w:rPr>
        <w:t>.</w:t>
      </w:r>
    </w:p>
    <w:p w14:paraId="3D09C18D" w14:textId="16CB72FA" w:rsidR="00CC6ACA" w:rsidRPr="00C70A92" w:rsidRDefault="00CC6ACA" w:rsidP="00C70A92">
      <w:pPr>
        <w:pStyle w:val="enumlev1"/>
        <w:jc w:val="both"/>
      </w:pPr>
      <w:r w:rsidRPr="00C70A92">
        <w:t>10</w:t>
      </w:r>
      <w:r w:rsidRPr="00C70A92">
        <w:tab/>
        <w:t>HR analytics and data quality were strengthened to support evidence-based decision-making.</w:t>
      </w:r>
      <w:r w:rsidRPr="00C70A92">
        <w:rPr>
          <w:rFonts w:hint="eastAsia"/>
        </w:rPr>
        <w:t xml:space="preserve"> </w:t>
      </w:r>
      <w:r w:rsidRPr="00C70A92">
        <w:t xml:space="preserve">Business intelligence capabilities via Power BI and </w:t>
      </w:r>
      <w:r w:rsidRPr="00C70A92">
        <w:rPr>
          <w:rFonts w:hint="eastAsia"/>
        </w:rPr>
        <w:t xml:space="preserve">SAP </w:t>
      </w:r>
      <w:r w:rsidRPr="00C70A92">
        <w:t>Business Warehouse</w:t>
      </w:r>
      <w:r w:rsidRPr="00C70A92">
        <w:rPr>
          <w:rFonts w:hint="eastAsia"/>
        </w:rPr>
        <w:t xml:space="preserve"> (BW)</w:t>
      </w:r>
      <w:r w:rsidR="00CB1E21">
        <w:t xml:space="preserve"> </w:t>
      </w:r>
      <w:r w:rsidRPr="00C70A92">
        <w:t>applications</w:t>
      </w:r>
      <w:r w:rsidRPr="00C70A92">
        <w:rPr>
          <w:rFonts w:hint="eastAsia"/>
        </w:rPr>
        <w:t xml:space="preserve"> </w:t>
      </w:r>
      <w:r w:rsidRPr="00C70A92">
        <w:t>were further enhanced, including continuous improvements to the Workforce Analytics Report for the Council. In addition to</w:t>
      </w:r>
      <w:r w:rsidRPr="00C70A92">
        <w:rPr>
          <w:rFonts w:hint="eastAsia"/>
        </w:rPr>
        <w:t xml:space="preserve"> responding to</w:t>
      </w:r>
      <w:r w:rsidRPr="00C70A92">
        <w:t xml:space="preserve"> approximately 200 internal and external reporting requests, HRMD advanced data integration between SAP HR, ePMDS, Recruitment Management System</w:t>
      </w:r>
      <w:r w:rsidRPr="00C70A92">
        <w:rPr>
          <w:rFonts w:hint="eastAsia"/>
        </w:rPr>
        <w:t xml:space="preserve"> (RMS)</w:t>
      </w:r>
      <w:r w:rsidRPr="00C70A92">
        <w:t xml:space="preserve">, and the Learning Management System (LMS). Targeted data cleaning also improved overall reliability. </w:t>
      </w:r>
    </w:p>
    <w:p w14:paraId="3A530C73" w14:textId="1227313E" w:rsidR="00CC6ACA" w:rsidRPr="00A23F32" w:rsidRDefault="00CC6ACA" w:rsidP="00C70A92">
      <w:pPr>
        <w:pStyle w:val="enumlev1"/>
        <w:jc w:val="both"/>
      </w:pPr>
      <w:r w:rsidRPr="00A23F32">
        <w:rPr>
          <w:spacing w:val="-3"/>
        </w:rPr>
        <w:t>11</w:t>
      </w:r>
      <w:r w:rsidRPr="00A23F32">
        <w:rPr>
          <w:spacing w:val="-3"/>
        </w:rPr>
        <w:tab/>
      </w:r>
      <w:r w:rsidR="3340CA42" w:rsidRPr="6E86A8A3">
        <w:t xml:space="preserve">HRMD continued to enhance accountability by contributing to the implementation of outstanding recommendations relevant to its areas of responsibility, including </w:t>
      </w:r>
      <w:r w:rsidR="487EC4AC" w:rsidRPr="6E86A8A3">
        <w:t xml:space="preserve">those </w:t>
      </w:r>
      <w:r w:rsidR="487EC4AC" w:rsidRPr="6E86A8A3">
        <w:lastRenderedPageBreak/>
        <w:t>arising from internal audit, external audit, JIU</w:t>
      </w:r>
      <w:r w:rsidR="00296705">
        <w:t>,</w:t>
      </w:r>
      <w:r w:rsidR="487EC4AC" w:rsidRPr="6E86A8A3">
        <w:t xml:space="preserve"> and IMAC</w:t>
      </w:r>
      <w:r w:rsidR="788D2360" w:rsidRPr="6E86A8A3">
        <w:t>,</w:t>
      </w:r>
      <w:r w:rsidR="3340CA42" w:rsidRPr="6E86A8A3">
        <w:t xml:space="preserve"> in alignment with risk management priorities. Since August 2023, 58 such recommendations have been closed.</w:t>
      </w:r>
      <w:r>
        <w:t xml:space="preserve"> A rigorous mapping by topic and priority has been conducted. Progress is driven by: (</w:t>
      </w:r>
      <w:r w:rsidRPr="00A23F32">
        <w:rPr>
          <w:spacing w:val="-3"/>
        </w:rPr>
        <w:t xml:space="preserve">i) concrete accountability, with tasks embedded in the </w:t>
      </w:r>
      <w:r w:rsidRPr="042B69C8">
        <w:rPr>
          <w:spacing w:val="-3"/>
        </w:rPr>
        <w:t xml:space="preserve">annual work plan; (ii) systematic tracking through periodic reviews to </w:t>
      </w:r>
      <w:r w:rsidRPr="00A23F32">
        <w:rPr>
          <w:spacing w:val="-3"/>
        </w:rPr>
        <w:t>identify bottlenecks; and (iii) risk-based prioritization, focusing on “critical unresolved” items.</w:t>
      </w:r>
    </w:p>
    <w:p w14:paraId="1F116388" w14:textId="41386B3A" w:rsidR="00CC6ACA" w:rsidRPr="0084485D" w:rsidRDefault="00CC6ACA" w:rsidP="00C70A92">
      <w:pPr>
        <w:pStyle w:val="Headingb"/>
      </w:pPr>
      <w:r w:rsidRPr="0084485D">
        <w:t>Transition to the ITU Human Resources Strategic Plan 2026</w:t>
      </w:r>
      <w:r w:rsidR="00C70A92">
        <w:t>-</w:t>
      </w:r>
      <w:r w:rsidRPr="0084485D">
        <w:t>2027</w:t>
      </w:r>
    </w:p>
    <w:p w14:paraId="79242461" w14:textId="15B2ACCF" w:rsidR="00CC6ACA" w:rsidRDefault="00CC6ACA" w:rsidP="00C70A92">
      <w:pPr>
        <w:jc w:val="both"/>
      </w:pPr>
      <w:r w:rsidRPr="000D27A8">
        <w:rPr>
          <w:lang w:eastAsia="zh-CN"/>
        </w:rPr>
        <w:t>With the completion of the Human Resources Transformation Plan (HRTP), ITU is transitioning to the ITU Human Resources Strategic Plan 2026</w:t>
      </w:r>
      <w:r w:rsidR="00185778">
        <w:rPr>
          <w:lang w:eastAsia="zh-CN"/>
        </w:rPr>
        <w:t>-</w:t>
      </w:r>
      <w:r w:rsidRPr="000D27A8">
        <w:rPr>
          <w:lang w:eastAsia="zh-CN"/>
        </w:rPr>
        <w:t>2027</w:t>
      </w:r>
      <w:r>
        <w:rPr>
          <w:rFonts w:hint="eastAsia"/>
          <w:lang w:eastAsia="zh-CN"/>
        </w:rPr>
        <w:t xml:space="preserve"> (to be endorsed by </w:t>
      </w:r>
      <w:r w:rsidR="004E0B98">
        <w:rPr>
          <w:lang w:eastAsia="zh-CN"/>
        </w:rPr>
        <w:t xml:space="preserve">the </w:t>
      </w:r>
      <w:r>
        <w:rPr>
          <w:rFonts w:hint="eastAsia"/>
          <w:lang w:eastAsia="zh-CN"/>
        </w:rPr>
        <w:t xml:space="preserve">Council), </w:t>
      </w:r>
      <w:r w:rsidRPr="006B7450">
        <w:rPr>
          <w:lang w:eastAsia="zh-CN"/>
        </w:rPr>
        <w:t>which completes the four-year planning cycle required under Resolution 48</w:t>
      </w:r>
      <w:r w:rsidRPr="000D27A8">
        <w:rPr>
          <w:lang w:eastAsia="zh-CN"/>
        </w:rPr>
        <w:t>. This bridging biennial plan will consolidate and embed the HR transformation outcomes</w:t>
      </w:r>
      <w:r w:rsidR="00185778">
        <w:rPr>
          <w:lang w:eastAsia="zh-CN"/>
        </w:rPr>
        <w:t xml:space="preserve"> </w:t>
      </w:r>
      <w:r w:rsidRPr="000D27A8">
        <w:rPr>
          <w:lang w:eastAsia="zh-CN"/>
        </w:rPr>
        <w:t>—moving from design and rollout to sustained adoption and measurable impact—</w:t>
      </w:r>
      <w:r w:rsidR="00185778">
        <w:rPr>
          <w:lang w:eastAsia="zh-CN"/>
        </w:rPr>
        <w:t xml:space="preserve"> </w:t>
      </w:r>
      <w:r w:rsidRPr="000D27A8">
        <w:rPr>
          <w:lang w:eastAsia="zh-CN"/>
        </w:rPr>
        <w:t>while ensuring seamless alignment with ITU’s next four-year strategic planning cycle</w:t>
      </w:r>
      <w:r w:rsidRPr="006E1DB6">
        <w:t>.</w:t>
      </w:r>
    </w:p>
    <w:p w14:paraId="0A8653A2" w14:textId="27F6504C" w:rsidR="00CC6ACA" w:rsidRDefault="00CC6ACA" w:rsidP="00C70A92">
      <w:pPr>
        <w:pStyle w:val="Normalaftertitle"/>
        <w:spacing w:before="2400"/>
        <w:rPr>
          <w:lang w:eastAsia="zh-CN"/>
        </w:rPr>
      </w:pPr>
      <w:r w:rsidRPr="00C70A92">
        <w:rPr>
          <w:rFonts w:hint="eastAsia"/>
          <w:b/>
          <w:bCs/>
          <w:lang w:eastAsia="zh-CN"/>
        </w:rPr>
        <w:t>Annex</w:t>
      </w:r>
      <w:r w:rsidR="00C70A92">
        <w:rPr>
          <w:b/>
          <w:bCs/>
          <w:lang w:eastAsia="zh-CN"/>
        </w:rPr>
        <w:t>:</w:t>
      </w:r>
      <w:r w:rsidRPr="0084485D">
        <w:rPr>
          <w:lang w:eastAsia="zh-CN"/>
        </w:rPr>
        <w:t xml:space="preserve"> </w:t>
      </w:r>
      <w:r w:rsidR="00C70A92">
        <w:rPr>
          <w:lang w:eastAsia="zh-CN"/>
        </w:rPr>
        <w:t>1</w:t>
      </w:r>
    </w:p>
    <w:p w14:paraId="728C47AF" w14:textId="77777777" w:rsidR="00C70A92" w:rsidRPr="00C70A92" w:rsidRDefault="00C70A92" w:rsidP="00C70A92">
      <w:pPr>
        <w:rPr>
          <w:lang w:eastAsia="zh-CN"/>
        </w:rPr>
      </w:pPr>
    </w:p>
    <w:p w14:paraId="62F86B32" w14:textId="77777777" w:rsidR="00CC6ACA" w:rsidRDefault="00CC6ACA" w:rsidP="00CC6ACA">
      <w:pPr>
        <w:keepNext/>
        <w:keepLines/>
        <w:jc w:val="both"/>
        <w:rPr>
          <w:i/>
          <w:iCs/>
          <w:lang w:eastAsia="zh-CN"/>
        </w:rPr>
        <w:sectPr w:rsidR="00CC6ACA" w:rsidSect="00AD3606">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pPr>
    </w:p>
    <w:p w14:paraId="38D0C5D4" w14:textId="1EBE0342" w:rsidR="00CC6ACA" w:rsidRDefault="00CC6ACA" w:rsidP="00C70A92">
      <w:pPr>
        <w:pStyle w:val="AnnexNo"/>
        <w:spacing w:before="0"/>
      </w:pPr>
      <w:r>
        <w:lastRenderedPageBreak/>
        <w:t>Annex</w:t>
      </w:r>
      <w:r w:rsidR="65AB567F">
        <w:t xml:space="preserve"> I</w:t>
      </w:r>
    </w:p>
    <w:p w14:paraId="3C422DAF" w14:textId="501B692F" w:rsidR="00CC6ACA" w:rsidRPr="00D15614" w:rsidRDefault="00CC6ACA" w:rsidP="00C70A92">
      <w:pPr>
        <w:pStyle w:val="Annextitle"/>
        <w:rPr>
          <w:lang w:eastAsia="zh-CN"/>
        </w:rPr>
      </w:pPr>
      <w:r w:rsidRPr="00D15614">
        <w:t>Implementation of Resolution 48</w:t>
      </w:r>
      <w:r>
        <w:t xml:space="preserve"> – </w:t>
      </w:r>
      <w:r w:rsidRPr="00D15614">
        <w:t>HR indicators and progress update</w:t>
      </w:r>
      <w:r>
        <w:rPr>
          <w:rFonts w:hint="eastAsia"/>
          <w:lang w:eastAsia="zh-CN"/>
        </w:rPr>
        <w:t xml:space="preserve"> </w:t>
      </w:r>
      <w:r w:rsidR="00C70A92">
        <w:rPr>
          <w:lang w:eastAsia="zh-CN"/>
        </w:rPr>
        <w:br/>
      </w:r>
      <w:r>
        <w:rPr>
          <w:rFonts w:hint="eastAsia"/>
          <w:lang w:eastAsia="zh-CN"/>
        </w:rPr>
        <w:t xml:space="preserve">(as of </w:t>
      </w:r>
      <w:r>
        <w:rPr>
          <w:lang w:eastAsia="zh-CN"/>
        </w:rPr>
        <w:t>end February</w:t>
      </w:r>
      <w:r>
        <w:rPr>
          <w:rFonts w:hint="eastAsia"/>
          <w:lang w:eastAsia="zh-CN"/>
        </w:rPr>
        <w:t xml:space="preserve"> 2026)</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586"/>
        <w:gridCol w:w="1483"/>
        <w:gridCol w:w="4987"/>
        <w:gridCol w:w="7119"/>
      </w:tblGrid>
      <w:tr w:rsidR="00CC6ACA" w:rsidRPr="00917736" w14:paraId="300B8DF7" w14:textId="77777777" w:rsidTr="6E86A8A3">
        <w:trPr>
          <w:trHeight w:val="401"/>
          <w:tblHeader/>
          <w:jc w:val="center"/>
        </w:trPr>
        <w:tc>
          <w:tcPr>
            <w:tcW w:w="207" w:type="pct"/>
            <w:shd w:val="clear" w:color="auto" w:fill="B8CCE4" w:themeFill="accent1" w:themeFillTint="66"/>
            <w:hideMark/>
          </w:tcPr>
          <w:p w14:paraId="51DF59FB" w14:textId="77777777" w:rsidR="00CC6ACA" w:rsidRPr="004967A6" w:rsidRDefault="00CC6ACA" w:rsidP="000027F9">
            <w:pPr>
              <w:pStyle w:val="Tablehead"/>
              <w:rPr>
                <w:sz w:val="20"/>
                <w:lang w:val="en-US" w:eastAsia="zh-CN"/>
              </w:rPr>
            </w:pPr>
            <w:r w:rsidRPr="004967A6">
              <w:rPr>
                <w:rFonts w:hint="eastAsia"/>
                <w:sz w:val="20"/>
                <w:lang w:val="en-US" w:eastAsia="zh-CN"/>
              </w:rPr>
              <w:t>No.</w:t>
            </w:r>
          </w:p>
        </w:tc>
        <w:tc>
          <w:tcPr>
            <w:tcW w:w="523" w:type="pct"/>
            <w:shd w:val="clear" w:color="auto" w:fill="B8CCE4" w:themeFill="accent1" w:themeFillTint="66"/>
          </w:tcPr>
          <w:p w14:paraId="008BCFFF" w14:textId="77777777" w:rsidR="00CC6ACA" w:rsidRPr="004967A6" w:rsidRDefault="00CC6ACA" w:rsidP="009E2086">
            <w:pPr>
              <w:pStyle w:val="Tablehead"/>
              <w:rPr>
                <w:sz w:val="20"/>
                <w:lang w:val="en-US" w:eastAsia="zh-CN"/>
              </w:rPr>
            </w:pPr>
            <w:r w:rsidRPr="004967A6">
              <w:rPr>
                <w:rFonts w:hint="eastAsia"/>
                <w:sz w:val="20"/>
                <w:lang w:val="en-US" w:eastAsia="zh-CN"/>
              </w:rPr>
              <w:t>Items</w:t>
            </w:r>
          </w:p>
        </w:tc>
        <w:tc>
          <w:tcPr>
            <w:tcW w:w="1759" w:type="pct"/>
            <w:shd w:val="clear" w:color="auto" w:fill="B8CCE4" w:themeFill="accent1" w:themeFillTint="66"/>
          </w:tcPr>
          <w:p w14:paraId="0EB72D00" w14:textId="77777777" w:rsidR="00CC6ACA" w:rsidRPr="004967A6" w:rsidRDefault="00CC6ACA" w:rsidP="009E2086">
            <w:pPr>
              <w:pStyle w:val="Tablehead"/>
              <w:rPr>
                <w:sz w:val="20"/>
                <w:lang w:val="en-US"/>
              </w:rPr>
            </w:pPr>
            <w:r w:rsidRPr="004967A6">
              <w:rPr>
                <w:sz w:val="20"/>
                <w:lang w:val="en-US"/>
              </w:rPr>
              <w:t>Indicators</w:t>
            </w:r>
          </w:p>
        </w:tc>
        <w:tc>
          <w:tcPr>
            <w:tcW w:w="2511" w:type="pct"/>
            <w:shd w:val="clear" w:color="auto" w:fill="B8CCE4" w:themeFill="accent1" w:themeFillTint="66"/>
          </w:tcPr>
          <w:p w14:paraId="244617CB" w14:textId="193BB836" w:rsidR="00CC6ACA" w:rsidRPr="004967A6" w:rsidRDefault="00CC6ACA" w:rsidP="009E2086">
            <w:pPr>
              <w:pStyle w:val="Tablehead"/>
              <w:rPr>
                <w:sz w:val="20"/>
                <w:lang w:val="en-US"/>
              </w:rPr>
            </w:pPr>
            <w:r w:rsidRPr="004967A6">
              <w:rPr>
                <w:sz w:val="20"/>
                <w:lang w:val="en-US"/>
              </w:rPr>
              <w:t xml:space="preserve">Reporting </w:t>
            </w:r>
            <w:r w:rsidR="009E2086" w:rsidRPr="004967A6">
              <w:rPr>
                <w:sz w:val="20"/>
                <w:lang w:val="en-US"/>
              </w:rPr>
              <w:br/>
            </w:r>
            <w:r w:rsidRPr="004967A6">
              <w:rPr>
                <w:sz w:val="20"/>
                <w:lang w:val="en-US"/>
              </w:rPr>
              <w:t>(</w:t>
            </w:r>
            <w:r w:rsidR="009E2086" w:rsidRPr="004967A6">
              <w:rPr>
                <w:sz w:val="20"/>
                <w:lang w:val="en-US"/>
              </w:rPr>
              <w:t xml:space="preserve">status </w:t>
            </w:r>
            <w:r w:rsidRPr="004967A6">
              <w:rPr>
                <w:sz w:val="20"/>
                <w:lang w:val="en-US"/>
              </w:rPr>
              <w:t xml:space="preserve">end </w:t>
            </w:r>
            <w:r w:rsidRPr="004967A6">
              <w:rPr>
                <w:rFonts w:hint="eastAsia"/>
                <w:sz w:val="20"/>
                <w:lang w:val="en-US" w:eastAsia="zh-CN"/>
              </w:rPr>
              <w:t>February 2026</w:t>
            </w:r>
            <w:r w:rsidRPr="004967A6">
              <w:rPr>
                <w:sz w:val="20"/>
                <w:lang w:val="en-US"/>
              </w:rPr>
              <w:t>)</w:t>
            </w:r>
          </w:p>
        </w:tc>
      </w:tr>
      <w:tr w:rsidR="00CC6ACA" w:rsidRPr="00917736" w14:paraId="05D3F20F" w14:textId="77777777" w:rsidTr="6E86A8A3">
        <w:trPr>
          <w:trHeight w:val="20"/>
          <w:jc w:val="center"/>
        </w:trPr>
        <w:tc>
          <w:tcPr>
            <w:tcW w:w="207" w:type="pct"/>
            <w:shd w:val="clear" w:color="auto" w:fill="FFFFFF" w:themeFill="background1"/>
            <w:vAlign w:val="center"/>
            <w:hideMark/>
          </w:tcPr>
          <w:p w14:paraId="46521C4D" w14:textId="77777777" w:rsidR="00CC6ACA" w:rsidRPr="004967A6" w:rsidRDefault="00CC6ACA" w:rsidP="000027F9">
            <w:pPr>
              <w:pStyle w:val="Tabletext"/>
              <w:jc w:val="center"/>
              <w:rPr>
                <w:b/>
                <w:sz w:val="20"/>
                <w:lang w:val="en-US" w:eastAsia="zh-CN"/>
              </w:rPr>
            </w:pPr>
            <w:r w:rsidRPr="004967A6">
              <w:rPr>
                <w:b/>
                <w:sz w:val="20"/>
                <w:lang w:val="en-US" w:eastAsia="zh-CN"/>
              </w:rPr>
              <w:t>1</w:t>
            </w:r>
          </w:p>
        </w:tc>
        <w:tc>
          <w:tcPr>
            <w:tcW w:w="523" w:type="pct"/>
            <w:shd w:val="clear" w:color="auto" w:fill="FFFFFF" w:themeFill="background1"/>
            <w:vAlign w:val="center"/>
            <w:hideMark/>
          </w:tcPr>
          <w:p w14:paraId="571496D1" w14:textId="508E8B13" w:rsidR="00CC6ACA" w:rsidRPr="004967A6" w:rsidRDefault="00CC6ACA" w:rsidP="009E2086">
            <w:pPr>
              <w:pStyle w:val="Tabletext"/>
              <w:rPr>
                <w:sz w:val="20"/>
                <w:lang w:val="en-US"/>
              </w:rPr>
            </w:pPr>
            <w:r w:rsidRPr="004967A6">
              <w:rPr>
                <w:sz w:val="20"/>
                <w:lang w:eastAsia="zh-CN"/>
              </w:rPr>
              <w:t xml:space="preserve">Recruitment and </w:t>
            </w:r>
            <w:r w:rsidR="00185778" w:rsidRPr="004967A6">
              <w:rPr>
                <w:sz w:val="20"/>
                <w:lang w:eastAsia="zh-CN"/>
              </w:rPr>
              <w:t>representation</w:t>
            </w:r>
          </w:p>
        </w:tc>
        <w:tc>
          <w:tcPr>
            <w:tcW w:w="1759" w:type="pct"/>
            <w:shd w:val="clear" w:color="auto" w:fill="FFFFFF" w:themeFill="background1"/>
            <w:vAlign w:val="center"/>
          </w:tcPr>
          <w:p w14:paraId="4BEAB42E" w14:textId="71195707" w:rsidR="00CC6ACA" w:rsidRPr="004967A6" w:rsidRDefault="00C17E52" w:rsidP="009E2086">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bidi="en-US"/>
              </w:rPr>
              <w:t>Qualitative and quantitative analysis of movement of positions (review, upgrading, downgrading, transfer and creation)</w:t>
            </w:r>
            <w:r w:rsidR="00CC6ACA" w:rsidRPr="004967A6">
              <w:rPr>
                <w:sz w:val="20"/>
                <w:lang w:val="en-US"/>
              </w:rPr>
              <w:t xml:space="preserve"> / total number of positions that have been subject of a classification exercise.</w:t>
            </w:r>
          </w:p>
          <w:p w14:paraId="060F23E7" w14:textId="316882BD" w:rsidR="00CC6ACA" w:rsidRPr="004967A6" w:rsidRDefault="00C17E52" w:rsidP="009E2086">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Use of ICSC job classification standards.</w:t>
            </w:r>
          </w:p>
        </w:tc>
        <w:tc>
          <w:tcPr>
            <w:tcW w:w="2511" w:type="pct"/>
            <w:vAlign w:val="center"/>
          </w:tcPr>
          <w:p w14:paraId="0DE10A92" w14:textId="15BC8235" w:rsidR="00CC6ACA" w:rsidRPr="004967A6" w:rsidRDefault="278DEA2F" w:rsidP="009E2086">
            <w:pPr>
              <w:pStyle w:val="Tabletext"/>
              <w:rPr>
                <w:sz w:val="20"/>
                <w:lang w:val="en-US"/>
              </w:rPr>
            </w:pPr>
            <w:r w:rsidRPr="683EADDA">
              <w:rPr>
                <w:sz w:val="20"/>
                <w:lang w:val="en-US"/>
              </w:rPr>
              <w:t>Classification activities from 2025 to February 2026 (*excluding validation of grade for short-term contracts and reorganizations)</w:t>
            </w:r>
            <w:r w:rsidR="00CC6ACA" w:rsidRPr="683EADDA">
              <w:rPr>
                <w:sz w:val="20"/>
                <w:lang w:val="en-US"/>
              </w:rPr>
              <w:t>:</w:t>
            </w:r>
            <w:r w:rsidR="00CC6ACA" w:rsidRPr="004967A6">
              <w:rPr>
                <w:sz w:val="20"/>
                <w:lang w:val="en-US"/>
              </w:rPr>
              <w:t xml:space="preserve"> </w:t>
            </w:r>
          </w:p>
          <w:p w14:paraId="0DA77C8C" w14:textId="781560C8" w:rsidR="0353FCD4" w:rsidRDefault="0353FCD4" w:rsidP="005A0A10">
            <w:pPr>
              <w:pStyle w:val="Tabletext"/>
              <w:numPr>
                <w:ilvl w:val="0"/>
                <w:numId w:val="5"/>
              </w:numPr>
              <w:rPr>
                <w:sz w:val="20"/>
                <w:lang w:val="en-US"/>
              </w:rPr>
            </w:pPr>
            <w:r w:rsidRPr="683EADDA">
              <w:rPr>
                <w:sz w:val="20"/>
                <w:lang w:val="en-US"/>
              </w:rPr>
              <w:t>12 creations of regular positions</w:t>
            </w:r>
          </w:p>
          <w:p w14:paraId="2CF6A4C0" w14:textId="11D0E9E0" w:rsidR="0353FCD4" w:rsidRDefault="0353FCD4" w:rsidP="005A0A10">
            <w:pPr>
              <w:pStyle w:val="Tabletext"/>
              <w:numPr>
                <w:ilvl w:val="0"/>
                <w:numId w:val="5"/>
              </w:numPr>
            </w:pPr>
            <w:r w:rsidRPr="683EADDA">
              <w:rPr>
                <w:sz w:val="20"/>
                <w:lang w:val="en-US"/>
              </w:rPr>
              <w:t>20 creations of extrabudgetary positions</w:t>
            </w:r>
          </w:p>
          <w:p w14:paraId="55F50628" w14:textId="2450B65A" w:rsidR="0353FCD4" w:rsidRDefault="0353FCD4" w:rsidP="005A0A10">
            <w:pPr>
              <w:pStyle w:val="Tabletext"/>
              <w:numPr>
                <w:ilvl w:val="0"/>
                <w:numId w:val="5"/>
              </w:numPr>
            </w:pPr>
            <w:r w:rsidRPr="683EADDA">
              <w:rPr>
                <w:sz w:val="20"/>
                <w:lang w:val="en-US"/>
              </w:rPr>
              <w:t>0 downgrade</w:t>
            </w:r>
          </w:p>
          <w:p w14:paraId="37270DB5" w14:textId="37C153D2" w:rsidR="0353FCD4" w:rsidRDefault="0353FCD4" w:rsidP="005A0A10">
            <w:pPr>
              <w:pStyle w:val="Tabletext"/>
              <w:numPr>
                <w:ilvl w:val="0"/>
                <w:numId w:val="5"/>
              </w:numPr>
            </w:pPr>
            <w:r w:rsidRPr="683EADDA">
              <w:rPr>
                <w:sz w:val="20"/>
                <w:lang w:val="en-US"/>
              </w:rPr>
              <w:t>9 upgrades</w:t>
            </w:r>
          </w:p>
          <w:p w14:paraId="5FBB0456" w14:textId="6EC0729F" w:rsidR="0353FCD4" w:rsidRDefault="0353FCD4" w:rsidP="005A0A10">
            <w:pPr>
              <w:pStyle w:val="Tabletext"/>
              <w:numPr>
                <w:ilvl w:val="0"/>
                <w:numId w:val="5"/>
              </w:numPr>
            </w:pPr>
            <w:r w:rsidRPr="683EADDA">
              <w:rPr>
                <w:sz w:val="20"/>
                <w:lang w:val="en-US"/>
              </w:rPr>
              <w:t>20 transfers</w:t>
            </w:r>
          </w:p>
          <w:p w14:paraId="76882BA9" w14:textId="177E4075" w:rsidR="0353FCD4" w:rsidRDefault="0353FCD4" w:rsidP="005A0A10">
            <w:pPr>
              <w:pStyle w:val="Tabletext"/>
              <w:numPr>
                <w:ilvl w:val="0"/>
                <w:numId w:val="5"/>
              </w:numPr>
            </w:pPr>
            <w:r w:rsidRPr="683EADDA">
              <w:rPr>
                <w:sz w:val="20"/>
                <w:lang w:val="en-US"/>
              </w:rPr>
              <w:t>46 reviews</w:t>
            </w:r>
          </w:p>
          <w:p w14:paraId="17B092C9" w14:textId="4799E107" w:rsidR="0353FCD4" w:rsidRDefault="0353FCD4" w:rsidP="005A0A10">
            <w:pPr>
              <w:pStyle w:val="Tabletext"/>
              <w:numPr>
                <w:ilvl w:val="0"/>
                <w:numId w:val="5"/>
              </w:numPr>
            </w:pPr>
            <w:r w:rsidRPr="683EADDA">
              <w:rPr>
                <w:sz w:val="20"/>
                <w:lang w:val="en-US"/>
              </w:rPr>
              <w:t>6 abolitions</w:t>
            </w:r>
          </w:p>
          <w:p w14:paraId="5A79B1DC" w14:textId="5AF84E35" w:rsidR="0353FCD4" w:rsidRDefault="0353FCD4" w:rsidP="005A0A10">
            <w:pPr>
              <w:pStyle w:val="Tabletext"/>
              <w:numPr>
                <w:ilvl w:val="0"/>
                <w:numId w:val="5"/>
              </w:numPr>
            </w:pPr>
            <w:r w:rsidRPr="683EADDA">
              <w:rPr>
                <w:sz w:val="20"/>
                <w:lang w:val="en-US"/>
              </w:rPr>
              <w:t>26 special post allowances (SPAs)</w:t>
            </w:r>
          </w:p>
          <w:p w14:paraId="4F5187CF" w14:textId="4957DAB9" w:rsidR="00CC6ACA" w:rsidRPr="004967A6" w:rsidRDefault="55542F12" w:rsidP="005A0A10">
            <w:pPr>
              <w:pStyle w:val="Tabletext"/>
              <w:spacing w:before="120"/>
              <w:rPr>
                <w:sz w:val="20"/>
                <w:lang w:val="en-US"/>
              </w:rPr>
            </w:pPr>
            <w:r w:rsidRPr="683EADDA">
              <w:rPr>
                <w:sz w:val="20"/>
                <w:lang w:val="en-US"/>
              </w:rPr>
              <w:t>All job descriptions/positions have been evaluated against ICSC classification standards</w:t>
            </w:r>
            <w:r w:rsidR="00CC6ACA" w:rsidRPr="004967A6">
              <w:rPr>
                <w:sz w:val="20"/>
                <w:lang w:val="en-US"/>
              </w:rPr>
              <w:t>.</w:t>
            </w:r>
          </w:p>
        </w:tc>
      </w:tr>
      <w:tr w:rsidR="00CC6ACA" w:rsidRPr="00917736" w14:paraId="41F4EF40" w14:textId="77777777" w:rsidTr="6E86A8A3">
        <w:trPr>
          <w:trHeight w:val="570"/>
          <w:jc w:val="center"/>
        </w:trPr>
        <w:tc>
          <w:tcPr>
            <w:tcW w:w="207" w:type="pct"/>
            <w:shd w:val="clear" w:color="auto" w:fill="FFFFFF" w:themeFill="background1"/>
            <w:vAlign w:val="center"/>
          </w:tcPr>
          <w:p w14:paraId="2EF9E578" w14:textId="77777777" w:rsidR="00CC6ACA" w:rsidRPr="004967A6" w:rsidRDefault="00CC6ACA" w:rsidP="000027F9">
            <w:pPr>
              <w:pStyle w:val="Tabletext"/>
              <w:jc w:val="center"/>
              <w:rPr>
                <w:b/>
                <w:sz w:val="20"/>
                <w:lang w:val="en-US" w:eastAsia="zh-CN"/>
              </w:rPr>
            </w:pPr>
            <w:r w:rsidRPr="004967A6">
              <w:rPr>
                <w:rFonts w:hint="eastAsia"/>
                <w:b/>
                <w:sz w:val="20"/>
                <w:lang w:val="en-US" w:eastAsia="zh-CN"/>
              </w:rPr>
              <w:t>2</w:t>
            </w:r>
          </w:p>
        </w:tc>
        <w:tc>
          <w:tcPr>
            <w:tcW w:w="523" w:type="pct"/>
            <w:shd w:val="clear" w:color="auto" w:fill="FFFFFF" w:themeFill="background1"/>
            <w:vAlign w:val="center"/>
          </w:tcPr>
          <w:p w14:paraId="43E4F307" w14:textId="020F6625" w:rsidR="00CC6ACA" w:rsidRPr="004967A6" w:rsidRDefault="00CC6ACA" w:rsidP="009E2086">
            <w:pPr>
              <w:pStyle w:val="Tabletext"/>
              <w:rPr>
                <w:sz w:val="20"/>
                <w:lang w:eastAsia="zh-CN"/>
              </w:rPr>
            </w:pPr>
            <w:r w:rsidRPr="004967A6">
              <w:rPr>
                <w:sz w:val="20"/>
                <w:lang w:eastAsia="zh-CN"/>
              </w:rPr>
              <w:t xml:space="preserve">Recruitment and </w:t>
            </w:r>
            <w:r w:rsidR="00185778" w:rsidRPr="004967A6">
              <w:rPr>
                <w:sz w:val="20"/>
                <w:lang w:eastAsia="zh-CN"/>
              </w:rPr>
              <w:t>representation</w:t>
            </w:r>
          </w:p>
        </w:tc>
        <w:tc>
          <w:tcPr>
            <w:tcW w:w="1759" w:type="pct"/>
            <w:shd w:val="clear" w:color="auto" w:fill="FFFFFF" w:themeFill="background1"/>
            <w:vAlign w:val="center"/>
          </w:tcPr>
          <w:p w14:paraId="414C237E" w14:textId="5ADAC2F3" w:rsidR="00CC6ACA" w:rsidRPr="004967A6" w:rsidRDefault="00CC6ACA" w:rsidP="009E2086">
            <w:pPr>
              <w:pStyle w:val="Tabletext"/>
              <w:rPr>
                <w:sz w:val="20"/>
                <w:lang w:val="en-US" w:bidi="en-US"/>
              </w:rPr>
            </w:pPr>
            <w:r w:rsidRPr="004967A6">
              <w:rPr>
                <w:sz w:val="20"/>
                <w:lang w:val="en-US"/>
              </w:rPr>
              <w:t xml:space="preserve">Average </w:t>
            </w:r>
            <w:r w:rsidR="00251187" w:rsidRPr="004967A6">
              <w:rPr>
                <w:sz w:val="20"/>
                <w:lang w:val="en-US"/>
              </w:rPr>
              <w:t xml:space="preserve">number </w:t>
            </w:r>
            <w:r w:rsidRPr="004967A6">
              <w:rPr>
                <w:sz w:val="20"/>
                <w:lang w:val="en-US"/>
              </w:rPr>
              <w:t>of applications per position</w:t>
            </w:r>
          </w:p>
        </w:tc>
        <w:tc>
          <w:tcPr>
            <w:tcW w:w="2511" w:type="pct"/>
            <w:vAlign w:val="center"/>
          </w:tcPr>
          <w:p w14:paraId="20FA6B59" w14:textId="77777777" w:rsidR="00CC6ACA" w:rsidRPr="004967A6" w:rsidRDefault="00CC6ACA" w:rsidP="009E2086">
            <w:pPr>
              <w:pStyle w:val="Tabletext"/>
              <w:rPr>
                <w:sz w:val="20"/>
                <w:lang w:eastAsia="zh-CN"/>
              </w:rPr>
            </w:pPr>
            <w:r w:rsidRPr="004967A6">
              <w:rPr>
                <w:sz w:val="20"/>
                <w:lang w:eastAsia="zh-CN"/>
              </w:rPr>
              <w:t>110.3 applicants per one FT position</w:t>
            </w:r>
          </w:p>
        </w:tc>
      </w:tr>
      <w:tr w:rsidR="00CC6ACA" w:rsidRPr="00917736" w14:paraId="6830EC78" w14:textId="77777777" w:rsidTr="6E86A8A3">
        <w:trPr>
          <w:trHeight w:val="20"/>
          <w:jc w:val="center"/>
        </w:trPr>
        <w:tc>
          <w:tcPr>
            <w:tcW w:w="207" w:type="pct"/>
            <w:shd w:val="clear" w:color="auto" w:fill="FFFFFF" w:themeFill="background1"/>
            <w:vAlign w:val="center"/>
          </w:tcPr>
          <w:p w14:paraId="6C8B53BF" w14:textId="77777777" w:rsidR="00CC6ACA" w:rsidRPr="004967A6" w:rsidRDefault="00CC6ACA" w:rsidP="000027F9">
            <w:pPr>
              <w:pStyle w:val="Tabletext"/>
              <w:jc w:val="center"/>
              <w:rPr>
                <w:b/>
                <w:sz w:val="20"/>
                <w:lang w:val="en-US" w:eastAsia="zh-CN"/>
              </w:rPr>
            </w:pPr>
            <w:r w:rsidRPr="004967A6">
              <w:rPr>
                <w:rFonts w:hint="eastAsia"/>
                <w:b/>
                <w:sz w:val="20"/>
                <w:lang w:val="en-US" w:eastAsia="zh-CN"/>
              </w:rPr>
              <w:t>3</w:t>
            </w:r>
          </w:p>
        </w:tc>
        <w:tc>
          <w:tcPr>
            <w:tcW w:w="523" w:type="pct"/>
            <w:shd w:val="clear" w:color="auto" w:fill="FFFFFF" w:themeFill="background1"/>
            <w:vAlign w:val="center"/>
          </w:tcPr>
          <w:p w14:paraId="3818BD00" w14:textId="6004892F" w:rsidR="00CC6ACA" w:rsidRPr="004967A6" w:rsidRDefault="00CC6ACA" w:rsidP="009E2086">
            <w:pPr>
              <w:pStyle w:val="Tabletext"/>
              <w:rPr>
                <w:sz w:val="20"/>
                <w:lang w:val="en-US" w:eastAsia="zh-CN"/>
              </w:rPr>
            </w:pPr>
            <w:r w:rsidRPr="004967A6">
              <w:rPr>
                <w:sz w:val="20"/>
                <w:lang w:eastAsia="zh-CN"/>
              </w:rPr>
              <w:t xml:space="preserve">Recruitment and </w:t>
            </w:r>
            <w:r w:rsidR="00185778" w:rsidRPr="004967A6">
              <w:rPr>
                <w:sz w:val="20"/>
                <w:lang w:eastAsia="zh-CN"/>
              </w:rPr>
              <w:t>representation</w:t>
            </w:r>
          </w:p>
        </w:tc>
        <w:tc>
          <w:tcPr>
            <w:tcW w:w="1759" w:type="pct"/>
            <w:shd w:val="clear" w:color="auto" w:fill="FFFFFF" w:themeFill="background1"/>
            <w:vAlign w:val="center"/>
            <w:hideMark/>
          </w:tcPr>
          <w:p w14:paraId="28177128" w14:textId="35768A48" w:rsidR="00CC6ACA" w:rsidRPr="004967A6" w:rsidRDefault="00C17E52" w:rsidP="009E2086">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Geographical and gender proportions in the workforce, by duty station, sector, grade (%)</w:t>
            </w:r>
          </w:p>
          <w:p w14:paraId="265CE24D" w14:textId="433DB4D5" w:rsidR="00CC6ACA" w:rsidRPr="004967A6" w:rsidRDefault="00C17E52" w:rsidP="009E2086">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Gender distribution by occupational group (%)</w:t>
            </w:r>
          </w:p>
          <w:p w14:paraId="5462647C" w14:textId="062DE38E" w:rsidR="00CC6ACA" w:rsidRPr="004967A6" w:rsidRDefault="00C17E52" w:rsidP="009E2086">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 xml:space="preserve">Regular monitoring of key workforce metrics, such as geographical distribution and gender parity </w:t>
            </w:r>
          </w:p>
        </w:tc>
        <w:tc>
          <w:tcPr>
            <w:tcW w:w="2511" w:type="pct"/>
            <w:vAlign w:val="center"/>
          </w:tcPr>
          <w:p w14:paraId="5DB5D1F2" w14:textId="77777777" w:rsidR="00CC6ACA" w:rsidRPr="004967A6" w:rsidRDefault="00CC6ACA" w:rsidP="009E2086">
            <w:pPr>
              <w:pStyle w:val="Tabletext"/>
              <w:rPr>
                <w:rFonts w:eastAsia="Malgun Gothic"/>
                <w:sz w:val="20"/>
                <w:lang w:val="en-US" w:eastAsia="ko-KR"/>
              </w:rPr>
            </w:pPr>
            <w:r w:rsidRPr="004967A6">
              <w:rPr>
                <w:sz w:val="20"/>
                <w:lang w:val="en-US" w:eastAsia="zh-CN"/>
              </w:rPr>
              <w:t>A dynamic live dashboard, continuously updated via a data feed from the SAP HR data warehouse, offers a comprehensive overview of key personnel metrics at ITU, including gender and geographical distribution</w:t>
            </w:r>
            <w:r w:rsidRPr="004967A6">
              <w:rPr>
                <w:sz w:val="20"/>
                <w:lang w:val="en-US"/>
              </w:rPr>
              <w:t>.</w:t>
            </w:r>
          </w:p>
          <w:p w14:paraId="23441625" w14:textId="319ECD97" w:rsidR="00CC6ACA" w:rsidRPr="004967A6" w:rsidRDefault="00CC6ACA" w:rsidP="009E2086">
            <w:pPr>
              <w:pStyle w:val="Tabletext"/>
              <w:rPr>
                <w:rFonts w:eastAsia="Malgun Gothic"/>
                <w:sz w:val="20"/>
                <w:lang w:val="en-US" w:eastAsia="ko-KR"/>
              </w:rPr>
            </w:pPr>
            <w:r w:rsidRPr="004967A6">
              <w:rPr>
                <w:rFonts w:eastAsia="Malgun Gothic"/>
                <w:sz w:val="20"/>
                <w:lang w:val="en-US" w:eastAsia="ko-KR"/>
              </w:rPr>
              <w:t>Gender distribution by sector (regular staff)</w:t>
            </w:r>
            <w:r w:rsidR="00CB1E21">
              <w:rPr>
                <w:rFonts w:eastAsia="Malgun Gothic"/>
                <w:sz w:val="20"/>
                <w:lang w:val="en-US" w:eastAsia="ko-KR"/>
              </w:rPr>
              <w:t>:</w:t>
            </w:r>
          </w:p>
          <w:p w14:paraId="06124C22" w14:textId="261FAF42" w:rsidR="00CC6ACA" w:rsidRPr="004967A6" w:rsidRDefault="00CC6ACA" w:rsidP="009E2086">
            <w:pPr>
              <w:pStyle w:val="Tabletext"/>
              <w:ind w:left="284" w:hanging="284"/>
              <w:rPr>
                <w:rFonts w:eastAsia="Malgun Gothic"/>
                <w:sz w:val="20"/>
                <w:lang w:val="en-US" w:eastAsia="ko-KR"/>
              </w:rPr>
            </w:pPr>
            <w:r w:rsidRPr="004967A6">
              <w:rPr>
                <w:rFonts w:eastAsia="Malgun Gothic"/>
                <w:sz w:val="20"/>
                <w:lang w:val="en-US" w:eastAsia="ko-KR"/>
              </w:rPr>
              <w:t>–</w:t>
            </w:r>
            <w:r w:rsidRPr="004967A6">
              <w:rPr>
                <w:sz w:val="20"/>
              </w:rPr>
              <w:tab/>
            </w:r>
            <w:r w:rsidRPr="004967A6">
              <w:rPr>
                <w:rFonts w:eastAsia="Malgun Gothic"/>
                <w:sz w:val="20"/>
                <w:lang w:val="en-US" w:eastAsia="ko-KR"/>
              </w:rPr>
              <w:t xml:space="preserve">BDT: </w:t>
            </w:r>
            <w:r w:rsidR="00251187" w:rsidRPr="004967A6">
              <w:rPr>
                <w:rFonts w:eastAsia="Malgun Gothic"/>
                <w:sz w:val="20"/>
                <w:lang w:val="en-US" w:eastAsia="ko-KR"/>
              </w:rPr>
              <w:t>female 53.9% / male</w:t>
            </w:r>
            <w:r w:rsidRPr="004967A6">
              <w:rPr>
                <w:rFonts w:eastAsia="Malgun Gothic"/>
                <w:sz w:val="20"/>
                <w:lang w:val="en-US" w:eastAsia="ko-KR"/>
              </w:rPr>
              <w:t xml:space="preserve"> 46.1%</w:t>
            </w:r>
          </w:p>
          <w:p w14:paraId="06FF5ACB" w14:textId="518A489D" w:rsidR="00CC6ACA" w:rsidRPr="004967A6" w:rsidRDefault="00CC6ACA" w:rsidP="009E2086">
            <w:pPr>
              <w:pStyle w:val="Tabletext"/>
              <w:ind w:left="284" w:hanging="284"/>
              <w:rPr>
                <w:sz w:val="20"/>
                <w:lang w:val="en-US" w:eastAsia="zh-CN"/>
              </w:rPr>
            </w:pPr>
            <w:r w:rsidRPr="004967A6">
              <w:rPr>
                <w:rFonts w:eastAsia="Malgun Gothic"/>
                <w:sz w:val="20"/>
                <w:lang w:val="en-US" w:eastAsia="ko-KR"/>
              </w:rPr>
              <w:t>–</w:t>
            </w:r>
            <w:r w:rsidRPr="004967A6">
              <w:rPr>
                <w:sz w:val="20"/>
              </w:rPr>
              <w:tab/>
            </w:r>
            <w:r w:rsidRPr="004967A6">
              <w:rPr>
                <w:rFonts w:eastAsia="Malgun Gothic"/>
                <w:sz w:val="20"/>
                <w:lang w:val="en-US" w:eastAsia="ko-KR"/>
              </w:rPr>
              <w:t xml:space="preserve">BR: </w:t>
            </w:r>
            <w:r w:rsidR="00251187" w:rsidRPr="004967A6">
              <w:rPr>
                <w:rFonts w:eastAsia="Malgun Gothic"/>
                <w:sz w:val="20"/>
                <w:lang w:val="en-US" w:eastAsia="ko-KR"/>
              </w:rPr>
              <w:t xml:space="preserve">female 42.6% / male </w:t>
            </w:r>
            <w:r w:rsidRPr="004967A6">
              <w:rPr>
                <w:rFonts w:eastAsia="Malgun Gothic"/>
                <w:sz w:val="20"/>
                <w:lang w:val="en-US" w:eastAsia="ko-KR"/>
              </w:rPr>
              <w:t>57.4</w:t>
            </w:r>
            <w:r w:rsidRPr="004967A6">
              <w:rPr>
                <w:rFonts w:hint="eastAsia"/>
                <w:sz w:val="20"/>
                <w:lang w:val="en-US" w:eastAsia="zh-CN"/>
              </w:rPr>
              <w:t>%</w:t>
            </w:r>
          </w:p>
          <w:p w14:paraId="0D4AD832" w14:textId="2A357419" w:rsidR="00CC6ACA" w:rsidRPr="004967A6" w:rsidRDefault="00CC6ACA" w:rsidP="009E2086">
            <w:pPr>
              <w:pStyle w:val="Tabletext"/>
              <w:ind w:left="284" w:hanging="284"/>
              <w:rPr>
                <w:rFonts w:eastAsia="Malgun Gothic"/>
                <w:sz w:val="20"/>
                <w:lang w:val="en-US" w:eastAsia="ko-KR"/>
              </w:rPr>
            </w:pPr>
            <w:r w:rsidRPr="004967A6">
              <w:rPr>
                <w:rFonts w:eastAsia="Malgun Gothic"/>
                <w:sz w:val="20"/>
                <w:lang w:val="en-US" w:eastAsia="ko-KR"/>
              </w:rPr>
              <w:t>–</w:t>
            </w:r>
            <w:r w:rsidRPr="004967A6">
              <w:rPr>
                <w:sz w:val="20"/>
              </w:rPr>
              <w:tab/>
            </w:r>
            <w:r w:rsidRPr="004967A6">
              <w:rPr>
                <w:rFonts w:eastAsia="Malgun Gothic"/>
                <w:sz w:val="20"/>
                <w:lang w:val="en-US" w:eastAsia="ko-KR"/>
              </w:rPr>
              <w:t xml:space="preserve">GS: </w:t>
            </w:r>
            <w:r w:rsidR="00251187" w:rsidRPr="004967A6">
              <w:rPr>
                <w:rFonts w:eastAsia="Malgun Gothic"/>
                <w:sz w:val="20"/>
                <w:lang w:val="en-US" w:eastAsia="ko-KR"/>
              </w:rPr>
              <w:t xml:space="preserve">female 54.6% / male </w:t>
            </w:r>
            <w:r w:rsidRPr="004967A6">
              <w:rPr>
                <w:rFonts w:eastAsia="Malgun Gothic"/>
                <w:sz w:val="20"/>
                <w:lang w:val="en-US" w:eastAsia="ko-KR"/>
              </w:rPr>
              <w:t>45.4%</w:t>
            </w:r>
          </w:p>
          <w:p w14:paraId="0B549D5B" w14:textId="71E0C0C1" w:rsidR="00CC6ACA" w:rsidRPr="004967A6" w:rsidRDefault="00CC6ACA" w:rsidP="009E2086">
            <w:pPr>
              <w:pStyle w:val="Tabletext"/>
              <w:ind w:left="284" w:hanging="284"/>
              <w:rPr>
                <w:rFonts w:eastAsia="Malgun Gothic"/>
                <w:sz w:val="20"/>
                <w:lang w:val="en-US" w:eastAsia="ko-KR"/>
              </w:rPr>
            </w:pPr>
            <w:r w:rsidRPr="004967A6">
              <w:rPr>
                <w:rFonts w:eastAsia="Malgun Gothic"/>
                <w:sz w:val="20"/>
                <w:lang w:val="en-US" w:eastAsia="ko-KR"/>
              </w:rPr>
              <w:t>–</w:t>
            </w:r>
            <w:r w:rsidRPr="004967A6">
              <w:rPr>
                <w:sz w:val="20"/>
              </w:rPr>
              <w:tab/>
            </w:r>
            <w:r w:rsidRPr="004967A6">
              <w:rPr>
                <w:rFonts w:eastAsia="Malgun Gothic"/>
                <w:sz w:val="20"/>
                <w:lang w:val="en-US" w:eastAsia="ko-KR"/>
              </w:rPr>
              <w:t xml:space="preserve">TSB: </w:t>
            </w:r>
            <w:r w:rsidR="00251187" w:rsidRPr="004967A6">
              <w:rPr>
                <w:rFonts w:eastAsia="Malgun Gothic"/>
                <w:sz w:val="20"/>
                <w:lang w:val="en-US" w:eastAsia="ko-KR"/>
              </w:rPr>
              <w:t xml:space="preserve">female 52.0% / male </w:t>
            </w:r>
            <w:r w:rsidRPr="004967A6">
              <w:rPr>
                <w:rFonts w:eastAsia="Malgun Gothic"/>
                <w:sz w:val="20"/>
                <w:lang w:val="en-US" w:eastAsia="ko-KR"/>
              </w:rPr>
              <w:t>48.0%</w:t>
            </w:r>
          </w:p>
          <w:p w14:paraId="48255F76" w14:textId="3441DB7E" w:rsidR="00CC6ACA" w:rsidRPr="004967A6" w:rsidRDefault="00CC6ACA" w:rsidP="00CB1E21">
            <w:pPr>
              <w:pStyle w:val="Tabletext"/>
              <w:keepNext/>
              <w:rPr>
                <w:rFonts w:eastAsia="Malgun Gothic"/>
                <w:sz w:val="20"/>
                <w:lang w:val="en-US" w:eastAsia="ko-KR"/>
              </w:rPr>
            </w:pPr>
            <w:r w:rsidRPr="004967A6">
              <w:rPr>
                <w:rFonts w:eastAsia="Malgun Gothic" w:hint="eastAsia"/>
                <w:sz w:val="20"/>
                <w:lang w:val="en-US" w:eastAsia="ko-KR"/>
              </w:rPr>
              <w:lastRenderedPageBreak/>
              <w:t>Gender distribution by occupational group (</w:t>
            </w:r>
            <w:r w:rsidRPr="004967A6">
              <w:rPr>
                <w:rFonts w:eastAsia="Malgun Gothic"/>
                <w:sz w:val="20"/>
                <w:lang w:val="en-US" w:eastAsia="ko-KR"/>
              </w:rPr>
              <w:t>regular</w:t>
            </w:r>
            <w:r w:rsidRPr="004967A6">
              <w:rPr>
                <w:rFonts w:eastAsia="Malgun Gothic" w:hint="eastAsia"/>
                <w:sz w:val="20"/>
                <w:lang w:val="en-US" w:eastAsia="ko-KR"/>
              </w:rPr>
              <w:t xml:space="preserve"> staff)</w:t>
            </w:r>
            <w:r w:rsidR="00CB1E21">
              <w:rPr>
                <w:rFonts w:eastAsia="Malgun Gothic"/>
                <w:sz w:val="20"/>
                <w:lang w:val="en-US" w:eastAsia="ko-KR"/>
              </w:rPr>
              <w:t>:</w:t>
            </w:r>
          </w:p>
          <w:p w14:paraId="5CCBFC92" w14:textId="4A5F67D1" w:rsidR="00CC6ACA" w:rsidRPr="004967A6" w:rsidRDefault="00CC6ACA" w:rsidP="009E2086">
            <w:pPr>
              <w:pStyle w:val="Tabletext"/>
              <w:ind w:left="284" w:hanging="284"/>
              <w:rPr>
                <w:rFonts w:eastAsia="Malgun Gothic"/>
                <w:sz w:val="20"/>
                <w:lang w:val="en-US" w:eastAsia="ko-KR"/>
              </w:rPr>
            </w:pPr>
            <w:r w:rsidRPr="004967A6">
              <w:rPr>
                <w:rFonts w:eastAsia="Malgun Gothic"/>
                <w:sz w:val="20"/>
                <w:lang w:val="en-US" w:eastAsia="ko-KR"/>
              </w:rPr>
              <w:t>–</w:t>
            </w:r>
            <w:r w:rsidRPr="004967A6">
              <w:rPr>
                <w:sz w:val="20"/>
              </w:rPr>
              <w:tab/>
            </w:r>
            <w:r w:rsidRPr="004967A6">
              <w:rPr>
                <w:rFonts w:eastAsia="Malgun Gothic"/>
                <w:sz w:val="20"/>
                <w:lang w:val="en-US" w:eastAsia="ko-KR"/>
              </w:rPr>
              <w:t xml:space="preserve">Professional and Higher category: </w:t>
            </w:r>
            <w:r w:rsidR="00251187" w:rsidRPr="004967A6">
              <w:rPr>
                <w:rFonts w:eastAsia="Malgun Gothic"/>
                <w:sz w:val="20"/>
                <w:lang w:val="en-US" w:eastAsia="ko-KR"/>
              </w:rPr>
              <w:t xml:space="preserve">female 44.6% / male </w:t>
            </w:r>
            <w:r w:rsidRPr="004967A6">
              <w:rPr>
                <w:rFonts w:eastAsia="Malgun Gothic"/>
                <w:sz w:val="20"/>
                <w:lang w:val="en-US" w:eastAsia="ko-KR"/>
              </w:rPr>
              <w:t>55.4%</w:t>
            </w:r>
          </w:p>
          <w:p w14:paraId="18A54A8D" w14:textId="05A5A81B" w:rsidR="00CC6ACA" w:rsidRPr="004967A6" w:rsidRDefault="00CC6ACA" w:rsidP="009E2086">
            <w:pPr>
              <w:pStyle w:val="Tabletext"/>
              <w:ind w:left="284" w:hanging="284"/>
              <w:rPr>
                <w:sz w:val="20"/>
                <w:lang w:val="en-US" w:eastAsia="zh-CN"/>
              </w:rPr>
            </w:pPr>
            <w:r w:rsidRPr="004967A6">
              <w:rPr>
                <w:rFonts w:eastAsia="Malgun Gothic"/>
                <w:sz w:val="20"/>
                <w:lang w:val="en-US" w:eastAsia="ko-KR"/>
              </w:rPr>
              <w:t>–</w:t>
            </w:r>
            <w:r w:rsidRPr="004967A6">
              <w:rPr>
                <w:sz w:val="20"/>
              </w:rPr>
              <w:tab/>
            </w:r>
            <w:r w:rsidRPr="004967A6">
              <w:rPr>
                <w:rFonts w:eastAsia="Malgun Gothic"/>
                <w:sz w:val="20"/>
                <w:lang w:val="en-US" w:eastAsia="ko-KR"/>
              </w:rPr>
              <w:t xml:space="preserve">General Service category: </w:t>
            </w:r>
            <w:r w:rsidR="00251187" w:rsidRPr="004967A6">
              <w:rPr>
                <w:rFonts w:eastAsia="Malgun Gothic"/>
                <w:sz w:val="20"/>
                <w:lang w:val="en-US" w:eastAsia="ko-KR"/>
              </w:rPr>
              <w:t xml:space="preserve">female 66.8% / male </w:t>
            </w:r>
            <w:r w:rsidRPr="004967A6">
              <w:rPr>
                <w:rFonts w:eastAsia="Malgun Gothic"/>
                <w:sz w:val="20"/>
                <w:lang w:val="en-US" w:eastAsia="ko-KR"/>
              </w:rPr>
              <w:t>33.2</w:t>
            </w:r>
            <w:r w:rsidRPr="004967A6">
              <w:rPr>
                <w:rFonts w:hint="eastAsia"/>
                <w:sz w:val="20"/>
                <w:lang w:val="en-US" w:eastAsia="zh-CN"/>
              </w:rPr>
              <w:t>%</w:t>
            </w:r>
          </w:p>
          <w:p w14:paraId="1829D113" w14:textId="53FE296B" w:rsidR="00CC6ACA" w:rsidRPr="004967A6" w:rsidRDefault="00CC6ACA" w:rsidP="009E2086">
            <w:pPr>
              <w:pStyle w:val="Tabletext"/>
              <w:rPr>
                <w:rFonts w:eastAsia="Malgun Gothic"/>
                <w:sz w:val="20"/>
                <w:lang w:val="en-US" w:eastAsia="ko-KR"/>
              </w:rPr>
            </w:pPr>
            <w:r w:rsidRPr="004967A6">
              <w:rPr>
                <w:rFonts w:eastAsia="Malgun Gothic"/>
                <w:sz w:val="20"/>
                <w:lang w:val="en-US" w:eastAsia="ko-KR"/>
              </w:rPr>
              <w:t xml:space="preserve">Geographical distribution (regular staff): 114 </w:t>
            </w:r>
            <w:r w:rsidR="00251187" w:rsidRPr="004967A6">
              <w:rPr>
                <w:rFonts w:eastAsia="Malgun Gothic"/>
                <w:sz w:val="20"/>
                <w:lang w:val="en-US" w:eastAsia="ko-KR"/>
              </w:rPr>
              <w:t>nationalities</w:t>
            </w:r>
          </w:p>
          <w:p w14:paraId="2844FAF9" w14:textId="7A73B8E3" w:rsidR="009E2086" w:rsidRPr="004967A6" w:rsidRDefault="009E2086" w:rsidP="009E2086">
            <w:pPr>
              <w:spacing w:before="0"/>
            </w:pPr>
            <w:r w:rsidRPr="004967A6">
              <w:t>_______________</w:t>
            </w:r>
          </w:p>
          <w:p w14:paraId="1746952E" w14:textId="54347EAA" w:rsidR="00CC6ACA" w:rsidRPr="004967A6" w:rsidRDefault="00CC6ACA" w:rsidP="009E2086">
            <w:pPr>
              <w:pStyle w:val="Tabletext"/>
              <w:ind w:left="284" w:hanging="284"/>
              <w:rPr>
                <w:rFonts w:eastAsia="Malgun Gothic"/>
                <w:i/>
                <w:iCs/>
                <w:sz w:val="18"/>
                <w:szCs w:val="18"/>
                <w:lang w:val="en-US" w:eastAsia="ko-KR"/>
              </w:rPr>
            </w:pPr>
            <w:r w:rsidRPr="004967A6">
              <w:rPr>
                <w:rFonts w:eastAsia="Malgun Gothic"/>
                <w:i/>
                <w:iCs/>
                <w:sz w:val="18"/>
                <w:szCs w:val="18"/>
                <w:lang w:val="en-US" w:eastAsia="ko-KR"/>
              </w:rPr>
              <w:t>*</w:t>
            </w:r>
            <w:r w:rsidR="009E2086" w:rsidRPr="004967A6">
              <w:rPr>
                <w:rFonts w:eastAsia="Malgun Gothic"/>
                <w:i/>
                <w:iCs/>
                <w:sz w:val="18"/>
                <w:szCs w:val="18"/>
                <w:lang w:val="en-US" w:eastAsia="ko-KR"/>
              </w:rPr>
              <w:tab/>
            </w:r>
            <w:r w:rsidRPr="004967A6">
              <w:rPr>
                <w:rFonts w:eastAsia="Malgun Gothic"/>
                <w:i/>
                <w:iCs/>
                <w:sz w:val="18"/>
                <w:szCs w:val="18"/>
                <w:lang w:val="en-US" w:eastAsia="ko-KR"/>
              </w:rPr>
              <w:t>Data as of 6 February 2026</w:t>
            </w:r>
            <w:r w:rsidR="00A93CE3">
              <w:rPr>
                <w:rFonts w:eastAsia="Malgun Gothic"/>
                <w:i/>
                <w:iCs/>
                <w:sz w:val="18"/>
                <w:szCs w:val="18"/>
                <w:lang w:val="en-US" w:eastAsia="ko-KR"/>
              </w:rPr>
              <w:t>.</w:t>
            </w:r>
          </w:p>
          <w:p w14:paraId="09D5BFEF" w14:textId="682DDA42" w:rsidR="00CC6ACA" w:rsidRPr="004967A6" w:rsidRDefault="00CC6ACA" w:rsidP="009E2086">
            <w:pPr>
              <w:pStyle w:val="Tabletext"/>
              <w:ind w:left="284" w:hanging="284"/>
              <w:rPr>
                <w:rFonts w:eastAsia="Malgun Gothic"/>
                <w:sz w:val="20"/>
                <w:lang w:val="en-US" w:eastAsia="ko-KR"/>
              </w:rPr>
            </w:pPr>
            <w:r w:rsidRPr="004967A6">
              <w:rPr>
                <w:rFonts w:eastAsia="Malgun Gothic"/>
                <w:i/>
                <w:iCs/>
                <w:sz w:val="18"/>
                <w:szCs w:val="18"/>
                <w:lang w:val="en-US" w:eastAsia="ko-KR"/>
              </w:rPr>
              <w:t>**</w:t>
            </w:r>
            <w:r w:rsidR="009E2086" w:rsidRPr="004967A6">
              <w:rPr>
                <w:rFonts w:eastAsia="Malgun Gothic"/>
                <w:i/>
                <w:iCs/>
                <w:sz w:val="18"/>
                <w:szCs w:val="18"/>
                <w:lang w:val="en-US" w:eastAsia="ko-KR"/>
              </w:rPr>
              <w:tab/>
            </w:r>
            <w:r w:rsidRPr="004967A6">
              <w:rPr>
                <w:rFonts w:eastAsia="Malgun Gothic"/>
                <w:i/>
                <w:iCs/>
                <w:sz w:val="18"/>
                <w:szCs w:val="18"/>
                <w:lang w:val="en-US" w:eastAsia="ko-KR"/>
              </w:rPr>
              <w:t xml:space="preserve">Elected officials and </w:t>
            </w:r>
            <w:r w:rsidR="00A93CE3" w:rsidRPr="004967A6">
              <w:rPr>
                <w:rFonts w:eastAsia="Malgun Gothic"/>
                <w:i/>
                <w:iCs/>
                <w:sz w:val="18"/>
                <w:szCs w:val="18"/>
                <w:lang w:val="en-US" w:eastAsia="ko-KR"/>
              </w:rPr>
              <w:t xml:space="preserve">staff on special leave without pay </w:t>
            </w:r>
            <w:r w:rsidRPr="004967A6">
              <w:rPr>
                <w:rFonts w:eastAsia="Malgun Gothic"/>
                <w:i/>
                <w:iCs/>
                <w:sz w:val="18"/>
                <w:szCs w:val="18"/>
                <w:lang w:val="en-US" w:eastAsia="ko-KR"/>
              </w:rPr>
              <w:t>are excluded from all figures above.</w:t>
            </w:r>
          </w:p>
        </w:tc>
      </w:tr>
      <w:tr w:rsidR="00CC6ACA" w:rsidRPr="00917736" w14:paraId="72EA9646" w14:textId="77777777" w:rsidTr="6E86A8A3">
        <w:trPr>
          <w:trHeight w:val="898"/>
          <w:jc w:val="center"/>
        </w:trPr>
        <w:tc>
          <w:tcPr>
            <w:tcW w:w="207" w:type="pct"/>
            <w:shd w:val="clear" w:color="auto" w:fill="FFFFFF" w:themeFill="background1"/>
            <w:vAlign w:val="center"/>
          </w:tcPr>
          <w:p w14:paraId="37EC9DB9" w14:textId="77777777" w:rsidR="00CC6ACA" w:rsidRPr="004967A6" w:rsidRDefault="00CC6ACA" w:rsidP="000027F9">
            <w:pPr>
              <w:pStyle w:val="Tabletext"/>
              <w:jc w:val="center"/>
              <w:rPr>
                <w:b/>
                <w:sz w:val="20"/>
                <w:lang w:val="en-US" w:eastAsia="zh-CN"/>
              </w:rPr>
            </w:pPr>
            <w:bookmarkStart w:id="15" w:name="_Hlk95295505"/>
            <w:r w:rsidRPr="004967A6">
              <w:rPr>
                <w:rFonts w:hint="eastAsia"/>
                <w:b/>
                <w:sz w:val="20"/>
                <w:lang w:val="en-US" w:eastAsia="zh-CN"/>
              </w:rPr>
              <w:lastRenderedPageBreak/>
              <w:t>4</w:t>
            </w:r>
          </w:p>
        </w:tc>
        <w:tc>
          <w:tcPr>
            <w:tcW w:w="523" w:type="pct"/>
            <w:shd w:val="clear" w:color="auto" w:fill="FFFFFF" w:themeFill="background1"/>
            <w:vAlign w:val="center"/>
          </w:tcPr>
          <w:p w14:paraId="0B6B8BCA" w14:textId="77777777" w:rsidR="00CC6ACA" w:rsidRPr="004967A6" w:rsidRDefault="00CC6ACA" w:rsidP="009E2086">
            <w:pPr>
              <w:pStyle w:val="Tabletext"/>
              <w:rPr>
                <w:sz w:val="20"/>
                <w:lang w:val="en-US" w:eastAsia="zh-CN"/>
              </w:rPr>
            </w:pPr>
            <w:r w:rsidRPr="004967A6">
              <w:rPr>
                <w:rFonts w:hint="eastAsia"/>
                <w:sz w:val="20"/>
                <w:lang w:val="en-US" w:eastAsia="zh-CN"/>
              </w:rPr>
              <w:t>Partnerships</w:t>
            </w:r>
          </w:p>
        </w:tc>
        <w:tc>
          <w:tcPr>
            <w:tcW w:w="1759" w:type="pct"/>
            <w:shd w:val="clear" w:color="auto" w:fill="FFFFFF" w:themeFill="background1"/>
            <w:vAlign w:val="center"/>
          </w:tcPr>
          <w:p w14:paraId="37DE8619" w14:textId="7B3765BA" w:rsidR="00CC6ACA" w:rsidRPr="004967A6" w:rsidRDefault="00C17E52" w:rsidP="00251187">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Number of established partnerships with administrations (qualitative reporting on initiatives and quantitative, i.e. number of Funds-in-Trust (FIT), JPOs</w:t>
            </w:r>
            <w:r w:rsidR="00CC6ACA" w:rsidRPr="004967A6">
              <w:rPr>
                <w:sz w:val="20"/>
                <w:lang w:val="en-US" w:eastAsia="zh-CN"/>
              </w:rPr>
              <w:t xml:space="preserve">, </w:t>
            </w:r>
            <w:r w:rsidR="00CC6ACA" w:rsidRPr="004967A6">
              <w:rPr>
                <w:sz w:val="20"/>
                <w:lang w:val="en-US"/>
              </w:rPr>
              <w:t>loans/secondments recruited through partnerships programmes)</w:t>
            </w:r>
          </w:p>
        </w:tc>
        <w:tc>
          <w:tcPr>
            <w:tcW w:w="2511" w:type="pct"/>
            <w:vAlign w:val="center"/>
          </w:tcPr>
          <w:p w14:paraId="6ECB2C05" w14:textId="77777777" w:rsidR="00CC6ACA" w:rsidRPr="004967A6" w:rsidRDefault="00CC6ACA" w:rsidP="009E2086">
            <w:pPr>
              <w:pStyle w:val="Tabletext"/>
              <w:rPr>
                <w:sz w:val="20"/>
                <w:lang w:val="en-US" w:eastAsia="zh-CN"/>
              </w:rPr>
            </w:pPr>
            <w:r w:rsidRPr="004967A6">
              <w:rPr>
                <w:sz w:val="20"/>
                <w:lang w:val="en-US" w:eastAsia="zh-CN"/>
              </w:rPr>
              <w:t>Number of partners for the FIT and loans programmes: 8</w:t>
            </w:r>
          </w:p>
          <w:p w14:paraId="0364ABD7" w14:textId="77777777" w:rsidR="00CC6ACA" w:rsidRPr="004967A6" w:rsidRDefault="00CC6ACA" w:rsidP="009E2086">
            <w:pPr>
              <w:pStyle w:val="Tabletext"/>
              <w:rPr>
                <w:sz w:val="20"/>
                <w:lang w:val="en-US" w:eastAsia="zh-CN"/>
              </w:rPr>
            </w:pPr>
            <w:r w:rsidRPr="004967A6">
              <w:rPr>
                <w:sz w:val="20"/>
                <w:lang w:val="en-US" w:eastAsia="zh-CN"/>
              </w:rPr>
              <w:t>Number of partners for the JPO programme: 8</w:t>
            </w:r>
          </w:p>
          <w:p w14:paraId="4820F97F" w14:textId="77777777" w:rsidR="00CC6ACA" w:rsidRPr="004967A6" w:rsidRDefault="00CC6ACA" w:rsidP="009E2086">
            <w:pPr>
              <w:pStyle w:val="Tabletext"/>
              <w:rPr>
                <w:sz w:val="20"/>
                <w:lang w:val="en-US" w:eastAsia="zh-CN"/>
              </w:rPr>
            </w:pPr>
            <w:r w:rsidRPr="004967A6">
              <w:rPr>
                <w:sz w:val="20"/>
                <w:lang w:val="en-US" w:eastAsia="zh-CN"/>
              </w:rPr>
              <w:t>Number of partners for the sponsored internship programme: 2</w:t>
            </w:r>
          </w:p>
          <w:p w14:paraId="740A8DCA" w14:textId="77777777" w:rsidR="00CC6ACA" w:rsidRPr="004967A6" w:rsidRDefault="00CC6ACA" w:rsidP="009E2086">
            <w:pPr>
              <w:pStyle w:val="Tabletext"/>
              <w:rPr>
                <w:sz w:val="20"/>
                <w:lang w:val="en-US" w:eastAsia="zh-CN"/>
              </w:rPr>
            </w:pPr>
            <w:r w:rsidRPr="004967A6">
              <w:rPr>
                <w:sz w:val="20"/>
                <w:lang w:val="en-US"/>
              </w:rPr>
              <w:t>Number of FIT:</w:t>
            </w:r>
            <w:r w:rsidRPr="004967A6">
              <w:rPr>
                <w:sz w:val="20"/>
                <w:lang w:val="en-US" w:eastAsia="zh-CN"/>
              </w:rPr>
              <w:t xml:space="preserve"> 8 (1 more to start 1 March 2026)</w:t>
            </w:r>
          </w:p>
          <w:p w14:paraId="53EE6A47" w14:textId="77777777" w:rsidR="00CC6ACA" w:rsidRPr="004967A6" w:rsidRDefault="00CC6ACA" w:rsidP="009E2086">
            <w:pPr>
              <w:pStyle w:val="Tabletext"/>
              <w:rPr>
                <w:sz w:val="20"/>
                <w:lang w:val="en-US" w:eastAsia="zh-CN"/>
              </w:rPr>
            </w:pPr>
            <w:r w:rsidRPr="004967A6">
              <w:rPr>
                <w:sz w:val="20"/>
                <w:lang w:val="en-US"/>
              </w:rPr>
              <w:t>Number of JPOs:</w:t>
            </w:r>
            <w:r w:rsidRPr="004967A6">
              <w:rPr>
                <w:sz w:val="20"/>
              </w:rPr>
              <w:t xml:space="preserve"> </w:t>
            </w:r>
            <w:r w:rsidRPr="004967A6">
              <w:rPr>
                <w:rFonts w:hint="eastAsia"/>
                <w:sz w:val="20"/>
                <w:lang w:val="en-US" w:eastAsia="zh-CN"/>
              </w:rPr>
              <w:t>5</w:t>
            </w:r>
            <w:r w:rsidRPr="004967A6">
              <w:rPr>
                <w:sz w:val="20"/>
                <w:lang w:val="en-US" w:eastAsia="zh-CN"/>
              </w:rPr>
              <w:t xml:space="preserve"> and 3 more to start 1 March 2026 and more later</w:t>
            </w:r>
          </w:p>
          <w:p w14:paraId="7C701535" w14:textId="77777777" w:rsidR="00CC6ACA" w:rsidRPr="004967A6" w:rsidRDefault="00CC6ACA" w:rsidP="009E2086">
            <w:pPr>
              <w:pStyle w:val="Tabletext"/>
              <w:rPr>
                <w:sz w:val="20"/>
                <w:lang w:val="en-US" w:eastAsia="zh-CN"/>
              </w:rPr>
            </w:pPr>
            <w:r w:rsidRPr="004967A6">
              <w:rPr>
                <w:sz w:val="20"/>
                <w:lang w:val="en-US"/>
              </w:rPr>
              <w:t xml:space="preserve">Number of loans: </w:t>
            </w:r>
            <w:r w:rsidRPr="004967A6">
              <w:rPr>
                <w:sz w:val="20"/>
                <w:lang w:val="en-US" w:eastAsia="zh-CN"/>
              </w:rPr>
              <w:t>9</w:t>
            </w:r>
          </w:p>
        </w:tc>
      </w:tr>
      <w:tr w:rsidR="00CC6ACA" w:rsidRPr="00E612FE" w14:paraId="548F824C" w14:textId="77777777" w:rsidTr="6E86A8A3">
        <w:trPr>
          <w:trHeight w:val="20"/>
          <w:jc w:val="center"/>
        </w:trPr>
        <w:tc>
          <w:tcPr>
            <w:tcW w:w="207" w:type="pct"/>
            <w:shd w:val="clear" w:color="auto" w:fill="FFFFFF" w:themeFill="background1"/>
            <w:vAlign w:val="center"/>
          </w:tcPr>
          <w:p w14:paraId="2C93FDBB" w14:textId="77777777" w:rsidR="00CC6ACA" w:rsidRPr="004967A6" w:rsidRDefault="00CC6ACA" w:rsidP="000027F9">
            <w:pPr>
              <w:pStyle w:val="Tabletext"/>
              <w:jc w:val="center"/>
              <w:rPr>
                <w:b/>
                <w:sz w:val="20"/>
                <w:lang w:val="en-US" w:eastAsia="zh-CN"/>
              </w:rPr>
            </w:pPr>
            <w:r w:rsidRPr="004967A6">
              <w:rPr>
                <w:rFonts w:hint="eastAsia"/>
                <w:b/>
                <w:sz w:val="20"/>
                <w:lang w:val="en-US" w:eastAsia="zh-CN"/>
              </w:rPr>
              <w:t>5</w:t>
            </w:r>
          </w:p>
        </w:tc>
        <w:tc>
          <w:tcPr>
            <w:tcW w:w="523" w:type="pct"/>
            <w:shd w:val="clear" w:color="auto" w:fill="FFFFFF" w:themeFill="background1"/>
            <w:vAlign w:val="center"/>
          </w:tcPr>
          <w:p w14:paraId="4479C3FA" w14:textId="77777777" w:rsidR="00CC6ACA" w:rsidRPr="004967A6" w:rsidRDefault="00CC6ACA" w:rsidP="009E2086">
            <w:pPr>
              <w:pStyle w:val="Tabletext"/>
              <w:rPr>
                <w:sz w:val="20"/>
                <w:lang w:val="en-US" w:eastAsia="zh-CN"/>
              </w:rPr>
            </w:pPr>
            <w:r w:rsidRPr="004967A6">
              <w:rPr>
                <w:rFonts w:hint="eastAsia"/>
                <w:sz w:val="20"/>
                <w:lang w:val="en-US" w:eastAsia="zh-CN"/>
              </w:rPr>
              <w:t>Partnerships</w:t>
            </w:r>
          </w:p>
        </w:tc>
        <w:tc>
          <w:tcPr>
            <w:tcW w:w="1759" w:type="pct"/>
            <w:shd w:val="clear" w:color="auto" w:fill="FFFFFF" w:themeFill="background1"/>
            <w:vAlign w:val="center"/>
            <w:hideMark/>
          </w:tcPr>
          <w:p w14:paraId="0E602DE2" w14:textId="489797BA" w:rsidR="00CC6ACA" w:rsidRPr="004967A6" w:rsidRDefault="00C17E52" w:rsidP="00251187">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Designed and launched young talent programmes</w:t>
            </w:r>
          </w:p>
          <w:p w14:paraId="1ACCE556" w14:textId="135BAB18" w:rsidR="00CC6ACA" w:rsidRPr="004967A6" w:rsidRDefault="00C17E52" w:rsidP="00251187">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Number of interns</w:t>
            </w:r>
          </w:p>
        </w:tc>
        <w:tc>
          <w:tcPr>
            <w:tcW w:w="2511" w:type="pct"/>
            <w:vAlign w:val="center"/>
          </w:tcPr>
          <w:p w14:paraId="4186CA7E" w14:textId="77777777" w:rsidR="00CC6ACA" w:rsidRPr="004967A6" w:rsidRDefault="00CC6ACA" w:rsidP="009E2086">
            <w:pPr>
              <w:pStyle w:val="Tabletext"/>
              <w:rPr>
                <w:sz w:val="20"/>
                <w:lang w:val="en-US" w:eastAsia="zh-CN"/>
              </w:rPr>
            </w:pPr>
            <w:r w:rsidRPr="004967A6">
              <w:rPr>
                <w:sz w:val="20"/>
                <w:lang w:val="en-US" w:eastAsia="zh-CN"/>
              </w:rPr>
              <w:t>Number of YPPs:</w:t>
            </w:r>
            <w:r w:rsidRPr="004967A6">
              <w:rPr>
                <w:sz w:val="20"/>
              </w:rPr>
              <w:t xml:space="preserve"> </w:t>
            </w:r>
            <w:r w:rsidRPr="004967A6">
              <w:rPr>
                <w:sz w:val="20"/>
                <w:lang w:val="en-US" w:eastAsia="zh-CN"/>
              </w:rPr>
              <w:t>6</w:t>
            </w:r>
          </w:p>
          <w:p w14:paraId="6B130ABA" w14:textId="2FE0FF9C" w:rsidR="00CC6ACA" w:rsidRPr="004967A6" w:rsidRDefault="00CC6ACA" w:rsidP="009E2086">
            <w:pPr>
              <w:pStyle w:val="Tabletext"/>
              <w:rPr>
                <w:sz w:val="20"/>
                <w:lang w:val="nl-NL" w:eastAsia="zh-CN"/>
              </w:rPr>
            </w:pPr>
            <w:r w:rsidRPr="004967A6">
              <w:rPr>
                <w:sz w:val="20"/>
                <w:lang w:val="en-US"/>
              </w:rPr>
              <w:t xml:space="preserve">Number of interns: </w:t>
            </w:r>
            <w:r w:rsidRPr="004967A6">
              <w:rPr>
                <w:sz w:val="20"/>
                <w:lang w:val="nl-NL"/>
              </w:rPr>
              <w:t>70</w:t>
            </w:r>
            <w:r w:rsidRPr="004967A6">
              <w:rPr>
                <w:rFonts w:hint="eastAsia"/>
                <w:sz w:val="20"/>
                <w:lang w:val="nl-NL" w:eastAsia="zh-CN"/>
              </w:rPr>
              <w:t xml:space="preserve"> </w:t>
            </w:r>
            <w:r w:rsidRPr="004967A6">
              <w:rPr>
                <w:sz w:val="20"/>
                <w:lang w:val="nl-NL"/>
              </w:rPr>
              <w:t>(SG</w:t>
            </w:r>
            <w:r w:rsidR="00251187" w:rsidRPr="004967A6">
              <w:rPr>
                <w:sz w:val="20"/>
                <w:lang w:val="nl-NL"/>
              </w:rPr>
              <w:t>,</w:t>
            </w:r>
            <w:r w:rsidRPr="004967A6">
              <w:rPr>
                <w:sz w:val="20"/>
                <w:lang w:val="nl-NL"/>
              </w:rPr>
              <w:t xml:space="preserve"> 22</w:t>
            </w:r>
            <w:r w:rsidR="00251187" w:rsidRPr="004967A6">
              <w:rPr>
                <w:sz w:val="20"/>
                <w:lang w:val="nl-NL"/>
              </w:rPr>
              <w:t xml:space="preserve">; </w:t>
            </w:r>
            <w:r w:rsidRPr="004967A6">
              <w:rPr>
                <w:sz w:val="20"/>
                <w:lang w:val="nl-NL"/>
              </w:rPr>
              <w:t>BR</w:t>
            </w:r>
            <w:r w:rsidR="00251187" w:rsidRPr="004967A6">
              <w:rPr>
                <w:sz w:val="20"/>
                <w:lang w:val="nl-NL"/>
              </w:rPr>
              <w:t>,</w:t>
            </w:r>
            <w:r w:rsidRPr="004967A6">
              <w:rPr>
                <w:sz w:val="20"/>
                <w:lang w:val="nl-NL"/>
              </w:rPr>
              <w:t xml:space="preserve"> 7</w:t>
            </w:r>
            <w:r w:rsidR="00251187" w:rsidRPr="004967A6">
              <w:rPr>
                <w:sz w:val="20"/>
                <w:lang w:val="nl-NL"/>
              </w:rPr>
              <w:t>;</w:t>
            </w:r>
            <w:r w:rsidRPr="004967A6">
              <w:rPr>
                <w:sz w:val="20"/>
                <w:lang w:val="nl-NL"/>
              </w:rPr>
              <w:t xml:space="preserve"> BDT</w:t>
            </w:r>
            <w:r w:rsidR="00251187" w:rsidRPr="004967A6">
              <w:rPr>
                <w:sz w:val="20"/>
                <w:lang w:val="nl-NL"/>
              </w:rPr>
              <w:t>,</w:t>
            </w:r>
            <w:r w:rsidRPr="004967A6">
              <w:rPr>
                <w:sz w:val="20"/>
                <w:lang w:val="nl-NL"/>
              </w:rPr>
              <w:t xml:space="preserve"> </w:t>
            </w:r>
            <w:r w:rsidRPr="004967A6">
              <w:rPr>
                <w:sz w:val="20"/>
                <w:lang w:val="nl-NL" w:eastAsia="zh-CN"/>
              </w:rPr>
              <w:t>28</w:t>
            </w:r>
            <w:r w:rsidR="00251187" w:rsidRPr="004967A6">
              <w:rPr>
                <w:sz w:val="20"/>
                <w:lang w:val="nl-NL" w:eastAsia="zh-CN"/>
              </w:rPr>
              <w:t>;</w:t>
            </w:r>
            <w:r w:rsidRPr="004967A6">
              <w:rPr>
                <w:sz w:val="20"/>
                <w:lang w:val="nl-NL"/>
              </w:rPr>
              <w:t xml:space="preserve"> TSB</w:t>
            </w:r>
            <w:r w:rsidR="00251187" w:rsidRPr="004967A6">
              <w:rPr>
                <w:sz w:val="20"/>
                <w:lang w:val="nl-NL"/>
              </w:rPr>
              <w:t>,</w:t>
            </w:r>
            <w:r w:rsidRPr="004967A6">
              <w:rPr>
                <w:sz w:val="20"/>
                <w:lang w:val="nl-NL"/>
              </w:rPr>
              <w:t xml:space="preserve"> </w:t>
            </w:r>
            <w:r w:rsidRPr="004967A6">
              <w:rPr>
                <w:sz w:val="20"/>
                <w:lang w:val="nl-NL" w:eastAsia="zh-CN"/>
              </w:rPr>
              <w:t>13</w:t>
            </w:r>
            <w:r w:rsidRPr="004967A6">
              <w:rPr>
                <w:sz w:val="20"/>
                <w:lang w:val="nl-NL"/>
              </w:rPr>
              <w:t>)</w:t>
            </w:r>
          </w:p>
        </w:tc>
      </w:tr>
      <w:bookmarkEnd w:id="15"/>
      <w:tr w:rsidR="00CC6ACA" w:rsidRPr="00E612FE" w14:paraId="0C260465" w14:textId="77777777" w:rsidTr="6E86A8A3">
        <w:trPr>
          <w:trHeight w:val="20"/>
          <w:jc w:val="center"/>
        </w:trPr>
        <w:tc>
          <w:tcPr>
            <w:tcW w:w="207" w:type="pct"/>
            <w:shd w:val="clear" w:color="auto" w:fill="FFFFFF" w:themeFill="background1"/>
            <w:vAlign w:val="center"/>
          </w:tcPr>
          <w:p w14:paraId="208679D9" w14:textId="77777777" w:rsidR="00CC6ACA" w:rsidRPr="004967A6" w:rsidRDefault="00CC6ACA" w:rsidP="000027F9">
            <w:pPr>
              <w:pStyle w:val="Tabletext"/>
              <w:jc w:val="center"/>
              <w:rPr>
                <w:b/>
                <w:sz w:val="20"/>
                <w:lang w:eastAsia="zh-CN"/>
              </w:rPr>
            </w:pPr>
            <w:r w:rsidRPr="004967A6">
              <w:rPr>
                <w:rFonts w:hint="eastAsia"/>
                <w:b/>
                <w:sz w:val="20"/>
                <w:lang w:val="en-US" w:eastAsia="zh-CN"/>
              </w:rPr>
              <w:t>6</w:t>
            </w:r>
          </w:p>
        </w:tc>
        <w:tc>
          <w:tcPr>
            <w:tcW w:w="523" w:type="pct"/>
            <w:shd w:val="clear" w:color="auto" w:fill="FFFFFF" w:themeFill="background1"/>
            <w:vAlign w:val="center"/>
          </w:tcPr>
          <w:p w14:paraId="61FD444F" w14:textId="77777777" w:rsidR="00CC6ACA" w:rsidRPr="004967A6" w:rsidRDefault="00CC6ACA" w:rsidP="009E2086">
            <w:pPr>
              <w:pStyle w:val="Tabletext"/>
              <w:rPr>
                <w:sz w:val="20"/>
                <w:lang w:val="en-US" w:eastAsia="zh-CN"/>
              </w:rPr>
            </w:pPr>
            <w:r w:rsidRPr="004967A6">
              <w:rPr>
                <w:rFonts w:hint="eastAsia"/>
                <w:sz w:val="20"/>
                <w:lang w:val="en-US" w:eastAsia="zh-CN"/>
              </w:rPr>
              <w:t>Fellowships</w:t>
            </w:r>
          </w:p>
        </w:tc>
        <w:tc>
          <w:tcPr>
            <w:tcW w:w="1759" w:type="pct"/>
            <w:shd w:val="clear" w:color="auto" w:fill="FFFFFF" w:themeFill="background1"/>
            <w:vAlign w:val="center"/>
          </w:tcPr>
          <w:p w14:paraId="4C3279AB" w14:textId="0A16D0DE" w:rsidR="00CC6ACA" w:rsidRPr="004967A6" w:rsidRDefault="00C17E52" w:rsidP="00251187">
            <w:pPr>
              <w:pStyle w:val="Tabletext"/>
              <w:ind w:left="284" w:hanging="284"/>
              <w:rPr>
                <w:rFonts w:cs="Calibri"/>
                <w:sz w:val="20"/>
                <w:lang w:val="en-US"/>
              </w:rPr>
            </w:pPr>
            <w:r w:rsidRPr="004967A6">
              <w:rPr>
                <w:sz w:val="20"/>
                <w:lang w:val="en-US" w:bidi="en-US"/>
              </w:rPr>
              <w:t>–</w:t>
            </w:r>
            <w:r w:rsidRPr="004967A6">
              <w:rPr>
                <w:sz w:val="20"/>
                <w:lang w:val="en-US" w:bidi="en-US"/>
              </w:rPr>
              <w:tab/>
            </w:r>
            <w:r w:rsidR="00CC6ACA" w:rsidRPr="004967A6">
              <w:rPr>
                <w:sz w:val="20"/>
                <w:lang w:val="en-US"/>
              </w:rPr>
              <w:t>Number of fellowships awarded</w:t>
            </w:r>
          </w:p>
        </w:tc>
        <w:tc>
          <w:tcPr>
            <w:tcW w:w="2511" w:type="pct"/>
            <w:vAlign w:val="center"/>
          </w:tcPr>
          <w:p w14:paraId="47726F56" w14:textId="1462F112" w:rsidR="00CC6ACA" w:rsidRPr="004967A6" w:rsidRDefault="00CC6ACA" w:rsidP="009E2086">
            <w:pPr>
              <w:pStyle w:val="Tabletext"/>
              <w:rPr>
                <w:sz w:val="20"/>
                <w:lang w:val="en-US" w:eastAsia="zh-CN"/>
              </w:rPr>
            </w:pPr>
            <w:r w:rsidRPr="004967A6">
              <w:rPr>
                <w:sz w:val="20"/>
                <w:lang w:eastAsia="zh-CN"/>
              </w:rPr>
              <w:t>In line with Resolution 213 (Dubai, 2018), a record 1</w:t>
            </w:r>
            <w:r w:rsidR="00CB1E21">
              <w:rPr>
                <w:sz w:val="20"/>
                <w:lang w:eastAsia="zh-CN"/>
              </w:rPr>
              <w:t xml:space="preserve"> </w:t>
            </w:r>
            <w:r w:rsidRPr="004967A6">
              <w:rPr>
                <w:sz w:val="20"/>
                <w:lang w:eastAsia="zh-CN"/>
              </w:rPr>
              <w:t>056 fellowships were awarded in 2025. Of these, 447 were financed through the ITU regular budget and granted by the three Bureaux, while the remaining 609 were awarded under projects and voluntary contributions.</w:t>
            </w:r>
          </w:p>
        </w:tc>
      </w:tr>
      <w:tr w:rsidR="00CC6ACA" w:rsidRPr="00917736" w14:paraId="41F89A20" w14:textId="77777777" w:rsidTr="6E86A8A3">
        <w:trPr>
          <w:trHeight w:val="1140"/>
          <w:jc w:val="center"/>
        </w:trPr>
        <w:tc>
          <w:tcPr>
            <w:tcW w:w="207" w:type="pct"/>
            <w:shd w:val="clear" w:color="auto" w:fill="FFFFFF" w:themeFill="background1"/>
            <w:vAlign w:val="center"/>
          </w:tcPr>
          <w:p w14:paraId="29835B7A" w14:textId="77777777" w:rsidR="00CC6ACA" w:rsidRPr="004967A6" w:rsidRDefault="00CC6ACA" w:rsidP="000027F9">
            <w:pPr>
              <w:pStyle w:val="Tabletext"/>
              <w:jc w:val="center"/>
              <w:rPr>
                <w:b/>
                <w:sz w:val="20"/>
                <w:lang w:val="en-US" w:eastAsia="zh-CN"/>
              </w:rPr>
            </w:pPr>
            <w:r w:rsidRPr="004967A6">
              <w:rPr>
                <w:rFonts w:hint="eastAsia"/>
                <w:b/>
                <w:sz w:val="20"/>
                <w:lang w:val="en-US" w:eastAsia="zh-CN"/>
              </w:rPr>
              <w:t>7</w:t>
            </w:r>
          </w:p>
        </w:tc>
        <w:tc>
          <w:tcPr>
            <w:tcW w:w="523" w:type="pct"/>
            <w:shd w:val="clear" w:color="auto" w:fill="FFFFFF" w:themeFill="background1"/>
            <w:vAlign w:val="center"/>
          </w:tcPr>
          <w:p w14:paraId="2F59276C" w14:textId="0C71B68A" w:rsidR="00CC6ACA" w:rsidRPr="004967A6" w:rsidRDefault="00CC6ACA" w:rsidP="009E2086">
            <w:pPr>
              <w:pStyle w:val="Tabletext"/>
              <w:rPr>
                <w:sz w:val="20"/>
                <w:lang w:val="en-US" w:eastAsia="zh-CN"/>
              </w:rPr>
            </w:pPr>
            <w:r w:rsidRPr="004967A6">
              <w:rPr>
                <w:sz w:val="20"/>
                <w:lang w:eastAsia="zh-CN"/>
              </w:rPr>
              <w:t xml:space="preserve">Performance </w:t>
            </w:r>
            <w:r w:rsidR="00185778" w:rsidRPr="004967A6">
              <w:rPr>
                <w:sz w:val="20"/>
                <w:lang w:eastAsia="zh-CN"/>
              </w:rPr>
              <w:t>management</w:t>
            </w:r>
          </w:p>
        </w:tc>
        <w:tc>
          <w:tcPr>
            <w:tcW w:w="1759" w:type="pct"/>
            <w:shd w:val="clear" w:color="auto" w:fill="FFFFFF" w:themeFill="background1"/>
            <w:vAlign w:val="center"/>
            <w:hideMark/>
          </w:tcPr>
          <w:p w14:paraId="0A4A1462" w14:textId="69B9A79E" w:rsidR="00CC6ACA" w:rsidRPr="004967A6" w:rsidRDefault="00C17E52" w:rsidP="00251187">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Compliance rates</w:t>
            </w:r>
          </w:p>
          <w:p w14:paraId="56FCA547" w14:textId="40F57ADD" w:rsidR="00CC6ACA" w:rsidRPr="004967A6" w:rsidRDefault="00C17E52" w:rsidP="00251187">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 xml:space="preserve">Number of performing vs. </w:t>
            </w:r>
            <w:r w:rsidR="00CC6ACA" w:rsidRPr="004967A6">
              <w:rPr>
                <w:sz w:val="20"/>
                <w:lang w:val="en-US" w:eastAsia="zh-CN"/>
              </w:rPr>
              <w:t>under</w:t>
            </w:r>
            <w:r w:rsidR="00CC6ACA" w:rsidRPr="004967A6">
              <w:rPr>
                <w:sz w:val="20"/>
                <w:lang w:val="en-US"/>
              </w:rPr>
              <w:t>performing staff</w:t>
            </w:r>
          </w:p>
        </w:tc>
        <w:tc>
          <w:tcPr>
            <w:tcW w:w="2511" w:type="pct"/>
            <w:vAlign w:val="center"/>
          </w:tcPr>
          <w:p w14:paraId="355D7F0B" w14:textId="4A6EB769" w:rsidR="00CC6ACA" w:rsidRPr="004967A6" w:rsidRDefault="00CC6ACA" w:rsidP="009E2086">
            <w:pPr>
              <w:pStyle w:val="Tabletext"/>
              <w:rPr>
                <w:rFonts w:eastAsia="Malgun Gothic"/>
                <w:sz w:val="20"/>
                <w:lang w:val="en-US" w:eastAsia="ko-KR"/>
              </w:rPr>
            </w:pPr>
            <w:r w:rsidRPr="004967A6">
              <w:rPr>
                <w:sz w:val="20"/>
                <w:lang w:val="en-US" w:eastAsia="zh-CN"/>
              </w:rPr>
              <w:t>90.1</w:t>
            </w:r>
            <w:r w:rsidRPr="004967A6">
              <w:rPr>
                <w:sz w:val="20"/>
                <w:lang w:val="en-US"/>
              </w:rPr>
              <w:t xml:space="preserve">% of ITU staff members have </w:t>
            </w:r>
            <w:r w:rsidRPr="004967A6">
              <w:rPr>
                <w:sz w:val="20"/>
                <w:lang w:val="en-US" w:eastAsia="zh-CN"/>
              </w:rPr>
              <w:t>completed</w:t>
            </w:r>
            <w:r w:rsidRPr="004967A6">
              <w:rPr>
                <w:sz w:val="20"/>
                <w:lang w:val="en-US"/>
              </w:rPr>
              <w:t xml:space="preserve"> their 202</w:t>
            </w:r>
            <w:r w:rsidRPr="004967A6">
              <w:rPr>
                <w:sz w:val="20"/>
                <w:lang w:val="en-US" w:eastAsia="zh-CN"/>
              </w:rPr>
              <w:t>5</w:t>
            </w:r>
            <w:r w:rsidRPr="004967A6">
              <w:rPr>
                <w:sz w:val="20"/>
                <w:lang w:val="en-US"/>
              </w:rPr>
              <w:t xml:space="preserve"> Work</w:t>
            </w:r>
            <w:r w:rsidR="00251187" w:rsidRPr="004967A6">
              <w:rPr>
                <w:sz w:val="20"/>
                <w:lang w:val="en-US"/>
              </w:rPr>
              <w:t xml:space="preserve"> </w:t>
            </w:r>
            <w:r w:rsidRPr="004967A6">
              <w:rPr>
                <w:sz w:val="20"/>
                <w:lang w:val="en-US"/>
              </w:rPr>
              <w:t>plan Setting phase for ePMDS</w:t>
            </w:r>
            <w:r w:rsidRPr="004967A6">
              <w:rPr>
                <w:rFonts w:eastAsia="Malgun Gothic"/>
                <w:sz w:val="20"/>
                <w:lang w:val="en-US" w:eastAsia="ko-KR"/>
              </w:rPr>
              <w:t xml:space="preserve"> and 78.6% have completed the ongoing </w:t>
            </w:r>
            <w:r w:rsidR="003D75DD" w:rsidRPr="004967A6">
              <w:rPr>
                <w:rFonts w:eastAsia="Malgun Gothic"/>
                <w:sz w:val="20"/>
                <w:lang w:val="en-US" w:eastAsia="ko-KR"/>
              </w:rPr>
              <w:t xml:space="preserve">end-year evaluation </w:t>
            </w:r>
            <w:r w:rsidRPr="004967A6">
              <w:rPr>
                <w:rFonts w:eastAsia="Malgun Gothic"/>
                <w:sz w:val="20"/>
                <w:lang w:val="en-US" w:eastAsia="ko-KR"/>
              </w:rPr>
              <w:t>phase (staff on long</w:t>
            </w:r>
            <w:r w:rsidR="00CA043C">
              <w:rPr>
                <w:rFonts w:eastAsia="Malgun Gothic"/>
                <w:sz w:val="20"/>
                <w:lang w:val="en-US" w:eastAsia="ko-KR"/>
              </w:rPr>
              <w:t>-</w:t>
            </w:r>
            <w:r w:rsidRPr="004967A6">
              <w:rPr>
                <w:rFonts w:eastAsia="Malgun Gothic"/>
                <w:sz w:val="20"/>
                <w:lang w:val="en-US" w:eastAsia="ko-KR"/>
              </w:rPr>
              <w:t>term sick leave excluded)</w:t>
            </w:r>
            <w:r w:rsidRPr="004967A6">
              <w:rPr>
                <w:sz w:val="20"/>
                <w:lang w:val="en-US" w:eastAsia="zh-CN"/>
              </w:rPr>
              <w:t>.</w:t>
            </w:r>
          </w:p>
          <w:p w14:paraId="5EDF9233" w14:textId="77777777" w:rsidR="00CC6ACA" w:rsidRPr="004967A6" w:rsidRDefault="00CC6ACA" w:rsidP="009E2086">
            <w:pPr>
              <w:pStyle w:val="Tabletext"/>
              <w:rPr>
                <w:sz w:val="20"/>
                <w:lang w:val="en-US" w:eastAsia="zh-CN"/>
              </w:rPr>
            </w:pPr>
            <w:r w:rsidRPr="004967A6">
              <w:rPr>
                <w:sz w:val="20"/>
                <w:lang w:val="en-US" w:eastAsia="zh-CN"/>
              </w:rPr>
              <w:t>6</w:t>
            </w:r>
            <w:r w:rsidRPr="004967A6">
              <w:rPr>
                <w:sz w:val="20"/>
                <w:lang w:val="en-US"/>
              </w:rPr>
              <w:t xml:space="preserve"> training sessions on performance management have been delivered to managers and staff </w:t>
            </w:r>
            <w:r w:rsidRPr="004967A6">
              <w:rPr>
                <w:sz w:val="20"/>
                <w:lang w:val="en-US" w:eastAsia="zh-CN"/>
              </w:rPr>
              <w:t>across the Union</w:t>
            </w:r>
            <w:r w:rsidRPr="004967A6">
              <w:rPr>
                <w:sz w:val="20"/>
                <w:lang w:val="en-US"/>
              </w:rPr>
              <w:t xml:space="preserve">. </w:t>
            </w:r>
          </w:p>
        </w:tc>
      </w:tr>
      <w:tr w:rsidR="00CC6ACA" w:rsidRPr="00917736" w14:paraId="65B400A2" w14:textId="77777777" w:rsidTr="6E86A8A3">
        <w:trPr>
          <w:trHeight w:val="549"/>
          <w:jc w:val="center"/>
        </w:trPr>
        <w:tc>
          <w:tcPr>
            <w:tcW w:w="207" w:type="pct"/>
            <w:shd w:val="clear" w:color="auto" w:fill="FFFFFF" w:themeFill="background1"/>
            <w:vAlign w:val="center"/>
          </w:tcPr>
          <w:p w14:paraId="793D912B" w14:textId="77777777" w:rsidR="00CC6ACA" w:rsidRPr="004967A6" w:rsidRDefault="00CC6ACA" w:rsidP="000027F9">
            <w:pPr>
              <w:pStyle w:val="Tabletext"/>
              <w:jc w:val="center"/>
              <w:rPr>
                <w:b/>
                <w:sz w:val="20"/>
                <w:lang w:val="en-US" w:eastAsia="zh-CN"/>
              </w:rPr>
            </w:pPr>
            <w:r w:rsidRPr="004967A6">
              <w:rPr>
                <w:rFonts w:hint="eastAsia"/>
                <w:b/>
                <w:sz w:val="20"/>
                <w:lang w:val="en-US" w:eastAsia="zh-CN"/>
              </w:rPr>
              <w:t>8</w:t>
            </w:r>
          </w:p>
        </w:tc>
        <w:tc>
          <w:tcPr>
            <w:tcW w:w="523" w:type="pct"/>
            <w:shd w:val="clear" w:color="auto" w:fill="FFFFFF" w:themeFill="background1"/>
            <w:vAlign w:val="center"/>
          </w:tcPr>
          <w:p w14:paraId="49F70CC4" w14:textId="008BAE00" w:rsidR="00CC6ACA" w:rsidRPr="004967A6" w:rsidRDefault="00CC6ACA" w:rsidP="009E2086">
            <w:pPr>
              <w:pStyle w:val="Tabletext"/>
              <w:rPr>
                <w:sz w:val="20"/>
                <w:lang w:eastAsia="zh-CN"/>
              </w:rPr>
            </w:pPr>
            <w:r w:rsidRPr="004967A6">
              <w:rPr>
                <w:sz w:val="20"/>
                <w:lang w:eastAsia="zh-CN"/>
              </w:rPr>
              <w:t xml:space="preserve">Performance </w:t>
            </w:r>
            <w:r w:rsidR="00185778" w:rsidRPr="004967A6">
              <w:rPr>
                <w:sz w:val="20"/>
                <w:lang w:eastAsia="zh-CN"/>
              </w:rPr>
              <w:t>management</w:t>
            </w:r>
          </w:p>
        </w:tc>
        <w:tc>
          <w:tcPr>
            <w:tcW w:w="1759" w:type="pct"/>
            <w:shd w:val="clear" w:color="auto" w:fill="FFFFFF" w:themeFill="background1"/>
            <w:vAlign w:val="center"/>
          </w:tcPr>
          <w:p w14:paraId="25B195A5" w14:textId="7B236256" w:rsidR="00CC6ACA" w:rsidRPr="004967A6" w:rsidRDefault="00C17E52" w:rsidP="00251187">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rPr>
              <w:t>ePMDS efficiency improvement</w:t>
            </w:r>
          </w:p>
        </w:tc>
        <w:tc>
          <w:tcPr>
            <w:tcW w:w="2511" w:type="pct"/>
            <w:vAlign w:val="center"/>
          </w:tcPr>
          <w:p w14:paraId="28C697A3" w14:textId="77777777" w:rsidR="00CC6ACA" w:rsidRPr="004967A6" w:rsidRDefault="00CC6ACA" w:rsidP="009E2086">
            <w:pPr>
              <w:pStyle w:val="Tabletext"/>
              <w:rPr>
                <w:sz w:val="20"/>
                <w:lang w:val="en-US" w:eastAsia="zh-CN"/>
              </w:rPr>
            </w:pPr>
            <w:r w:rsidRPr="004967A6">
              <w:rPr>
                <w:sz w:val="20"/>
                <w:lang w:eastAsia="zh-CN"/>
              </w:rPr>
              <w:t>Time spent by supervisors on performance evaluations reduced by at least 50% through the simplified tool.</w:t>
            </w:r>
          </w:p>
        </w:tc>
      </w:tr>
      <w:tr w:rsidR="00CC6ACA" w:rsidRPr="00917736" w14:paraId="5F7D33B1" w14:textId="77777777" w:rsidTr="6E86A8A3">
        <w:trPr>
          <w:trHeight w:val="448"/>
          <w:jc w:val="center"/>
        </w:trPr>
        <w:tc>
          <w:tcPr>
            <w:tcW w:w="207" w:type="pct"/>
            <w:shd w:val="clear" w:color="auto" w:fill="FFFFFF" w:themeFill="background1"/>
            <w:vAlign w:val="center"/>
          </w:tcPr>
          <w:p w14:paraId="45893E70" w14:textId="77777777" w:rsidR="00CC6ACA" w:rsidRPr="004967A6" w:rsidRDefault="00CC6ACA" w:rsidP="000027F9">
            <w:pPr>
              <w:pStyle w:val="Tabletext"/>
              <w:jc w:val="center"/>
              <w:rPr>
                <w:b/>
                <w:sz w:val="20"/>
                <w:lang w:val="en-US" w:eastAsia="zh-CN"/>
              </w:rPr>
            </w:pPr>
            <w:r w:rsidRPr="004967A6">
              <w:rPr>
                <w:rFonts w:hint="eastAsia"/>
                <w:b/>
                <w:sz w:val="20"/>
                <w:lang w:val="en-US" w:eastAsia="zh-CN"/>
              </w:rPr>
              <w:t>9</w:t>
            </w:r>
          </w:p>
        </w:tc>
        <w:tc>
          <w:tcPr>
            <w:tcW w:w="523" w:type="pct"/>
            <w:shd w:val="clear" w:color="auto" w:fill="FFFFFF" w:themeFill="background1"/>
            <w:vAlign w:val="center"/>
          </w:tcPr>
          <w:p w14:paraId="3D2D24A1" w14:textId="75082C00" w:rsidR="00CC6ACA" w:rsidRPr="004967A6" w:rsidRDefault="00CC6ACA" w:rsidP="009E2086">
            <w:pPr>
              <w:pStyle w:val="Tabletext"/>
              <w:rPr>
                <w:sz w:val="20"/>
                <w:lang w:eastAsia="zh-CN"/>
              </w:rPr>
            </w:pPr>
            <w:r w:rsidRPr="004967A6">
              <w:rPr>
                <w:sz w:val="20"/>
                <w:lang w:eastAsia="zh-CN"/>
              </w:rPr>
              <w:t xml:space="preserve">Performance </w:t>
            </w:r>
            <w:r w:rsidR="00185778" w:rsidRPr="004967A6">
              <w:rPr>
                <w:sz w:val="20"/>
                <w:lang w:eastAsia="zh-CN"/>
              </w:rPr>
              <w:t>management</w:t>
            </w:r>
          </w:p>
        </w:tc>
        <w:tc>
          <w:tcPr>
            <w:tcW w:w="1759" w:type="pct"/>
            <w:shd w:val="clear" w:color="auto" w:fill="FFFFFF" w:themeFill="background1"/>
            <w:vAlign w:val="center"/>
          </w:tcPr>
          <w:p w14:paraId="07E31B72" w14:textId="54D5ABCC" w:rsidR="00CC6ACA" w:rsidRPr="004967A6" w:rsidRDefault="00C17E52" w:rsidP="00251187">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 reduction in</w:t>
            </w:r>
            <w:r w:rsidR="00CC6ACA" w:rsidRPr="004967A6">
              <w:rPr>
                <w:sz w:val="20"/>
                <w:lang w:val="en-US" w:eastAsia="zh-CN"/>
              </w:rPr>
              <w:t xml:space="preserve"> </w:t>
            </w:r>
            <w:r w:rsidR="00CC6ACA" w:rsidRPr="004967A6">
              <w:rPr>
                <w:sz w:val="20"/>
                <w:lang w:val="en-US"/>
              </w:rPr>
              <w:t>performance-related queries</w:t>
            </w:r>
          </w:p>
        </w:tc>
        <w:tc>
          <w:tcPr>
            <w:tcW w:w="2511" w:type="pct"/>
            <w:vAlign w:val="center"/>
          </w:tcPr>
          <w:p w14:paraId="2EA0878F" w14:textId="77777777" w:rsidR="00CC6ACA" w:rsidRPr="004967A6" w:rsidRDefault="00CC6ACA" w:rsidP="009E2086">
            <w:pPr>
              <w:pStyle w:val="Tabletext"/>
              <w:rPr>
                <w:sz w:val="20"/>
                <w:lang w:val="en-US" w:eastAsia="zh-CN"/>
              </w:rPr>
            </w:pPr>
            <w:r w:rsidRPr="004967A6">
              <w:rPr>
                <w:sz w:val="20"/>
                <w:lang w:val="en-US" w:eastAsia="zh-CN"/>
              </w:rPr>
              <w:t>System-related queries on end-year evaluations decreased by 26% compared to the previous year.</w:t>
            </w:r>
          </w:p>
        </w:tc>
      </w:tr>
      <w:tr w:rsidR="00CC6ACA" w:rsidRPr="00917736" w14:paraId="7EB37BD6" w14:textId="77777777" w:rsidTr="6E86A8A3">
        <w:trPr>
          <w:trHeight w:val="400"/>
          <w:jc w:val="center"/>
        </w:trPr>
        <w:tc>
          <w:tcPr>
            <w:tcW w:w="207" w:type="pct"/>
            <w:shd w:val="clear" w:color="auto" w:fill="FFFFFF" w:themeFill="background1"/>
            <w:vAlign w:val="center"/>
          </w:tcPr>
          <w:p w14:paraId="6134F6B9" w14:textId="77777777" w:rsidR="00CC6ACA" w:rsidRPr="004967A6" w:rsidRDefault="00CC6ACA" w:rsidP="00CB1E21">
            <w:pPr>
              <w:pStyle w:val="Tabletext"/>
              <w:keepLines/>
              <w:jc w:val="center"/>
              <w:rPr>
                <w:b/>
                <w:sz w:val="20"/>
                <w:lang w:val="en-US" w:eastAsia="zh-CN"/>
              </w:rPr>
            </w:pPr>
            <w:r w:rsidRPr="004967A6">
              <w:rPr>
                <w:rFonts w:hint="eastAsia"/>
                <w:b/>
                <w:sz w:val="20"/>
                <w:lang w:val="en-US" w:eastAsia="zh-CN"/>
              </w:rPr>
              <w:lastRenderedPageBreak/>
              <w:t>10</w:t>
            </w:r>
          </w:p>
        </w:tc>
        <w:tc>
          <w:tcPr>
            <w:tcW w:w="523" w:type="pct"/>
            <w:shd w:val="clear" w:color="auto" w:fill="FFFFFF" w:themeFill="background1"/>
            <w:vAlign w:val="center"/>
          </w:tcPr>
          <w:p w14:paraId="47EA06DA" w14:textId="14CCE459" w:rsidR="00CC6ACA" w:rsidRPr="004967A6" w:rsidRDefault="00185778" w:rsidP="00CB1E21">
            <w:pPr>
              <w:pStyle w:val="Tabletext"/>
              <w:keepLines/>
              <w:rPr>
                <w:sz w:val="20"/>
                <w:lang w:eastAsia="zh-CN"/>
              </w:rPr>
            </w:pPr>
            <w:r w:rsidRPr="004967A6">
              <w:rPr>
                <w:sz w:val="20"/>
                <w:lang w:eastAsia="zh-CN"/>
              </w:rPr>
              <w:t>learning and development</w:t>
            </w:r>
          </w:p>
        </w:tc>
        <w:tc>
          <w:tcPr>
            <w:tcW w:w="1759" w:type="pct"/>
            <w:shd w:val="clear" w:color="auto" w:fill="FFFFFF" w:themeFill="background1"/>
            <w:vAlign w:val="center"/>
          </w:tcPr>
          <w:p w14:paraId="7815A565" w14:textId="30F10104" w:rsidR="00CC6ACA" w:rsidRPr="004967A6" w:rsidRDefault="00C17E52" w:rsidP="00CB1E21">
            <w:pPr>
              <w:pStyle w:val="Tabletext"/>
              <w:keepLines/>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Training investment as % of staff cost (target = 3%)</w:t>
            </w:r>
          </w:p>
        </w:tc>
        <w:tc>
          <w:tcPr>
            <w:tcW w:w="2511" w:type="pct"/>
            <w:vAlign w:val="center"/>
          </w:tcPr>
          <w:p w14:paraId="7177097A" w14:textId="77777777" w:rsidR="00CC6ACA" w:rsidRPr="004967A6" w:rsidRDefault="00CC6ACA" w:rsidP="00CB1E21">
            <w:pPr>
              <w:pStyle w:val="Tabletext"/>
              <w:keepLines/>
              <w:rPr>
                <w:sz w:val="20"/>
                <w:lang w:val="en-US" w:eastAsia="zh-CN"/>
              </w:rPr>
            </w:pPr>
            <w:r w:rsidRPr="004967A6">
              <w:rPr>
                <w:sz w:val="20"/>
                <w:lang w:val="en-US"/>
              </w:rPr>
              <w:t xml:space="preserve">Training investment </w:t>
            </w:r>
            <w:r w:rsidRPr="004967A6">
              <w:rPr>
                <w:sz w:val="20"/>
              </w:rPr>
              <w:t>represents</w:t>
            </w:r>
            <w:r w:rsidRPr="004967A6">
              <w:rPr>
                <w:sz w:val="20"/>
                <w:lang w:val="en-US"/>
              </w:rPr>
              <w:t xml:space="preserve"> 0.3% of staff cost</w:t>
            </w:r>
            <w:r w:rsidRPr="004967A6">
              <w:rPr>
                <w:sz w:val="20"/>
                <w:lang w:val="en-US" w:eastAsia="zh-CN"/>
              </w:rPr>
              <w:t>.</w:t>
            </w:r>
            <w:r w:rsidRPr="004967A6">
              <w:rPr>
                <w:sz w:val="20"/>
              </w:rPr>
              <w:t xml:space="preserve"> </w:t>
            </w:r>
            <w:r w:rsidRPr="004967A6">
              <w:rPr>
                <w:sz w:val="20"/>
                <w:lang w:eastAsia="zh-CN"/>
              </w:rPr>
              <w:t>Noting that ITU avails itself of training delivered by ITU staff and pro bono resources. ITU leverages self-paced learning resources made available through our licensing agreements with platforms such as LinkedIn Learning, which provide scalable and cost-effective access to high-quality content. ITU also capitalizes on in-house expertise as well as UN-to-UN collaboration to promote knowledge exchange and drive efficiencies across the UN system.</w:t>
            </w:r>
          </w:p>
        </w:tc>
      </w:tr>
      <w:tr w:rsidR="00CC6ACA" w:rsidRPr="00917736" w14:paraId="747218B5" w14:textId="77777777" w:rsidTr="6E86A8A3">
        <w:trPr>
          <w:trHeight w:val="579"/>
          <w:jc w:val="center"/>
        </w:trPr>
        <w:tc>
          <w:tcPr>
            <w:tcW w:w="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2BDF3" w14:textId="77777777" w:rsidR="00CC6ACA" w:rsidRPr="004967A6" w:rsidRDefault="00CC6ACA" w:rsidP="000027F9">
            <w:pPr>
              <w:pStyle w:val="Tabletext"/>
              <w:jc w:val="center"/>
              <w:rPr>
                <w:b/>
                <w:sz w:val="20"/>
                <w:lang w:val="en-US"/>
              </w:rPr>
            </w:pPr>
            <w:r w:rsidRPr="004967A6">
              <w:rPr>
                <w:rFonts w:hint="eastAsia"/>
                <w:b/>
                <w:sz w:val="20"/>
                <w:lang w:val="en-US" w:eastAsia="zh-CN"/>
              </w:rPr>
              <w:t>11</w:t>
            </w:r>
          </w:p>
        </w:tc>
        <w:tc>
          <w:tcPr>
            <w:tcW w:w="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DDAD5" w14:textId="2BE5A247" w:rsidR="00CC6ACA" w:rsidRPr="004967A6" w:rsidRDefault="00185778" w:rsidP="009E2086">
            <w:pPr>
              <w:pStyle w:val="Tabletext"/>
              <w:rPr>
                <w:sz w:val="20"/>
                <w:lang w:val="en-US"/>
              </w:rPr>
            </w:pPr>
            <w:r w:rsidRPr="004967A6">
              <w:rPr>
                <w:sz w:val="20"/>
                <w:lang w:eastAsia="zh-CN"/>
              </w:rPr>
              <w:t>Learning and development</w:t>
            </w:r>
          </w:p>
        </w:tc>
        <w:tc>
          <w:tcPr>
            <w:tcW w:w="17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A10920" w14:textId="707EC520" w:rsidR="00CC6ACA" w:rsidRPr="004967A6" w:rsidRDefault="00C17E52" w:rsidP="000027F9">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eastAsia="zh-CN"/>
              </w:rPr>
              <w:t xml:space="preserve">Number </w:t>
            </w:r>
            <w:r w:rsidR="00CC6ACA" w:rsidRPr="004967A6">
              <w:rPr>
                <w:sz w:val="20"/>
              </w:rPr>
              <w:t>of leadership development programmes offered</w:t>
            </w:r>
          </w:p>
          <w:p w14:paraId="27E7F242" w14:textId="116249F8" w:rsidR="00CC6ACA" w:rsidRPr="004967A6" w:rsidRDefault="00C17E52" w:rsidP="000027F9">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Number of participants in the Leadership</w:t>
            </w:r>
            <w:r w:rsidR="00CC6ACA" w:rsidRPr="004967A6">
              <w:rPr>
                <w:sz w:val="20"/>
                <w:lang w:val="en-US" w:eastAsia="zh-CN"/>
              </w:rPr>
              <w:t xml:space="preserve"> development </w:t>
            </w:r>
            <w:r w:rsidR="00CC6ACA" w:rsidRPr="004967A6">
              <w:rPr>
                <w:sz w:val="20"/>
                <w:lang w:val="en-US"/>
              </w:rPr>
              <w:t>Programme</w:t>
            </w:r>
          </w:p>
        </w:tc>
        <w:tc>
          <w:tcPr>
            <w:tcW w:w="2511" w:type="pct"/>
            <w:tcBorders>
              <w:top w:val="single" w:sz="4" w:space="0" w:color="auto"/>
              <w:left w:val="single" w:sz="4" w:space="0" w:color="auto"/>
              <w:bottom w:val="single" w:sz="4" w:space="0" w:color="auto"/>
              <w:right w:val="single" w:sz="4" w:space="0" w:color="auto"/>
            </w:tcBorders>
            <w:vAlign w:val="center"/>
          </w:tcPr>
          <w:p w14:paraId="08459B75" w14:textId="77777777" w:rsidR="00CC6ACA" w:rsidRPr="004967A6" w:rsidRDefault="00CC6ACA" w:rsidP="009E2086">
            <w:pPr>
              <w:pStyle w:val="Tabletext"/>
              <w:rPr>
                <w:sz w:val="20"/>
                <w:lang w:val="en-US" w:eastAsia="zh-CN"/>
              </w:rPr>
            </w:pPr>
            <w:r w:rsidRPr="004967A6">
              <w:rPr>
                <w:sz w:val="20"/>
              </w:rPr>
              <w:t>Comprehensive Leadership Development Programme comprising</w:t>
            </w:r>
            <w:r w:rsidRPr="004967A6">
              <w:rPr>
                <w:rFonts w:hint="eastAsia"/>
                <w:sz w:val="20"/>
                <w:lang w:eastAsia="zh-CN"/>
              </w:rPr>
              <w:t xml:space="preserve"> </w:t>
            </w:r>
            <w:r w:rsidRPr="004967A6">
              <w:rPr>
                <w:sz w:val="20"/>
              </w:rPr>
              <w:t>several leadership initiatives, as follows</w:t>
            </w:r>
            <w:r w:rsidRPr="004967A6">
              <w:rPr>
                <w:sz w:val="20"/>
                <w:lang w:eastAsia="zh-CN"/>
              </w:rPr>
              <w:t>:</w:t>
            </w:r>
          </w:p>
          <w:p w14:paraId="716983EF" w14:textId="35CC80C6" w:rsidR="00CC6ACA" w:rsidRPr="004967A6" w:rsidRDefault="00CC6ACA" w:rsidP="009E2086">
            <w:pPr>
              <w:pStyle w:val="Tabletext"/>
              <w:rPr>
                <w:sz w:val="20"/>
                <w:lang w:eastAsia="zh-CN"/>
              </w:rPr>
            </w:pPr>
            <w:r w:rsidRPr="004967A6">
              <w:rPr>
                <w:sz w:val="20"/>
                <w:lang w:eastAsia="zh-CN"/>
              </w:rPr>
              <w:t>1</w:t>
            </w:r>
            <w:r w:rsidR="000027F9" w:rsidRPr="004967A6">
              <w:rPr>
                <w:sz w:val="20"/>
                <w:lang w:eastAsia="zh-CN"/>
              </w:rPr>
              <w:tab/>
            </w:r>
            <w:r w:rsidRPr="004967A6">
              <w:rPr>
                <w:sz w:val="20"/>
                <w:lang w:eastAsia="zh-CN"/>
              </w:rPr>
              <w:t>Inclusive Leadership programme (structured in three sessions: Managing Bias, Identify and Microaggressions; Fostering Psychological Safety: Open &amp; Inclusive Environment; Advancing Gender and Racial Equity and Inclusion) for P5 and above.</w:t>
            </w:r>
          </w:p>
          <w:p w14:paraId="77F75D02" w14:textId="542A1BB7" w:rsidR="00CC6ACA" w:rsidRPr="004967A6" w:rsidRDefault="00CC6ACA" w:rsidP="009E2086">
            <w:pPr>
              <w:pStyle w:val="Tabletext"/>
              <w:rPr>
                <w:sz w:val="20"/>
                <w:lang w:eastAsia="zh-CN"/>
              </w:rPr>
            </w:pPr>
            <w:r w:rsidRPr="004967A6">
              <w:rPr>
                <w:sz w:val="20"/>
                <w:lang w:eastAsia="zh-CN"/>
              </w:rPr>
              <w:t>2</w:t>
            </w:r>
            <w:r w:rsidR="000027F9" w:rsidRPr="004967A6">
              <w:rPr>
                <w:sz w:val="20"/>
                <w:lang w:eastAsia="zh-CN"/>
              </w:rPr>
              <w:tab/>
            </w:r>
            <w:r w:rsidRPr="004967A6">
              <w:rPr>
                <w:sz w:val="20"/>
                <w:lang w:eastAsia="zh-CN"/>
              </w:rPr>
              <w:t>Adaptive Leadership programme, including the following components:</w:t>
            </w:r>
          </w:p>
          <w:p w14:paraId="67B81939" w14:textId="00C3576D" w:rsidR="00CC6ACA" w:rsidRPr="004967A6" w:rsidRDefault="00C17E52" w:rsidP="000027F9">
            <w:pPr>
              <w:pStyle w:val="Tabletext"/>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Adaptive Leadership Workshop for Senior Management Team</w:t>
            </w:r>
          </w:p>
          <w:p w14:paraId="1CAC9785" w14:textId="282D1090" w:rsidR="00CC6ACA" w:rsidRPr="004967A6" w:rsidRDefault="00C17E52" w:rsidP="000027F9">
            <w:pPr>
              <w:pStyle w:val="Tabletext"/>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 xml:space="preserve">Adaptive Leadership workshops and peer-to-peer consulting sessions for the group of ITU ChangeMakers </w:t>
            </w:r>
          </w:p>
          <w:p w14:paraId="243D8DCE" w14:textId="6840407C" w:rsidR="00CC6ACA" w:rsidRPr="004967A6" w:rsidRDefault="00C17E52" w:rsidP="000027F9">
            <w:pPr>
              <w:pStyle w:val="Tabletext"/>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Adaptive Leadership workshop for P5 and above</w:t>
            </w:r>
          </w:p>
          <w:p w14:paraId="6875CC0F" w14:textId="7DC63B0F" w:rsidR="00CC6ACA" w:rsidRPr="004967A6" w:rsidRDefault="00C17E52" w:rsidP="000027F9">
            <w:pPr>
              <w:pStyle w:val="Tabletext"/>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Adaptive Leadership workshop for P4</w:t>
            </w:r>
          </w:p>
          <w:p w14:paraId="0A224C72" w14:textId="745F4796" w:rsidR="00CC6ACA" w:rsidRPr="004967A6" w:rsidRDefault="00C17E52" w:rsidP="000027F9">
            <w:pPr>
              <w:pStyle w:val="Tabletext"/>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Advanced</w:t>
            </w:r>
            <w:r w:rsidR="00CB1E21">
              <w:rPr>
                <w:sz w:val="20"/>
                <w:lang w:eastAsia="zh-CN"/>
              </w:rPr>
              <w:t xml:space="preserve"> </w:t>
            </w:r>
            <w:r w:rsidR="00CC6ACA" w:rsidRPr="004967A6">
              <w:rPr>
                <w:sz w:val="20"/>
                <w:lang w:eastAsia="zh-CN"/>
              </w:rPr>
              <w:t>Adaptive</w:t>
            </w:r>
            <w:r w:rsidR="00CB1E21">
              <w:rPr>
                <w:sz w:val="20"/>
                <w:lang w:eastAsia="zh-CN"/>
              </w:rPr>
              <w:t xml:space="preserve"> </w:t>
            </w:r>
            <w:r w:rsidR="00CC6ACA" w:rsidRPr="004967A6">
              <w:rPr>
                <w:sz w:val="20"/>
                <w:lang w:eastAsia="zh-CN"/>
              </w:rPr>
              <w:t>Leadership</w:t>
            </w:r>
            <w:r w:rsidR="00CB1E21">
              <w:rPr>
                <w:sz w:val="20"/>
                <w:lang w:eastAsia="zh-CN"/>
              </w:rPr>
              <w:t xml:space="preserve"> </w:t>
            </w:r>
            <w:r w:rsidR="00CC6ACA" w:rsidRPr="004967A6">
              <w:rPr>
                <w:sz w:val="20"/>
                <w:lang w:eastAsia="zh-CN"/>
              </w:rPr>
              <w:t>Workshop</w:t>
            </w:r>
            <w:r w:rsidR="00CC6ACA" w:rsidRPr="004967A6">
              <w:rPr>
                <w:rFonts w:hint="eastAsia"/>
                <w:sz w:val="20"/>
                <w:lang w:eastAsia="zh-CN"/>
              </w:rPr>
              <w:t xml:space="preserve"> for Elected Officials</w:t>
            </w:r>
          </w:p>
          <w:p w14:paraId="60DB6197" w14:textId="2FCB9EFB" w:rsidR="00CC6ACA" w:rsidRPr="004967A6" w:rsidRDefault="00C17E52" w:rsidP="000027F9">
            <w:pPr>
              <w:pStyle w:val="Tabletext"/>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Advanced</w:t>
            </w:r>
            <w:r w:rsidR="00CB1E21">
              <w:rPr>
                <w:sz w:val="20"/>
                <w:lang w:eastAsia="zh-CN"/>
              </w:rPr>
              <w:t xml:space="preserve"> </w:t>
            </w:r>
            <w:r w:rsidR="00CC6ACA" w:rsidRPr="004967A6">
              <w:rPr>
                <w:sz w:val="20"/>
                <w:lang w:eastAsia="zh-CN"/>
              </w:rPr>
              <w:t>Adaptive</w:t>
            </w:r>
            <w:r w:rsidR="00CB1E21">
              <w:rPr>
                <w:sz w:val="20"/>
                <w:lang w:eastAsia="zh-CN"/>
              </w:rPr>
              <w:t xml:space="preserve"> </w:t>
            </w:r>
            <w:r w:rsidR="00CC6ACA" w:rsidRPr="004967A6">
              <w:rPr>
                <w:sz w:val="20"/>
                <w:lang w:eastAsia="zh-CN"/>
              </w:rPr>
              <w:t>Leadership</w:t>
            </w:r>
            <w:r w:rsidR="00CB1E21">
              <w:rPr>
                <w:sz w:val="20"/>
                <w:lang w:eastAsia="zh-CN"/>
              </w:rPr>
              <w:t xml:space="preserve"> </w:t>
            </w:r>
            <w:r w:rsidR="00CC6ACA" w:rsidRPr="004967A6">
              <w:rPr>
                <w:sz w:val="20"/>
                <w:lang w:eastAsia="zh-CN"/>
              </w:rPr>
              <w:t>Workshop</w:t>
            </w:r>
            <w:r w:rsidR="00CC6ACA" w:rsidRPr="004967A6">
              <w:rPr>
                <w:rFonts w:hint="eastAsia"/>
                <w:sz w:val="20"/>
                <w:lang w:eastAsia="zh-CN"/>
              </w:rPr>
              <w:t xml:space="preserve"> for</w:t>
            </w:r>
            <w:r w:rsidR="00CC6ACA" w:rsidRPr="004967A6">
              <w:rPr>
                <w:sz w:val="20"/>
                <w:lang w:eastAsia="zh-CN"/>
              </w:rPr>
              <w:t xml:space="preserve"> P4</w:t>
            </w:r>
            <w:r w:rsidR="00CC6ACA" w:rsidRPr="004967A6">
              <w:rPr>
                <w:rFonts w:hint="eastAsia"/>
                <w:sz w:val="20"/>
                <w:lang w:eastAsia="zh-CN"/>
              </w:rPr>
              <w:t xml:space="preserve"> and above and ITU </w:t>
            </w:r>
            <w:r w:rsidR="00CC6ACA" w:rsidRPr="004967A6">
              <w:rPr>
                <w:sz w:val="20"/>
                <w:lang w:eastAsia="zh-CN"/>
              </w:rPr>
              <w:t>ChangeMakers</w:t>
            </w:r>
          </w:p>
          <w:p w14:paraId="5B3BD630" w14:textId="1B480594" w:rsidR="00CC6ACA" w:rsidRPr="004967A6" w:rsidRDefault="00CC6ACA" w:rsidP="009E2086">
            <w:pPr>
              <w:pStyle w:val="Tabletext"/>
              <w:rPr>
                <w:sz w:val="20"/>
                <w:lang w:eastAsia="zh-CN"/>
              </w:rPr>
            </w:pPr>
            <w:r w:rsidRPr="004967A6">
              <w:rPr>
                <w:sz w:val="20"/>
                <w:lang w:eastAsia="zh-CN"/>
              </w:rPr>
              <w:t>3</w:t>
            </w:r>
            <w:r w:rsidR="000027F9" w:rsidRPr="004967A6">
              <w:rPr>
                <w:sz w:val="20"/>
                <w:lang w:eastAsia="zh-CN"/>
              </w:rPr>
              <w:tab/>
            </w:r>
            <w:r w:rsidRPr="004967A6">
              <w:rPr>
                <w:sz w:val="20"/>
                <w:lang w:eastAsia="zh-CN"/>
              </w:rPr>
              <w:t>Monthly consulting engagements and follow-up webinars</w:t>
            </w:r>
            <w:r w:rsidRPr="004967A6">
              <w:rPr>
                <w:rFonts w:hint="eastAsia"/>
                <w:sz w:val="20"/>
                <w:lang w:eastAsia="zh-CN"/>
              </w:rPr>
              <w:t xml:space="preserve"> </w:t>
            </w:r>
            <w:r w:rsidRPr="004967A6">
              <w:rPr>
                <w:sz w:val="20"/>
                <w:lang w:eastAsia="zh-CN"/>
              </w:rPr>
              <w:t>designed to deepen understanding and strengthen the practical application of adaptive leadership.</w:t>
            </w:r>
          </w:p>
          <w:p w14:paraId="68168B21" w14:textId="77777777" w:rsidR="00CC6ACA" w:rsidRPr="004967A6" w:rsidRDefault="00CC6ACA" w:rsidP="009E2086">
            <w:pPr>
              <w:pStyle w:val="Tabletext"/>
              <w:rPr>
                <w:sz w:val="20"/>
                <w:lang w:eastAsia="zh-CN"/>
              </w:rPr>
            </w:pPr>
            <w:r w:rsidRPr="004967A6">
              <w:rPr>
                <w:sz w:val="20"/>
                <w:lang w:eastAsia="zh-CN"/>
              </w:rPr>
              <w:t>Number of participants in the Leadership Development Programme:</w:t>
            </w:r>
          </w:p>
          <w:p w14:paraId="43E4649A" w14:textId="1A6B7AFA" w:rsidR="00CC6ACA" w:rsidRPr="004967A6" w:rsidRDefault="00CB1E21" w:rsidP="000027F9">
            <w:pPr>
              <w:pStyle w:val="Tabletext"/>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Inclusive Leadership programme: 50 % of P5 and above at ITU completed all three sessions</w:t>
            </w:r>
          </w:p>
          <w:p w14:paraId="2BF44C33" w14:textId="1088B3C0" w:rsidR="00CC6ACA" w:rsidRPr="004967A6" w:rsidRDefault="00CB1E21" w:rsidP="000027F9">
            <w:pPr>
              <w:pStyle w:val="Tabletext"/>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Adaptive Leadership workshops for ITU ChangeMakers: 29 participants</w:t>
            </w:r>
          </w:p>
          <w:p w14:paraId="561C1BB7" w14:textId="1ABEF765" w:rsidR="00CC6ACA" w:rsidRPr="004967A6" w:rsidRDefault="00CB1E21" w:rsidP="000027F9">
            <w:pPr>
              <w:pStyle w:val="Tabletext"/>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Adaptive Leadership workshop for P4 and above: 58 participants</w:t>
            </w:r>
          </w:p>
          <w:p w14:paraId="0F60177F" w14:textId="26B8CE63" w:rsidR="00CC6ACA" w:rsidRPr="004967A6" w:rsidRDefault="00CB1E21" w:rsidP="000027F9">
            <w:pPr>
              <w:pStyle w:val="Tabletext"/>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Advanced</w:t>
            </w:r>
            <w:r>
              <w:rPr>
                <w:sz w:val="20"/>
                <w:lang w:eastAsia="zh-CN"/>
              </w:rPr>
              <w:t xml:space="preserve"> </w:t>
            </w:r>
            <w:r w:rsidR="00CC6ACA" w:rsidRPr="004967A6">
              <w:rPr>
                <w:sz w:val="20"/>
                <w:lang w:eastAsia="zh-CN"/>
              </w:rPr>
              <w:t>Adaptive</w:t>
            </w:r>
            <w:r>
              <w:rPr>
                <w:sz w:val="20"/>
                <w:lang w:eastAsia="zh-CN"/>
              </w:rPr>
              <w:t xml:space="preserve"> </w:t>
            </w:r>
            <w:r w:rsidR="00CC6ACA" w:rsidRPr="004967A6">
              <w:rPr>
                <w:sz w:val="20"/>
                <w:lang w:eastAsia="zh-CN"/>
              </w:rPr>
              <w:t>Leadership</w:t>
            </w:r>
            <w:r>
              <w:rPr>
                <w:sz w:val="20"/>
                <w:lang w:eastAsia="zh-CN"/>
              </w:rPr>
              <w:t xml:space="preserve"> </w:t>
            </w:r>
            <w:r w:rsidR="00CC6ACA" w:rsidRPr="004967A6">
              <w:rPr>
                <w:sz w:val="20"/>
                <w:lang w:eastAsia="zh-CN"/>
              </w:rPr>
              <w:t>Workshop for P4</w:t>
            </w:r>
            <w:r w:rsidR="00CC6ACA" w:rsidRPr="004967A6">
              <w:rPr>
                <w:rFonts w:hint="eastAsia"/>
                <w:sz w:val="20"/>
                <w:lang w:eastAsia="zh-CN"/>
              </w:rPr>
              <w:t xml:space="preserve"> and above and ITU </w:t>
            </w:r>
            <w:r w:rsidR="00CC6ACA" w:rsidRPr="004967A6">
              <w:rPr>
                <w:sz w:val="20"/>
                <w:lang w:eastAsia="zh-CN"/>
              </w:rPr>
              <w:t xml:space="preserve">ChangeMakers: </w:t>
            </w:r>
            <w:r w:rsidR="00CC6ACA" w:rsidRPr="004967A6">
              <w:rPr>
                <w:rFonts w:hint="eastAsia"/>
                <w:sz w:val="20"/>
                <w:lang w:eastAsia="zh-CN"/>
              </w:rPr>
              <w:t>36</w:t>
            </w:r>
            <w:r w:rsidR="00CC6ACA" w:rsidRPr="004967A6">
              <w:rPr>
                <w:sz w:val="20"/>
                <w:lang w:eastAsia="zh-CN"/>
              </w:rPr>
              <w:t xml:space="preserve"> participants</w:t>
            </w:r>
          </w:p>
        </w:tc>
      </w:tr>
      <w:tr w:rsidR="00CC6ACA" w:rsidRPr="00917736" w14:paraId="372C9C08" w14:textId="77777777" w:rsidTr="6E86A8A3">
        <w:trPr>
          <w:trHeight w:val="412"/>
          <w:jc w:val="center"/>
        </w:trPr>
        <w:tc>
          <w:tcPr>
            <w:tcW w:w="207" w:type="pct"/>
            <w:vMerge w:val="restart"/>
            <w:shd w:val="clear" w:color="auto" w:fill="FFFFFF" w:themeFill="background1"/>
            <w:vAlign w:val="center"/>
          </w:tcPr>
          <w:p w14:paraId="7DF0CC3A" w14:textId="77777777" w:rsidR="00CC6ACA" w:rsidRPr="004967A6" w:rsidRDefault="00CC6ACA" w:rsidP="00CB1E21">
            <w:pPr>
              <w:pStyle w:val="Tabletext"/>
              <w:keepLines/>
              <w:jc w:val="center"/>
              <w:rPr>
                <w:b/>
                <w:sz w:val="20"/>
                <w:lang w:val="en-US"/>
              </w:rPr>
            </w:pPr>
            <w:r w:rsidRPr="004967A6">
              <w:rPr>
                <w:rFonts w:hint="eastAsia"/>
                <w:b/>
                <w:sz w:val="20"/>
                <w:lang w:val="en-US" w:eastAsia="zh-CN"/>
              </w:rPr>
              <w:lastRenderedPageBreak/>
              <w:t>12</w:t>
            </w:r>
          </w:p>
        </w:tc>
        <w:tc>
          <w:tcPr>
            <w:tcW w:w="523" w:type="pct"/>
            <w:vMerge w:val="restart"/>
            <w:shd w:val="clear" w:color="auto" w:fill="FFFFFF" w:themeFill="background1"/>
            <w:vAlign w:val="center"/>
          </w:tcPr>
          <w:p w14:paraId="19D7DA17" w14:textId="78E84D06" w:rsidR="00CC6ACA" w:rsidRPr="004967A6" w:rsidRDefault="00CC6ACA" w:rsidP="00CB1E21">
            <w:pPr>
              <w:pStyle w:val="Tabletext"/>
              <w:keepLines/>
              <w:rPr>
                <w:sz w:val="20"/>
                <w:lang w:val="en-US" w:eastAsia="zh-CN"/>
              </w:rPr>
            </w:pPr>
            <w:r w:rsidRPr="004967A6">
              <w:rPr>
                <w:rFonts w:hint="eastAsia"/>
                <w:sz w:val="20"/>
                <w:lang w:eastAsia="zh-CN"/>
              </w:rPr>
              <w:t xml:space="preserve">Learning and </w:t>
            </w:r>
            <w:r w:rsidR="00185778" w:rsidRPr="004967A6">
              <w:rPr>
                <w:sz w:val="20"/>
                <w:lang w:eastAsia="zh-CN"/>
              </w:rPr>
              <w:t>development</w:t>
            </w:r>
          </w:p>
        </w:tc>
        <w:tc>
          <w:tcPr>
            <w:tcW w:w="1759" w:type="pct"/>
            <w:shd w:val="clear" w:color="auto" w:fill="FFFFFF" w:themeFill="background1"/>
            <w:vAlign w:val="center"/>
            <w:hideMark/>
          </w:tcPr>
          <w:p w14:paraId="08D65224" w14:textId="49A85065" w:rsidR="00CC6ACA" w:rsidRPr="004967A6" w:rsidRDefault="00C17E52" w:rsidP="00CB1E21">
            <w:pPr>
              <w:pStyle w:val="Tabletext"/>
              <w:keepLines/>
              <w:ind w:left="284" w:hanging="284"/>
              <w:rPr>
                <w:sz w:val="20"/>
                <w:lang w:val="en-US"/>
              </w:rPr>
            </w:pPr>
            <w:r w:rsidRPr="004967A6">
              <w:rPr>
                <w:sz w:val="20"/>
                <w:lang w:val="en-US" w:bidi="en-US"/>
              </w:rPr>
              <w:t>–</w:t>
            </w:r>
            <w:r w:rsidRPr="004967A6">
              <w:rPr>
                <w:sz w:val="20"/>
                <w:lang w:val="en-US" w:bidi="en-US"/>
              </w:rPr>
              <w:tab/>
            </w:r>
            <w:r w:rsidR="00CC6ACA" w:rsidRPr="004967A6">
              <w:rPr>
                <w:sz w:val="20"/>
              </w:rPr>
              <w:t>% completion rate of mandatory trainings</w:t>
            </w:r>
          </w:p>
        </w:tc>
        <w:tc>
          <w:tcPr>
            <w:tcW w:w="2511" w:type="pct"/>
            <w:vAlign w:val="center"/>
          </w:tcPr>
          <w:p w14:paraId="2119E1E2" w14:textId="77777777" w:rsidR="00CC6ACA" w:rsidRPr="004967A6" w:rsidRDefault="00CC6ACA" w:rsidP="00CB1E21">
            <w:pPr>
              <w:pStyle w:val="Tabletext"/>
              <w:keepNext/>
              <w:keepLines/>
              <w:rPr>
                <w:rFonts w:eastAsia="Malgun Gothic"/>
                <w:sz w:val="20"/>
                <w:lang w:eastAsia="ko-KR"/>
              </w:rPr>
            </w:pPr>
            <w:r w:rsidRPr="004967A6">
              <w:rPr>
                <w:rFonts w:hint="eastAsia"/>
                <w:sz w:val="20"/>
                <w:lang w:eastAsia="zh-CN"/>
              </w:rPr>
              <w:t>C</w:t>
            </w:r>
            <w:r w:rsidRPr="004967A6">
              <w:rPr>
                <w:sz w:val="20"/>
              </w:rPr>
              <w:t xml:space="preserve">ompletion rate </w:t>
            </w:r>
            <w:r w:rsidRPr="004967A6">
              <w:rPr>
                <w:rFonts w:hint="eastAsia"/>
                <w:sz w:val="20"/>
                <w:lang w:eastAsia="zh-CN"/>
              </w:rPr>
              <w:t>for</w:t>
            </w:r>
            <w:r w:rsidRPr="004967A6">
              <w:rPr>
                <w:sz w:val="20"/>
              </w:rPr>
              <w:t xml:space="preserve"> each mandatory training</w:t>
            </w:r>
            <w:r w:rsidRPr="004967A6">
              <w:rPr>
                <w:rFonts w:hint="eastAsia"/>
                <w:sz w:val="20"/>
                <w:lang w:eastAsia="zh-CN"/>
              </w:rPr>
              <w:t xml:space="preserve"> course</w:t>
            </w:r>
            <w:r w:rsidRPr="004967A6">
              <w:rPr>
                <w:sz w:val="20"/>
                <w:lang w:eastAsia="zh-CN"/>
              </w:rPr>
              <w:t>:</w:t>
            </w:r>
          </w:p>
          <w:p w14:paraId="78FB546B" w14:textId="30E43B67" w:rsidR="00CC6ACA" w:rsidRPr="004967A6" w:rsidRDefault="00C17E52" w:rsidP="00CB1E21">
            <w:pPr>
              <w:pStyle w:val="Tabletext"/>
              <w:keepLines/>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Cybersecurity Awareness Essentials Course: 7</w:t>
            </w:r>
            <w:r w:rsidR="00CC6ACA" w:rsidRPr="004967A6">
              <w:rPr>
                <w:rFonts w:hint="eastAsia"/>
                <w:sz w:val="20"/>
                <w:lang w:eastAsia="zh-CN"/>
              </w:rPr>
              <w:t>4</w:t>
            </w:r>
            <w:r w:rsidR="00CC6ACA" w:rsidRPr="004967A6">
              <w:rPr>
                <w:sz w:val="20"/>
                <w:lang w:eastAsia="zh-CN"/>
              </w:rPr>
              <w:t>.8%</w:t>
            </w:r>
          </w:p>
          <w:p w14:paraId="5CE28B59" w14:textId="7912CC61" w:rsidR="00CC6ACA" w:rsidRPr="004967A6" w:rsidRDefault="00C17E52" w:rsidP="00CB1E21">
            <w:pPr>
              <w:pStyle w:val="Tabletext"/>
              <w:keepLines/>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 xml:space="preserve">BSAFE (Security Awareness Training): </w:t>
            </w:r>
            <w:r w:rsidR="00CC6ACA" w:rsidRPr="004967A6">
              <w:rPr>
                <w:rFonts w:hint="eastAsia"/>
                <w:sz w:val="20"/>
                <w:lang w:eastAsia="zh-CN"/>
              </w:rPr>
              <w:t>74.2</w:t>
            </w:r>
            <w:r w:rsidR="00CC6ACA" w:rsidRPr="004967A6">
              <w:rPr>
                <w:sz w:val="20"/>
                <w:lang w:eastAsia="zh-CN"/>
              </w:rPr>
              <w:t>%</w:t>
            </w:r>
          </w:p>
          <w:p w14:paraId="7A08C68C" w14:textId="2742540C" w:rsidR="00CC6ACA" w:rsidRPr="004967A6" w:rsidRDefault="00C17E52" w:rsidP="00CB1E21">
            <w:pPr>
              <w:pStyle w:val="Tabletext"/>
              <w:keepLines/>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 xml:space="preserve">I Know Gender </w:t>
            </w:r>
            <w:r w:rsidR="003D75DD">
              <w:rPr>
                <w:sz w:val="20"/>
                <w:lang w:eastAsia="zh-CN"/>
              </w:rPr>
              <w:t>–</w:t>
            </w:r>
            <w:r w:rsidR="00CC6ACA" w:rsidRPr="004967A6">
              <w:rPr>
                <w:sz w:val="20"/>
                <w:lang w:eastAsia="zh-CN"/>
              </w:rPr>
              <w:t xml:space="preserve"> Modules 1-2-3: </w:t>
            </w:r>
            <w:r w:rsidR="00CC6ACA" w:rsidRPr="004967A6">
              <w:rPr>
                <w:rFonts w:hint="eastAsia"/>
                <w:sz w:val="20"/>
                <w:lang w:eastAsia="zh-CN"/>
              </w:rPr>
              <w:t>70.7</w:t>
            </w:r>
            <w:r w:rsidR="00CC6ACA" w:rsidRPr="004967A6">
              <w:rPr>
                <w:sz w:val="20"/>
                <w:lang w:eastAsia="zh-CN"/>
              </w:rPr>
              <w:t>%</w:t>
            </w:r>
          </w:p>
          <w:p w14:paraId="3DB5D44F" w14:textId="74F9348F" w:rsidR="00CC6ACA" w:rsidRPr="004967A6" w:rsidRDefault="00C17E52" w:rsidP="00CB1E21">
            <w:pPr>
              <w:pStyle w:val="Tabletext"/>
              <w:keepLines/>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 xml:space="preserve">United to Respect: Preventing Sexual Harassment and Other Prohibited Conduct: </w:t>
            </w:r>
            <w:r w:rsidR="00CC6ACA" w:rsidRPr="004967A6">
              <w:rPr>
                <w:rFonts w:hint="eastAsia"/>
                <w:sz w:val="20"/>
                <w:lang w:eastAsia="zh-CN"/>
              </w:rPr>
              <w:t>67.9</w:t>
            </w:r>
            <w:r w:rsidR="00CC6ACA" w:rsidRPr="004967A6">
              <w:rPr>
                <w:sz w:val="20"/>
                <w:lang w:eastAsia="zh-CN"/>
              </w:rPr>
              <w:t>%</w:t>
            </w:r>
          </w:p>
          <w:p w14:paraId="039EA076" w14:textId="76EB90E2" w:rsidR="00CC6ACA" w:rsidRPr="004967A6" w:rsidRDefault="00C17E52" w:rsidP="00CB1E21">
            <w:pPr>
              <w:pStyle w:val="Tabletext"/>
              <w:keepLines/>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 xml:space="preserve">Prevention of Sexual Exploitation and Abuse: </w:t>
            </w:r>
            <w:r w:rsidR="00CC6ACA" w:rsidRPr="004967A6">
              <w:rPr>
                <w:rFonts w:hint="eastAsia"/>
                <w:sz w:val="20"/>
                <w:lang w:eastAsia="zh-CN"/>
              </w:rPr>
              <w:t>63.5</w:t>
            </w:r>
            <w:r w:rsidR="00CC6ACA" w:rsidRPr="004967A6">
              <w:rPr>
                <w:sz w:val="20"/>
                <w:lang w:eastAsia="zh-CN"/>
              </w:rPr>
              <w:t>%</w:t>
            </w:r>
          </w:p>
          <w:p w14:paraId="777E8676" w14:textId="0671139A" w:rsidR="00CC6ACA" w:rsidRPr="004967A6" w:rsidRDefault="00C17E52" w:rsidP="00CB1E21">
            <w:pPr>
              <w:pStyle w:val="Tabletext"/>
              <w:keepLines/>
              <w:ind w:left="284" w:hanging="284"/>
              <w:rPr>
                <w:sz w:val="20"/>
                <w:lang w:eastAsia="zh-CN"/>
              </w:rPr>
            </w:pPr>
            <w:r w:rsidRPr="004967A6">
              <w:rPr>
                <w:sz w:val="20"/>
                <w:lang w:val="en-US" w:bidi="en-US"/>
              </w:rPr>
              <w:t>–</w:t>
            </w:r>
            <w:r w:rsidRPr="004967A6">
              <w:rPr>
                <w:sz w:val="20"/>
                <w:lang w:val="en-US" w:bidi="en-US"/>
              </w:rPr>
              <w:tab/>
            </w:r>
            <w:r w:rsidR="00CC6ACA" w:rsidRPr="004967A6">
              <w:rPr>
                <w:sz w:val="20"/>
                <w:lang w:eastAsia="zh-CN"/>
              </w:rPr>
              <w:t xml:space="preserve">Ethics &amp; Integrity at ITU: </w:t>
            </w:r>
            <w:r w:rsidR="00CC6ACA" w:rsidRPr="004967A6">
              <w:rPr>
                <w:rFonts w:hint="eastAsia"/>
                <w:sz w:val="20"/>
                <w:lang w:eastAsia="zh-CN"/>
              </w:rPr>
              <w:t>62.0</w:t>
            </w:r>
            <w:r w:rsidR="00CC6ACA" w:rsidRPr="004967A6">
              <w:rPr>
                <w:sz w:val="20"/>
                <w:lang w:eastAsia="zh-CN"/>
              </w:rPr>
              <w:t>%</w:t>
            </w:r>
          </w:p>
          <w:p w14:paraId="4BF95487" w14:textId="147F0692" w:rsidR="00CC6ACA" w:rsidRPr="004967A6" w:rsidRDefault="00C17E52" w:rsidP="00CB1E21">
            <w:pPr>
              <w:pStyle w:val="Tabletext"/>
              <w:keepLines/>
              <w:ind w:left="284" w:hanging="284"/>
              <w:rPr>
                <w:rFonts w:eastAsia="Malgun Gothic"/>
                <w:sz w:val="20"/>
                <w:lang w:val="en-US" w:eastAsia="ko-KR"/>
              </w:rPr>
            </w:pPr>
            <w:r w:rsidRPr="004967A6">
              <w:rPr>
                <w:sz w:val="20"/>
                <w:lang w:val="en-US" w:bidi="en-US"/>
              </w:rPr>
              <w:t>–</w:t>
            </w:r>
            <w:r>
              <w:tab/>
            </w:r>
            <w:r w:rsidR="00CC6ACA" w:rsidRPr="004967A6">
              <w:rPr>
                <w:sz w:val="20"/>
                <w:lang w:eastAsia="zh-CN"/>
              </w:rPr>
              <w:t xml:space="preserve">Greening the Blue: </w:t>
            </w:r>
            <w:r w:rsidR="00CC6ACA" w:rsidRPr="004967A6">
              <w:rPr>
                <w:rFonts w:hint="eastAsia"/>
                <w:sz w:val="20"/>
                <w:lang w:eastAsia="zh-CN"/>
              </w:rPr>
              <w:t>61.5</w:t>
            </w:r>
            <w:r w:rsidR="00CC6ACA" w:rsidRPr="004967A6">
              <w:rPr>
                <w:sz w:val="20"/>
                <w:lang w:eastAsia="zh-CN"/>
              </w:rPr>
              <w:t xml:space="preserve">% </w:t>
            </w:r>
          </w:p>
        </w:tc>
      </w:tr>
      <w:tr w:rsidR="00CC6ACA" w:rsidRPr="00917736" w14:paraId="1758D4B8" w14:textId="77777777" w:rsidTr="6E86A8A3">
        <w:trPr>
          <w:trHeight w:val="584"/>
          <w:jc w:val="center"/>
        </w:trPr>
        <w:tc>
          <w:tcPr>
            <w:tcW w:w="207" w:type="pct"/>
            <w:vMerge/>
            <w:vAlign w:val="center"/>
          </w:tcPr>
          <w:p w14:paraId="456AA257" w14:textId="77777777" w:rsidR="00CC6ACA" w:rsidRPr="004967A6" w:rsidRDefault="00CC6ACA" w:rsidP="000027F9">
            <w:pPr>
              <w:pStyle w:val="Tabletext"/>
              <w:jc w:val="center"/>
              <w:rPr>
                <w:b/>
                <w:sz w:val="20"/>
                <w:lang w:val="en-US"/>
              </w:rPr>
            </w:pPr>
          </w:p>
        </w:tc>
        <w:tc>
          <w:tcPr>
            <w:tcW w:w="523" w:type="pct"/>
            <w:vMerge/>
            <w:vAlign w:val="center"/>
          </w:tcPr>
          <w:p w14:paraId="26E2CFBB" w14:textId="77777777" w:rsidR="00CC6ACA" w:rsidRPr="004967A6" w:rsidRDefault="00CC6ACA" w:rsidP="009E2086">
            <w:pPr>
              <w:pStyle w:val="Tabletext"/>
              <w:rPr>
                <w:sz w:val="20"/>
                <w:lang w:val="en-US" w:eastAsia="zh-CN"/>
              </w:rPr>
            </w:pPr>
          </w:p>
        </w:tc>
        <w:tc>
          <w:tcPr>
            <w:tcW w:w="1759" w:type="pct"/>
            <w:shd w:val="clear" w:color="auto" w:fill="FFFFFF" w:themeFill="background1"/>
            <w:vAlign w:val="center"/>
            <w:hideMark/>
          </w:tcPr>
          <w:p w14:paraId="6647F087" w14:textId="54AA40C7" w:rsidR="00CC6ACA" w:rsidRPr="004967A6" w:rsidRDefault="004967A6" w:rsidP="000027F9">
            <w:pPr>
              <w:pStyle w:val="Tabletext"/>
              <w:ind w:left="284" w:hanging="284"/>
              <w:rPr>
                <w:sz w:val="20"/>
                <w:lang w:val="en-US"/>
              </w:rPr>
            </w:pPr>
            <w:bookmarkStart w:id="16" w:name="_Hlk39134893"/>
            <w:r w:rsidRPr="004967A6">
              <w:rPr>
                <w:sz w:val="20"/>
                <w:lang w:val="en-US" w:bidi="en-US"/>
              </w:rPr>
              <w:t>–</w:t>
            </w:r>
            <w:r w:rsidRPr="004967A6">
              <w:rPr>
                <w:sz w:val="20"/>
                <w:lang w:val="en-US" w:bidi="en-US"/>
              </w:rPr>
              <w:tab/>
            </w:r>
            <w:r w:rsidR="00CC6ACA" w:rsidRPr="004967A6">
              <w:rPr>
                <w:sz w:val="20"/>
              </w:rPr>
              <w:t>% of staff receiving in-service training</w:t>
            </w:r>
            <w:bookmarkEnd w:id="16"/>
          </w:p>
        </w:tc>
        <w:tc>
          <w:tcPr>
            <w:tcW w:w="2511" w:type="pct"/>
            <w:vAlign w:val="center"/>
          </w:tcPr>
          <w:p w14:paraId="70E362B3" w14:textId="77777777" w:rsidR="00CC6ACA" w:rsidRPr="004967A6" w:rsidRDefault="00CC6ACA" w:rsidP="009E2086">
            <w:pPr>
              <w:pStyle w:val="Tabletext"/>
              <w:rPr>
                <w:sz w:val="20"/>
                <w:lang w:eastAsia="zh-CN"/>
              </w:rPr>
            </w:pPr>
            <w:bookmarkStart w:id="17" w:name="_Hlk67902942"/>
            <w:r w:rsidRPr="004967A6">
              <w:rPr>
                <w:sz w:val="20"/>
                <w:lang w:eastAsia="zh-CN"/>
              </w:rPr>
              <w:t xml:space="preserve">The corporate trainings as part of the ITU Learning Plan are available to all ITU employees, regardless of contract type. </w:t>
            </w:r>
          </w:p>
          <w:p w14:paraId="5E4E704D" w14:textId="77777777" w:rsidR="00CC6ACA" w:rsidRPr="004967A6" w:rsidRDefault="00CC6ACA" w:rsidP="009E2086">
            <w:pPr>
              <w:pStyle w:val="Tabletext"/>
              <w:rPr>
                <w:sz w:val="20"/>
                <w:lang w:eastAsia="zh-CN"/>
              </w:rPr>
            </w:pPr>
            <w:r w:rsidRPr="004967A6">
              <w:rPr>
                <w:sz w:val="20"/>
                <w:lang w:eastAsia="zh-CN"/>
              </w:rPr>
              <w:t xml:space="preserve">In 2025, a total of 38 corporate trainings were delivered in-house encompassing different topics from digital, career development, leadership, diversity &amp; inclusion, competency accelerators to performance management, health &amp; well-being and awareness raising sessions. </w:t>
            </w:r>
          </w:p>
          <w:p w14:paraId="02371CCF" w14:textId="77777777" w:rsidR="00CC6ACA" w:rsidRPr="004967A6" w:rsidRDefault="00CC6ACA" w:rsidP="009E2086">
            <w:pPr>
              <w:pStyle w:val="Tabletext"/>
              <w:rPr>
                <w:sz w:val="20"/>
                <w:lang w:eastAsia="zh-CN"/>
              </w:rPr>
            </w:pPr>
            <w:r w:rsidRPr="004967A6">
              <w:rPr>
                <w:sz w:val="20"/>
                <w:lang w:eastAsia="zh-CN"/>
              </w:rPr>
              <w:t xml:space="preserve">In addition to the group trainings, a total of 21 staff members benefited from individual, specialized/technical trainings. </w:t>
            </w:r>
            <w:bookmarkEnd w:id="17"/>
          </w:p>
        </w:tc>
      </w:tr>
      <w:tr w:rsidR="00CC6ACA" w:rsidRPr="00917736" w14:paraId="1CE3AE42" w14:textId="77777777" w:rsidTr="6E86A8A3">
        <w:trPr>
          <w:trHeight w:val="20"/>
          <w:jc w:val="center"/>
        </w:trPr>
        <w:tc>
          <w:tcPr>
            <w:tcW w:w="207" w:type="pct"/>
            <w:shd w:val="clear" w:color="auto" w:fill="FFFFFF" w:themeFill="background1"/>
            <w:vAlign w:val="center"/>
          </w:tcPr>
          <w:p w14:paraId="45E54E11" w14:textId="77777777" w:rsidR="00CC6ACA" w:rsidRPr="004967A6" w:rsidRDefault="00CC6ACA" w:rsidP="000027F9">
            <w:pPr>
              <w:pStyle w:val="Tabletext"/>
              <w:jc w:val="center"/>
              <w:rPr>
                <w:b/>
                <w:sz w:val="20"/>
                <w:lang w:val="en-US"/>
              </w:rPr>
            </w:pPr>
            <w:r w:rsidRPr="004967A6">
              <w:rPr>
                <w:rFonts w:hint="eastAsia"/>
                <w:b/>
                <w:sz w:val="20"/>
                <w:lang w:val="en-US" w:eastAsia="zh-CN"/>
              </w:rPr>
              <w:t>13</w:t>
            </w:r>
          </w:p>
        </w:tc>
        <w:tc>
          <w:tcPr>
            <w:tcW w:w="523" w:type="pct"/>
            <w:shd w:val="clear" w:color="auto" w:fill="FFFFFF" w:themeFill="background1"/>
            <w:vAlign w:val="center"/>
          </w:tcPr>
          <w:p w14:paraId="08F0CE00" w14:textId="5DFB75C4" w:rsidR="00CC6ACA" w:rsidRPr="004967A6" w:rsidRDefault="00CC6ACA" w:rsidP="009E2086">
            <w:pPr>
              <w:pStyle w:val="Tabletext"/>
              <w:rPr>
                <w:sz w:val="20"/>
                <w:lang w:val="en-US" w:eastAsia="zh-CN"/>
              </w:rPr>
            </w:pPr>
            <w:r w:rsidRPr="004967A6">
              <w:rPr>
                <w:sz w:val="20"/>
                <w:lang w:val="en-US" w:eastAsia="zh-CN"/>
              </w:rPr>
              <w:t xml:space="preserve">Learning and </w:t>
            </w:r>
            <w:r w:rsidR="00185778" w:rsidRPr="004967A6">
              <w:rPr>
                <w:sz w:val="20"/>
                <w:lang w:val="en-US" w:eastAsia="zh-CN"/>
              </w:rPr>
              <w:t>development</w:t>
            </w:r>
          </w:p>
        </w:tc>
        <w:tc>
          <w:tcPr>
            <w:tcW w:w="1759" w:type="pct"/>
            <w:shd w:val="clear" w:color="auto" w:fill="FFFFFF" w:themeFill="background1"/>
            <w:vAlign w:val="center"/>
          </w:tcPr>
          <w:p w14:paraId="191B9817" w14:textId="3084E96E" w:rsidR="00CC6ACA" w:rsidRPr="004967A6" w:rsidRDefault="004967A6" w:rsidP="009E2086">
            <w:pPr>
              <w:pStyle w:val="Tabletext"/>
              <w:rPr>
                <w:sz w:val="20"/>
              </w:rPr>
            </w:pPr>
            <w:r w:rsidRPr="004967A6">
              <w:rPr>
                <w:sz w:val="20"/>
                <w:lang w:val="en-US" w:bidi="en-US"/>
              </w:rPr>
              <w:t>–</w:t>
            </w:r>
            <w:r w:rsidRPr="004967A6">
              <w:rPr>
                <w:sz w:val="20"/>
                <w:lang w:val="en-US" w:bidi="en-US"/>
              </w:rPr>
              <w:tab/>
            </w:r>
            <w:r w:rsidR="00CC6ACA" w:rsidRPr="004967A6">
              <w:rPr>
                <w:sz w:val="20"/>
              </w:rPr>
              <w:t>Language programme cost efficiency</w:t>
            </w:r>
          </w:p>
        </w:tc>
        <w:tc>
          <w:tcPr>
            <w:tcW w:w="2511" w:type="pct"/>
            <w:vAlign w:val="center"/>
          </w:tcPr>
          <w:p w14:paraId="52A665C6" w14:textId="682BD731" w:rsidR="00CC6ACA" w:rsidRPr="004967A6" w:rsidRDefault="00CC6ACA" w:rsidP="009E2086">
            <w:pPr>
              <w:pStyle w:val="Tabletext"/>
              <w:rPr>
                <w:sz w:val="20"/>
                <w:lang w:eastAsia="zh-CN"/>
              </w:rPr>
            </w:pPr>
            <w:r w:rsidRPr="004967A6">
              <w:rPr>
                <w:sz w:val="20"/>
                <w:lang w:eastAsia="zh-CN"/>
              </w:rPr>
              <w:t>The strengthened partnership with UNOG expanded language learning opportunities from two to three terms a year, enabling more colleagues to enhance their language skills in support of organi</w:t>
            </w:r>
            <w:r w:rsidR="00BC2897">
              <w:rPr>
                <w:sz w:val="20"/>
                <w:lang w:eastAsia="zh-CN"/>
              </w:rPr>
              <w:t>z</w:t>
            </w:r>
            <w:r w:rsidRPr="004967A6">
              <w:rPr>
                <w:sz w:val="20"/>
                <w:lang w:eastAsia="zh-CN"/>
              </w:rPr>
              <w:t xml:space="preserve">ational effectiveness and multilingual service delivery. </w:t>
            </w:r>
          </w:p>
          <w:p w14:paraId="549B3857" w14:textId="113FCDEE" w:rsidR="00CC6ACA" w:rsidRPr="004967A6" w:rsidRDefault="00CC6ACA" w:rsidP="009E2086">
            <w:pPr>
              <w:pStyle w:val="Tabletext"/>
              <w:rPr>
                <w:sz w:val="20"/>
                <w:lang w:eastAsia="zh-CN"/>
              </w:rPr>
            </w:pPr>
            <w:r w:rsidRPr="004967A6">
              <w:rPr>
                <w:sz w:val="20"/>
                <w:lang w:eastAsia="zh-CN"/>
              </w:rPr>
              <w:t>In 2025, an increase in participation was recorded (41 participants in first term, 53</w:t>
            </w:r>
            <w:r w:rsidR="003D75DD">
              <w:rPr>
                <w:sz w:val="20"/>
                <w:lang w:eastAsia="zh-CN"/>
              </w:rPr>
              <w:t> </w:t>
            </w:r>
            <w:r w:rsidRPr="004967A6">
              <w:rPr>
                <w:sz w:val="20"/>
                <w:lang w:eastAsia="zh-CN"/>
              </w:rPr>
              <w:t>participants in second term and 68 participants in third term), reflecting growing interest and engagement.</w:t>
            </w:r>
          </w:p>
          <w:p w14:paraId="61CD5285" w14:textId="0731E457" w:rsidR="00CC6ACA" w:rsidRPr="004967A6" w:rsidRDefault="00CC6ACA" w:rsidP="009E2086">
            <w:pPr>
              <w:pStyle w:val="Tabletext"/>
              <w:rPr>
                <w:sz w:val="20"/>
                <w:lang w:eastAsia="zh-CN"/>
              </w:rPr>
            </w:pPr>
            <w:r w:rsidRPr="004967A6">
              <w:rPr>
                <w:sz w:val="20"/>
                <w:lang w:eastAsia="zh-CN"/>
              </w:rPr>
              <w:t xml:space="preserve">Importantly, this expansion and higher uptake were fully absorbed within the existing language learning budget, which has not been increased in the recent years and </w:t>
            </w:r>
            <w:r w:rsidR="17EAFB64" w:rsidRPr="01914464">
              <w:rPr>
                <w:sz w:val="20"/>
                <w:lang w:eastAsia="zh-CN"/>
              </w:rPr>
              <w:t xml:space="preserve">was </w:t>
            </w:r>
            <w:r w:rsidRPr="004967A6">
              <w:rPr>
                <w:sz w:val="20"/>
                <w:lang w:eastAsia="zh-CN"/>
              </w:rPr>
              <w:t xml:space="preserve">actually reduced </w:t>
            </w:r>
            <w:r w:rsidR="5FFC4824" w:rsidRPr="01914464">
              <w:rPr>
                <w:sz w:val="20"/>
                <w:lang w:eastAsia="zh-CN"/>
              </w:rPr>
              <w:t xml:space="preserve">by </w:t>
            </w:r>
            <w:r w:rsidRPr="004967A6">
              <w:rPr>
                <w:sz w:val="20"/>
                <w:lang w:eastAsia="zh-CN"/>
              </w:rPr>
              <w:t>50% in 2026.</w:t>
            </w:r>
          </w:p>
        </w:tc>
      </w:tr>
      <w:tr w:rsidR="00CC6ACA" w:rsidRPr="00917736" w14:paraId="7EFA4812" w14:textId="77777777" w:rsidTr="6E86A8A3">
        <w:trPr>
          <w:trHeight w:val="20"/>
          <w:jc w:val="center"/>
        </w:trPr>
        <w:tc>
          <w:tcPr>
            <w:tcW w:w="207" w:type="pct"/>
            <w:shd w:val="clear" w:color="auto" w:fill="FFFFFF" w:themeFill="background1"/>
            <w:vAlign w:val="center"/>
          </w:tcPr>
          <w:p w14:paraId="65A0C9B4" w14:textId="77777777" w:rsidR="00CC6ACA" w:rsidRPr="004967A6" w:rsidRDefault="00CC6ACA" w:rsidP="00CB1E21">
            <w:pPr>
              <w:pStyle w:val="Tabletext"/>
              <w:keepNext/>
              <w:keepLines/>
              <w:jc w:val="center"/>
              <w:rPr>
                <w:b/>
                <w:sz w:val="20"/>
                <w:lang w:val="en-US"/>
              </w:rPr>
            </w:pPr>
            <w:r w:rsidRPr="004967A6">
              <w:rPr>
                <w:rFonts w:hint="eastAsia"/>
                <w:b/>
                <w:sz w:val="20"/>
                <w:lang w:val="en-US" w:eastAsia="zh-CN"/>
              </w:rPr>
              <w:lastRenderedPageBreak/>
              <w:t>14</w:t>
            </w:r>
          </w:p>
        </w:tc>
        <w:tc>
          <w:tcPr>
            <w:tcW w:w="523" w:type="pct"/>
            <w:shd w:val="clear" w:color="auto" w:fill="FFFFFF" w:themeFill="background1"/>
            <w:vAlign w:val="center"/>
          </w:tcPr>
          <w:p w14:paraId="6466F347" w14:textId="45583B91" w:rsidR="00CC6ACA" w:rsidRPr="004967A6" w:rsidRDefault="00CC6ACA" w:rsidP="00CB1E21">
            <w:pPr>
              <w:pStyle w:val="Tabletext"/>
              <w:keepNext/>
              <w:keepLines/>
              <w:rPr>
                <w:sz w:val="20"/>
                <w:lang w:val="en-US" w:eastAsia="zh-CN"/>
              </w:rPr>
            </w:pPr>
            <w:r w:rsidRPr="004967A6">
              <w:rPr>
                <w:sz w:val="20"/>
                <w:lang w:val="en-US" w:eastAsia="zh-CN"/>
              </w:rPr>
              <w:t xml:space="preserve">Learning and </w:t>
            </w:r>
            <w:r w:rsidR="00185778" w:rsidRPr="004967A6">
              <w:rPr>
                <w:sz w:val="20"/>
                <w:lang w:val="en-US" w:eastAsia="zh-CN"/>
              </w:rPr>
              <w:t>development</w:t>
            </w:r>
          </w:p>
        </w:tc>
        <w:tc>
          <w:tcPr>
            <w:tcW w:w="1759" w:type="pct"/>
            <w:shd w:val="clear" w:color="auto" w:fill="FFFFFF" w:themeFill="background1"/>
            <w:vAlign w:val="center"/>
            <w:hideMark/>
          </w:tcPr>
          <w:p w14:paraId="5C8FD26B" w14:textId="704191EF" w:rsidR="00CC6ACA" w:rsidRPr="004967A6" w:rsidRDefault="004967A6" w:rsidP="00CB1E21">
            <w:pPr>
              <w:pStyle w:val="Tabletext"/>
              <w:keepNext/>
              <w:keepLines/>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 xml:space="preserve">Number of </w:t>
            </w:r>
            <w:r w:rsidR="003D75DD" w:rsidRPr="004967A6">
              <w:rPr>
                <w:sz w:val="20"/>
                <w:lang w:val="en-US"/>
              </w:rPr>
              <w:t xml:space="preserve">inductions </w:t>
            </w:r>
            <w:r w:rsidR="00CC6ACA" w:rsidRPr="004967A6">
              <w:rPr>
                <w:sz w:val="20"/>
                <w:lang w:val="en-US"/>
              </w:rPr>
              <w:t xml:space="preserve">held (% newly recruited staff participated) </w:t>
            </w:r>
          </w:p>
        </w:tc>
        <w:tc>
          <w:tcPr>
            <w:tcW w:w="2511" w:type="pct"/>
            <w:vAlign w:val="center"/>
          </w:tcPr>
          <w:p w14:paraId="148834BB" w14:textId="77777777" w:rsidR="00CC6ACA" w:rsidRPr="004967A6" w:rsidRDefault="00CC6ACA" w:rsidP="00CB1E21">
            <w:pPr>
              <w:pStyle w:val="Tabletext"/>
              <w:keepNext/>
              <w:keepLines/>
              <w:rPr>
                <w:sz w:val="20"/>
                <w:lang w:val="en-US"/>
              </w:rPr>
            </w:pPr>
            <w:r w:rsidRPr="004967A6">
              <w:rPr>
                <w:sz w:val="20"/>
                <w:lang w:val="en-US"/>
              </w:rPr>
              <w:t>In 2025, two induction programme</w:t>
            </w:r>
            <w:r w:rsidRPr="004967A6">
              <w:rPr>
                <w:rFonts w:hint="eastAsia"/>
                <w:sz w:val="20"/>
                <w:lang w:val="en-US" w:eastAsia="zh-CN"/>
              </w:rPr>
              <w:t>s</w:t>
            </w:r>
            <w:r w:rsidRPr="004967A6">
              <w:rPr>
                <w:sz w:val="20"/>
                <w:lang w:val="en-US"/>
              </w:rPr>
              <w:t xml:space="preserve"> (4 half</w:t>
            </w:r>
            <w:r w:rsidRPr="004967A6">
              <w:rPr>
                <w:rFonts w:hint="eastAsia"/>
                <w:sz w:val="20"/>
                <w:lang w:val="en-US" w:eastAsia="zh-CN"/>
              </w:rPr>
              <w:t>-</w:t>
            </w:r>
            <w:r w:rsidRPr="004967A6">
              <w:rPr>
                <w:sz w:val="20"/>
                <w:lang w:val="en-US"/>
              </w:rPr>
              <w:t xml:space="preserve">day sessions each) were successfully delivered, reaching 110 newly recruited staff members, consultants (SSAs), and interns. </w:t>
            </w:r>
          </w:p>
          <w:p w14:paraId="485BA5F3" w14:textId="77777777" w:rsidR="00CC6ACA" w:rsidRPr="004967A6" w:rsidRDefault="00CC6ACA" w:rsidP="00CB1E21">
            <w:pPr>
              <w:pStyle w:val="Tabletext"/>
              <w:keepNext/>
              <w:keepLines/>
              <w:rPr>
                <w:sz w:val="20"/>
                <w:lang w:val="en-US"/>
              </w:rPr>
            </w:pPr>
            <w:r w:rsidRPr="004967A6">
              <w:rPr>
                <w:sz w:val="20"/>
                <w:lang w:val="en-US"/>
              </w:rPr>
              <w:t>These sessions played a key role in supporting their smooth integration into the organization, reinforcing institutional values and standards, and ensuring a shared understanding of policies, procedures, and expectations from the outset.</w:t>
            </w:r>
          </w:p>
        </w:tc>
      </w:tr>
      <w:tr w:rsidR="00CC6ACA" w:rsidRPr="00917736" w14:paraId="72C7590D" w14:textId="77777777" w:rsidTr="6E86A8A3">
        <w:trPr>
          <w:trHeight w:val="787"/>
          <w:jc w:val="center"/>
        </w:trPr>
        <w:tc>
          <w:tcPr>
            <w:tcW w:w="207" w:type="pct"/>
            <w:shd w:val="clear" w:color="auto" w:fill="FFFFFF" w:themeFill="background1"/>
            <w:vAlign w:val="center"/>
          </w:tcPr>
          <w:p w14:paraId="62ABD0D9" w14:textId="77777777" w:rsidR="00CC6ACA" w:rsidRPr="004967A6" w:rsidRDefault="00CC6ACA" w:rsidP="000027F9">
            <w:pPr>
              <w:pStyle w:val="Tabletext"/>
              <w:jc w:val="center"/>
              <w:rPr>
                <w:b/>
                <w:sz w:val="20"/>
                <w:lang w:val="en-US"/>
              </w:rPr>
            </w:pPr>
            <w:r w:rsidRPr="004967A6">
              <w:rPr>
                <w:rFonts w:hint="eastAsia"/>
                <w:b/>
                <w:sz w:val="20"/>
                <w:lang w:val="en-US" w:eastAsia="zh-CN"/>
              </w:rPr>
              <w:t>15</w:t>
            </w:r>
          </w:p>
        </w:tc>
        <w:tc>
          <w:tcPr>
            <w:tcW w:w="523" w:type="pct"/>
            <w:shd w:val="clear" w:color="auto" w:fill="FFFFFF" w:themeFill="background1"/>
            <w:vAlign w:val="center"/>
          </w:tcPr>
          <w:p w14:paraId="74780DD7" w14:textId="13B59687" w:rsidR="00CC6ACA" w:rsidRPr="004967A6" w:rsidRDefault="00CC6ACA" w:rsidP="009E2086">
            <w:pPr>
              <w:pStyle w:val="Tabletext"/>
              <w:rPr>
                <w:sz w:val="20"/>
                <w:lang w:val="en-US" w:eastAsia="zh-CN"/>
              </w:rPr>
            </w:pPr>
            <w:r w:rsidRPr="004967A6">
              <w:rPr>
                <w:sz w:val="20"/>
                <w:lang w:val="en-US" w:eastAsia="zh-CN"/>
              </w:rPr>
              <w:t xml:space="preserve">HR </w:t>
            </w:r>
            <w:r w:rsidR="00185778" w:rsidRPr="004967A6">
              <w:rPr>
                <w:sz w:val="20"/>
                <w:lang w:val="en-US" w:eastAsia="zh-CN"/>
              </w:rPr>
              <w:t>policy</w:t>
            </w:r>
          </w:p>
        </w:tc>
        <w:tc>
          <w:tcPr>
            <w:tcW w:w="1759" w:type="pct"/>
            <w:shd w:val="clear" w:color="auto" w:fill="FFFFFF" w:themeFill="background1"/>
            <w:vAlign w:val="center"/>
          </w:tcPr>
          <w:p w14:paraId="3CB7D85B" w14:textId="13783941" w:rsidR="00CC6ACA" w:rsidRPr="004967A6" w:rsidRDefault="004967A6" w:rsidP="000027F9">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sz w:val="20"/>
                <w:lang w:val="en-US"/>
              </w:rPr>
              <w:t>Review and update the HR-Related Policies and Service Orders</w:t>
            </w:r>
          </w:p>
        </w:tc>
        <w:tc>
          <w:tcPr>
            <w:tcW w:w="2511" w:type="pct"/>
            <w:vAlign w:val="center"/>
          </w:tcPr>
          <w:p w14:paraId="73F40095" w14:textId="7B780B17" w:rsidR="00CC6ACA" w:rsidRPr="004967A6" w:rsidRDefault="00CC6ACA" w:rsidP="009E2086">
            <w:pPr>
              <w:pStyle w:val="Tabletext"/>
              <w:rPr>
                <w:sz w:val="20"/>
                <w:lang w:eastAsia="zh-CN"/>
              </w:rPr>
            </w:pPr>
            <w:r w:rsidRPr="004967A6">
              <w:rPr>
                <w:sz w:val="20"/>
                <w:lang w:eastAsia="zh-CN"/>
              </w:rPr>
              <w:t>1</w:t>
            </w:r>
            <w:r w:rsidRPr="004967A6">
              <w:rPr>
                <w:rFonts w:hint="eastAsia"/>
                <w:sz w:val="20"/>
                <w:lang w:eastAsia="zh-CN"/>
              </w:rPr>
              <w:t xml:space="preserve">7 </w:t>
            </w:r>
            <w:r w:rsidRPr="004967A6">
              <w:rPr>
                <w:sz w:val="20"/>
                <w:lang w:eastAsia="zh-CN"/>
              </w:rPr>
              <w:t>new or revised guidelines, policies/Service Orders on HR matters were published (including on mandatory training</w:t>
            </w:r>
            <w:r w:rsidR="00185778">
              <w:rPr>
                <w:sz w:val="20"/>
                <w:lang w:eastAsia="zh-CN"/>
              </w:rPr>
              <w:t>,</w:t>
            </w:r>
            <w:r w:rsidRPr="004967A6">
              <w:rPr>
                <w:sz w:val="20"/>
                <w:lang w:eastAsia="zh-CN"/>
              </w:rPr>
              <w:t xml:space="preserve"> the ombudsman, the internal justice system</w:t>
            </w:r>
            <w:r w:rsidR="29871722" w:rsidRPr="01914464">
              <w:rPr>
                <w:sz w:val="20"/>
                <w:lang w:eastAsia="zh-CN"/>
              </w:rPr>
              <w:t>,</w:t>
            </w:r>
            <w:r w:rsidRPr="004967A6">
              <w:rPr>
                <w:sz w:val="20"/>
                <w:lang w:eastAsia="zh-CN"/>
              </w:rPr>
              <w:t xml:space="preserve"> salaries and classification of post, overtime payments for GS staff, official holidays for regional offices, SSA remuneration and employment of retirees</w:t>
            </w:r>
            <w:r w:rsidRPr="004967A6">
              <w:rPr>
                <w:sz w:val="20"/>
                <w:lang w:val="en-US" w:eastAsia="zh-CN"/>
              </w:rPr>
              <w:t xml:space="preserve">, </w:t>
            </w:r>
            <w:r w:rsidR="00185778" w:rsidRPr="004967A6">
              <w:rPr>
                <w:sz w:val="20"/>
                <w:lang w:eastAsia="zh-CN"/>
              </w:rPr>
              <w:t xml:space="preserve">working </w:t>
            </w:r>
            <w:r w:rsidRPr="004967A6">
              <w:rPr>
                <w:sz w:val="20"/>
                <w:lang w:eastAsia="zh-CN"/>
              </w:rPr>
              <w:t>hours and flexible working arrangements)</w:t>
            </w:r>
            <w:r w:rsidRPr="004967A6">
              <w:rPr>
                <w:rFonts w:hint="eastAsia"/>
                <w:sz w:val="20"/>
                <w:lang w:eastAsia="zh-CN"/>
              </w:rPr>
              <w:t>.</w:t>
            </w:r>
          </w:p>
        </w:tc>
      </w:tr>
      <w:tr w:rsidR="00CC6ACA" w:rsidRPr="00917736" w14:paraId="490739D1" w14:textId="77777777" w:rsidTr="6E86A8A3">
        <w:trPr>
          <w:trHeight w:val="383"/>
          <w:jc w:val="center"/>
        </w:trPr>
        <w:tc>
          <w:tcPr>
            <w:tcW w:w="207" w:type="pct"/>
            <w:shd w:val="clear" w:color="auto" w:fill="FFFFFF" w:themeFill="background1"/>
            <w:vAlign w:val="center"/>
          </w:tcPr>
          <w:p w14:paraId="4383DB54" w14:textId="2011A038" w:rsidR="00CC6ACA" w:rsidRPr="004967A6" w:rsidRDefault="00CC6ACA" w:rsidP="005A0A10">
            <w:pPr>
              <w:pStyle w:val="Tabletext"/>
              <w:spacing w:line="259" w:lineRule="auto"/>
              <w:jc w:val="center"/>
              <w:rPr>
                <w:b/>
                <w:sz w:val="20"/>
                <w:lang w:val="en-US" w:eastAsia="zh-CN"/>
              </w:rPr>
            </w:pPr>
            <w:r w:rsidRPr="004967A6">
              <w:rPr>
                <w:rFonts w:hint="eastAsia"/>
                <w:b/>
                <w:sz w:val="20"/>
                <w:lang w:val="en-US" w:eastAsia="zh-CN"/>
              </w:rPr>
              <w:t>1</w:t>
            </w:r>
            <w:r w:rsidR="573C869A" w:rsidRPr="5683F082">
              <w:rPr>
                <w:b/>
                <w:bCs/>
                <w:sz w:val="20"/>
                <w:lang w:val="en-US" w:eastAsia="zh-CN"/>
              </w:rPr>
              <w:t>6</w:t>
            </w:r>
          </w:p>
        </w:tc>
        <w:tc>
          <w:tcPr>
            <w:tcW w:w="523" w:type="pct"/>
            <w:shd w:val="clear" w:color="auto" w:fill="FFFFFF" w:themeFill="background1"/>
            <w:vAlign w:val="center"/>
          </w:tcPr>
          <w:p w14:paraId="34820EA4" w14:textId="4E77D616" w:rsidR="00CC6ACA" w:rsidRPr="004967A6" w:rsidRDefault="00CC6ACA" w:rsidP="009E2086">
            <w:pPr>
              <w:pStyle w:val="Tabletext"/>
              <w:rPr>
                <w:sz w:val="20"/>
                <w:lang w:val="en-US" w:eastAsia="zh-CN"/>
              </w:rPr>
            </w:pPr>
            <w:r w:rsidRPr="004967A6">
              <w:rPr>
                <w:rFonts w:hint="eastAsia"/>
                <w:sz w:val="20"/>
                <w:lang w:val="en-US" w:eastAsia="zh-CN"/>
              </w:rPr>
              <w:t xml:space="preserve">HR </w:t>
            </w:r>
            <w:r w:rsidR="00185778" w:rsidRPr="004967A6">
              <w:rPr>
                <w:sz w:val="20"/>
                <w:lang w:val="en-US" w:eastAsia="zh-CN"/>
              </w:rPr>
              <w:t>policy</w:t>
            </w:r>
          </w:p>
        </w:tc>
        <w:tc>
          <w:tcPr>
            <w:tcW w:w="1759" w:type="pct"/>
            <w:shd w:val="clear" w:color="auto" w:fill="FFFFFF" w:themeFill="background1"/>
            <w:vAlign w:val="center"/>
          </w:tcPr>
          <w:p w14:paraId="7C787D58" w14:textId="7F46C442" w:rsidR="00CC6ACA" w:rsidRPr="004967A6" w:rsidRDefault="004967A6" w:rsidP="000027F9">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rFonts w:hint="eastAsia"/>
                <w:sz w:val="20"/>
                <w:lang w:eastAsia="zh-CN"/>
              </w:rPr>
              <w:t>P</w:t>
            </w:r>
            <w:r w:rsidR="00CC6ACA" w:rsidRPr="004967A6">
              <w:rPr>
                <w:sz w:val="20"/>
              </w:rPr>
              <w:t>olicies under review</w:t>
            </w:r>
          </w:p>
        </w:tc>
        <w:tc>
          <w:tcPr>
            <w:tcW w:w="2511" w:type="pct"/>
            <w:vAlign w:val="center"/>
          </w:tcPr>
          <w:p w14:paraId="356D9C05" w14:textId="6472FA9F" w:rsidR="00CC6ACA" w:rsidRPr="004967A6" w:rsidRDefault="00CC6ACA" w:rsidP="009E2086">
            <w:pPr>
              <w:pStyle w:val="Tabletext"/>
              <w:rPr>
                <w:sz w:val="20"/>
                <w:lang w:eastAsia="zh-CN"/>
              </w:rPr>
            </w:pPr>
            <w:r w:rsidRPr="004967A6">
              <w:rPr>
                <w:sz w:val="20"/>
                <w:lang w:eastAsia="zh-CN"/>
              </w:rPr>
              <w:t>11</w:t>
            </w:r>
            <w:r w:rsidRPr="004967A6">
              <w:rPr>
                <w:rFonts w:hint="eastAsia"/>
                <w:sz w:val="20"/>
                <w:lang w:eastAsia="zh-CN"/>
              </w:rPr>
              <w:t xml:space="preserve"> policies under review</w:t>
            </w:r>
            <w:r w:rsidRPr="004967A6">
              <w:rPr>
                <w:sz w:val="20"/>
                <w:lang w:eastAsia="zh-CN"/>
              </w:rPr>
              <w:t xml:space="preserve"> (including on consultants, recruitment, etc</w:t>
            </w:r>
            <w:r w:rsidR="00185778">
              <w:rPr>
                <w:sz w:val="20"/>
                <w:lang w:eastAsia="zh-CN"/>
              </w:rPr>
              <w:t>.</w:t>
            </w:r>
            <w:r w:rsidRPr="004967A6">
              <w:rPr>
                <w:sz w:val="20"/>
                <w:lang w:eastAsia="zh-CN"/>
              </w:rPr>
              <w:t>).</w:t>
            </w:r>
          </w:p>
        </w:tc>
      </w:tr>
      <w:tr w:rsidR="00CC6ACA" w:rsidRPr="00917736" w14:paraId="21518652" w14:textId="77777777" w:rsidTr="6E86A8A3">
        <w:trPr>
          <w:trHeight w:val="20"/>
          <w:jc w:val="center"/>
        </w:trPr>
        <w:tc>
          <w:tcPr>
            <w:tcW w:w="207" w:type="pct"/>
            <w:shd w:val="clear" w:color="auto" w:fill="FFFFFF" w:themeFill="background1"/>
            <w:vAlign w:val="center"/>
          </w:tcPr>
          <w:p w14:paraId="3541E423" w14:textId="5F3C4A2D" w:rsidR="00CC6ACA" w:rsidRPr="004967A6" w:rsidRDefault="00CC6ACA" w:rsidP="005A0A10">
            <w:pPr>
              <w:pStyle w:val="Tabletext"/>
              <w:spacing w:line="259" w:lineRule="auto"/>
              <w:jc w:val="center"/>
              <w:rPr>
                <w:b/>
                <w:sz w:val="20"/>
                <w:lang w:val="en-US" w:eastAsia="zh-CN"/>
              </w:rPr>
            </w:pPr>
            <w:r w:rsidRPr="004967A6">
              <w:rPr>
                <w:rFonts w:hint="eastAsia"/>
                <w:b/>
                <w:sz w:val="20"/>
                <w:lang w:val="en-US" w:eastAsia="zh-CN"/>
              </w:rPr>
              <w:t>1</w:t>
            </w:r>
            <w:r w:rsidR="512DC3BA" w:rsidRPr="5683F082">
              <w:rPr>
                <w:b/>
                <w:bCs/>
                <w:sz w:val="20"/>
                <w:lang w:val="en-US" w:eastAsia="zh-CN"/>
              </w:rPr>
              <w:t>7</w:t>
            </w:r>
          </w:p>
        </w:tc>
        <w:tc>
          <w:tcPr>
            <w:tcW w:w="523" w:type="pct"/>
            <w:shd w:val="clear" w:color="auto" w:fill="FFFFFF" w:themeFill="background1"/>
            <w:vAlign w:val="center"/>
          </w:tcPr>
          <w:p w14:paraId="3BD9EB0E" w14:textId="0EB10C47" w:rsidR="00CC6ACA" w:rsidRPr="004967A6" w:rsidRDefault="00CC6ACA" w:rsidP="009E2086">
            <w:pPr>
              <w:pStyle w:val="Tabletext"/>
              <w:rPr>
                <w:sz w:val="20"/>
                <w:lang w:val="en-US"/>
              </w:rPr>
            </w:pPr>
            <w:r w:rsidRPr="004967A6">
              <w:rPr>
                <w:sz w:val="20"/>
              </w:rPr>
              <w:t>Data</w:t>
            </w:r>
            <w:r w:rsidRPr="004967A6">
              <w:rPr>
                <w:sz w:val="20"/>
                <w:lang w:eastAsia="zh-CN"/>
              </w:rPr>
              <w:t xml:space="preserve"> and </w:t>
            </w:r>
            <w:r w:rsidR="00185778" w:rsidRPr="004967A6">
              <w:rPr>
                <w:sz w:val="20"/>
                <w:lang w:eastAsia="zh-CN"/>
              </w:rPr>
              <w:t>reporting</w:t>
            </w:r>
          </w:p>
        </w:tc>
        <w:tc>
          <w:tcPr>
            <w:tcW w:w="1759" w:type="pct"/>
            <w:shd w:val="clear" w:color="auto" w:fill="FFFFFF" w:themeFill="background1"/>
            <w:vAlign w:val="center"/>
          </w:tcPr>
          <w:p w14:paraId="321B57D8" w14:textId="6503716E" w:rsidR="00CC6ACA" w:rsidRPr="004967A6" w:rsidRDefault="004967A6" w:rsidP="000027F9">
            <w:pPr>
              <w:pStyle w:val="Tabletext"/>
              <w:ind w:left="284" w:hanging="284"/>
              <w:rPr>
                <w:sz w:val="20"/>
                <w:lang w:val="en-US"/>
              </w:rPr>
            </w:pPr>
            <w:r w:rsidRPr="004967A6">
              <w:rPr>
                <w:sz w:val="20"/>
                <w:lang w:val="en-US" w:bidi="en-US"/>
              </w:rPr>
              <w:t>–</w:t>
            </w:r>
            <w:r w:rsidRPr="004967A6">
              <w:rPr>
                <w:sz w:val="20"/>
                <w:lang w:val="en-US" w:bidi="en-US"/>
              </w:rPr>
              <w:tab/>
            </w:r>
            <w:r w:rsidR="00CC6ACA" w:rsidRPr="004967A6">
              <w:rPr>
                <w:rFonts w:hint="eastAsia"/>
                <w:sz w:val="20"/>
                <w:lang w:eastAsia="zh-CN"/>
              </w:rPr>
              <w:t>Access to</w:t>
            </w:r>
            <w:r w:rsidR="00CC6ACA" w:rsidRPr="004967A6">
              <w:rPr>
                <w:sz w:val="20"/>
              </w:rPr>
              <w:t xml:space="preserve"> HR </w:t>
            </w:r>
            <w:r w:rsidR="00CC6ACA" w:rsidRPr="004967A6">
              <w:rPr>
                <w:rFonts w:hint="eastAsia"/>
                <w:sz w:val="20"/>
                <w:lang w:eastAsia="zh-CN"/>
              </w:rPr>
              <w:t xml:space="preserve">workforce analytics </w:t>
            </w:r>
            <w:r w:rsidR="00CC6ACA" w:rsidRPr="004967A6">
              <w:rPr>
                <w:sz w:val="20"/>
              </w:rPr>
              <w:t>dashboard</w:t>
            </w:r>
          </w:p>
        </w:tc>
        <w:tc>
          <w:tcPr>
            <w:tcW w:w="2511" w:type="pct"/>
            <w:vAlign w:val="center"/>
          </w:tcPr>
          <w:p w14:paraId="5E05D88D" w14:textId="77777777" w:rsidR="00CC6ACA" w:rsidRPr="004967A6" w:rsidRDefault="00CC6ACA" w:rsidP="009E2086">
            <w:pPr>
              <w:pStyle w:val="Tabletext"/>
              <w:rPr>
                <w:rFonts w:eastAsia="Malgun Gothic"/>
                <w:sz w:val="20"/>
                <w:lang w:eastAsia="ko-KR"/>
              </w:rPr>
            </w:pPr>
            <w:r w:rsidRPr="004967A6">
              <w:rPr>
                <w:sz w:val="20"/>
                <w:lang w:eastAsia="zh-CN"/>
              </w:rPr>
              <w:t>All staff members and member states with</w:t>
            </w:r>
            <w:r w:rsidRPr="004967A6">
              <w:rPr>
                <w:rFonts w:hint="eastAsia"/>
                <w:sz w:val="20"/>
                <w:lang w:eastAsia="zh-CN"/>
              </w:rPr>
              <w:t xml:space="preserve"> a</w:t>
            </w:r>
            <w:r w:rsidRPr="004967A6">
              <w:rPr>
                <w:sz w:val="20"/>
                <w:lang w:eastAsia="zh-CN"/>
              </w:rPr>
              <w:t xml:space="preserve"> TIES account have access to this dashboard.</w:t>
            </w:r>
          </w:p>
        </w:tc>
      </w:tr>
      <w:tr w:rsidR="00CC6ACA" w:rsidRPr="00917736" w14:paraId="79CF45A4" w14:textId="77777777" w:rsidTr="6E86A8A3">
        <w:trPr>
          <w:trHeight w:val="597"/>
          <w:jc w:val="center"/>
        </w:trPr>
        <w:tc>
          <w:tcPr>
            <w:tcW w:w="207" w:type="pct"/>
            <w:shd w:val="clear" w:color="auto" w:fill="FFFFFF" w:themeFill="background1"/>
            <w:vAlign w:val="center"/>
          </w:tcPr>
          <w:p w14:paraId="4F9ABD3F" w14:textId="5A63C1F8" w:rsidR="00CC6ACA" w:rsidRPr="004967A6" w:rsidRDefault="423573D8" w:rsidP="5683F082">
            <w:pPr>
              <w:pStyle w:val="Tabletext"/>
              <w:spacing w:line="259" w:lineRule="auto"/>
              <w:jc w:val="center"/>
              <w:rPr>
                <w:b/>
                <w:sz w:val="20"/>
                <w:lang w:val="en-US" w:eastAsia="zh-CN"/>
              </w:rPr>
            </w:pPr>
            <w:r w:rsidRPr="5683F082">
              <w:rPr>
                <w:b/>
                <w:bCs/>
                <w:sz w:val="20"/>
                <w:lang w:val="en-US" w:eastAsia="zh-CN"/>
              </w:rPr>
              <w:t>18</w:t>
            </w:r>
          </w:p>
        </w:tc>
        <w:tc>
          <w:tcPr>
            <w:tcW w:w="523" w:type="pct"/>
            <w:shd w:val="clear" w:color="auto" w:fill="FFFFFF" w:themeFill="background1"/>
            <w:vAlign w:val="center"/>
          </w:tcPr>
          <w:p w14:paraId="7E5B0255" w14:textId="2FB18FA7" w:rsidR="00CC6ACA" w:rsidRPr="004967A6" w:rsidRDefault="00CC6ACA" w:rsidP="009E2086">
            <w:pPr>
              <w:pStyle w:val="Tabletext"/>
              <w:rPr>
                <w:sz w:val="20"/>
                <w:lang w:val="en-US"/>
              </w:rPr>
            </w:pPr>
            <w:r w:rsidRPr="004967A6">
              <w:rPr>
                <w:sz w:val="20"/>
              </w:rPr>
              <w:t>Data</w:t>
            </w:r>
            <w:r w:rsidRPr="004967A6">
              <w:rPr>
                <w:sz w:val="20"/>
                <w:lang w:eastAsia="zh-CN"/>
              </w:rPr>
              <w:t xml:space="preserve"> and </w:t>
            </w:r>
            <w:r w:rsidR="00185778" w:rsidRPr="004967A6">
              <w:rPr>
                <w:sz w:val="20"/>
                <w:lang w:eastAsia="zh-CN"/>
              </w:rPr>
              <w:t>reporting</w:t>
            </w:r>
          </w:p>
        </w:tc>
        <w:tc>
          <w:tcPr>
            <w:tcW w:w="1759" w:type="pct"/>
            <w:shd w:val="clear" w:color="auto" w:fill="FFFFFF" w:themeFill="background1"/>
            <w:vAlign w:val="center"/>
          </w:tcPr>
          <w:p w14:paraId="04757F07" w14:textId="3C78309F" w:rsidR="00CC6ACA" w:rsidRPr="004967A6" w:rsidRDefault="004967A6" w:rsidP="000027F9">
            <w:pPr>
              <w:pStyle w:val="Tabletext"/>
              <w:ind w:left="284" w:hanging="284"/>
              <w:rPr>
                <w:sz w:val="20"/>
              </w:rPr>
            </w:pPr>
            <w:r w:rsidRPr="004967A6">
              <w:rPr>
                <w:sz w:val="20"/>
                <w:lang w:val="en-US" w:bidi="en-US"/>
              </w:rPr>
              <w:t>–</w:t>
            </w:r>
            <w:r w:rsidRPr="004967A6">
              <w:rPr>
                <w:sz w:val="20"/>
                <w:lang w:val="en-US" w:bidi="en-US"/>
              </w:rPr>
              <w:tab/>
            </w:r>
            <w:r w:rsidR="00CC6ACA" w:rsidRPr="004967A6">
              <w:rPr>
                <w:sz w:val="20"/>
              </w:rPr>
              <w:t>% of data connections established between reporting tools and data sources</w:t>
            </w:r>
          </w:p>
        </w:tc>
        <w:tc>
          <w:tcPr>
            <w:tcW w:w="2511" w:type="pct"/>
          </w:tcPr>
          <w:p w14:paraId="2A96E4AB" w14:textId="1E887D48" w:rsidR="00CC6ACA" w:rsidRPr="004967A6" w:rsidRDefault="00CC6ACA" w:rsidP="003D75DD">
            <w:pPr>
              <w:pStyle w:val="Tabletext"/>
              <w:rPr>
                <w:rFonts w:eastAsia="Malgun Gothic"/>
                <w:sz w:val="20"/>
                <w:lang w:eastAsia="ko-KR"/>
              </w:rPr>
            </w:pPr>
            <w:r w:rsidRPr="004967A6">
              <w:rPr>
                <w:rFonts w:hint="eastAsia"/>
                <w:sz w:val="20"/>
                <w:lang w:eastAsia="zh-CN"/>
              </w:rPr>
              <w:t>D</w:t>
            </w:r>
            <w:r w:rsidRPr="004967A6">
              <w:rPr>
                <w:sz w:val="20"/>
              </w:rPr>
              <w:t>ata connections established between reporting tools and data sources</w:t>
            </w:r>
            <w:r w:rsidRPr="004967A6">
              <w:rPr>
                <w:rFonts w:hint="eastAsia"/>
                <w:sz w:val="20"/>
                <w:lang w:eastAsia="zh-CN"/>
              </w:rPr>
              <w:t xml:space="preserve">: </w:t>
            </w:r>
            <w:r w:rsidRPr="004967A6">
              <w:rPr>
                <w:rFonts w:eastAsia="Malgun Gothic"/>
                <w:sz w:val="20"/>
                <w:lang w:eastAsia="ko-KR"/>
              </w:rPr>
              <w:t>100%</w:t>
            </w:r>
            <w:r w:rsidR="003D75DD">
              <w:rPr>
                <w:rFonts w:eastAsia="Malgun Gothic"/>
                <w:sz w:val="20"/>
                <w:lang w:eastAsia="ko-KR"/>
              </w:rPr>
              <w:t>.</w:t>
            </w:r>
          </w:p>
        </w:tc>
      </w:tr>
      <w:tr w:rsidR="00CC6ACA" w:rsidRPr="00917736" w14:paraId="31D90B7F" w14:textId="77777777" w:rsidTr="6E86A8A3">
        <w:trPr>
          <w:trHeight w:val="430"/>
          <w:jc w:val="center"/>
        </w:trPr>
        <w:tc>
          <w:tcPr>
            <w:tcW w:w="207" w:type="pct"/>
            <w:shd w:val="clear" w:color="auto" w:fill="FFFFFF" w:themeFill="background1"/>
            <w:vAlign w:val="center"/>
          </w:tcPr>
          <w:p w14:paraId="1FAF9666" w14:textId="40152461" w:rsidR="00CC6ACA" w:rsidRPr="004967A6" w:rsidRDefault="10071C20" w:rsidP="000027F9">
            <w:pPr>
              <w:pStyle w:val="Tabletext"/>
              <w:jc w:val="center"/>
              <w:rPr>
                <w:b/>
                <w:sz w:val="20"/>
                <w:lang w:val="en-US" w:eastAsia="zh-CN"/>
              </w:rPr>
            </w:pPr>
            <w:r w:rsidRPr="5683F082">
              <w:rPr>
                <w:b/>
                <w:bCs/>
                <w:sz w:val="20"/>
                <w:lang w:val="en-US" w:eastAsia="zh-CN"/>
              </w:rPr>
              <w:t>19</w:t>
            </w:r>
          </w:p>
        </w:tc>
        <w:tc>
          <w:tcPr>
            <w:tcW w:w="523" w:type="pct"/>
            <w:shd w:val="clear" w:color="auto" w:fill="FFFFFF" w:themeFill="background1"/>
            <w:vAlign w:val="center"/>
          </w:tcPr>
          <w:p w14:paraId="2E29773C" w14:textId="77777777" w:rsidR="00CC6ACA" w:rsidRPr="004967A6" w:rsidRDefault="00CC6ACA" w:rsidP="009E2086">
            <w:pPr>
              <w:pStyle w:val="Tabletext"/>
              <w:rPr>
                <w:sz w:val="20"/>
                <w:lang w:val="en-US"/>
              </w:rPr>
            </w:pPr>
            <w:r w:rsidRPr="004967A6">
              <w:rPr>
                <w:sz w:val="20"/>
              </w:rPr>
              <w:t>Data</w:t>
            </w:r>
            <w:r w:rsidRPr="004967A6">
              <w:rPr>
                <w:sz w:val="20"/>
                <w:lang w:eastAsia="zh-CN"/>
              </w:rPr>
              <w:t xml:space="preserve"> and Reporting</w:t>
            </w:r>
          </w:p>
        </w:tc>
        <w:tc>
          <w:tcPr>
            <w:tcW w:w="1759" w:type="pct"/>
            <w:shd w:val="clear" w:color="auto" w:fill="FFFFFF" w:themeFill="background1"/>
            <w:vAlign w:val="center"/>
          </w:tcPr>
          <w:p w14:paraId="07D00AC6" w14:textId="2458D08B" w:rsidR="00CC6ACA" w:rsidRPr="004967A6" w:rsidRDefault="004967A6" w:rsidP="000027F9">
            <w:pPr>
              <w:pStyle w:val="Tabletext"/>
              <w:ind w:left="284" w:hanging="284"/>
              <w:rPr>
                <w:sz w:val="20"/>
              </w:rPr>
            </w:pPr>
            <w:r w:rsidRPr="004967A6">
              <w:rPr>
                <w:sz w:val="20"/>
                <w:lang w:val="en-US" w:bidi="en-US"/>
              </w:rPr>
              <w:t>–</w:t>
            </w:r>
            <w:r w:rsidRPr="004967A6">
              <w:rPr>
                <w:sz w:val="20"/>
                <w:lang w:val="en-US" w:bidi="en-US"/>
              </w:rPr>
              <w:tab/>
            </w:r>
            <w:r w:rsidR="00CC6ACA" w:rsidRPr="004967A6">
              <w:rPr>
                <w:sz w:val="20"/>
                <w:lang w:eastAsia="zh-CN"/>
              </w:rPr>
              <w:t xml:space="preserve">Health insurance data </w:t>
            </w:r>
            <w:r w:rsidR="00CC6ACA" w:rsidRPr="004967A6">
              <w:rPr>
                <w:rFonts w:hint="eastAsia"/>
                <w:sz w:val="20"/>
                <w:lang w:eastAsia="zh-CN"/>
              </w:rPr>
              <w:t>update</w:t>
            </w:r>
          </w:p>
        </w:tc>
        <w:tc>
          <w:tcPr>
            <w:tcW w:w="2511" w:type="pct"/>
            <w:vAlign w:val="center"/>
          </w:tcPr>
          <w:p w14:paraId="5339F677" w14:textId="77777777" w:rsidR="00CC6ACA" w:rsidRPr="004967A6" w:rsidRDefault="00CC6ACA" w:rsidP="009E2086">
            <w:pPr>
              <w:pStyle w:val="Tabletext"/>
              <w:rPr>
                <w:sz w:val="20"/>
                <w:lang w:eastAsia="zh-CN"/>
              </w:rPr>
            </w:pPr>
            <w:r w:rsidRPr="004967A6">
              <w:rPr>
                <w:sz w:val="20"/>
                <w:lang w:eastAsia="zh-CN"/>
              </w:rPr>
              <w:t>385 SAP health insurance records reviewed and updated.</w:t>
            </w:r>
          </w:p>
          <w:p w14:paraId="71B11755" w14:textId="6F866855" w:rsidR="00CC6ACA" w:rsidRPr="004967A6" w:rsidRDefault="00CC6ACA" w:rsidP="009E2086">
            <w:pPr>
              <w:pStyle w:val="Tabletext"/>
              <w:rPr>
                <w:sz w:val="20"/>
                <w:lang w:eastAsia="zh-CN"/>
              </w:rPr>
            </w:pPr>
            <w:r w:rsidRPr="004967A6">
              <w:rPr>
                <w:sz w:val="20"/>
                <w:lang w:eastAsia="zh-CN"/>
              </w:rPr>
              <w:t>3</w:t>
            </w:r>
            <w:r w:rsidR="003D75DD">
              <w:rPr>
                <w:sz w:val="20"/>
                <w:lang w:eastAsia="zh-CN"/>
              </w:rPr>
              <w:t> </w:t>
            </w:r>
            <w:r w:rsidRPr="004967A6">
              <w:rPr>
                <w:sz w:val="20"/>
                <w:lang w:eastAsia="zh-CN"/>
              </w:rPr>
              <w:t>074 SAP health insurance records updated as part of a data cleaning exercise completed in 2025.</w:t>
            </w:r>
          </w:p>
        </w:tc>
      </w:tr>
      <w:tr w:rsidR="00CC6ACA" w:rsidRPr="00917736" w14:paraId="3D170655" w14:textId="77777777" w:rsidTr="6E86A8A3">
        <w:trPr>
          <w:trHeight w:val="20"/>
          <w:jc w:val="center"/>
        </w:trPr>
        <w:tc>
          <w:tcPr>
            <w:tcW w:w="207" w:type="pct"/>
            <w:shd w:val="clear" w:color="auto" w:fill="FFFFFF" w:themeFill="background1"/>
            <w:vAlign w:val="center"/>
          </w:tcPr>
          <w:p w14:paraId="6E9AC51A" w14:textId="06217C8D" w:rsidR="00CC6ACA" w:rsidRPr="004967A6" w:rsidRDefault="7153531E" w:rsidP="000027F9">
            <w:pPr>
              <w:pStyle w:val="Tabletext"/>
              <w:jc w:val="center"/>
              <w:rPr>
                <w:b/>
                <w:sz w:val="20"/>
                <w:lang w:val="en-US" w:eastAsia="zh-CN"/>
              </w:rPr>
            </w:pPr>
            <w:r w:rsidRPr="5683F082">
              <w:rPr>
                <w:b/>
                <w:bCs/>
                <w:sz w:val="20"/>
                <w:lang w:val="en-US" w:eastAsia="zh-CN"/>
              </w:rPr>
              <w:t>2</w:t>
            </w:r>
            <w:r w:rsidR="276029A0" w:rsidRPr="5683F082">
              <w:rPr>
                <w:b/>
                <w:bCs/>
                <w:sz w:val="20"/>
                <w:lang w:val="en-US" w:eastAsia="zh-CN"/>
              </w:rPr>
              <w:t>0</w:t>
            </w:r>
          </w:p>
        </w:tc>
        <w:tc>
          <w:tcPr>
            <w:tcW w:w="523" w:type="pct"/>
            <w:shd w:val="clear" w:color="auto" w:fill="FFFFFF" w:themeFill="background1"/>
            <w:vAlign w:val="center"/>
          </w:tcPr>
          <w:p w14:paraId="4288589A" w14:textId="45CB43D5" w:rsidR="00CC6ACA" w:rsidRPr="004967A6" w:rsidRDefault="00CC6ACA" w:rsidP="009E2086">
            <w:pPr>
              <w:pStyle w:val="Tabletext"/>
              <w:rPr>
                <w:bCs/>
                <w:sz w:val="20"/>
                <w:lang w:val="en-US"/>
              </w:rPr>
            </w:pPr>
            <w:r w:rsidRPr="004967A6">
              <w:rPr>
                <w:bCs/>
                <w:sz w:val="20"/>
                <w:lang w:val="en-US"/>
              </w:rPr>
              <w:t>Engagement</w:t>
            </w:r>
            <w:r w:rsidRPr="004967A6">
              <w:rPr>
                <w:bCs/>
                <w:sz w:val="20"/>
                <w:lang w:val="en-US" w:eastAsia="zh-CN"/>
              </w:rPr>
              <w:t xml:space="preserve"> and </w:t>
            </w:r>
            <w:r w:rsidR="00185778" w:rsidRPr="004967A6">
              <w:rPr>
                <w:bCs/>
                <w:sz w:val="20"/>
                <w:lang w:val="en-US"/>
              </w:rPr>
              <w:t>culture</w:t>
            </w:r>
          </w:p>
        </w:tc>
        <w:tc>
          <w:tcPr>
            <w:tcW w:w="1759" w:type="pct"/>
            <w:shd w:val="clear" w:color="auto" w:fill="FFFFFF" w:themeFill="background1"/>
            <w:vAlign w:val="center"/>
          </w:tcPr>
          <w:p w14:paraId="03BBE3FD" w14:textId="203A23FD" w:rsidR="00CC6ACA" w:rsidRPr="004967A6" w:rsidRDefault="004967A6" w:rsidP="000027F9">
            <w:pPr>
              <w:pStyle w:val="Tabletext"/>
              <w:ind w:left="284" w:hanging="284"/>
              <w:rPr>
                <w:sz w:val="20"/>
                <w:lang w:val="en-US" w:eastAsia="zh-CN"/>
              </w:rPr>
            </w:pPr>
            <w:r w:rsidRPr="004967A6">
              <w:rPr>
                <w:sz w:val="20"/>
                <w:lang w:val="en-US" w:bidi="en-US"/>
              </w:rPr>
              <w:t>–</w:t>
            </w:r>
            <w:r w:rsidRPr="004967A6">
              <w:rPr>
                <w:sz w:val="20"/>
                <w:lang w:val="en-US" w:bidi="en-US"/>
              </w:rPr>
              <w:tab/>
            </w:r>
            <w:r w:rsidR="00CC6ACA" w:rsidRPr="004967A6">
              <w:rPr>
                <w:sz w:val="20"/>
                <w:lang w:val="en-US"/>
              </w:rPr>
              <w:t>M</w:t>
            </w:r>
            <w:r w:rsidR="00CC6ACA" w:rsidRPr="004967A6">
              <w:rPr>
                <w:rFonts w:hint="eastAsia"/>
                <w:sz w:val="20"/>
                <w:lang w:val="en-US"/>
              </w:rPr>
              <w:t>ental health and well</w:t>
            </w:r>
            <w:r w:rsidR="00CC6ACA" w:rsidRPr="004967A6">
              <w:rPr>
                <w:rFonts w:hint="eastAsia"/>
                <w:sz w:val="20"/>
                <w:lang w:val="en-US" w:eastAsia="zh-CN"/>
              </w:rPr>
              <w:t>-</w:t>
            </w:r>
            <w:r w:rsidR="00CC6ACA" w:rsidRPr="004967A6">
              <w:rPr>
                <w:rFonts w:hint="eastAsia"/>
                <w:sz w:val="20"/>
                <w:lang w:val="en-US"/>
              </w:rPr>
              <w:t>being</w:t>
            </w:r>
            <w:r w:rsidR="00CC6ACA" w:rsidRPr="004967A6">
              <w:rPr>
                <w:rFonts w:hint="eastAsia"/>
                <w:sz w:val="20"/>
                <w:lang w:val="en-US" w:eastAsia="zh-CN"/>
              </w:rPr>
              <w:t xml:space="preserve"> initiatives</w:t>
            </w:r>
          </w:p>
        </w:tc>
        <w:tc>
          <w:tcPr>
            <w:tcW w:w="2511" w:type="pct"/>
            <w:vAlign w:val="center"/>
          </w:tcPr>
          <w:p w14:paraId="5A2624CB" w14:textId="1E8BAA20" w:rsidR="00CC6ACA" w:rsidRPr="004967A6" w:rsidRDefault="00CC6ACA" w:rsidP="009E2086">
            <w:pPr>
              <w:pStyle w:val="Tabletext"/>
              <w:rPr>
                <w:sz w:val="20"/>
                <w:lang w:eastAsia="zh-CN"/>
              </w:rPr>
            </w:pPr>
            <w:r w:rsidRPr="004967A6">
              <w:rPr>
                <w:sz w:val="20"/>
                <w:lang w:eastAsia="zh-CN"/>
              </w:rPr>
              <w:t>Mindfulness and well</w:t>
            </w:r>
            <w:r w:rsidRPr="004967A6">
              <w:rPr>
                <w:rFonts w:hint="eastAsia"/>
                <w:sz w:val="20"/>
                <w:lang w:eastAsia="zh-CN"/>
              </w:rPr>
              <w:t>-</w:t>
            </w:r>
            <w:r w:rsidRPr="004967A6">
              <w:rPr>
                <w:sz w:val="20"/>
                <w:lang w:eastAsia="zh-CN"/>
              </w:rPr>
              <w:t xml:space="preserve">being sessions for HQ and field staff, including stress management and online resources (e.g. </w:t>
            </w:r>
            <w:r w:rsidRPr="004967A6">
              <w:rPr>
                <w:rFonts w:hint="eastAsia"/>
                <w:sz w:val="20"/>
                <w:lang w:eastAsia="zh-CN"/>
              </w:rPr>
              <w:t xml:space="preserve">a </w:t>
            </w:r>
            <w:r w:rsidR="00A93CE3" w:rsidRPr="004967A6">
              <w:rPr>
                <w:sz w:val="20"/>
                <w:lang w:eastAsia="zh-CN"/>
              </w:rPr>
              <w:t>well</w:t>
            </w:r>
            <w:r w:rsidRPr="004967A6">
              <w:rPr>
                <w:rFonts w:hint="eastAsia"/>
                <w:sz w:val="20"/>
                <w:lang w:eastAsia="zh-CN"/>
              </w:rPr>
              <w:t>-</w:t>
            </w:r>
            <w:r w:rsidRPr="004967A6">
              <w:rPr>
                <w:sz w:val="20"/>
                <w:lang w:eastAsia="zh-CN"/>
              </w:rPr>
              <w:t xml:space="preserve">being </w:t>
            </w:r>
            <w:r w:rsidRPr="004967A6">
              <w:rPr>
                <w:rFonts w:hint="eastAsia"/>
                <w:sz w:val="20"/>
                <w:lang w:eastAsia="zh-CN"/>
              </w:rPr>
              <w:t>p</w:t>
            </w:r>
            <w:r w:rsidRPr="004967A6">
              <w:rPr>
                <w:sz w:val="20"/>
                <w:lang w:eastAsia="zh-CN"/>
              </w:rPr>
              <w:t>laylist)</w:t>
            </w:r>
            <w:r w:rsidRPr="004967A6">
              <w:rPr>
                <w:rFonts w:hint="eastAsia"/>
                <w:sz w:val="20"/>
                <w:lang w:eastAsia="zh-CN"/>
              </w:rPr>
              <w:t>.</w:t>
            </w:r>
          </w:p>
          <w:p w14:paraId="045E6F51" w14:textId="77777777" w:rsidR="00CC6ACA" w:rsidRPr="004967A6" w:rsidRDefault="00CC6ACA" w:rsidP="009E2086">
            <w:pPr>
              <w:pStyle w:val="Tabletext"/>
              <w:rPr>
                <w:sz w:val="20"/>
                <w:lang w:eastAsia="zh-CN"/>
              </w:rPr>
            </w:pPr>
            <w:r w:rsidRPr="004967A6">
              <w:rPr>
                <w:sz w:val="20"/>
                <w:lang w:eastAsia="zh-CN"/>
              </w:rPr>
              <w:t>Confidential counselling access, with 206 individual sessions in 202</w:t>
            </w:r>
            <w:r w:rsidRPr="004967A6">
              <w:rPr>
                <w:rFonts w:hint="eastAsia"/>
                <w:sz w:val="20"/>
                <w:lang w:eastAsia="zh-CN"/>
              </w:rPr>
              <w:t xml:space="preserve">5 </w:t>
            </w:r>
            <w:r w:rsidRPr="004967A6">
              <w:rPr>
                <w:sz w:val="20"/>
                <w:lang w:eastAsia="zh-CN"/>
              </w:rPr>
              <w:t>and improved referral pathways</w:t>
            </w:r>
            <w:r w:rsidRPr="004967A6">
              <w:rPr>
                <w:rFonts w:hint="eastAsia"/>
                <w:sz w:val="20"/>
                <w:lang w:eastAsia="zh-CN"/>
              </w:rPr>
              <w:t>.</w:t>
            </w:r>
          </w:p>
          <w:p w14:paraId="35E13BA9" w14:textId="77777777" w:rsidR="00CC6ACA" w:rsidRPr="004967A6" w:rsidRDefault="00CC6ACA" w:rsidP="009E2086">
            <w:pPr>
              <w:pStyle w:val="Tabletext"/>
              <w:rPr>
                <w:sz w:val="20"/>
                <w:lang w:eastAsia="zh-CN"/>
              </w:rPr>
            </w:pPr>
            <w:r w:rsidRPr="004967A6">
              <w:rPr>
                <w:sz w:val="20"/>
                <w:lang w:eastAsia="zh-CN"/>
              </w:rPr>
              <w:t>Shared Ombuds function established in January 2026</w:t>
            </w:r>
            <w:r w:rsidRPr="004967A6">
              <w:rPr>
                <w:rFonts w:hint="eastAsia"/>
                <w:sz w:val="20"/>
                <w:lang w:eastAsia="zh-CN"/>
              </w:rPr>
              <w:t>.</w:t>
            </w:r>
          </w:p>
          <w:p w14:paraId="1CBA95F1" w14:textId="77777777" w:rsidR="00CC6ACA" w:rsidRPr="004967A6" w:rsidRDefault="00CC6ACA" w:rsidP="009E2086">
            <w:pPr>
              <w:pStyle w:val="Tabletext"/>
              <w:rPr>
                <w:sz w:val="20"/>
                <w:lang w:eastAsia="zh-CN"/>
              </w:rPr>
            </w:pPr>
            <w:r w:rsidRPr="004967A6">
              <w:rPr>
                <w:sz w:val="20"/>
                <w:lang w:eastAsia="zh-CN"/>
              </w:rPr>
              <w:t>Training s</w:t>
            </w:r>
            <w:r w:rsidRPr="004967A6">
              <w:rPr>
                <w:rFonts w:hint="eastAsia"/>
                <w:sz w:val="20"/>
                <w:lang w:eastAsia="zh-CN"/>
              </w:rPr>
              <w:t xml:space="preserve">essions </w:t>
            </w:r>
            <w:r w:rsidRPr="004967A6">
              <w:rPr>
                <w:sz w:val="20"/>
                <w:lang w:eastAsia="zh-CN"/>
              </w:rPr>
              <w:t>on microaggressions, unconscious bias, and inclusive leadership</w:t>
            </w:r>
            <w:r w:rsidRPr="004967A6">
              <w:rPr>
                <w:rFonts w:hint="eastAsia"/>
                <w:sz w:val="20"/>
                <w:lang w:eastAsia="zh-CN"/>
              </w:rPr>
              <w:t>, etc.</w:t>
            </w:r>
          </w:p>
        </w:tc>
      </w:tr>
    </w:tbl>
    <w:p w14:paraId="32ACBE97" w14:textId="77777777" w:rsidR="00CB1E21" w:rsidRDefault="00CB1E21" w:rsidP="00CB1E21"/>
    <w:p w14:paraId="73022D7A" w14:textId="362132F5" w:rsidR="000027F9" w:rsidRDefault="000027F9">
      <w:pPr>
        <w:jc w:val="center"/>
      </w:pPr>
      <w:r>
        <w:t>______________</w:t>
      </w:r>
    </w:p>
    <w:sectPr w:rsidR="000027F9" w:rsidSect="00CC6ACA">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8318" w14:textId="77777777" w:rsidR="00F72DD4" w:rsidRDefault="00F72DD4">
      <w:r>
        <w:separator/>
      </w:r>
    </w:p>
  </w:endnote>
  <w:endnote w:type="continuationSeparator" w:id="0">
    <w:p w14:paraId="4B640B67" w14:textId="77777777" w:rsidR="00F72DD4" w:rsidRDefault="00F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92038AD" w14:textId="77777777" w:rsidTr="00451CFA">
      <w:trPr>
        <w:jc w:val="center"/>
      </w:trPr>
      <w:tc>
        <w:tcPr>
          <w:tcW w:w="1803" w:type="dxa"/>
          <w:vAlign w:val="center"/>
        </w:tcPr>
        <w:p w14:paraId="6E76EA25" w14:textId="77777777" w:rsidR="00EE49E8" w:rsidRDefault="00C6520B" w:rsidP="00EE49E8">
          <w:pPr>
            <w:pStyle w:val="Header"/>
            <w:jc w:val="left"/>
            <w:rPr>
              <w:noProof/>
            </w:rPr>
          </w:pPr>
          <w:r>
            <w:rPr>
              <w:noProof/>
            </w:rPr>
            <w:t>gDoc #</w:t>
          </w:r>
        </w:p>
      </w:tc>
      <w:tc>
        <w:tcPr>
          <w:tcW w:w="8261" w:type="dxa"/>
        </w:tcPr>
        <w:p w14:paraId="63016F85" w14:textId="7349A39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C6ACA">
            <w:rPr>
              <w:bCs/>
            </w:rPr>
            <w:t>66</w:t>
          </w:r>
          <w:r w:rsidRPr="00623AE3">
            <w:rPr>
              <w:bCs/>
            </w:rPr>
            <w:t>-E</w:t>
          </w:r>
          <w:r>
            <w:rPr>
              <w:bCs/>
            </w:rPr>
            <w:tab/>
          </w:r>
          <w:r>
            <w:fldChar w:fldCharType="begin"/>
          </w:r>
          <w:r>
            <w:instrText>PAGE</w:instrText>
          </w:r>
          <w:r>
            <w:fldChar w:fldCharType="separate"/>
          </w:r>
          <w:r>
            <w:t>1</w:t>
          </w:r>
          <w:r>
            <w:rPr>
              <w:noProof/>
            </w:rPr>
            <w:fldChar w:fldCharType="end"/>
          </w:r>
        </w:p>
      </w:tc>
    </w:tr>
  </w:tbl>
  <w:p w14:paraId="742B2C3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4AB4BAC2" w14:textId="77777777" w:rsidTr="006B77F1">
      <w:trPr>
        <w:jc w:val="center"/>
      </w:trPr>
      <w:tc>
        <w:tcPr>
          <w:tcW w:w="1803" w:type="dxa"/>
          <w:vAlign w:val="center"/>
        </w:tcPr>
        <w:p w14:paraId="1CDFDC11"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0A3C36" w14:textId="2B5BCF6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C6ACA">
            <w:rPr>
              <w:bCs/>
            </w:rPr>
            <w:t>66</w:t>
          </w:r>
          <w:r w:rsidRPr="00623AE3">
            <w:rPr>
              <w:bCs/>
            </w:rPr>
            <w:t>-E</w:t>
          </w:r>
          <w:r>
            <w:rPr>
              <w:bCs/>
            </w:rPr>
            <w:tab/>
          </w:r>
          <w:r>
            <w:fldChar w:fldCharType="begin"/>
          </w:r>
          <w:r>
            <w:instrText>PAGE</w:instrText>
          </w:r>
          <w:r>
            <w:fldChar w:fldCharType="separate"/>
          </w:r>
          <w:r>
            <w:t>1</w:t>
          </w:r>
          <w:r>
            <w:rPr>
              <w:noProof/>
            </w:rPr>
            <w:fldChar w:fldCharType="end"/>
          </w:r>
        </w:p>
      </w:tc>
    </w:tr>
  </w:tbl>
  <w:p w14:paraId="126D87D6"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7297" w14:textId="77777777" w:rsidR="00F72DD4" w:rsidRDefault="00F72DD4">
      <w:r>
        <w:t>____________________</w:t>
      </w:r>
    </w:p>
  </w:footnote>
  <w:footnote w:type="continuationSeparator" w:id="0">
    <w:p w14:paraId="723C681E" w14:textId="77777777" w:rsidR="00F72DD4" w:rsidRDefault="00F7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7359"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112E6"/>
    <w:multiLevelType w:val="hybridMultilevel"/>
    <w:tmpl w:val="774C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E70A92"/>
    <w:multiLevelType w:val="hybridMultilevel"/>
    <w:tmpl w:val="4F10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547740"/>
    <w:multiLevelType w:val="hybridMultilevel"/>
    <w:tmpl w:val="D24E9E6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9AC774B"/>
    <w:multiLevelType w:val="hybridMultilevel"/>
    <w:tmpl w:val="2AF8AFA2"/>
    <w:lvl w:ilvl="0" w:tplc="7CC63722">
      <w:start w:val="1"/>
      <w:numFmt w:val="bullet"/>
      <w:lvlText w:val=""/>
      <w:lvlJc w:val="left"/>
      <w:pPr>
        <w:ind w:left="360" w:hanging="360"/>
      </w:pPr>
      <w:rPr>
        <w:rFonts w:ascii="Symbol" w:hAnsi="Symbol" w:hint="default"/>
      </w:rPr>
    </w:lvl>
    <w:lvl w:ilvl="1" w:tplc="7F82FB58">
      <w:start w:val="1"/>
      <w:numFmt w:val="bullet"/>
      <w:lvlText w:val="o"/>
      <w:lvlJc w:val="left"/>
      <w:pPr>
        <w:ind w:left="1080" w:hanging="360"/>
      </w:pPr>
      <w:rPr>
        <w:rFonts w:ascii="Courier New" w:hAnsi="Courier New" w:hint="default"/>
      </w:rPr>
    </w:lvl>
    <w:lvl w:ilvl="2" w:tplc="04324E0A">
      <w:start w:val="1"/>
      <w:numFmt w:val="bullet"/>
      <w:lvlText w:val=""/>
      <w:lvlJc w:val="left"/>
      <w:pPr>
        <w:ind w:left="1800" w:hanging="360"/>
      </w:pPr>
      <w:rPr>
        <w:rFonts w:ascii="Wingdings" w:hAnsi="Wingdings" w:hint="default"/>
      </w:rPr>
    </w:lvl>
    <w:lvl w:ilvl="3" w:tplc="4B8215FC">
      <w:start w:val="1"/>
      <w:numFmt w:val="bullet"/>
      <w:lvlText w:val=""/>
      <w:lvlJc w:val="left"/>
      <w:pPr>
        <w:ind w:left="2520" w:hanging="360"/>
      </w:pPr>
      <w:rPr>
        <w:rFonts w:ascii="Symbol" w:hAnsi="Symbol" w:hint="default"/>
      </w:rPr>
    </w:lvl>
    <w:lvl w:ilvl="4" w:tplc="CEE0EB60">
      <w:start w:val="1"/>
      <w:numFmt w:val="bullet"/>
      <w:lvlText w:val="o"/>
      <w:lvlJc w:val="left"/>
      <w:pPr>
        <w:ind w:left="3240" w:hanging="360"/>
      </w:pPr>
      <w:rPr>
        <w:rFonts w:ascii="Courier New" w:hAnsi="Courier New" w:hint="default"/>
      </w:rPr>
    </w:lvl>
    <w:lvl w:ilvl="5" w:tplc="7152BB98">
      <w:start w:val="1"/>
      <w:numFmt w:val="bullet"/>
      <w:lvlText w:val=""/>
      <w:lvlJc w:val="left"/>
      <w:pPr>
        <w:ind w:left="3960" w:hanging="360"/>
      </w:pPr>
      <w:rPr>
        <w:rFonts w:ascii="Wingdings" w:hAnsi="Wingdings" w:hint="default"/>
      </w:rPr>
    </w:lvl>
    <w:lvl w:ilvl="6" w:tplc="44CA726E">
      <w:start w:val="1"/>
      <w:numFmt w:val="bullet"/>
      <w:lvlText w:val=""/>
      <w:lvlJc w:val="left"/>
      <w:pPr>
        <w:ind w:left="4680" w:hanging="360"/>
      </w:pPr>
      <w:rPr>
        <w:rFonts w:ascii="Symbol" w:hAnsi="Symbol" w:hint="default"/>
      </w:rPr>
    </w:lvl>
    <w:lvl w:ilvl="7" w:tplc="5A4471C4">
      <w:start w:val="1"/>
      <w:numFmt w:val="bullet"/>
      <w:lvlText w:val="o"/>
      <w:lvlJc w:val="left"/>
      <w:pPr>
        <w:ind w:left="5400" w:hanging="360"/>
      </w:pPr>
      <w:rPr>
        <w:rFonts w:ascii="Courier New" w:hAnsi="Courier New" w:hint="default"/>
      </w:rPr>
    </w:lvl>
    <w:lvl w:ilvl="8" w:tplc="E46C8380">
      <w:start w:val="1"/>
      <w:numFmt w:val="bullet"/>
      <w:lvlText w:val=""/>
      <w:lvlJc w:val="left"/>
      <w:pPr>
        <w:ind w:left="6120" w:hanging="360"/>
      </w:pPr>
      <w:rPr>
        <w:rFonts w:ascii="Wingdings" w:hAnsi="Wingdings" w:hint="default"/>
      </w:rPr>
    </w:lvl>
  </w:abstractNum>
  <w:num w:numId="1" w16cid:durableId="1374816267">
    <w:abstractNumId w:val="0"/>
  </w:num>
  <w:num w:numId="2" w16cid:durableId="872881990">
    <w:abstractNumId w:val="3"/>
  </w:num>
  <w:num w:numId="3" w16cid:durableId="2022273435">
    <w:abstractNumId w:val="1"/>
  </w:num>
  <w:num w:numId="4" w16cid:durableId="477461638">
    <w:abstractNumId w:val="2"/>
  </w:num>
  <w:num w:numId="5" w16cid:durableId="1024209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A1"/>
    <w:rsid w:val="000027F9"/>
    <w:rsid w:val="000210D4"/>
    <w:rsid w:val="00043351"/>
    <w:rsid w:val="00043396"/>
    <w:rsid w:val="0006007D"/>
    <w:rsid w:val="00063016"/>
    <w:rsid w:val="00066795"/>
    <w:rsid w:val="00076AF6"/>
    <w:rsid w:val="0008176E"/>
    <w:rsid w:val="00085CF2"/>
    <w:rsid w:val="000A5AC7"/>
    <w:rsid w:val="000B1705"/>
    <w:rsid w:val="000B2E6C"/>
    <w:rsid w:val="000B71E0"/>
    <w:rsid w:val="000C2241"/>
    <w:rsid w:val="000C52DF"/>
    <w:rsid w:val="000C5D16"/>
    <w:rsid w:val="000D75B2"/>
    <w:rsid w:val="000E372C"/>
    <w:rsid w:val="000F5DDB"/>
    <w:rsid w:val="001121F5"/>
    <w:rsid w:val="00115391"/>
    <w:rsid w:val="00124F6E"/>
    <w:rsid w:val="001400DC"/>
    <w:rsid w:val="00140ACF"/>
    <w:rsid w:val="00140CE1"/>
    <w:rsid w:val="0015189A"/>
    <w:rsid w:val="00154BBC"/>
    <w:rsid w:val="00166258"/>
    <w:rsid w:val="0017539C"/>
    <w:rsid w:val="00175AC2"/>
    <w:rsid w:val="0017609F"/>
    <w:rsid w:val="00176F47"/>
    <w:rsid w:val="00185778"/>
    <w:rsid w:val="00190818"/>
    <w:rsid w:val="00194412"/>
    <w:rsid w:val="00197F4E"/>
    <w:rsid w:val="001A3154"/>
    <w:rsid w:val="001A7D1D"/>
    <w:rsid w:val="001B51DD"/>
    <w:rsid w:val="001C2854"/>
    <w:rsid w:val="001C628E"/>
    <w:rsid w:val="001E0F7B"/>
    <w:rsid w:val="001E504A"/>
    <w:rsid w:val="001E59AA"/>
    <w:rsid w:val="001F5569"/>
    <w:rsid w:val="0020487B"/>
    <w:rsid w:val="002119FD"/>
    <w:rsid w:val="002130E0"/>
    <w:rsid w:val="00221F46"/>
    <w:rsid w:val="00225702"/>
    <w:rsid w:val="00227DA1"/>
    <w:rsid w:val="00251187"/>
    <w:rsid w:val="00264425"/>
    <w:rsid w:val="00265875"/>
    <w:rsid w:val="0027303B"/>
    <w:rsid w:val="00277DEA"/>
    <w:rsid w:val="0028109B"/>
    <w:rsid w:val="00282EDD"/>
    <w:rsid w:val="00287E44"/>
    <w:rsid w:val="002916B4"/>
    <w:rsid w:val="0029492A"/>
    <w:rsid w:val="00296705"/>
    <w:rsid w:val="00296E0B"/>
    <w:rsid w:val="002A0615"/>
    <w:rsid w:val="002A133E"/>
    <w:rsid w:val="002A2188"/>
    <w:rsid w:val="002A2983"/>
    <w:rsid w:val="002B1F58"/>
    <w:rsid w:val="002C1961"/>
    <w:rsid w:val="002C1C7A"/>
    <w:rsid w:val="002C3F32"/>
    <w:rsid w:val="002C54E2"/>
    <w:rsid w:val="002D5B67"/>
    <w:rsid w:val="002E0740"/>
    <w:rsid w:val="002F2D4A"/>
    <w:rsid w:val="0030160F"/>
    <w:rsid w:val="00320223"/>
    <w:rsid w:val="00322D0D"/>
    <w:rsid w:val="00323D45"/>
    <w:rsid w:val="00331211"/>
    <w:rsid w:val="00336149"/>
    <w:rsid w:val="00361465"/>
    <w:rsid w:val="00380045"/>
    <w:rsid w:val="003877F5"/>
    <w:rsid w:val="003936D3"/>
    <w:rsid w:val="003942D4"/>
    <w:rsid w:val="003958A8"/>
    <w:rsid w:val="003A12B8"/>
    <w:rsid w:val="003B29C2"/>
    <w:rsid w:val="003B4FAF"/>
    <w:rsid w:val="003C2533"/>
    <w:rsid w:val="003D5A7F"/>
    <w:rsid w:val="003D75DD"/>
    <w:rsid w:val="003F0228"/>
    <w:rsid w:val="003F6B0A"/>
    <w:rsid w:val="0040435A"/>
    <w:rsid w:val="00416A24"/>
    <w:rsid w:val="0042349F"/>
    <w:rsid w:val="00431D9E"/>
    <w:rsid w:val="00433CE8"/>
    <w:rsid w:val="00434A5C"/>
    <w:rsid w:val="00451CFA"/>
    <w:rsid w:val="00453079"/>
    <w:rsid w:val="004544D9"/>
    <w:rsid w:val="00465C35"/>
    <w:rsid w:val="00472BAD"/>
    <w:rsid w:val="00484009"/>
    <w:rsid w:val="00490E72"/>
    <w:rsid w:val="00491157"/>
    <w:rsid w:val="00491BA9"/>
    <w:rsid w:val="004921C8"/>
    <w:rsid w:val="0049260A"/>
    <w:rsid w:val="0049369C"/>
    <w:rsid w:val="00495615"/>
    <w:rsid w:val="00495B0B"/>
    <w:rsid w:val="004967A6"/>
    <w:rsid w:val="004A1B8B"/>
    <w:rsid w:val="004B0752"/>
    <w:rsid w:val="004D1851"/>
    <w:rsid w:val="004D599D"/>
    <w:rsid w:val="004D7895"/>
    <w:rsid w:val="004E0B98"/>
    <w:rsid w:val="004E2EA5"/>
    <w:rsid w:val="004E3AEB"/>
    <w:rsid w:val="004F5EED"/>
    <w:rsid w:val="004F65C2"/>
    <w:rsid w:val="0050047B"/>
    <w:rsid w:val="0050223C"/>
    <w:rsid w:val="005109D4"/>
    <w:rsid w:val="00512087"/>
    <w:rsid w:val="00521F8F"/>
    <w:rsid w:val="005243FF"/>
    <w:rsid w:val="00537686"/>
    <w:rsid w:val="005419FC"/>
    <w:rsid w:val="00556FCD"/>
    <w:rsid w:val="00564FBC"/>
    <w:rsid w:val="005800BC"/>
    <w:rsid w:val="00582442"/>
    <w:rsid w:val="005A0A10"/>
    <w:rsid w:val="005B5910"/>
    <w:rsid w:val="005F01AC"/>
    <w:rsid w:val="005F1823"/>
    <w:rsid w:val="005F2F1F"/>
    <w:rsid w:val="005F3269"/>
    <w:rsid w:val="0061071E"/>
    <w:rsid w:val="00623AE3"/>
    <w:rsid w:val="006351AC"/>
    <w:rsid w:val="0064737F"/>
    <w:rsid w:val="006535F1"/>
    <w:rsid w:val="0065557D"/>
    <w:rsid w:val="00660D50"/>
    <w:rsid w:val="00662984"/>
    <w:rsid w:val="006716BB"/>
    <w:rsid w:val="006A2F4B"/>
    <w:rsid w:val="006B1859"/>
    <w:rsid w:val="006B6680"/>
    <w:rsid w:val="006B6DCC"/>
    <w:rsid w:val="006B77F1"/>
    <w:rsid w:val="006D2DD9"/>
    <w:rsid w:val="006D5032"/>
    <w:rsid w:val="0070148A"/>
    <w:rsid w:val="00702DEF"/>
    <w:rsid w:val="00706861"/>
    <w:rsid w:val="00720631"/>
    <w:rsid w:val="00722551"/>
    <w:rsid w:val="00727F40"/>
    <w:rsid w:val="0075051B"/>
    <w:rsid w:val="00765C89"/>
    <w:rsid w:val="0077110E"/>
    <w:rsid w:val="00777D13"/>
    <w:rsid w:val="00793188"/>
    <w:rsid w:val="00794D34"/>
    <w:rsid w:val="007A3FCD"/>
    <w:rsid w:val="007B19CF"/>
    <w:rsid w:val="007B3BDB"/>
    <w:rsid w:val="007D01AF"/>
    <w:rsid w:val="007D4A5B"/>
    <w:rsid w:val="007E58D3"/>
    <w:rsid w:val="00813E5E"/>
    <w:rsid w:val="00820ED8"/>
    <w:rsid w:val="0083581B"/>
    <w:rsid w:val="0084546D"/>
    <w:rsid w:val="00863874"/>
    <w:rsid w:val="00863FC6"/>
    <w:rsid w:val="00864AFF"/>
    <w:rsid w:val="00865925"/>
    <w:rsid w:val="00870027"/>
    <w:rsid w:val="008736E9"/>
    <w:rsid w:val="00875DC5"/>
    <w:rsid w:val="00893C48"/>
    <w:rsid w:val="00894A4B"/>
    <w:rsid w:val="008A3EBD"/>
    <w:rsid w:val="008A5068"/>
    <w:rsid w:val="008B299E"/>
    <w:rsid w:val="008B4A6A"/>
    <w:rsid w:val="008C7E27"/>
    <w:rsid w:val="008F7448"/>
    <w:rsid w:val="0090147A"/>
    <w:rsid w:val="00906213"/>
    <w:rsid w:val="00915104"/>
    <w:rsid w:val="009173EF"/>
    <w:rsid w:val="00921FDD"/>
    <w:rsid w:val="00932906"/>
    <w:rsid w:val="00933351"/>
    <w:rsid w:val="009449B7"/>
    <w:rsid w:val="00954C49"/>
    <w:rsid w:val="00961B0B"/>
    <w:rsid w:val="00962D33"/>
    <w:rsid w:val="009774BB"/>
    <w:rsid w:val="009837D2"/>
    <w:rsid w:val="00983AAE"/>
    <w:rsid w:val="009842A1"/>
    <w:rsid w:val="009855D8"/>
    <w:rsid w:val="00986E98"/>
    <w:rsid w:val="0099290F"/>
    <w:rsid w:val="009A76A8"/>
    <w:rsid w:val="009B38C3"/>
    <w:rsid w:val="009D661B"/>
    <w:rsid w:val="009E17BD"/>
    <w:rsid w:val="009E2086"/>
    <w:rsid w:val="009E30AB"/>
    <w:rsid w:val="009E485A"/>
    <w:rsid w:val="00A04CEC"/>
    <w:rsid w:val="00A109AF"/>
    <w:rsid w:val="00A14445"/>
    <w:rsid w:val="00A23F32"/>
    <w:rsid w:val="00A27F92"/>
    <w:rsid w:val="00A32257"/>
    <w:rsid w:val="00A36A9B"/>
    <w:rsid w:val="00A36D20"/>
    <w:rsid w:val="00A514A4"/>
    <w:rsid w:val="00A51BA9"/>
    <w:rsid w:val="00A55622"/>
    <w:rsid w:val="00A62C68"/>
    <w:rsid w:val="00A83502"/>
    <w:rsid w:val="00A93CE3"/>
    <w:rsid w:val="00A94BAB"/>
    <w:rsid w:val="00A97C84"/>
    <w:rsid w:val="00AB3DC1"/>
    <w:rsid w:val="00AD0762"/>
    <w:rsid w:val="00AD15B3"/>
    <w:rsid w:val="00AD3606"/>
    <w:rsid w:val="00AD4A3D"/>
    <w:rsid w:val="00AD6A48"/>
    <w:rsid w:val="00AF6E49"/>
    <w:rsid w:val="00B01D1E"/>
    <w:rsid w:val="00B04A67"/>
    <w:rsid w:val="00B0583C"/>
    <w:rsid w:val="00B07444"/>
    <w:rsid w:val="00B24E9E"/>
    <w:rsid w:val="00B40A81"/>
    <w:rsid w:val="00B44910"/>
    <w:rsid w:val="00B660A3"/>
    <w:rsid w:val="00B704BA"/>
    <w:rsid w:val="00B72267"/>
    <w:rsid w:val="00B76EB6"/>
    <w:rsid w:val="00B7737B"/>
    <w:rsid w:val="00B824C8"/>
    <w:rsid w:val="00B84B9D"/>
    <w:rsid w:val="00B876FC"/>
    <w:rsid w:val="00B90B6B"/>
    <w:rsid w:val="00B9131F"/>
    <w:rsid w:val="00B9413E"/>
    <w:rsid w:val="00B96DFD"/>
    <w:rsid w:val="00BB0646"/>
    <w:rsid w:val="00BB45A7"/>
    <w:rsid w:val="00BC251A"/>
    <w:rsid w:val="00BC2897"/>
    <w:rsid w:val="00BC4A20"/>
    <w:rsid w:val="00BC4B18"/>
    <w:rsid w:val="00BD032B"/>
    <w:rsid w:val="00BE01C6"/>
    <w:rsid w:val="00BE2640"/>
    <w:rsid w:val="00BE42D9"/>
    <w:rsid w:val="00BE5184"/>
    <w:rsid w:val="00BE774A"/>
    <w:rsid w:val="00BF1FDE"/>
    <w:rsid w:val="00C01189"/>
    <w:rsid w:val="00C0458D"/>
    <w:rsid w:val="00C13B00"/>
    <w:rsid w:val="00C17E52"/>
    <w:rsid w:val="00C337D2"/>
    <w:rsid w:val="00C374DE"/>
    <w:rsid w:val="00C4606B"/>
    <w:rsid w:val="00C47AD4"/>
    <w:rsid w:val="00C52D81"/>
    <w:rsid w:val="00C55198"/>
    <w:rsid w:val="00C5605F"/>
    <w:rsid w:val="00C6520B"/>
    <w:rsid w:val="00C70A92"/>
    <w:rsid w:val="00CA043C"/>
    <w:rsid w:val="00CA6393"/>
    <w:rsid w:val="00CA7995"/>
    <w:rsid w:val="00CB18FF"/>
    <w:rsid w:val="00CB1E21"/>
    <w:rsid w:val="00CC6ACA"/>
    <w:rsid w:val="00CD0C08"/>
    <w:rsid w:val="00CE03FB"/>
    <w:rsid w:val="00CE433C"/>
    <w:rsid w:val="00CF0161"/>
    <w:rsid w:val="00CF05A5"/>
    <w:rsid w:val="00CF33F3"/>
    <w:rsid w:val="00CF4A2B"/>
    <w:rsid w:val="00D024CA"/>
    <w:rsid w:val="00D06183"/>
    <w:rsid w:val="00D11765"/>
    <w:rsid w:val="00D1488D"/>
    <w:rsid w:val="00D2185F"/>
    <w:rsid w:val="00D22C42"/>
    <w:rsid w:val="00D24354"/>
    <w:rsid w:val="00D37B62"/>
    <w:rsid w:val="00D46379"/>
    <w:rsid w:val="00D65041"/>
    <w:rsid w:val="00D665C1"/>
    <w:rsid w:val="00DB1936"/>
    <w:rsid w:val="00DB1D1A"/>
    <w:rsid w:val="00DB384B"/>
    <w:rsid w:val="00DE201A"/>
    <w:rsid w:val="00DE532B"/>
    <w:rsid w:val="00DF0189"/>
    <w:rsid w:val="00DF10FD"/>
    <w:rsid w:val="00E04E1D"/>
    <w:rsid w:val="00E06FD5"/>
    <w:rsid w:val="00E10E80"/>
    <w:rsid w:val="00E124F0"/>
    <w:rsid w:val="00E200D0"/>
    <w:rsid w:val="00E227F3"/>
    <w:rsid w:val="00E242E8"/>
    <w:rsid w:val="00E4231D"/>
    <w:rsid w:val="00E545C6"/>
    <w:rsid w:val="00E60F04"/>
    <w:rsid w:val="00E65B24"/>
    <w:rsid w:val="00E72E65"/>
    <w:rsid w:val="00E81688"/>
    <w:rsid w:val="00E854E4"/>
    <w:rsid w:val="00E86DBF"/>
    <w:rsid w:val="00E90A84"/>
    <w:rsid w:val="00E969AF"/>
    <w:rsid w:val="00EB0D6F"/>
    <w:rsid w:val="00EB2232"/>
    <w:rsid w:val="00EC5337"/>
    <w:rsid w:val="00ED2C35"/>
    <w:rsid w:val="00ED63B6"/>
    <w:rsid w:val="00ED66DB"/>
    <w:rsid w:val="00EE04E6"/>
    <w:rsid w:val="00EE49E8"/>
    <w:rsid w:val="00EF329F"/>
    <w:rsid w:val="00F16BAB"/>
    <w:rsid w:val="00F2150A"/>
    <w:rsid w:val="00F231D8"/>
    <w:rsid w:val="00F32FD7"/>
    <w:rsid w:val="00F41BD5"/>
    <w:rsid w:val="00F44C00"/>
    <w:rsid w:val="00F45D2C"/>
    <w:rsid w:val="00F46C5F"/>
    <w:rsid w:val="00F632C0"/>
    <w:rsid w:val="00F641E1"/>
    <w:rsid w:val="00F72DD4"/>
    <w:rsid w:val="00F74DE7"/>
    <w:rsid w:val="00F806E8"/>
    <w:rsid w:val="00F8322F"/>
    <w:rsid w:val="00F94A63"/>
    <w:rsid w:val="00FA1C28"/>
    <w:rsid w:val="00FB1279"/>
    <w:rsid w:val="00FB6B76"/>
    <w:rsid w:val="00FB7052"/>
    <w:rsid w:val="00FB7596"/>
    <w:rsid w:val="00FC4B0B"/>
    <w:rsid w:val="00FE4077"/>
    <w:rsid w:val="00FE500D"/>
    <w:rsid w:val="00FE77D2"/>
    <w:rsid w:val="00FF39B1"/>
    <w:rsid w:val="01914464"/>
    <w:rsid w:val="03175A5D"/>
    <w:rsid w:val="0353FCD4"/>
    <w:rsid w:val="042B69C8"/>
    <w:rsid w:val="046C4C54"/>
    <w:rsid w:val="063F2BE3"/>
    <w:rsid w:val="0710DE00"/>
    <w:rsid w:val="079A0599"/>
    <w:rsid w:val="089D194F"/>
    <w:rsid w:val="094B40C0"/>
    <w:rsid w:val="0D904CF7"/>
    <w:rsid w:val="10071C20"/>
    <w:rsid w:val="105E2E29"/>
    <w:rsid w:val="116CDBCC"/>
    <w:rsid w:val="1181F1FF"/>
    <w:rsid w:val="11EDD9C7"/>
    <w:rsid w:val="124F54D7"/>
    <w:rsid w:val="15536A83"/>
    <w:rsid w:val="16F8704A"/>
    <w:rsid w:val="1720E1DD"/>
    <w:rsid w:val="17541EE6"/>
    <w:rsid w:val="177CEA2C"/>
    <w:rsid w:val="17C639D9"/>
    <w:rsid w:val="17EAFB64"/>
    <w:rsid w:val="19C5CC79"/>
    <w:rsid w:val="1C20A34F"/>
    <w:rsid w:val="1D4056A9"/>
    <w:rsid w:val="1DE27D53"/>
    <w:rsid w:val="1E80E056"/>
    <w:rsid w:val="234F35CA"/>
    <w:rsid w:val="24B7A91E"/>
    <w:rsid w:val="250A715E"/>
    <w:rsid w:val="25166C98"/>
    <w:rsid w:val="25B17919"/>
    <w:rsid w:val="26E105A1"/>
    <w:rsid w:val="276029A0"/>
    <w:rsid w:val="278DEA2F"/>
    <w:rsid w:val="29871722"/>
    <w:rsid w:val="29B05651"/>
    <w:rsid w:val="29E81CCB"/>
    <w:rsid w:val="2A70ED2C"/>
    <w:rsid w:val="2B0263BC"/>
    <w:rsid w:val="2BBFE266"/>
    <w:rsid w:val="2C83A611"/>
    <w:rsid w:val="2E964A76"/>
    <w:rsid w:val="2EA46C0A"/>
    <w:rsid w:val="2FA2DF05"/>
    <w:rsid w:val="304626EA"/>
    <w:rsid w:val="32C6B31E"/>
    <w:rsid w:val="32E098B1"/>
    <w:rsid w:val="3340CA42"/>
    <w:rsid w:val="3378541B"/>
    <w:rsid w:val="367DE3B0"/>
    <w:rsid w:val="3755326A"/>
    <w:rsid w:val="37811016"/>
    <w:rsid w:val="3A1D7AFC"/>
    <w:rsid w:val="3AEABA6C"/>
    <w:rsid w:val="3B39A04F"/>
    <w:rsid w:val="3B621E0C"/>
    <w:rsid w:val="3CA26D6F"/>
    <w:rsid w:val="3CD755F7"/>
    <w:rsid w:val="3E3D0A63"/>
    <w:rsid w:val="3ECC1DB5"/>
    <w:rsid w:val="3FF784FE"/>
    <w:rsid w:val="401B5872"/>
    <w:rsid w:val="416F4470"/>
    <w:rsid w:val="423573D8"/>
    <w:rsid w:val="444EF1DF"/>
    <w:rsid w:val="46EF20C8"/>
    <w:rsid w:val="4702D318"/>
    <w:rsid w:val="4724EC68"/>
    <w:rsid w:val="47FAEB2B"/>
    <w:rsid w:val="485EED75"/>
    <w:rsid w:val="487EC4AC"/>
    <w:rsid w:val="49563BE6"/>
    <w:rsid w:val="4A274105"/>
    <w:rsid w:val="4CFDD563"/>
    <w:rsid w:val="4E0F04A5"/>
    <w:rsid w:val="4E9B1FEF"/>
    <w:rsid w:val="4F20D691"/>
    <w:rsid w:val="4F7B8158"/>
    <w:rsid w:val="504DDA07"/>
    <w:rsid w:val="512DC3BA"/>
    <w:rsid w:val="513D611A"/>
    <w:rsid w:val="52535A32"/>
    <w:rsid w:val="52AB8F6D"/>
    <w:rsid w:val="5357D063"/>
    <w:rsid w:val="55301BCB"/>
    <w:rsid w:val="55542F12"/>
    <w:rsid w:val="5625A3B0"/>
    <w:rsid w:val="566EE5DD"/>
    <w:rsid w:val="5683F082"/>
    <w:rsid w:val="573C869A"/>
    <w:rsid w:val="57C371F3"/>
    <w:rsid w:val="59EB8729"/>
    <w:rsid w:val="5A6291A8"/>
    <w:rsid w:val="5BB3E66B"/>
    <w:rsid w:val="5BEDAA5A"/>
    <w:rsid w:val="5C364A3F"/>
    <w:rsid w:val="5D3C1F97"/>
    <w:rsid w:val="5D5A7C67"/>
    <w:rsid w:val="5DB67860"/>
    <w:rsid w:val="5F346C91"/>
    <w:rsid w:val="5FFC4824"/>
    <w:rsid w:val="60394F3C"/>
    <w:rsid w:val="6077B4B7"/>
    <w:rsid w:val="60B511F5"/>
    <w:rsid w:val="60EDD7ED"/>
    <w:rsid w:val="614C7601"/>
    <w:rsid w:val="61D927AC"/>
    <w:rsid w:val="62646944"/>
    <w:rsid w:val="635BA3C4"/>
    <w:rsid w:val="6397E354"/>
    <w:rsid w:val="63C6322F"/>
    <w:rsid w:val="64444CFA"/>
    <w:rsid w:val="651551CF"/>
    <w:rsid w:val="65AB567F"/>
    <w:rsid w:val="6751FAA8"/>
    <w:rsid w:val="67743950"/>
    <w:rsid w:val="683EADDA"/>
    <w:rsid w:val="68965CC6"/>
    <w:rsid w:val="68B3CA00"/>
    <w:rsid w:val="68CA41E2"/>
    <w:rsid w:val="69CF6564"/>
    <w:rsid w:val="6A45FF50"/>
    <w:rsid w:val="6B3C5BDA"/>
    <w:rsid w:val="6B5E9E0F"/>
    <w:rsid w:val="6B72BA72"/>
    <w:rsid w:val="6B7CAC2A"/>
    <w:rsid w:val="6CC74938"/>
    <w:rsid w:val="6D068F56"/>
    <w:rsid w:val="6DA9F384"/>
    <w:rsid w:val="6E86A8A3"/>
    <w:rsid w:val="70C08A04"/>
    <w:rsid w:val="7153531E"/>
    <w:rsid w:val="722A322A"/>
    <w:rsid w:val="72C86965"/>
    <w:rsid w:val="7436B9E8"/>
    <w:rsid w:val="75724220"/>
    <w:rsid w:val="7581B34F"/>
    <w:rsid w:val="75E2A604"/>
    <w:rsid w:val="76DADF59"/>
    <w:rsid w:val="779AED08"/>
    <w:rsid w:val="782148BB"/>
    <w:rsid w:val="788D2360"/>
    <w:rsid w:val="7900E2E5"/>
    <w:rsid w:val="79BD2A3A"/>
    <w:rsid w:val="7BAF3DF2"/>
    <w:rsid w:val="7BD0899C"/>
    <w:rsid w:val="7E12FB17"/>
    <w:rsid w:val="7EE675B9"/>
    <w:rsid w:val="7FB3B4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5DDB1"/>
  <w15:docId w15:val="{1EA7795C-0E06-457A-A3D3-C7384502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9E2086"/>
    <w:pPr>
      <w:tabs>
        <w:tab w:val="clear" w:pos="567"/>
        <w:tab w:val="clear" w:pos="1134"/>
        <w:tab w:val="clear" w:pos="1701"/>
        <w:tab w:val="clear" w:pos="2268"/>
        <w:tab w:val="clear" w:pos="2835"/>
        <w:tab w:val="left" w:pos="284"/>
        <w:tab w:val="left" w:pos="42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E2086"/>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CC6ACA"/>
    <w:rPr>
      <w:sz w:val="16"/>
      <w:szCs w:val="16"/>
    </w:rPr>
  </w:style>
  <w:style w:type="paragraph" w:styleId="Revision">
    <w:name w:val="Revision"/>
    <w:hidden/>
    <w:uiPriority w:val="99"/>
    <w:semiHidden/>
    <w:rsid w:val="00451CFA"/>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paragraph" w:styleId="CommentSubject">
    <w:name w:val="annotation subject"/>
    <w:basedOn w:val="CommentText"/>
    <w:next w:val="CommentText"/>
    <w:link w:val="CommentSubjectChar"/>
    <w:semiHidden/>
    <w:unhideWhenUsed/>
    <w:rsid w:val="00ED2C35"/>
    <w:rPr>
      <w:b/>
      <w:bCs/>
    </w:rPr>
  </w:style>
  <w:style w:type="character" w:customStyle="1" w:styleId="CommentSubjectChar">
    <w:name w:val="Comment Subject Char"/>
    <w:basedOn w:val="CommentTextChar"/>
    <w:link w:val="CommentSubject"/>
    <w:semiHidden/>
    <w:rsid w:val="00ED2C35"/>
    <w:rPr>
      <w:rFonts w:ascii="Calibri" w:hAnsi="Calibri"/>
      <w:b/>
      <w:bCs/>
      <w:lang w:val="en-GB" w:eastAsia="en-US"/>
    </w:rPr>
  </w:style>
  <w:style w:type="character" w:styleId="Mention">
    <w:name w:val="Mention"/>
    <w:basedOn w:val="DefaultParagraphFont"/>
    <w:uiPriority w:val="99"/>
    <w:unhideWhenUsed/>
    <w:rsid w:val="00ED2C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4-CL-C-0029/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4-CL-C-0029/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3-CL-INF-0013/en" TargetMode="External"/><Relationship Id="rId5" Type="http://schemas.openxmlformats.org/officeDocument/2006/relationships/numbering" Target="numbering.xml"/><Relationship Id="rId15" Type="http://schemas.openxmlformats.org/officeDocument/2006/relationships/hyperlink" Target="https://www.itu.int/en/council/Documents/basic-texts-2023/RES-048-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66/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7160E-D328-4214-98A6-7A4E70C3FC85}">
  <ds:schemaRef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a4c22657-7647-457b-a399-8471255bb166"/>
    <ds:schemaRef ds:uri="http://purl.org/dc/dcmitype/"/>
  </ds:schemaRefs>
</ds:datastoreItem>
</file>

<file path=customXml/itemProps2.xml><?xml version="1.0" encoding="utf-8"?>
<ds:datastoreItem xmlns:ds="http://schemas.openxmlformats.org/officeDocument/2006/customXml" ds:itemID="{A5900A4E-5E7D-498C-9D52-EEA388E6A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288B5AE8-C6A0-47E2-B4A8-C3A0BB89FD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PE_Council26</Template>
  <TotalTime>7</TotalTime>
  <Pages>13</Pages>
  <Words>4642</Words>
  <Characters>29078</Characters>
  <Application>Microsoft Office Word</Application>
  <DocSecurity>0</DocSecurity>
  <Lines>570</Lines>
  <Paragraphs>261</Paragraphs>
  <ScaleCrop>false</ScaleCrop>
  <Manager>General Secretariat</Manager>
  <Company>International Telecommunication Union (ITU)</Company>
  <LinksUpToDate>false</LinksUpToDate>
  <CharactersWithSpaces>33459</CharactersWithSpaces>
  <SharedDoc>false</SharedDoc>
  <HLinks>
    <vt:vector size="60" baseType="variant">
      <vt:variant>
        <vt:i4>6946926</vt:i4>
      </vt:variant>
      <vt:variant>
        <vt:i4>12</vt:i4>
      </vt:variant>
      <vt:variant>
        <vt:i4>0</vt:i4>
      </vt:variant>
      <vt:variant>
        <vt:i4>5</vt:i4>
      </vt:variant>
      <vt:variant>
        <vt:lpwstr>https://www.itu.int/en/council/Documents/basic-texts-2023/RES-048-E.pdf</vt:lpwstr>
      </vt:variant>
      <vt:variant>
        <vt:lpwstr/>
      </vt:variant>
      <vt:variant>
        <vt:i4>7405626</vt:i4>
      </vt:variant>
      <vt:variant>
        <vt:i4>9</vt:i4>
      </vt:variant>
      <vt:variant>
        <vt:i4>0</vt:i4>
      </vt:variant>
      <vt:variant>
        <vt:i4>5</vt:i4>
      </vt:variant>
      <vt:variant>
        <vt:lpwstr>https://www.itu.int/md/S25-CL-C-0066/en</vt:lpwstr>
      </vt:variant>
      <vt:variant>
        <vt:lpwstr/>
      </vt:variant>
      <vt:variant>
        <vt:i4>8323134</vt:i4>
      </vt:variant>
      <vt:variant>
        <vt:i4>5</vt:i4>
      </vt:variant>
      <vt:variant>
        <vt:i4>0</vt:i4>
      </vt:variant>
      <vt:variant>
        <vt:i4>5</vt:i4>
      </vt:variant>
      <vt:variant>
        <vt:lpwstr>https://www.itu.int/md/S24-CL-C-0029/en</vt:lpwstr>
      </vt:variant>
      <vt:variant>
        <vt:lpwstr/>
      </vt:variant>
      <vt:variant>
        <vt:i4>8323134</vt:i4>
      </vt:variant>
      <vt:variant>
        <vt:i4>3</vt:i4>
      </vt:variant>
      <vt:variant>
        <vt:i4>0</vt:i4>
      </vt:variant>
      <vt:variant>
        <vt:i4>5</vt:i4>
      </vt:variant>
      <vt:variant>
        <vt:lpwstr>https://www.itu.int/md/S24-CL-C-0029/en</vt:lpwstr>
      </vt:variant>
      <vt:variant>
        <vt:lpwstr/>
      </vt:variant>
      <vt:variant>
        <vt:i4>1835089</vt:i4>
      </vt:variant>
      <vt:variant>
        <vt:i4>0</vt:i4>
      </vt:variant>
      <vt:variant>
        <vt:i4>0</vt:i4>
      </vt:variant>
      <vt:variant>
        <vt:i4>5</vt:i4>
      </vt:variant>
      <vt:variant>
        <vt:lpwstr>https://www.itu.int/md/S23-CL-INF-0013/en</vt:lpwstr>
      </vt:variant>
      <vt:variant>
        <vt:lpwstr/>
      </vt:variant>
      <vt:variant>
        <vt:i4>25</vt:i4>
      </vt:variant>
      <vt:variant>
        <vt:i4>3</vt:i4>
      </vt:variant>
      <vt:variant>
        <vt:i4>0</vt:i4>
      </vt:variant>
      <vt:variant>
        <vt:i4>5</vt:i4>
      </vt:variant>
      <vt:variant>
        <vt:lpwstr>https://council.itu.int/2026/en/</vt:lpwstr>
      </vt:variant>
      <vt:variant>
        <vt:lpwstr/>
      </vt:variant>
      <vt:variant>
        <vt:i4>8192023</vt:i4>
      </vt:variant>
      <vt:variant>
        <vt:i4>9</vt:i4>
      </vt:variant>
      <vt:variant>
        <vt:i4>0</vt:i4>
      </vt:variant>
      <vt:variant>
        <vt:i4>5</vt:i4>
      </vt:variant>
      <vt:variant>
        <vt:lpwstr>mailto:elizabeth.locatelli@itu.int</vt:lpwstr>
      </vt:variant>
      <vt:variant>
        <vt:lpwstr/>
      </vt:variant>
      <vt:variant>
        <vt:i4>6291482</vt:i4>
      </vt:variant>
      <vt:variant>
        <vt:i4>6</vt:i4>
      </vt:variant>
      <vt:variant>
        <vt:i4>0</vt:i4>
      </vt:variant>
      <vt:variant>
        <vt:i4>5</vt:i4>
      </vt:variant>
      <vt:variant>
        <vt:lpwstr>mailto:fei.you@itu.int</vt:lpwstr>
      </vt:variant>
      <vt:variant>
        <vt:lpwstr/>
      </vt:variant>
      <vt:variant>
        <vt:i4>5963813</vt:i4>
      </vt:variant>
      <vt:variant>
        <vt:i4>3</vt:i4>
      </vt:variant>
      <vt:variant>
        <vt:i4>0</vt:i4>
      </vt:variant>
      <vt:variant>
        <vt:i4>5</vt:i4>
      </vt:variant>
      <vt:variant>
        <vt:lpwstr>mailto:vaggelis.igglesis@itu.int</vt:lpwstr>
      </vt:variant>
      <vt:variant>
        <vt:lpwstr/>
      </vt:variant>
      <vt:variant>
        <vt:i4>6291482</vt:i4>
      </vt:variant>
      <vt:variant>
        <vt:i4>0</vt:i4>
      </vt:variant>
      <vt:variant>
        <vt:i4>0</vt:i4>
      </vt:variant>
      <vt:variant>
        <vt:i4>5</vt:i4>
      </vt:variant>
      <vt:variant>
        <vt:lpwstr>mailto:fei.you@itu.int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on the implementation of the human resources transformation plan and of Resolution 48 (Rev. Bucharest, 2022)</dc:title>
  <dc:subject>ITU Council 2026</dc:subject>
  <dc:creator>GBS-LRT</dc:creator>
  <cp:keywords>C26; C2026; Council 2026; PP26</cp:keywords>
  <dc:description/>
  <cp:lastModifiedBy>GBS</cp:lastModifiedBy>
  <cp:revision>3</cp:revision>
  <cp:lastPrinted>2000-07-18T22:30:00Z</cp:lastPrinted>
  <dcterms:created xsi:type="dcterms:W3CDTF">2026-03-30T17:32:00Z</dcterms:created>
  <dcterms:modified xsi:type="dcterms:W3CDTF">2026-03-30T17:40:00Z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