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2C5829F0" w14:textId="77777777" w:rsidTr="00F363FE">
        <w:tc>
          <w:tcPr>
            <w:tcW w:w="6512" w:type="dxa"/>
          </w:tcPr>
          <w:p w14:paraId="225903DB" w14:textId="1B96DA00"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12112A">
              <w:rPr>
                <w:rFonts w:hint="cs"/>
                <w:b/>
                <w:bCs/>
                <w:rtl/>
                <w:lang w:bidi="ar-EG"/>
              </w:rPr>
              <w:t xml:space="preserve"> </w:t>
            </w:r>
            <w:r w:rsidR="0012112A">
              <w:rPr>
                <w:b/>
                <w:bCs/>
                <w:lang w:bidi="ar-EG"/>
              </w:rPr>
              <w:t>ADM 3</w:t>
            </w:r>
          </w:p>
        </w:tc>
        <w:tc>
          <w:tcPr>
            <w:tcW w:w="3117" w:type="dxa"/>
          </w:tcPr>
          <w:p w14:paraId="4BF5B61C" w14:textId="066C37D8"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0116AF">
              <w:rPr>
                <w:b/>
                <w:bCs/>
                <w:lang w:bidi="ar-EG"/>
              </w:rPr>
              <w:t>6</w:t>
            </w:r>
            <w:proofErr w:type="spellEnd"/>
            <w:r w:rsidRPr="007B0AA0">
              <w:rPr>
                <w:b/>
                <w:bCs/>
                <w:lang w:bidi="ar-EG"/>
              </w:rPr>
              <w:t>/</w:t>
            </w:r>
            <w:r w:rsidR="0012112A">
              <w:rPr>
                <w:b/>
                <w:bCs/>
                <w:lang w:bidi="ar-EG"/>
              </w:rPr>
              <w:t>66</w:t>
            </w:r>
            <w:r w:rsidRPr="007B0AA0">
              <w:rPr>
                <w:b/>
                <w:bCs/>
                <w:lang w:bidi="ar-EG"/>
              </w:rPr>
              <w:t>-A</w:t>
            </w:r>
          </w:p>
        </w:tc>
      </w:tr>
      <w:tr w:rsidR="007B0AA0" w14:paraId="55E51574" w14:textId="77777777" w:rsidTr="00F363FE">
        <w:tc>
          <w:tcPr>
            <w:tcW w:w="6512" w:type="dxa"/>
          </w:tcPr>
          <w:p w14:paraId="4D4DA6E4" w14:textId="77777777" w:rsidR="007B0AA0" w:rsidRPr="007B0AA0" w:rsidRDefault="007B0AA0" w:rsidP="00F363FE">
            <w:pPr>
              <w:spacing w:before="60" w:after="60" w:line="260" w:lineRule="exact"/>
              <w:rPr>
                <w:b/>
                <w:bCs/>
                <w:rtl/>
                <w:lang w:bidi="ar-EG"/>
              </w:rPr>
            </w:pPr>
          </w:p>
        </w:tc>
        <w:tc>
          <w:tcPr>
            <w:tcW w:w="3117" w:type="dxa"/>
          </w:tcPr>
          <w:p w14:paraId="37085657" w14:textId="314ECA93" w:rsidR="007B0AA0" w:rsidRPr="007B0AA0" w:rsidRDefault="0012112A" w:rsidP="00F363FE">
            <w:pPr>
              <w:spacing w:before="60" w:after="60" w:line="260" w:lineRule="exact"/>
              <w:rPr>
                <w:b/>
                <w:bCs/>
                <w:rtl/>
                <w:lang w:bidi="ar-EG"/>
              </w:rPr>
            </w:pPr>
            <w:r>
              <w:rPr>
                <w:rFonts w:hint="cs"/>
                <w:b/>
                <w:bCs/>
                <w:rtl/>
              </w:rPr>
              <w:t>‏30‏ مارس‏ 2026</w:t>
            </w:r>
          </w:p>
        </w:tc>
      </w:tr>
      <w:tr w:rsidR="007B0AA0" w14:paraId="5F0BD262" w14:textId="77777777" w:rsidTr="00F363FE">
        <w:tc>
          <w:tcPr>
            <w:tcW w:w="6512" w:type="dxa"/>
          </w:tcPr>
          <w:p w14:paraId="5074F8C7" w14:textId="77777777" w:rsidR="007B0AA0" w:rsidRPr="007B0AA0" w:rsidRDefault="007B0AA0" w:rsidP="00F363FE">
            <w:pPr>
              <w:spacing w:before="60" w:after="60" w:line="260" w:lineRule="exact"/>
              <w:rPr>
                <w:b/>
                <w:bCs/>
                <w:rtl/>
                <w:lang w:bidi="ar-EG"/>
              </w:rPr>
            </w:pPr>
          </w:p>
        </w:tc>
        <w:tc>
          <w:tcPr>
            <w:tcW w:w="3117" w:type="dxa"/>
          </w:tcPr>
          <w:p w14:paraId="3278CAE0"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5A1D3AB" w14:textId="77777777" w:rsidTr="00F363FE">
        <w:tc>
          <w:tcPr>
            <w:tcW w:w="6512" w:type="dxa"/>
          </w:tcPr>
          <w:p w14:paraId="6392DFBA" w14:textId="77777777" w:rsidR="007B0AA0" w:rsidRDefault="007B0AA0" w:rsidP="00F363FE">
            <w:pPr>
              <w:spacing w:before="60" w:after="60" w:line="260" w:lineRule="exact"/>
              <w:rPr>
                <w:lang w:bidi="ar-EG"/>
              </w:rPr>
            </w:pPr>
          </w:p>
        </w:tc>
        <w:tc>
          <w:tcPr>
            <w:tcW w:w="3117" w:type="dxa"/>
          </w:tcPr>
          <w:p w14:paraId="149DD284" w14:textId="77777777" w:rsidR="007B0AA0" w:rsidRDefault="007B0AA0" w:rsidP="00F363FE">
            <w:pPr>
              <w:spacing w:before="60" w:after="60" w:line="260" w:lineRule="exact"/>
              <w:rPr>
                <w:rtl/>
                <w:lang w:bidi="ar-EG"/>
              </w:rPr>
            </w:pPr>
          </w:p>
        </w:tc>
      </w:tr>
      <w:tr w:rsidR="007B0AA0" w14:paraId="7BEF5D77" w14:textId="77777777" w:rsidTr="00EE7446">
        <w:tc>
          <w:tcPr>
            <w:tcW w:w="9629" w:type="dxa"/>
            <w:gridSpan w:val="2"/>
          </w:tcPr>
          <w:p w14:paraId="2C420610"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FF597C2" w14:textId="77777777" w:rsidTr="007B0AA0">
        <w:tc>
          <w:tcPr>
            <w:tcW w:w="9629" w:type="dxa"/>
            <w:gridSpan w:val="2"/>
            <w:tcBorders>
              <w:bottom w:val="single" w:sz="4" w:space="0" w:color="auto"/>
            </w:tcBorders>
          </w:tcPr>
          <w:p w14:paraId="28E18D47" w14:textId="47BA2D11" w:rsidR="007B0AA0" w:rsidRPr="005546CF" w:rsidRDefault="0012112A" w:rsidP="007B0AA0">
            <w:pPr>
              <w:pStyle w:val="Subtitle0"/>
              <w:rPr>
                <w:sz w:val="32"/>
                <w:szCs w:val="32"/>
              </w:rPr>
            </w:pPr>
            <w:r w:rsidRPr="0012112A">
              <w:rPr>
                <w:sz w:val="32"/>
                <w:szCs w:val="32"/>
                <w:rtl/>
              </w:rPr>
              <w:t>تقرير مرحلي بشأن تنفيذ خطة تحول الموارد البشرية وتنفيذ القرار 48 (المراجَع في بوخارست، 2022)</w:t>
            </w:r>
          </w:p>
        </w:tc>
      </w:tr>
      <w:tr w:rsidR="007B0AA0" w14:paraId="5B7CCF95" w14:textId="77777777" w:rsidTr="007B0AA0">
        <w:tc>
          <w:tcPr>
            <w:tcW w:w="9629" w:type="dxa"/>
            <w:gridSpan w:val="2"/>
            <w:tcBorders>
              <w:top w:val="single" w:sz="4" w:space="0" w:color="auto"/>
              <w:bottom w:val="single" w:sz="4" w:space="0" w:color="auto"/>
            </w:tcBorders>
          </w:tcPr>
          <w:p w14:paraId="3BCBEBCE" w14:textId="77777777" w:rsidR="007B0AA0" w:rsidRPr="007B0AA0" w:rsidRDefault="007B0AA0" w:rsidP="007B0AA0">
            <w:pPr>
              <w:rPr>
                <w:b/>
                <w:bCs/>
                <w:rtl/>
              </w:rPr>
            </w:pPr>
            <w:r w:rsidRPr="00494119">
              <w:rPr>
                <w:rFonts w:hint="cs"/>
                <w:b/>
                <w:bCs/>
                <w:rtl/>
              </w:rPr>
              <w:t>الغرض</w:t>
            </w:r>
          </w:p>
          <w:p w14:paraId="4E22288F" w14:textId="43DE9FA1" w:rsidR="0012112A" w:rsidRDefault="0012112A" w:rsidP="0012112A">
            <w:pPr>
              <w:rPr>
                <w:rtl/>
              </w:rPr>
            </w:pPr>
            <w:r>
              <w:rPr>
                <w:rtl/>
              </w:rPr>
              <w:t>تهدف خطة تحول الموارد البشرية (</w:t>
            </w:r>
            <w:proofErr w:type="spellStart"/>
            <w:r>
              <w:t>HRTP</w:t>
            </w:r>
            <w:proofErr w:type="spellEnd"/>
            <w:r>
              <w:rPr>
                <w:rtl/>
              </w:rPr>
              <w:t>) إلى دفع التميز المؤسسي من خلال النهوض بثلاثة مجالات متميزة: الأشخاص والثقافة والخدمات. وترمي هذه المبادرة الاستراتيجية إلى بناء قوة عاملة مرنة ومقتدرة وممكَّنة، وإرساء ثقافة يشعر فيها الأشخاص بالأمان والتقدير والقدرة على تقديم أفضل ما لديهم، وتحسين تقديم خدمات الموارد البشرية لدعم الموظفين بشكل أفضل. وتشمل مؤشرات النجاح تمكين بيئة عمل داعمة، وإدارة فعالة للمواهب، ورؤية مؤسسية مشتركة، وسياسات حديثة للموارد البشرية، وأدوار محددة بوضوح، ومرونة تشغيلية معززة.</w:t>
            </w:r>
          </w:p>
          <w:p w14:paraId="19222145" w14:textId="4F49F2E7" w:rsidR="007B0AA0" w:rsidRPr="0012112A" w:rsidRDefault="0012112A" w:rsidP="0012112A">
            <w:pPr>
              <w:rPr>
                <w:spacing w:val="-4"/>
                <w:rtl/>
              </w:rPr>
            </w:pPr>
            <w:r w:rsidRPr="0012112A">
              <w:rPr>
                <w:spacing w:val="-4"/>
                <w:rtl/>
              </w:rPr>
              <w:t>وتستجيب خطة تحول الموارد البشرية للقرار 48 (المراجَع في بوخارست، 2022) وتُستخدم كمحرك محوري لخارطة طريق التحول في الاتحاد. ويسلط هذا التقرير المرحلي الضوء على النتائج الرئيسية التي تحققت في كل مجال خلال عام 2025 وفي</w:t>
            </w:r>
            <w:r>
              <w:rPr>
                <w:rFonts w:hint="cs"/>
                <w:spacing w:val="-4"/>
                <w:rtl/>
              </w:rPr>
              <w:t> </w:t>
            </w:r>
            <w:r w:rsidRPr="0012112A">
              <w:rPr>
                <w:spacing w:val="-4"/>
                <w:rtl/>
              </w:rPr>
              <w:t>بداية عام 2026، والتي تسهم في تنفيذ خارطة طريق التحول وتنفيذ القرار 48 (المراجَع في بوخارست، 2022).</w:t>
            </w:r>
          </w:p>
          <w:p w14:paraId="4D6308F7" w14:textId="77777777" w:rsidR="007B0AA0" w:rsidRPr="007B0AA0" w:rsidRDefault="007B0AA0" w:rsidP="007B0AA0">
            <w:pPr>
              <w:rPr>
                <w:b/>
                <w:bCs/>
                <w:rtl/>
              </w:rPr>
            </w:pPr>
            <w:r w:rsidRPr="007B0AA0">
              <w:rPr>
                <w:rFonts w:hint="cs"/>
                <w:b/>
                <w:bCs/>
                <w:rtl/>
              </w:rPr>
              <w:t>الإجراء المطلوب من المجلس</w:t>
            </w:r>
          </w:p>
          <w:p w14:paraId="6B5BCEB5" w14:textId="05EE243D" w:rsidR="007B0AA0" w:rsidRDefault="0012112A" w:rsidP="007B0AA0">
            <w:pPr>
              <w:rPr>
                <w:rtl/>
              </w:rPr>
            </w:pPr>
            <w:r w:rsidRPr="0012112A">
              <w:rPr>
                <w:rtl/>
              </w:rPr>
              <w:t xml:space="preserve">يُدعى المجلس إلى </w:t>
            </w:r>
            <w:r w:rsidRPr="0012112A">
              <w:rPr>
                <w:b/>
                <w:bCs/>
                <w:rtl/>
              </w:rPr>
              <w:t>الإحاطة علماً</w:t>
            </w:r>
            <w:r w:rsidRPr="0012112A">
              <w:rPr>
                <w:rtl/>
              </w:rPr>
              <w:t xml:space="preserve"> بالتقرير المرحلي بشأن تنفيذ خطة تحول الموارد البشرية وتنفيذ القرار 48 (المراجَع في بوخارست، 2022).</w:t>
            </w:r>
          </w:p>
          <w:p w14:paraId="3C15F3EF"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313BED2B" w14:textId="71A2BD59" w:rsidR="007B0AA0" w:rsidRDefault="0012112A" w:rsidP="007B0AA0">
            <w:pPr>
              <w:rPr>
                <w:rtl/>
              </w:rPr>
            </w:pPr>
            <w:r w:rsidRPr="0012112A">
              <w:rPr>
                <w:rtl/>
              </w:rPr>
              <w:t>التميّز في مجال الموارد البشرية والابتكار المؤسسي.</w:t>
            </w:r>
          </w:p>
          <w:p w14:paraId="63066030" w14:textId="77777777" w:rsidR="007B0AA0" w:rsidRDefault="007B0AA0" w:rsidP="00B97F32">
            <w:pPr>
              <w:rPr>
                <w:b/>
                <w:bCs/>
              </w:rPr>
            </w:pPr>
            <w:r w:rsidRPr="007B0AA0">
              <w:rPr>
                <w:rFonts w:hint="cs"/>
                <w:b/>
                <w:bCs/>
                <w:rtl/>
              </w:rPr>
              <w:t>الآثار المالية</w:t>
            </w:r>
          </w:p>
          <w:p w14:paraId="06A4FBEA" w14:textId="6232B9D5" w:rsidR="006F363C" w:rsidRPr="005546CF" w:rsidRDefault="0012112A" w:rsidP="007B0AA0">
            <w:pPr>
              <w:rPr>
                <w:rtl/>
              </w:rPr>
            </w:pPr>
            <w:r w:rsidRPr="0012112A">
              <w:rPr>
                <w:rtl/>
              </w:rPr>
              <w:t>ضمن الميزانيتين المخصَّصتين لفترتي السنتين 2024-2025 والسنتين 2026-2027.</w:t>
            </w:r>
          </w:p>
          <w:p w14:paraId="0260F7C2"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D0D8658" w14:textId="77777777" w:rsidR="007B0AA0" w:rsidRPr="007B0AA0" w:rsidRDefault="007B0AA0" w:rsidP="007B0AA0">
            <w:pPr>
              <w:rPr>
                <w:b/>
                <w:bCs/>
                <w:rtl/>
              </w:rPr>
            </w:pPr>
            <w:r w:rsidRPr="007B0AA0">
              <w:rPr>
                <w:rFonts w:hint="cs"/>
                <w:b/>
                <w:bCs/>
                <w:rtl/>
              </w:rPr>
              <w:t>المراجع</w:t>
            </w:r>
          </w:p>
          <w:p w14:paraId="6AE7D900" w14:textId="41D23C18" w:rsidR="007B0AA0" w:rsidRPr="00685C79" w:rsidRDefault="0012112A" w:rsidP="0012112A">
            <w:pPr>
              <w:rPr>
                <w:i/>
                <w:iCs/>
                <w:spacing w:val="-6"/>
                <w:rtl/>
              </w:rPr>
            </w:pPr>
            <w:r w:rsidRPr="00685C79">
              <w:rPr>
                <w:i/>
                <w:iCs/>
                <w:spacing w:val="-6"/>
                <w:rtl/>
              </w:rPr>
              <w:t xml:space="preserve">وثائق المجلس </w:t>
            </w:r>
            <w:r>
              <w:fldChar w:fldCharType="begin"/>
            </w:r>
            <w:r>
              <w:instrText>HYPERLINK "https://www.itu.int/md/S23-CL-INF-0013/en"</w:instrText>
            </w:r>
            <w:r>
              <w:fldChar w:fldCharType="separate"/>
            </w:r>
            <w:proofErr w:type="spellStart"/>
            <w:r w:rsidRPr="00685C79">
              <w:rPr>
                <w:rStyle w:val="Hyperlink"/>
                <w:i/>
                <w:iCs/>
                <w:noProof w:val="0"/>
                <w:spacing w:val="-6"/>
                <w:lang w:val="en-US" w:eastAsia="zh-CN"/>
              </w:rPr>
              <w:t>C23</w:t>
            </w:r>
            <w:proofErr w:type="spellEnd"/>
            <w:r w:rsidRPr="00685C79">
              <w:rPr>
                <w:rStyle w:val="Hyperlink"/>
                <w:i/>
                <w:iCs/>
                <w:noProof w:val="0"/>
                <w:spacing w:val="-6"/>
                <w:lang w:val="en-US" w:eastAsia="zh-CN"/>
              </w:rPr>
              <w:t>/INF/13</w:t>
            </w:r>
            <w:r>
              <w:fldChar w:fldCharType="end"/>
            </w:r>
            <w:r w:rsidRPr="00685C79">
              <w:rPr>
                <w:i/>
                <w:iCs/>
                <w:spacing w:val="-6"/>
                <w:rtl/>
              </w:rPr>
              <w:t xml:space="preserve"> و</w:t>
            </w:r>
            <w:r>
              <w:fldChar w:fldCharType="begin"/>
            </w:r>
            <w:r>
              <w:instrText>HYPERLINK "https://www.itu.int/md/S24-CL-C-0029/en"</w:instrText>
            </w:r>
            <w:r>
              <w:fldChar w:fldCharType="separate"/>
            </w:r>
            <w:proofErr w:type="spellStart"/>
            <w:r w:rsidRPr="00685C79">
              <w:rPr>
                <w:rStyle w:val="Hyperlink"/>
                <w:i/>
                <w:iCs/>
                <w:noProof w:val="0"/>
                <w:spacing w:val="-6"/>
                <w:lang w:val="en-US" w:eastAsia="zh-CN"/>
              </w:rPr>
              <w:t>C24</w:t>
            </w:r>
            <w:proofErr w:type="spellEnd"/>
            <w:r w:rsidRPr="00685C79">
              <w:rPr>
                <w:rStyle w:val="Hyperlink"/>
                <w:i/>
                <w:iCs/>
                <w:noProof w:val="0"/>
                <w:spacing w:val="-6"/>
                <w:lang w:val="en-US" w:eastAsia="zh-CN"/>
              </w:rPr>
              <w:t>/29</w:t>
            </w:r>
            <w:r>
              <w:fldChar w:fldCharType="end"/>
            </w:r>
            <w:r w:rsidRPr="00685C79">
              <w:rPr>
                <w:i/>
                <w:iCs/>
                <w:spacing w:val="-6"/>
                <w:rtl/>
              </w:rPr>
              <w:t xml:space="preserve"> و</w:t>
            </w:r>
            <w:r>
              <w:fldChar w:fldCharType="begin"/>
            </w:r>
            <w:r>
              <w:instrText>HYPERLINK "https://www.itu.int/md/S25-CL-C-0066/en"</w:instrText>
            </w:r>
            <w:r>
              <w:fldChar w:fldCharType="separate"/>
            </w:r>
            <w:proofErr w:type="spellStart"/>
            <w:r w:rsidRPr="00685C79">
              <w:rPr>
                <w:rStyle w:val="Hyperlink"/>
                <w:i/>
                <w:iCs/>
                <w:noProof w:val="0"/>
                <w:spacing w:val="-6"/>
                <w:lang w:val="en-US" w:eastAsia="zh-CN"/>
              </w:rPr>
              <w:t>C25</w:t>
            </w:r>
            <w:proofErr w:type="spellEnd"/>
            <w:r w:rsidRPr="00685C79">
              <w:rPr>
                <w:rStyle w:val="Hyperlink"/>
                <w:i/>
                <w:iCs/>
                <w:noProof w:val="0"/>
                <w:spacing w:val="-6"/>
                <w:lang w:val="en-US" w:eastAsia="zh-CN"/>
              </w:rPr>
              <w:t>/66</w:t>
            </w:r>
            <w:r>
              <w:fldChar w:fldCharType="end"/>
            </w:r>
            <w:r w:rsidRPr="00685C79">
              <w:rPr>
                <w:i/>
                <w:iCs/>
                <w:spacing w:val="-6"/>
                <w:rtl/>
              </w:rPr>
              <w:t>؛ القرار</w:t>
            </w:r>
            <w:r w:rsidR="00F915C1">
              <w:rPr>
                <w:rFonts w:hint="cs"/>
                <w:i/>
                <w:iCs/>
                <w:spacing w:val="-6"/>
                <w:rtl/>
              </w:rPr>
              <w:t xml:space="preserve"> </w:t>
            </w:r>
            <w:r w:rsidRPr="00685C79">
              <w:rPr>
                <w:i/>
                <w:iCs/>
                <w:spacing w:val="-6"/>
                <w:rtl/>
              </w:rPr>
              <w:t xml:space="preserve"> </w:t>
            </w:r>
            <w:hyperlink r:id="rId8" w:history="1">
              <w:r w:rsidRPr="00685C79">
                <w:rPr>
                  <w:rStyle w:val="Hyperlink"/>
                  <w:i/>
                  <w:iCs/>
                  <w:noProof w:val="0"/>
                  <w:spacing w:val="-6"/>
                  <w:rtl/>
                  <w:lang w:val="en-US" w:eastAsia="zh-CN"/>
                </w:rPr>
                <w:t>48 (المراجَع في بوخارست، 2022)</w:t>
              </w:r>
            </w:hyperlink>
            <w:r w:rsidRPr="00685C79">
              <w:rPr>
                <w:i/>
                <w:iCs/>
                <w:spacing w:val="-6"/>
                <w:rtl/>
              </w:rPr>
              <w:t xml:space="preserve"> لمؤتمر المندوبين المفوضين</w:t>
            </w:r>
          </w:p>
        </w:tc>
      </w:tr>
    </w:tbl>
    <w:p w14:paraId="1B6A50E8" w14:textId="77777777" w:rsidR="00F50E3F" w:rsidRDefault="00F50E3F" w:rsidP="0043260A">
      <w:pPr>
        <w:rPr>
          <w:rtl/>
          <w:lang w:bidi="ar-EG"/>
        </w:rPr>
      </w:pPr>
      <w:r>
        <w:rPr>
          <w:rtl/>
          <w:lang w:bidi="ar-EG"/>
        </w:rPr>
        <w:br w:type="page"/>
      </w:r>
    </w:p>
    <w:p w14:paraId="4DBBFFF3" w14:textId="77777777" w:rsidR="00C06B68" w:rsidRPr="00C06B68" w:rsidRDefault="00C06B68" w:rsidP="009417CD">
      <w:pPr>
        <w:pStyle w:val="Headingb"/>
        <w:rPr>
          <w:lang w:val="ar-SA" w:bidi="ar-EG"/>
        </w:rPr>
      </w:pPr>
      <w:bookmarkStart w:id="0" w:name="_Hlk195627763"/>
      <w:r w:rsidRPr="00C06B68">
        <w:rPr>
          <w:rtl/>
        </w:rPr>
        <w:lastRenderedPageBreak/>
        <w:t>الأشخاص - بناء قوة عاملة مرنة ومقتدرة وممكَّنة</w:t>
      </w:r>
    </w:p>
    <w:bookmarkEnd w:id="0"/>
    <w:p w14:paraId="4056F474" w14:textId="77777777" w:rsidR="00C06B68" w:rsidRPr="00C06B68" w:rsidRDefault="00C06B68" w:rsidP="00EE52B6">
      <w:pPr>
        <w:rPr>
          <w:lang w:val="ar-SA" w:bidi="ar-EG"/>
        </w:rPr>
      </w:pPr>
      <w:r w:rsidRPr="00C06B68">
        <w:rPr>
          <w:rtl/>
        </w:rPr>
        <w:t xml:space="preserve">يمثل الأشخاص الركيزة الأولى لخطة تحول الموارد البشرية </w:t>
      </w:r>
      <w:r w:rsidRPr="00C06B68">
        <w:rPr>
          <w:lang w:bidi="ar-EG"/>
        </w:rPr>
        <w:t>(</w:t>
      </w:r>
      <w:proofErr w:type="spellStart"/>
      <w:r w:rsidRPr="00C06B68">
        <w:rPr>
          <w:lang w:bidi="ar-EG"/>
        </w:rPr>
        <w:t>HRTP</w:t>
      </w:r>
      <w:proofErr w:type="spellEnd"/>
      <w:r w:rsidRPr="00C06B68">
        <w:rPr>
          <w:lang w:bidi="ar-EG"/>
        </w:rPr>
        <w:t>)</w:t>
      </w:r>
      <w:r w:rsidRPr="00C06B68">
        <w:rPr>
          <w:rtl/>
        </w:rPr>
        <w:t>، وتشدد هذه الركيزة على بناء قوة عاملة مرنة وموهوبة ومستعدة للتغيير - قوة عاملة تتحمل المسؤولية عن تحقيق النتائج. ويتطلب ذلك جذب وتعيين واستبقاء الأشخاص الموهوبين الذين يلتزمون بأعلى معايير الفعالية والكفاءة والنزاهة.</w:t>
      </w:r>
    </w:p>
    <w:p w14:paraId="62ECE48C" w14:textId="77777777" w:rsidR="00C06B68" w:rsidRPr="00C06B68" w:rsidRDefault="00C06B68" w:rsidP="00EE52B6">
      <w:pPr>
        <w:rPr>
          <w:lang w:val="ar-SA" w:bidi="ar-EG"/>
        </w:rPr>
      </w:pPr>
      <w:r w:rsidRPr="00C06B68">
        <w:rPr>
          <w:rtl/>
        </w:rPr>
        <w:t>وبالإضافة إلى ذلك، تنص الخطة على تعزيز تعيين الموظفين الأصغر سناً لإدخال مواهب ومهارات جديدة ومصادر للإلهام، مع الحفاظ على التوازن مع خبرة الموظفين الحاليين والتزامهم.</w:t>
      </w:r>
    </w:p>
    <w:p w14:paraId="3508C9F8" w14:textId="77777777" w:rsidR="00C06B68" w:rsidRPr="009417CD" w:rsidRDefault="00C06B68" w:rsidP="00EE52B6">
      <w:pPr>
        <w:rPr>
          <w:spacing w:val="-2"/>
          <w:lang w:val="ar-SA" w:bidi="ar-EG"/>
        </w:rPr>
      </w:pPr>
      <w:r w:rsidRPr="009417CD">
        <w:rPr>
          <w:spacing w:val="-2"/>
          <w:rtl/>
        </w:rPr>
        <w:t>ومن خلال تنفيذ خطة تحول الموارد البشرية، لا يهدف الاتحاد إلى تهيئة بيئة عمل تمكينية فحسب، بل يهدف أيضاً إلى تعزيز الأداء المؤسسي وتمكين الموظفين من تطوير معارفهم ومهاراتهم باستمرار، بما يتماشى مع الأهداف الاستراتيجية للاتحاد.</w:t>
      </w:r>
    </w:p>
    <w:p w14:paraId="2D38F348" w14:textId="77777777" w:rsidR="00C06B68" w:rsidRPr="00C06B68" w:rsidRDefault="00C06B68" w:rsidP="00EE52B6">
      <w:pPr>
        <w:rPr>
          <w:lang w:val="ar-SA" w:bidi="ar-EG"/>
        </w:rPr>
      </w:pPr>
      <w:r w:rsidRPr="00C06B68">
        <w:rPr>
          <w:rtl/>
        </w:rPr>
        <w:t>أهم الإنجازات:</w:t>
      </w:r>
    </w:p>
    <w:p w14:paraId="7CD9CFDE" w14:textId="77451A3F" w:rsidR="00C06B68" w:rsidRPr="009417CD" w:rsidRDefault="00C06B68" w:rsidP="009417CD">
      <w:pPr>
        <w:pStyle w:val="enumlev1"/>
        <w:rPr>
          <w:lang w:val="ar-SA" w:bidi="ar-EG"/>
        </w:rPr>
      </w:pPr>
      <w:r w:rsidRPr="009417CD">
        <w:rPr>
          <w:rtl/>
        </w:rPr>
        <w:t>1</w:t>
      </w:r>
      <w:r w:rsidRPr="009417CD">
        <w:rPr>
          <w:rtl/>
        </w:rPr>
        <w:tab/>
        <w:t xml:space="preserve">نُفذت خطة تعلم سنوية شاملة وفعالة من حيث التكلفة، مع زيادة إبرازها من خلال النشرة الإخبارية "لنتعلم" وموقع </w:t>
      </w:r>
      <w:r w:rsidRPr="009417CD">
        <w:rPr>
          <w:lang w:bidi="ar-EG"/>
        </w:rPr>
        <w:t>SharePoint</w:t>
      </w:r>
      <w:r w:rsidRPr="009417CD">
        <w:rPr>
          <w:rtl/>
        </w:rPr>
        <w:t xml:space="preserve"> مركزي. وتضمن هاتان المنصتان استفادة الموظفين في الوقت الفعلي من خطة التعلم السنوية وفرص التطوير المهني المستمرة، مع التشجيع النشط على التعلم ذاتي الوتيرة بوصفه حجر الزاوية في ثقافة تعلم قائمة على المبادرة الذاتية. ومن خلال تمكين الموظفين من تولي مسؤولية تطويرهم والاستفادة من موارد التعلم بالوتيرة التي تناسبهم، فإننا نرسخ مزيداً من المساءلة والمرونة والنمو المستمر على نطاق الاتحاد. ولا تزال خطة التعلم دينامية وتُرصد وتحدَّث بانتظام للاستجابة بشكل استباقي للاحتياجات الناشئة والأولويات المتغيرة للمنظمة.</w:t>
      </w:r>
    </w:p>
    <w:p w14:paraId="4B087920" w14:textId="77777777" w:rsidR="00C06B68" w:rsidRPr="009417CD" w:rsidRDefault="00C06B68" w:rsidP="009417CD">
      <w:pPr>
        <w:pStyle w:val="enumlev1"/>
        <w:rPr>
          <w:lang w:val="ar-SA" w:bidi="ar-EG"/>
        </w:rPr>
      </w:pPr>
      <w:r w:rsidRPr="009417CD">
        <w:rPr>
          <w:rtl/>
        </w:rPr>
        <w:t>2</w:t>
      </w:r>
      <w:r w:rsidRPr="009417CD">
        <w:rPr>
          <w:rtl/>
        </w:rPr>
        <w:tab/>
        <w:t xml:space="preserve">شهد الامتثال للتدريب الإلزامي تحسناً كبيراً بتعزيز الشراكة مع جهات الاتصال المعنية بالموارد البشرية، والاستفادة من الأدوات الرقمية لتحسين التتبع والتواصل على أساس منتظم. وارتفعت معدلات إتمام التدريب من 5 في المائة في سبتمبر 2024 إلى 52 في المائة بحلول نهاية فبراير 2026، في ظل وجود آلية رصد منهجية وجهة اتصال مخصصة داخل دائرة إدارة الموارد البشرية </w:t>
      </w:r>
      <w:r w:rsidRPr="009417CD">
        <w:rPr>
          <w:lang w:bidi="ar-EG"/>
        </w:rPr>
        <w:t>(HRMD)</w:t>
      </w:r>
      <w:r w:rsidRPr="009417CD">
        <w:rPr>
          <w:rtl/>
        </w:rPr>
        <w:t xml:space="preserve"> لضمان استمرار التقدم.</w:t>
      </w:r>
    </w:p>
    <w:p w14:paraId="1F1B95AC" w14:textId="1219103A" w:rsidR="00C06B68" w:rsidRPr="009417CD" w:rsidRDefault="00C06B68" w:rsidP="009417CD">
      <w:pPr>
        <w:pStyle w:val="enumlev1"/>
        <w:rPr>
          <w:lang w:val="ar-SA" w:bidi="ar-EG"/>
        </w:rPr>
      </w:pPr>
      <w:r w:rsidRPr="009417CD">
        <w:rPr>
          <w:rtl/>
        </w:rPr>
        <w:t>3</w:t>
      </w:r>
      <w:r w:rsidRPr="009417CD">
        <w:rPr>
          <w:rtl/>
        </w:rPr>
        <w:tab/>
        <w:t xml:space="preserve">تم تنفيذ تنمية المهارات الرقمية عبر الأدوات الرئيسية ومن خلال التعاون الوثيق مع فريق التحول من أجل النهوض بتنمية المهارات في مجال الذكاء الاصطناعي. وشمل ذلك تقديم مجموعة متنوعة من الدورات التدريبية العملية لروّاد أداة </w:t>
      </w:r>
      <w:r w:rsidRPr="009417CD">
        <w:rPr>
          <w:lang w:bidi="ar-EG"/>
        </w:rPr>
        <w:t>Copilot</w:t>
      </w:r>
      <w:r w:rsidRPr="009417CD">
        <w:rPr>
          <w:rtl/>
        </w:rPr>
        <w:t xml:space="preserve">، مكمَّلةً بحدث حضوري شاركت فيه الأمينة العامة، ومدعومةً بعمليات متابعة شهرية منظمة للحفاظ على الزخم وتعزيز الاعتماد. وبالإضافة إلى ذلك، أُطلقت حملة تواصل موجَّهة لجميع الموظفين سلطت الضوء على مسارات منسقة </w:t>
      </w:r>
      <w:r w:rsidR="009417CD">
        <w:rPr>
          <w:rFonts w:hint="cs"/>
          <w:rtl/>
          <w:lang w:bidi="ar-EG"/>
        </w:rPr>
        <w:t>التعلم</w:t>
      </w:r>
      <w:r w:rsidRPr="009417CD">
        <w:rPr>
          <w:rtl/>
        </w:rPr>
        <w:t xml:space="preserve"> ذاتي الوتيرة ومجموعة من فرص التعلم القائمة على الذكاء الاصطناعي. ويهدف هذا النهج إلى تعزيز تنمية المهارات باستمرار، وتشجيع التفاعل الاستباقي مع التكنولوجيات الناشئة، وترسيخ الإلمام بالذكاء الاصطناعي كقدرة أساسية على نطاق المنظمة. ونُظمت بنجاح الجلسة الافتتاحية "الذكاء الاصطناعي من أجل الموارد البشرية" في القمة العالمية للذكاء الاصطناعي من أجل المصلحة العامة، حيث شارك فيها 92 مديراً من مديري الموارد البشرية والمتخصصين في مجال الموارد البشرية من مختلف وكالات الأمم المتحدة والمنظمات الدولية، وتلقت تعليقات إيجابية جداً.</w:t>
      </w:r>
    </w:p>
    <w:p w14:paraId="0049A12F" w14:textId="77777777" w:rsidR="00C06B68" w:rsidRPr="009417CD" w:rsidRDefault="00C06B68" w:rsidP="009417CD">
      <w:pPr>
        <w:pStyle w:val="enumlev1"/>
        <w:rPr>
          <w:lang w:val="ar-SA" w:bidi="ar-EG"/>
        </w:rPr>
      </w:pPr>
      <w:r w:rsidRPr="009417CD">
        <w:rPr>
          <w:rtl/>
        </w:rPr>
        <w:t>4</w:t>
      </w:r>
      <w:r w:rsidRPr="009417CD">
        <w:rPr>
          <w:rtl/>
        </w:rPr>
        <w:tab/>
        <w:t xml:space="preserve">تم تعزيز التطوير الوظيفي والكفاءات الأساسية من خلال سلسلة موجَّهة من الدورات المتخصصة والتدريب على المهارات الوظيفية، مع إتاحة التسجيلات والموارد عند الطلب. وأتيحت فرص تعلم موجَّهة لموظفي فئة الخدمات العامة لتعزيز القدرات اللازمة لمواكبة المستقبل ودعم الاحتياجات المتغيرة للمنظمة. وشمل ذلك تنفيذ برنامج </w:t>
      </w:r>
      <w:proofErr w:type="spellStart"/>
      <w:r w:rsidRPr="009417CD">
        <w:rPr>
          <w:lang w:bidi="ar-EG"/>
        </w:rPr>
        <w:t>Gameshifter</w:t>
      </w:r>
      <w:proofErr w:type="spellEnd"/>
      <w:r w:rsidRPr="009417CD">
        <w:rPr>
          <w:rtl/>
        </w:rPr>
        <w:t xml:space="preserve">، الذي يهدف إلى بناء القدرة على التكيف والابتكار وترسيخ أساليب التفكير الموجهة نحو النمو. وبالتعاون مع مركز التدريب الدولي التابع لمنظمة العمل الدولية </w:t>
      </w:r>
      <w:r w:rsidRPr="009417CD">
        <w:rPr>
          <w:lang w:bidi="ar-EG"/>
        </w:rPr>
        <w:t>(</w:t>
      </w:r>
      <w:proofErr w:type="spellStart"/>
      <w:r w:rsidRPr="009417CD">
        <w:rPr>
          <w:lang w:bidi="ar-EG"/>
        </w:rPr>
        <w:t>ITCILO</w:t>
      </w:r>
      <w:proofErr w:type="spellEnd"/>
      <w:r w:rsidRPr="009417CD">
        <w:rPr>
          <w:lang w:bidi="ar-EG"/>
        </w:rPr>
        <w:t>)</w:t>
      </w:r>
      <w:r w:rsidRPr="009417CD">
        <w:rPr>
          <w:rtl/>
        </w:rPr>
        <w:t>، قدُم تدريب متخصص بشأن "المهارات الرقمية وأدوات الذكاء الاصطناعي لتنفيذ البرامج" زود المشاركين بكفاءات عملية للاستفادة من التكنولوجيات الناشئة. وكان الهدف من هذه المبادرة تزويد موظفي فئة الخدمات العامة بما يلزم من مهارات وثقة وإلمام بالتكنولوجيات الرقمية لازدهارهم في بيئة عمل سريعة التطور. وبالتوازي مع ذلك، تواصل دائرة إدارة الموارد البشرية مواصلة بناء قدرات الموارد البشرية من خلال إصدار الشهادات، حسب الاقتضاء، لتعزيز الخبرات الداخلية.</w:t>
      </w:r>
    </w:p>
    <w:p w14:paraId="23B9364F" w14:textId="7256126E" w:rsidR="00C06B68" w:rsidRPr="009417CD" w:rsidRDefault="00C06B68" w:rsidP="009417CD">
      <w:pPr>
        <w:pStyle w:val="enumlev1"/>
        <w:rPr>
          <w:lang w:val="ar-SA" w:bidi="ar-EG"/>
        </w:rPr>
      </w:pPr>
      <w:r w:rsidRPr="009417CD">
        <w:rPr>
          <w:rtl/>
        </w:rPr>
        <w:t>5</w:t>
      </w:r>
      <w:r w:rsidRPr="009417CD">
        <w:rPr>
          <w:rtl/>
        </w:rPr>
        <w:tab/>
        <w:t>لضمان الإدماج السلس للموظفين، تم تنظيم جولتين من البرنامج التعريفي للوافدين الجدد في عام 2025 (مارس وسبتمبر). وتجري رقمنة البرنامج من خلال حل افتراضي لتوجيه الوافدين الجدد وموارد محدَّثة على</w:t>
      </w:r>
      <w:r w:rsidR="00044925">
        <w:rPr>
          <w:rFonts w:hint="cs"/>
          <w:rtl/>
        </w:rPr>
        <w:t> </w:t>
      </w:r>
      <w:r w:rsidRPr="009417CD">
        <w:rPr>
          <w:rtl/>
        </w:rPr>
        <w:t>شبكة الإنترانت بحلول نهاية عام 2026.</w:t>
      </w:r>
    </w:p>
    <w:p w14:paraId="13652AF4" w14:textId="3F3E5F7B" w:rsidR="00C06B68" w:rsidRPr="009417CD" w:rsidRDefault="00C06B68" w:rsidP="009417CD">
      <w:pPr>
        <w:pStyle w:val="enumlev1"/>
        <w:rPr>
          <w:spacing w:val="-3"/>
          <w:lang w:val="ar-SA" w:bidi="ar-EG"/>
        </w:rPr>
      </w:pPr>
      <w:r w:rsidRPr="009417CD">
        <w:rPr>
          <w:spacing w:val="-3"/>
          <w:rtl/>
        </w:rPr>
        <w:lastRenderedPageBreak/>
        <w:t>6</w:t>
      </w:r>
      <w:r w:rsidR="00A91EBE">
        <w:rPr>
          <w:spacing w:val="-3"/>
          <w:rtl/>
        </w:rPr>
        <w:tab/>
      </w:r>
      <w:r w:rsidRPr="009417CD">
        <w:rPr>
          <w:spacing w:val="-3"/>
          <w:rtl/>
        </w:rPr>
        <w:t>قُدم دعم موجه إلى مكاتب الاتحاد والمكاتب الإقليمية لتلبية متطلبات تشغيلية محددة. وشمل ذلك مبادرات مخصصة لبناء القدرات، ولا سيما تدريباً متخصصاً على تقييم المشاريع لفائدة مجتمع تقييم أنشئ حديثاً بالتعاون مع فريق صانعي التغيير المعني بالتقييم، وأخصائي التقييم، فضلاً عن تدريب يتعلق بالأمن قُدم بالتنسيق مع مكتب تنمية الاتصالات وفريق الأمن، ما أسهم في استعداد الموظفين للمؤتمر العالمي لتنمية الاتصالات لعام</w:t>
      </w:r>
      <w:r w:rsidR="009417CD">
        <w:rPr>
          <w:rFonts w:hint="cs"/>
          <w:spacing w:val="-3"/>
          <w:rtl/>
        </w:rPr>
        <w:t> </w:t>
      </w:r>
      <w:r w:rsidRPr="009417CD">
        <w:rPr>
          <w:spacing w:val="-3"/>
          <w:rtl/>
        </w:rPr>
        <w:t>2025 (WTDC-25). وبالإضافة إلى ذلك، قُدم الدعم لتلبية الاحتياجات الفردية من التدريب المتخصص.</w:t>
      </w:r>
    </w:p>
    <w:p w14:paraId="2B2D819F" w14:textId="1038373D" w:rsidR="00C06B68" w:rsidRPr="00044925" w:rsidRDefault="00C06B68" w:rsidP="009417CD">
      <w:pPr>
        <w:pStyle w:val="enumlev1"/>
        <w:rPr>
          <w:spacing w:val="-2"/>
          <w:lang w:val="ar-SA" w:bidi="ar-EG"/>
        </w:rPr>
      </w:pPr>
      <w:r w:rsidRPr="00044925">
        <w:rPr>
          <w:spacing w:val="-2"/>
          <w:rtl/>
        </w:rPr>
        <w:t>7</w:t>
      </w:r>
      <w:r w:rsidRPr="00044925">
        <w:rPr>
          <w:spacing w:val="-2"/>
          <w:rtl/>
        </w:rPr>
        <w:tab/>
        <w:t xml:space="preserve">جرى ترشيد عملية إدارة الأداء في جميع مراحلها من خلال تبسيط النماذج وإلغاء النقرات الزائدة وتجميع المعلومات. وهذا يجعل العملية أقل تعقيداً، بما يمكّن الموظفين والمديرين من التركيز على الحوار والتعقيبات المنتظمة. وقد خفضت أداة </w:t>
      </w:r>
      <w:proofErr w:type="spellStart"/>
      <w:r w:rsidRPr="00044925">
        <w:rPr>
          <w:spacing w:val="-2"/>
          <w:lang w:bidi="ar-EG"/>
        </w:rPr>
        <w:t>ePMDS</w:t>
      </w:r>
      <w:proofErr w:type="spellEnd"/>
      <w:r w:rsidRPr="00044925">
        <w:rPr>
          <w:spacing w:val="-2"/>
          <w:rtl/>
        </w:rPr>
        <w:t xml:space="preserve"> المبسَّطة الوقت الذي يستغرقه المشرف في التقييم بنسبة</w:t>
      </w:r>
      <w:r w:rsidR="00044925" w:rsidRPr="00044925">
        <w:rPr>
          <w:rFonts w:hint="cs"/>
          <w:spacing w:val="-2"/>
          <w:rtl/>
        </w:rPr>
        <w:t> </w:t>
      </w:r>
      <w:r w:rsidRPr="00044925">
        <w:rPr>
          <w:spacing w:val="-2"/>
          <w:rtl/>
        </w:rPr>
        <w:t>50 في المائة على الأقل، ما أتاح إجراء مناقشات بشأن الأداء بكفاءة أكبر بدلاً من التركيز على الأداة داخل النظام.</w:t>
      </w:r>
    </w:p>
    <w:p w14:paraId="0BD28655" w14:textId="201E48FA" w:rsidR="00C06B68" w:rsidRPr="009417CD" w:rsidRDefault="00C06B68" w:rsidP="009417CD">
      <w:pPr>
        <w:pStyle w:val="enumlev1"/>
        <w:rPr>
          <w:lang w:val="ar-SA" w:bidi="ar-EG"/>
        </w:rPr>
      </w:pPr>
      <w:r w:rsidRPr="009417CD">
        <w:rPr>
          <w:rtl/>
        </w:rPr>
        <w:t>8</w:t>
      </w:r>
      <w:r w:rsidRPr="009417CD">
        <w:rPr>
          <w:rtl/>
        </w:rPr>
        <w:tab/>
        <w:t>يعتمد الاستعراض المستمر لعملية إدارة الأداء نهجاً تعاونياً من خلال مختبرات الابتكار لتحسين العملية والأدوات لمعالجة ضعف الأداء، وربط التعلم بالأداء، والاعتراف بإنجازات الأفراد والأفرقة، وتعزيز الحوار المفتوح والتعقيبات المستمرة، بهدف أن ينفَّذ ذلك في عام 2026.</w:t>
      </w:r>
    </w:p>
    <w:p w14:paraId="26782EFE" w14:textId="3A11788F" w:rsidR="00C06B68" w:rsidRPr="009417CD" w:rsidRDefault="00C06B68" w:rsidP="009417CD">
      <w:pPr>
        <w:pStyle w:val="enumlev1"/>
        <w:rPr>
          <w:lang w:val="ar-SA" w:bidi="ar-EG"/>
        </w:rPr>
      </w:pPr>
      <w:r w:rsidRPr="009417CD">
        <w:rPr>
          <w:rtl/>
        </w:rPr>
        <w:t>9</w:t>
      </w:r>
      <w:r w:rsidRPr="009417CD">
        <w:rPr>
          <w:rtl/>
        </w:rPr>
        <w:tab/>
        <w:t xml:space="preserve">يجري تعزيز إطار التوظيف في الاتحاد لتحسين الكفاءة من حيث الوقت اللازم للتوظيف والجهد الإداري، مع التخفيف من مخاطر الامتثال والمساءلة. وفي المرحلة الأولى من تحول عمليات التوظيف بعقود محددة المدة، وضعت مسارات عمل جديدة، ومؤشرات أداء رئيسية </w:t>
      </w:r>
      <w:r w:rsidRPr="009417CD">
        <w:rPr>
          <w:lang w:bidi="ar-EG"/>
        </w:rPr>
        <w:t>(</w:t>
      </w:r>
      <w:proofErr w:type="spellStart"/>
      <w:r w:rsidRPr="009417CD">
        <w:rPr>
          <w:lang w:bidi="ar-EG"/>
        </w:rPr>
        <w:t>KPI</w:t>
      </w:r>
      <w:proofErr w:type="spellEnd"/>
      <w:r w:rsidRPr="009417CD">
        <w:rPr>
          <w:lang w:bidi="ar-EG"/>
        </w:rPr>
        <w:t>)</w:t>
      </w:r>
      <w:r w:rsidRPr="009417CD">
        <w:rPr>
          <w:rtl/>
        </w:rPr>
        <w:t xml:space="preserve">، وإطار مساءلة، ومشروع سياسة، استرشاداً بالمشاورات الداخلية والمقارنة المرجعية مع الأمم المتحدة. ومن المتوقع وضع سياسة التوظيف في صيغتها النهائية في عام 2026، وسينتقل الاتحاد إلى منصة </w:t>
      </w:r>
      <w:r w:rsidRPr="009417CD">
        <w:rPr>
          <w:lang w:bidi="ar-EG"/>
        </w:rPr>
        <w:t>INSPIRA</w:t>
      </w:r>
      <w:r w:rsidRPr="009417CD">
        <w:rPr>
          <w:rtl/>
        </w:rPr>
        <w:t xml:space="preserve"> لتكون منصته الرئيسية للتوظيف، تماشياً مع أهداف مبادرة الأمم المتحدة 80 (UN80) وأهداف الخدمات المشتركة، من أجل خفض تكاليف التشغيل السنوية، مع تحقيق قيمة أعلى بكثير ونموذج تكلفة يمكن التنبؤ به وتخفيف العبء التشغيلي، والتوافق في</w:t>
      </w:r>
      <w:r w:rsidR="009417CD">
        <w:rPr>
          <w:rFonts w:hint="cs"/>
          <w:rtl/>
        </w:rPr>
        <w:t> </w:t>
      </w:r>
      <w:r w:rsidRPr="009417CD">
        <w:rPr>
          <w:rtl/>
        </w:rPr>
        <w:t>الوقت المناسب مع تحديث المؤسسة. ويجري العمل أيضاً على تعزيز أنشطة التواصل وبناء العلامة التجارية لصاحب العمل لجذب مواهب متنوعة وعالية الجودة.</w:t>
      </w:r>
    </w:p>
    <w:p w14:paraId="6BAF7E05" w14:textId="57ABCF30" w:rsidR="00C06B68" w:rsidRPr="009417CD" w:rsidRDefault="00C06B68" w:rsidP="009417CD">
      <w:pPr>
        <w:pStyle w:val="enumlev1"/>
        <w:rPr>
          <w:lang w:val="ar-SA" w:bidi="ar-EG"/>
        </w:rPr>
      </w:pPr>
      <w:r w:rsidRPr="009417CD">
        <w:rPr>
          <w:rtl/>
        </w:rPr>
        <w:t>10</w:t>
      </w:r>
      <w:r w:rsidRPr="009417CD">
        <w:rPr>
          <w:rtl/>
        </w:rPr>
        <w:tab/>
        <w:t>يجري تعزيز التخطيط الاستراتيجي للقوى العاملة دعماً لتوزيع الموارد البشرية بفعالية لتلبية الاحتياجات المتغيرة للاتحاد. وبناء</w:t>
      </w:r>
      <w:r w:rsidR="00044925">
        <w:rPr>
          <w:rFonts w:hint="cs"/>
          <w:rtl/>
        </w:rPr>
        <w:t>ً</w:t>
      </w:r>
      <w:r w:rsidRPr="009417CD">
        <w:rPr>
          <w:rtl/>
        </w:rPr>
        <w:t xml:space="preserve"> على المشاورات الداخلية والمقارنة المرجعية مع الأمم المتحدة، يتقدم العمل على وضع إطار للكفاءات ومصفوفة للمهارات وتحديد الاحتياجات التدريبية ونموذج لتخطيط التعاقب. وسيستمر هذا العمل حتى الربع الثالث من عام 2026. وكجزء من إطار تخطيط القوى العاملة </w:t>
      </w:r>
      <w:r w:rsidRPr="009417CD">
        <w:rPr>
          <w:lang w:bidi="ar-EG"/>
        </w:rPr>
        <w:t>(WFP)</w:t>
      </w:r>
      <w:r w:rsidRPr="009417CD">
        <w:rPr>
          <w:rtl/>
        </w:rPr>
        <w:t>، يمضي الاتحاد في</w:t>
      </w:r>
      <w:r w:rsidR="009417CD">
        <w:rPr>
          <w:rFonts w:hint="cs"/>
          <w:rtl/>
        </w:rPr>
        <w:t> </w:t>
      </w:r>
      <w:r w:rsidRPr="009417CD">
        <w:rPr>
          <w:rtl/>
        </w:rPr>
        <w:t>وضع إطار مقيَّس على مستوى الاتحاد لتقييم أنسب موقع</w:t>
      </w:r>
      <w:r w:rsidR="00EE52B6" w:rsidRPr="009417CD">
        <w:rPr>
          <w:rtl/>
          <w:lang w:bidi="ar-SA"/>
        </w:rPr>
        <w:t xml:space="preserve"> </w:t>
      </w:r>
      <w:r w:rsidRPr="009417CD">
        <w:rPr>
          <w:rtl/>
        </w:rPr>
        <w:t>جغرافي وطريقة تعاقد للوظائف عند فتح باب التعيين لشغلها، بما يضمن اتساق قرارات التعيين والتنسيب مع الأولويات المؤسسية وواقع نموذج التشغيل العالمي، مع تعزيز الحضور الإقليمي من خلال تقريب الموظفين من الدول الأعضاء. ويعزز هذا الإطار القائم على البيانات الإنصاف والشفافية والقدرة على التكيف، ما يمكّن المنظمة من مواجهة التحديات المستقبلية وتلبية احتياجات الدول الأعضاء بمزيد من الكفاءة والتأثير.</w:t>
      </w:r>
    </w:p>
    <w:p w14:paraId="4682650D" w14:textId="77777777" w:rsidR="00C06B68" w:rsidRPr="009417CD" w:rsidRDefault="00C06B68" w:rsidP="009417CD">
      <w:pPr>
        <w:pStyle w:val="enumlev1"/>
        <w:rPr>
          <w:lang w:val="ar-SA" w:bidi="ar-EG"/>
        </w:rPr>
      </w:pPr>
      <w:r w:rsidRPr="009417CD">
        <w:rPr>
          <w:rtl/>
        </w:rPr>
        <w:t>11</w:t>
      </w:r>
      <w:r w:rsidRPr="009417CD">
        <w:rPr>
          <w:rtl/>
        </w:rPr>
        <w:tab/>
        <w:t xml:space="preserve">حتى فبراير 2026، بلغ عدد الموظفين المهنيين المبتدئين </w:t>
      </w:r>
      <w:r w:rsidRPr="009417CD">
        <w:rPr>
          <w:lang w:bidi="ar-EG"/>
        </w:rPr>
        <w:t>(JPO)</w:t>
      </w:r>
      <w:r w:rsidRPr="009417CD">
        <w:rPr>
          <w:rtl/>
        </w:rPr>
        <w:t xml:space="preserve"> 5 موظفين، ومن المتوقع انضمام 4 إلى 6 موظفين إضافيين في وقت لاحق من هذا العام. ويعزز هذا النمو مجموعة المواهب في الاتحاد، ما يسهم في بناء قوة عاملة مهيأة للمستقبل، مع تعزيز الكفاءة والمرونة المؤسسيتين.</w:t>
      </w:r>
    </w:p>
    <w:p w14:paraId="136B7878" w14:textId="5461D1EE" w:rsidR="00C06B68" w:rsidRPr="009417CD" w:rsidRDefault="00C06B68" w:rsidP="009417CD">
      <w:pPr>
        <w:pStyle w:val="enumlev1"/>
        <w:rPr>
          <w:lang w:val="ar-SA" w:bidi="ar-EG"/>
        </w:rPr>
      </w:pPr>
      <w:bookmarkStart w:id="1" w:name="_Hlk195106213"/>
      <w:r w:rsidRPr="009417CD">
        <w:rPr>
          <w:rtl/>
        </w:rPr>
        <w:t>12</w:t>
      </w:r>
      <w:r w:rsidRPr="009417CD">
        <w:rPr>
          <w:rtl/>
        </w:rPr>
        <w:tab/>
        <w:t xml:space="preserve">يعد برنامج المهنيين الشباب </w:t>
      </w:r>
      <w:r w:rsidRPr="009417CD">
        <w:rPr>
          <w:lang w:bidi="ar-EG"/>
        </w:rPr>
        <w:t>(</w:t>
      </w:r>
      <w:proofErr w:type="spellStart"/>
      <w:r w:rsidRPr="009417CD">
        <w:rPr>
          <w:lang w:bidi="ar-EG"/>
        </w:rPr>
        <w:t>YPP</w:t>
      </w:r>
      <w:proofErr w:type="spellEnd"/>
      <w:r w:rsidRPr="009417CD">
        <w:rPr>
          <w:lang w:bidi="ar-EG"/>
        </w:rPr>
        <w:t>)</w:t>
      </w:r>
      <w:r w:rsidRPr="009417CD">
        <w:rPr>
          <w:rtl/>
        </w:rPr>
        <w:t xml:space="preserve">، الذي أُطلق عام 2024، حجر الزاوية في التزام الاتحاد بتنشيط القوى العاملة وإشراك الشباب. وبعد انضمام ستة مهنيين من أقل البلدان نمواً </w:t>
      </w:r>
      <w:r w:rsidRPr="009417CD">
        <w:rPr>
          <w:lang w:bidi="ar-EG"/>
        </w:rPr>
        <w:t>(</w:t>
      </w:r>
      <w:proofErr w:type="spellStart"/>
      <w:r w:rsidRPr="009417CD">
        <w:rPr>
          <w:lang w:bidi="ar-EG"/>
        </w:rPr>
        <w:t>LDC</w:t>
      </w:r>
      <w:proofErr w:type="spellEnd"/>
      <w:r w:rsidRPr="009417CD">
        <w:rPr>
          <w:lang w:bidi="ar-EG"/>
        </w:rPr>
        <w:t>)</w:t>
      </w:r>
      <w:r w:rsidRPr="009417CD">
        <w:rPr>
          <w:rtl/>
        </w:rPr>
        <w:t xml:space="preserve"> في عام 2025 - بما يعزز التمثيل الجغرافي - سيحافظ الاتحاد على هذا الزخم لإثراء الاتحاد بوجهات نظر جديدة ومهارات رقمية جاهزة لمواكبة المستقبل.</w:t>
      </w:r>
    </w:p>
    <w:bookmarkEnd w:id="1"/>
    <w:p w14:paraId="1CF957C8" w14:textId="77777777" w:rsidR="00C06B68" w:rsidRPr="009417CD" w:rsidRDefault="00C06B68" w:rsidP="009417CD">
      <w:pPr>
        <w:pStyle w:val="enumlev1"/>
        <w:rPr>
          <w:lang w:val="ar-SA" w:bidi="ar-EG"/>
        </w:rPr>
      </w:pPr>
      <w:r w:rsidRPr="009417CD">
        <w:rPr>
          <w:rtl/>
        </w:rPr>
        <w:t>13</w:t>
      </w:r>
      <w:r w:rsidRPr="009417CD">
        <w:rPr>
          <w:rtl/>
        </w:rPr>
        <w:tab/>
        <w:t>وتم تعزيز التكافؤ بين الجنسين في التوظيف من خلال لجان توظيف متوازنة - بما يضمن تمثيل الرجال والنساء على السواء في كل لجنة وفي كل خطوة من خطوات عملية التوظيف. وحُددت تدابير خاصة للتوظيف والتوعية الموجَّهة دعماً للتكافؤ والتنوع الجغرافي. ويشمل ذلك وجوب أن تضم القوائم المختصرة، حيثما أمكن، 50 في المائة من المرشحين من الجنس الممثل تمثيلاً ضعيفاً (في حال عدم تحقيق التكافؤ) وتعزيز مساءلة الإدارة. والعمل جار على زيادة مواءمة الاتصالات والممارسات المتعلقة بالتوظيف مع معايير الشمول.</w:t>
      </w:r>
    </w:p>
    <w:p w14:paraId="24A95260" w14:textId="75384ED5" w:rsidR="00C06B68" w:rsidRPr="009417CD" w:rsidRDefault="00C06B68" w:rsidP="009417CD">
      <w:pPr>
        <w:pStyle w:val="enumlev1"/>
        <w:keepLines/>
        <w:rPr>
          <w:lang w:val="ar-SA" w:bidi="ar-EG"/>
        </w:rPr>
      </w:pPr>
      <w:r w:rsidRPr="009417CD">
        <w:rPr>
          <w:rtl/>
        </w:rPr>
        <w:lastRenderedPageBreak/>
        <w:t>14</w:t>
      </w:r>
      <w:r w:rsidRPr="009417CD">
        <w:rPr>
          <w:rtl/>
        </w:rPr>
        <w:tab/>
        <w:t xml:space="preserve">نُفذت شريحة ثانية من برنامج إنهاء الخدمة الطوعي </w:t>
      </w:r>
      <w:r w:rsidRPr="009417CD">
        <w:rPr>
          <w:lang w:bidi="ar-EG"/>
        </w:rPr>
        <w:t>(VSP)</w:t>
      </w:r>
      <w:r w:rsidRPr="009417CD">
        <w:rPr>
          <w:rtl/>
        </w:rPr>
        <w:t xml:space="preserve"> لتحقيق مستوى الإنفاق الأمثل من الميزانية، وإعادة تنظيم هياكل الاتحاد وعملية تخصيص موارده، وتحسين قدرة الاتحاد على توظيف الكفاءات ذات المهارات المطلوبة. وعملاً بتوصية لجنة التنسيق </w:t>
      </w:r>
      <w:r w:rsidRPr="009417CD">
        <w:rPr>
          <w:lang w:bidi="ar-EG"/>
        </w:rPr>
        <w:t>(</w:t>
      </w:r>
      <w:proofErr w:type="spellStart"/>
      <w:r w:rsidRPr="009417CD">
        <w:rPr>
          <w:lang w:bidi="ar-EG"/>
        </w:rPr>
        <w:t>CoCo</w:t>
      </w:r>
      <w:proofErr w:type="spellEnd"/>
      <w:r w:rsidRPr="009417CD">
        <w:rPr>
          <w:lang w:bidi="ar-EG"/>
        </w:rPr>
        <w:t>)</w:t>
      </w:r>
      <w:r w:rsidRPr="009417CD">
        <w:rPr>
          <w:rtl/>
        </w:rPr>
        <w:t xml:space="preserve"> وبموافقة الأمينة العامة، أنهى 15 موظفاً خدمتهم في إطار خطة برنامج إنهاء الخدمة الطوعي لعام 2024 (ما يمثل حوالي 2,5 في المائة من الموظفين النظاميين)، واكتملت مغادرتهم في عام 2025.</w:t>
      </w:r>
    </w:p>
    <w:p w14:paraId="0EC9E1A1" w14:textId="77777777" w:rsidR="00C06B68" w:rsidRPr="009417CD" w:rsidRDefault="00C06B68" w:rsidP="009417CD">
      <w:pPr>
        <w:pStyle w:val="Headingb"/>
      </w:pPr>
      <w:r w:rsidRPr="00C06B68">
        <w:rPr>
          <w:rtl/>
        </w:rPr>
        <w:t>الثقافة - إرساء ثقافة يشعر فيها الأشخاص بالأمان والتقدير والقدرة على تقديم أفضل ما لديهم</w:t>
      </w:r>
    </w:p>
    <w:p w14:paraId="71E18C2A" w14:textId="77777777" w:rsidR="00C06B68" w:rsidRPr="00C06B68" w:rsidRDefault="00C06B68" w:rsidP="00EE52B6">
      <w:pPr>
        <w:rPr>
          <w:lang w:val="ar-SA" w:bidi="ar-EG"/>
        </w:rPr>
      </w:pPr>
      <w:r w:rsidRPr="00C06B68">
        <w:rPr>
          <w:rtl/>
        </w:rPr>
        <w:t xml:space="preserve">تمثل الثقافة الركيزة الثانية لخطة تحول الموارد البشرية </w:t>
      </w:r>
      <w:r w:rsidRPr="00C06B68">
        <w:rPr>
          <w:lang w:bidi="ar-EG"/>
        </w:rPr>
        <w:t>(</w:t>
      </w:r>
      <w:proofErr w:type="spellStart"/>
      <w:r w:rsidRPr="00C06B68">
        <w:rPr>
          <w:lang w:bidi="ar-EG"/>
        </w:rPr>
        <w:t>HRTP</w:t>
      </w:r>
      <w:proofErr w:type="spellEnd"/>
      <w:r w:rsidRPr="00C06B68">
        <w:rPr>
          <w:lang w:bidi="ar-EG"/>
        </w:rPr>
        <w:t>)</w:t>
      </w:r>
      <w:r w:rsidRPr="00C06B68">
        <w:rPr>
          <w:rtl/>
        </w:rPr>
        <w:t>، وتعترف هذه الركيزة بالتزام الاتحاد بإرساء ثقافة شاملة، تتشكل من خلال قيادة تيسيرية قوية، في مكان عمل محترم وأخلاقي وعادل يشعر فيه الأشخاص بالأمان والثقة والتقدير والقدرة على تحقيق أفضل أداء. وتوفر تهيئة هذه البيئة مصدر إلهام للإبداع والسلامة النفسية والأداء العالي ومشاركة الموظفين.</w:t>
      </w:r>
    </w:p>
    <w:p w14:paraId="74CB2DAD" w14:textId="77777777" w:rsidR="00C06B68" w:rsidRPr="00C06B68" w:rsidRDefault="00C06B68" w:rsidP="00EE52B6">
      <w:pPr>
        <w:rPr>
          <w:lang w:val="ar-SA" w:bidi="ar-EG"/>
        </w:rPr>
      </w:pPr>
      <w:r w:rsidRPr="00C06B68">
        <w:rPr>
          <w:rtl/>
        </w:rPr>
        <w:t>وتعطي الخطة الأولوية لشروط الخدمة والرفاه والتوازن بين العمل والحياة الشخصية من خلال تدابير دعم الصحة المهنية والعقلية والسياسات المراعية للأسرة.</w:t>
      </w:r>
    </w:p>
    <w:p w14:paraId="31A440F5" w14:textId="0EC273CB" w:rsidR="00C06B68" w:rsidRPr="00C06B68" w:rsidRDefault="00C06B68" w:rsidP="00EE52B6">
      <w:pPr>
        <w:rPr>
          <w:lang w:val="ar-SA" w:bidi="ar-EG"/>
        </w:rPr>
      </w:pPr>
      <w:r w:rsidRPr="00C06B68">
        <w:rPr>
          <w:rtl/>
        </w:rPr>
        <w:t>إضافة</w:t>
      </w:r>
      <w:r w:rsidR="00044925">
        <w:rPr>
          <w:rFonts w:hint="cs"/>
          <w:rtl/>
        </w:rPr>
        <w:t>ً</w:t>
      </w:r>
      <w:r w:rsidRPr="00C06B68">
        <w:rPr>
          <w:rtl/>
        </w:rPr>
        <w:t xml:space="preserve"> إلى ذلك، يسعى الاتحاد جاهداً إلى أن يكون صاحب عمل متاحاً وجذاباً للجميع.</w:t>
      </w:r>
    </w:p>
    <w:p w14:paraId="055CBB44" w14:textId="77777777" w:rsidR="00C06B68" w:rsidRPr="00C06B68" w:rsidRDefault="00C06B68" w:rsidP="00EE52B6">
      <w:pPr>
        <w:rPr>
          <w:lang w:val="ar-SA" w:bidi="ar-EG"/>
        </w:rPr>
      </w:pPr>
      <w:r w:rsidRPr="00C06B68">
        <w:rPr>
          <w:rtl/>
        </w:rPr>
        <w:t>أهم الإنجازات:</w:t>
      </w:r>
    </w:p>
    <w:p w14:paraId="5188E563" w14:textId="54E0DBE1" w:rsidR="00C06B68" w:rsidRPr="009417CD" w:rsidRDefault="00C06B68" w:rsidP="009417CD">
      <w:pPr>
        <w:pStyle w:val="enumlev1"/>
        <w:rPr>
          <w:spacing w:val="-2"/>
          <w:lang w:val="ar-SA" w:bidi="ar-EG"/>
        </w:rPr>
      </w:pPr>
      <w:r w:rsidRPr="009417CD">
        <w:rPr>
          <w:spacing w:val="-2"/>
          <w:rtl/>
        </w:rPr>
        <w:t>1</w:t>
      </w:r>
      <w:r w:rsidRPr="009417CD">
        <w:rPr>
          <w:spacing w:val="-2"/>
          <w:rtl/>
        </w:rPr>
        <w:tab/>
        <w:t xml:space="preserve">أجرى الاتحاد للمرة الأولى على الإطلاق استقصاء مشاركة الموظفين </w:t>
      </w:r>
      <w:r w:rsidRPr="009417CD">
        <w:rPr>
          <w:spacing w:val="-2"/>
          <w:lang w:bidi="ar-EG"/>
        </w:rPr>
        <w:t>(EES)</w:t>
      </w:r>
      <w:r w:rsidRPr="009417CD">
        <w:rPr>
          <w:spacing w:val="-2"/>
          <w:rtl/>
        </w:rPr>
        <w:t xml:space="preserve"> في أوائل عام 2025 في إطار خطة تحول الموارد البشرية، موفراً بذلك قاعدة أدلة متينة لتحديد مواطن القوة والمجالات التي تتطلب مزيداً من الاهتمام. وبناء</w:t>
      </w:r>
      <w:r w:rsidR="00044925">
        <w:rPr>
          <w:rFonts w:hint="cs"/>
          <w:spacing w:val="-2"/>
          <w:rtl/>
        </w:rPr>
        <w:t>ً</w:t>
      </w:r>
      <w:r w:rsidRPr="009417CD">
        <w:rPr>
          <w:spacing w:val="-2"/>
          <w:rtl/>
        </w:rPr>
        <w:t xml:space="preserve"> على نتائج الاستقصاء، نفذ الاتحاد خطة عمل للمتابعة تركز على ثقافة مكان العمل والممارسات الإدارية والكفاءة التشغيلية. وتجمع الخطة مبادرات على مستوى المنظمة، بما في ذلك جلسات أبواب مفتوحة مع المسؤولين المنتخَبين، وبرنامج للابتكار والتعلم، وسلسلة لقاءات وقت الغداء غير رسمية، وبرنامج إرشادي على مستوى الاتحاد، بالإضافة إلى إجراءات على مستوى الدوائر والمكاتب أعدت على مستوى الموظفين.</w:t>
      </w:r>
    </w:p>
    <w:p w14:paraId="0BD4DDF6" w14:textId="51603C3A" w:rsidR="00C06B68" w:rsidRPr="009417CD" w:rsidRDefault="00C06B68" w:rsidP="009417CD">
      <w:pPr>
        <w:pStyle w:val="enumlev1"/>
        <w:rPr>
          <w:spacing w:val="-2"/>
          <w:lang w:val="ar-SA" w:bidi="ar-EG"/>
        </w:rPr>
      </w:pPr>
      <w:r w:rsidRPr="009417CD">
        <w:rPr>
          <w:spacing w:val="-2"/>
          <w:rtl/>
        </w:rPr>
        <w:t>2</w:t>
      </w:r>
      <w:r w:rsidRPr="009417CD">
        <w:rPr>
          <w:spacing w:val="-2"/>
          <w:rtl/>
        </w:rPr>
        <w:tab/>
        <w:t>أُطلق إطار للمكافآت والتقدير احتفاءً بالخدمة والأداء، بما يستجيب مباشرة</w:t>
      </w:r>
      <w:r w:rsidR="00044925">
        <w:rPr>
          <w:rFonts w:hint="cs"/>
          <w:spacing w:val="-2"/>
          <w:rtl/>
        </w:rPr>
        <w:t>ً</w:t>
      </w:r>
      <w:r w:rsidRPr="009417CD">
        <w:rPr>
          <w:spacing w:val="-2"/>
          <w:rtl/>
        </w:rPr>
        <w:t xml:space="preserve"> للتعليقات الواردة في استقصاء مشاركة الموظفين وعملاً بتوصيات مجلس الموظفين. وفي 8 ديسمبر 2025، أقيم حفل تكريم الخدمة الطويلة الأمد، وكُرم فيه 210 من الزملاء أمضوا أكثر من 20 عاماً في الخدمة. وفي عام 2026، سيوسَّع هذا الإطار بإطلاق الركيزة الثانية، "جوائز الفريق"، اعترافاً بالإنجازات الجماعية وتعزيزاً للشعور بالانتماء، وسيُكمَّل بإشادات غير رسمية وتقدير يقوده المديرون لضمان شعور الأشخاص بأنهم محل تقدير. ويحوِّل هذا النهج الاستباقي تعليقات الموظفين إلى مظاهر تقدير، ما يعزز الشعور المشترك بالغاية ويعمق الالتزام الطويل الأمد تجاه الاتحاد.</w:t>
      </w:r>
    </w:p>
    <w:p w14:paraId="0053D56D" w14:textId="73F34FB7" w:rsidR="00C06B68" w:rsidRPr="00C06B68" w:rsidRDefault="00C06B68" w:rsidP="009417CD">
      <w:pPr>
        <w:pStyle w:val="enumlev1"/>
        <w:rPr>
          <w:lang w:val="ar-SA" w:bidi="ar-EG"/>
        </w:rPr>
      </w:pPr>
      <w:r w:rsidRPr="00C06B68">
        <w:rPr>
          <w:rtl/>
        </w:rPr>
        <w:t>3</w:t>
      </w:r>
      <w:r w:rsidRPr="00C06B68">
        <w:rPr>
          <w:rtl/>
        </w:rPr>
        <w:tab/>
        <w:t>نُفذ برنامج منظم لتنمية المهارات القيادية بهدف تعزيز القدرات القيادية ودعم تخطيط التعاقب، بما في ذلك القيادة الشاملة (للموظفين برتبة P5 وما فوقها) مع وحدات مخصصة بشأن تعزيز السلامة النفسية، وإدارة التحيز والاعتداءات الدقيقة، والنهوض بالشمولية الجنسانية والعرقية. وتعزز ذلك من خلال ورش عمل "القيادة التكيفية" الموجهة للموظفين برتبة P4 وما فوقها، بمن فيهم المسؤولون المنتخبون، ومن خلال برنامج قادة الاتحاد في المستقبل الموجه لصانعي التغيير. وبناءً على ذلك، يتوسع المنهج في أوائل عام 2026 ليشمل ورش عمل "القيادة التكيفية المتقدمة" والتدريب على إدارة الأشخاص.</w:t>
      </w:r>
    </w:p>
    <w:p w14:paraId="2B2F6CC6" w14:textId="77777777" w:rsidR="00C06B68" w:rsidRPr="009417CD" w:rsidRDefault="00C06B68" w:rsidP="009417CD">
      <w:pPr>
        <w:pStyle w:val="enumlev1"/>
        <w:rPr>
          <w:lang w:val="ar-SA" w:bidi="ar-EG"/>
        </w:rPr>
      </w:pPr>
      <w:r w:rsidRPr="009417CD">
        <w:rPr>
          <w:spacing w:val="-4"/>
          <w:rtl/>
        </w:rPr>
        <w:t>4</w:t>
      </w:r>
      <w:r w:rsidRPr="009417CD">
        <w:rPr>
          <w:spacing w:val="-4"/>
          <w:rtl/>
        </w:rPr>
        <w:tab/>
        <w:t xml:space="preserve">بموجب مذكرات التفاهم </w:t>
      </w:r>
      <w:r w:rsidRPr="009417CD">
        <w:rPr>
          <w:spacing w:val="-4"/>
          <w:lang w:bidi="ar-EG"/>
        </w:rPr>
        <w:t>(MOU)</w:t>
      </w:r>
      <w:r w:rsidRPr="009417CD">
        <w:rPr>
          <w:spacing w:val="-4"/>
          <w:rtl/>
        </w:rPr>
        <w:t xml:space="preserve"> التي وقعها الاتحاد، وبالشراكة مع المنظمة العالمية للملكية الفكرية </w:t>
      </w:r>
      <w:r w:rsidRPr="009417CD">
        <w:rPr>
          <w:spacing w:val="-4"/>
          <w:lang w:bidi="ar-EG"/>
        </w:rPr>
        <w:t>(WIPO)</w:t>
      </w:r>
      <w:r w:rsidRPr="009417CD">
        <w:rPr>
          <w:spacing w:val="-4"/>
          <w:rtl/>
        </w:rPr>
        <w:t xml:space="preserve">، </w:t>
      </w:r>
      <w:r w:rsidRPr="009417CD">
        <w:rPr>
          <w:rtl/>
        </w:rPr>
        <w:t xml:space="preserve">ومكتب أمين المظالم وخدمات الوساطة في الأمم المتحدة </w:t>
      </w:r>
      <w:r w:rsidRPr="009417CD">
        <w:rPr>
          <w:lang w:bidi="ar-EG"/>
        </w:rPr>
        <w:t>(</w:t>
      </w:r>
      <w:proofErr w:type="spellStart"/>
      <w:r w:rsidRPr="009417CD">
        <w:rPr>
          <w:lang w:bidi="ar-EG"/>
        </w:rPr>
        <w:t>UNOMS</w:t>
      </w:r>
      <w:proofErr w:type="spellEnd"/>
      <w:r w:rsidRPr="009417CD">
        <w:rPr>
          <w:lang w:bidi="ar-EG"/>
        </w:rPr>
        <w:t>)</w:t>
      </w:r>
      <w:r w:rsidRPr="009417CD">
        <w:rPr>
          <w:rtl/>
        </w:rPr>
        <w:t>، تولت أمينة مظالم مشتركة مهامها في الاتحاد في يناير 2026. وتضمن هذه المبادرة النفاذ إلى خدمات محايدة ومستقلة وسرية لتسوية النزاعات، ما يعزز بيئة عمل تتسم بالاحترام والثقة. ولإظهار هذه الخدمات وتعزيز الثقة بها، عُقدت جلسة إعلامية بنسق مختلط لجميع الموظفين، بمن فيهم أولئك الذين يعملون في المكاتب الإقليمية، لشرح الخدمات المتاحة. وبالإضافة إلى ذلك، أُطلقت في فبراير 2026، على نطاق الاتحاد، دورة بعنوان "خارطة الطريق في مكان العمل"، زودت الموظفين بدليل واضح بعنوان "إلى أين أتوجه" لتصفح خيارات الدعم وتوضيح جهات الاتصال والنفاذ إلى الموارد الرئيسية بكفاءة. وستنظَّم دورات متابعة إضافية طوال عام 2026.</w:t>
      </w:r>
    </w:p>
    <w:p w14:paraId="556CA7EB" w14:textId="52CC273E" w:rsidR="00C06B68" w:rsidRPr="009417CD" w:rsidRDefault="00C06B68" w:rsidP="009417CD">
      <w:pPr>
        <w:pStyle w:val="enumlev1"/>
        <w:keepLines/>
        <w:rPr>
          <w:spacing w:val="-2"/>
          <w:lang w:val="ar-SA" w:bidi="ar-EG"/>
        </w:rPr>
      </w:pPr>
      <w:r w:rsidRPr="009417CD">
        <w:rPr>
          <w:spacing w:val="-2"/>
          <w:rtl/>
        </w:rPr>
        <w:lastRenderedPageBreak/>
        <w:t>5</w:t>
      </w:r>
      <w:r w:rsidRPr="009417CD">
        <w:rPr>
          <w:spacing w:val="-2"/>
          <w:rtl/>
        </w:rPr>
        <w:tab/>
        <w:t xml:space="preserve">تستند خطة الاتحاد لتنفيذ التكافؤ بين الجنسين إلى استراتيجية الاتحاد للتكافؤ بين الجنسين التي أقرها المجلس في عام 2018، وهي تدعم أهداف استراتيجية التكافؤ بين الجنسين على نطاق منظومة الأمم المتحدة </w:t>
      </w:r>
      <w:r w:rsidRPr="009417CD">
        <w:rPr>
          <w:spacing w:val="-2"/>
          <w:lang w:bidi="ar-EG"/>
        </w:rPr>
        <w:t>(UN)</w:t>
      </w:r>
      <w:r w:rsidRPr="009417CD">
        <w:rPr>
          <w:spacing w:val="-2"/>
          <w:rtl/>
        </w:rPr>
        <w:t>. ولا</w:t>
      </w:r>
      <w:r w:rsidR="009417CD">
        <w:rPr>
          <w:rFonts w:hint="cs"/>
          <w:spacing w:val="-2"/>
          <w:rtl/>
        </w:rPr>
        <w:t> </w:t>
      </w:r>
      <w:r w:rsidRPr="009417CD">
        <w:rPr>
          <w:spacing w:val="-2"/>
          <w:rtl/>
        </w:rPr>
        <w:t>تقتصر الخطة على الأهداف العددية، بل تُدمج منظور التكافؤ بين الجنسين في مختلف عمليات الموارد البشرية والممارسات المؤسسية. وهي تضع تدابير محددة زمنياً لتعزيز المساءلة وتحسين التمثيل في القوى العاملة والتقدم الوظيفي والتدريب الموجَّه، ما يجعل الاتحاد منظمة نموذجية في تحقيق التكافؤ بين الجنسين.</w:t>
      </w:r>
    </w:p>
    <w:p w14:paraId="4472CF3E" w14:textId="11008409" w:rsidR="00C06B68" w:rsidRPr="009417CD" w:rsidRDefault="00C06B68" w:rsidP="009417CD">
      <w:pPr>
        <w:pStyle w:val="enumlev1"/>
        <w:rPr>
          <w:spacing w:val="-3"/>
          <w:lang w:val="ar-SA" w:bidi="ar-EG"/>
        </w:rPr>
      </w:pPr>
      <w:r w:rsidRPr="009417CD">
        <w:rPr>
          <w:spacing w:val="-3"/>
          <w:rtl/>
        </w:rPr>
        <w:t>6</w:t>
      </w:r>
      <w:r w:rsidRPr="009417CD">
        <w:rPr>
          <w:spacing w:val="-3"/>
          <w:rtl/>
        </w:rPr>
        <w:tab/>
        <w:t xml:space="preserve">لا يزال تمثيل الجنسين على مستوى القيادة العليا متوازناً، إذ شغلت النساء 60 في المائة من المناصب برتبة D2 في فبراير 2026. كما أن النساء ممثَّلات تمثيلاً جيداً في الفئة الفنية المبتدئة </w:t>
      </w:r>
      <w:r w:rsidRPr="009417CD">
        <w:rPr>
          <w:spacing w:val="-3"/>
          <w:lang w:bidi="ar-EG"/>
        </w:rPr>
        <w:t>(</w:t>
      </w:r>
      <w:proofErr w:type="spellStart"/>
      <w:r w:rsidRPr="009417CD">
        <w:rPr>
          <w:spacing w:val="-3"/>
        </w:rPr>
        <w:t>P2-P1</w:t>
      </w:r>
      <w:proofErr w:type="spellEnd"/>
      <w:r w:rsidRPr="009417CD">
        <w:rPr>
          <w:spacing w:val="-3"/>
          <w:lang w:bidi="ar-EG"/>
        </w:rPr>
        <w:t>)</w:t>
      </w:r>
      <w:r w:rsidRPr="009417CD">
        <w:rPr>
          <w:spacing w:val="-3"/>
          <w:rtl/>
        </w:rPr>
        <w:t xml:space="preserve"> وتشكلن 47 في المائة و45</w:t>
      </w:r>
      <w:r w:rsidR="009417CD">
        <w:rPr>
          <w:rFonts w:hint="cs"/>
          <w:spacing w:val="-3"/>
          <w:rtl/>
        </w:rPr>
        <w:t> </w:t>
      </w:r>
      <w:r w:rsidRPr="009417CD">
        <w:rPr>
          <w:spacing w:val="-3"/>
          <w:rtl/>
        </w:rPr>
        <w:t>في المائة من الموظفين في الرتبتين P3 وP4، على التوالي. ولا تزال النساء أقل تمثيلاً في المستويين P5 وD1 (33 في المائة و32 في المائة، على التوالي)، وستستمر الإجراءات المستهدفة في تعزيز التكافؤ في هاتين الرتبتين.</w:t>
      </w:r>
    </w:p>
    <w:p w14:paraId="03855472" w14:textId="5220E2A1" w:rsidR="00C06B68" w:rsidRPr="00C06B68" w:rsidRDefault="00C06B68" w:rsidP="009417CD">
      <w:pPr>
        <w:pStyle w:val="enumlev1"/>
        <w:rPr>
          <w:lang w:val="ar-SA" w:bidi="ar-EG"/>
        </w:rPr>
      </w:pPr>
      <w:r w:rsidRPr="00C06B68">
        <w:rPr>
          <w:rtl/>
        </w:rPr>
        <w:t>7</w:t>
      </w:r>
      <w:r w:rsidRPr="00C06B68">
        <w:rPr>
          <w:rtl/>
        </w:rPr>
        <w:tab/>
        <w:t xml:space="preserve">عقب الاستقصاء الصحي الذي أجري على نطاق الأمم المتحدة في عام 2023، أطلق الاتحاد في بداية عام 2025 خطة عمله المتعلقة بالصحة العقلية والرفاه، التي تتمحور حول الوقاية والتعزيز والدعم. وقد بدأ التنفيذ بإطلاق استقصاء مشاركة الموظفين </w:t>
      </w:r>
      <w:r w:rsidRPr="00C06B68">
        <w:rPr>
          <w:lang w:bidi="ar-EG"/>
        </w:rPr>
        <w:t>(EES)</w:t>
      </w:r>
      <w:r w:rsidRPr="00C06B68">
        <w:rPr>
          <w:rtl/>
        </w:rPr>
        <w:t xml:space="preserve"> وإنشاء وظيفة أمين المظالم وتفعيلها. وشملت المبادرات الأخرى قائمة تسجيلات تتعلق بالرفاه، وتدخلات للحد من الوصم، والتدريب على الإلمام</w:t>
      </w:r>
      <w:r w:rsidR="00EE52B6">
        <w:rPr>
          <w:rtl/>
          <w:lang w:bidi="ar-SA"/>
        </w:rPr>
        <w:t xml:space="preserve"> </w:t>
      </w:r>
      <w:r w:rsidRPr="00C06B68">
        <w:rPr>
          <w:rtl/>
        </w:rPr>
        <w:t>بالصحة العقلية، والتدريب على التواصل الفعال.</w:t>
      </w:r>
    </w:p>
    <w:p w14:paraId="2D054181" w14:textId="77777777" w:rsidR="00C06B68" w:rsidRPr="001F1441" w:rsidRDefault="00C06B68" w:rsidP="009417CD">
      <w:pPr>
        <w:pStyle w:val="enumlev1"/>
        <w:rPr>
          <w:spacing w:val="-2"/>
          <w:lang w:val="ar-SA" w:bidi="ar-EG"/>
        </w:rPr>
      </w:pPr>
      <w:r w:rsidRPr="001F1441">
        <w:rPr>
          <w:spacing w:val="-2"/>
          <w:rtl/>
        </w:rPr>
        <w:t>8</w:t>
      </w:r>
      <w:r w:rsidRPr="001F1441">
        <w:rPr>
          <w:spacing w:val="-2"/>
          <w:rtl/>
        </w:rPr>
        <w:tab/>
        <w:t xml:space="preserve">تم تعزيز خدمات الرفاه من خلال الدعم المخصص، بما في ذلك جلسات المشورة الفردية وجلسات اليقظة الذهنية بثلاث لغات وإدارة الحالات، واستُكمل ذلك بجلسات موجَّهة بالتنسيق مع برنامج التعلم والتطوير. وبالإضافة إلى ذلك، صيغت المبادئ التوجيهية للعودة إلى العمل </w:t>
      </w:r>
      <w:r w:rsidRPr="001F1441">
        <w:rPr>
          <w:spacing w:val="-2"/>
          <w:lang w:bidi="ar-EG"/>
        </w:rPr>
        <w:t>(</w:t>
      </w:r>
      <w:proofErr w:type="spellStart"/>
      <w:r w:rsidRPr="001F1441">
        <w:rPr>
          <w:spacing w:val="-2"/>
          <w:lang w:bidi="ar-EG"/>
        </w:rPr>
        <w:t>RTW</w:t>
      </w:r>
      <w:proofErr w:type="spellEnd"/>
      <w:r w:rsidRPr="001F1441">
        <w:rPr>
          <w:spacing w:val="-2"/>
          <w:lang w:bidi="ar-EG"/>
        </w:rPr>
        <w:t>)</w:t>
      </w:r>
      <w:r w:rsidRPr="001F1441">
        <w:rPr>
          <w:spacing w:val="-2"/>
          <w:rtl/>
        </w:rPr>
        <w:t xml:space="preserve"> لدعم إعادة إدماج الموظفين في مكان العمل بعد إجازة مرضية طويلة الأجل.</w:t>
      </w:r>
    </w:p>
    <w:p w14:paraId="3DAEAC28" w14:textId="117D1977" w:rsidR="00C06B68" w:rsidRPr="00C06B68" w:rsidRDefault="00C06B68" w:rsidP="009417CD">
      <w:pPr>
        <w:pStyle w:val="enumlev1"/>
        <w:rPr>
          <w:lang w:val="ar-SA" w:bidi="ar-EG"/>
        </w:rPr>
      </w:pPr>
      <w:r w:rsidRPr="00C06B68">
        <w:rPr>
          <w:rtl/>
        </w:rPr>
        <w:t>9</w:t>
      </w:r>
      <w:r w:rsidRPr="00C06B68">
        <w:rPr>
          <w:rtl/>
        </w:rPr>
        <w:tab/>
        <w:t>صدرت سياسة ساعات العمل وترتيبات العمل المرنة في 25 فبراير 2026. وتجمع السياسة ساعات العمل وترتيبات العمل المرنة، بما في ذلك العمل عن بُعد، في إطار واحد واضح وشامل يتماشى مع أفضل الممارسات المتبعة في النظام الموحد للأمم المتحدة. وقد أبقى الاتحاد على الترتيبات الحالية للعمل عن بُعد، ويرصد عن كثب التطورات في المنظمات الأخرى ضمن النظام الموحد للأمم المتحدة، وقد يُسترشد بذلك في</w:t>
      </w:r>
      <w:r w:rsidR="00044925">
        <w:rPr>
          <w:rFonts w:hint="cs"/>
          <w:rtl/>
        </w:rPr>
        <w:t> </w:t>
      </w:r>
      <w:r w:rsidRPr="00C06B68">
        <w:rPr>
          <w:rtl/>
        </w:rPr>
        <w:t>تعديل السياسة في المستقبل. وتحدد السياسة أيضاً مسؤوليات الموظفين والمشرفين وتدعم التوازن بين العمل والحياة الشخصية مع ضمان وفاء الاتحاد بمتطلباته التشغيلية.</w:t>
      </w:r>
    </w:p>
    <w:p w14:paraId="710F6082" w14:textId="77777777" w:rsidR="00C06B68" w:rsidRPr="009417CD" w:rsidRDefault="00C06B68" w:rsidP="009417CD">
      <w:pPr>
        <w:pStyle w:val="Headingb"/>
      </w:pPr>
      <w:r w:rsidRPr="00C06B68">
        <w:rPr>
          <w:rtl/>
        </w:rPr>
        <w:t>الخدمات - تقديم خدمات موارد بشرية قائمة على التميز لدعم الموظفين</w:t>
      </w:r>
    </w:p>
    <w:p w14:paraId="75F63D3B" w14:textId="216A4D17" w:rsidR="00C06B68" w:rsidRPr="00C06B68" w:rsidRDefault="00C06B68" w:rsidP="00EE52B6">
      <w:pPr>
        <w:rPr>
          <w:lang w:val="ar-SA" w:bidi="ar-EG"/>
        </w:rPr>
      </w:pPr>
      <w:r w:rsidRPr="00C06B68">
        <w:rPr>
          <w:rtl/>
        </w:rPr>
        <w:t xml:space="preserve">تمثل الخدمات الركيزة الثالثة لخطة تحول الموارد البشرية </w:t>
      </w:r>
      <w:r w:rsidRPr="00C06B68">
        <w:rPr>
          <w:lang w:bidi="ar-EG"/>
        </w:rPr>
        <w:t>(</w:t>
      </w:r>
      <w:proofErr w:type="spellStart"/>
      <w:r w:rsidRPr="00C06B68">
        <w:rPr>
          <w:lang w:bidi="ar-EG"/>
        </w:rPr>
        <w:t>HRTP</w:t>
      </w:r>
      <w:proofErr w:type="spellEnd"/>
      <w:r w:rsidRPr="00C06B68">
        <w:rPr>
          <w:lang w:bidi="ar-EG"/>
        </w:rPr>
        <w:t>)</w:t>
      </w:r>
      <w:r w:rsidRPr="00C06B68">
        <w:rPr>
          <w:rtl/>
        </w:rPr>
        <w:t>، وتعزز هذه الركيزة التزام المنظمة بالاستفادة من التكنولوجيات المناسبة للغرض لتعزيز تجربة الموظفين وتقديم خدمات موارد بشرية مبسطة وفعالة تلبي احتياجات الموظفين على أفضل وجه.</w:t>
      </w:r>
    </w:p>
    <w:p w14:paraId="0297F0C1" w14:textId="77777777" w:rsidR="00C06B68" w:rsidRPr="00C06B68" w:rsidRDefault="00C06B68" w:rsidP="00EE52B6">
      <w:pPr>
        <w:rPr>
          <w:lang w:val="ar-SA" w:bidi="ar-EG"/>
        </w:rPr>
      </w:pPr>
      <w:r w:rsidRPr="00C06B68">
        <w:rPr>
          <w:rtl/>
        </w:rPr>
        <w:t>وفي إطار هذه الركيزة، تعترف الخطة أيضاً بالحاجة إلى تحسين العمليات من خلال القضاء على البيروقراطية غير الضرورية، وتعزيز الشفافية، وتشديد المساءلة. وتتمثل إحدى الأولويات الرئيسية في تهيئة بيئة عمل تستند فيها عملية صنع القرار إلى البيانات، ويُتخذ فيها القرار على المستوى المناسب، مستنيراً بتحليلات الأشخاص ومتماشياً مع احتياجات الأعمال.</w:t>
      </w:r>
    </w:p>
    <w:p w14:paraId="19FBDA62" w14:textId="77777777" w:rsidR="00C06B68" w:rsidRPr="00C06B68" w:rsidRDefault="00C06B68" w:rsidP="00EE52B6">
      <w:pPr>
        <w:rPr>
          <w:lang w:val="ar-SA" w:bidi="ar-EG"/>
        </w:rPr>
      </w:pPr>
      <w:r w:rsidRPr="00C06B68">
        <w:rPr>
          <w:rtl/>
        </w:rPr>
        <w:t>ويلتزم الاتحاد بوضع إطار تنظيمي متين وعادل بالتعاون مع أصحاب المصلحة الرئيسيين، بمن فيهم ممثلو الموظفين، بما يضمن تلبية السياسات وخدمات الموارد البشرية لاحتياجات الموظفين والمديرين على السواء.</w:t>
      </w:r>
    </w:p>
    <w:p w14:paraId="6DF592E7" w14:textId="77777777" w:rsidR="00C06B68" w:rsidRPr="00C06B68" w:rsidRDefault="00C06B68" w:rsidP="00EE52B6">
      <w:pPr>
        <w:rPr>
          <w:lang w:val="ar-SA" w:bidi="ar-EG"/>
        </w:rPr>
      </w:pPr>
      <w:r w:rsidRPr="00C06B68">
        <w:rPr>
          <w:rtl/>
        </w:rPr>
        <w:t>أهم الإنجازات:</w:t>
      </w:r>
    </w:p>
    <w:p w14:paraId="0111ACB2" w14:textId="77777777" w:rsidR="00C06B68" w:rsidRPr="001F1441" w:rsidRDefault="00C06B68" w:rsidP="001F1441">
      <w:pPr>
        <w:pStyle w:val="enumlev1"/>
        <w:rPr>
          <w:spacing w:val="-2"/>
          <w:lang w:val="ar-SA" w:bidi="ar-EG"/>
        </w:rPr>
      </w:pPr>
      <w:r w:rsidRPr="001F1441">
        <w:rPr>
          <w:spacing w:val="-2"/>
          <w:rtl/>
        </w:rPr>
        <w:t>1</w:t>
      </w:r>
      <w:r w:rsidRPr="001F1441">
        <w:rPr>
          <w:spacing w:val="-2"/>
          <w:rtl/>
        </w:rPr>
        <w:tab/>
        <w:t xml:space="preserve">تواصل دائرة إدارة الموارد البشرية تعزيز الإطار التنظيمي للاتحاد ليتماشى مع الاحتياجات المتطورة للقوى العاملة، مع المضي قدماً في عمليات تحديث السياسات المتعلقة بالتوظيف والتعيينات المؤقتة والمبلغ الإجمالي المقطوع للانتقال وإعانة الإيجار. ويتمثل أحد المحاور السياساتية الرئيسية في الاستعاضة عن اتفاقات الخدمات الخاصة </w:t>
      </w:r>
      <w:r w:rsidRPr="001F1441">
        <w:rPr>
          <w:spacing w:val="-2"/>
          <w:lang w:bidi="ar-EG"/>
        </w:rPr>
        <w:t>(</w:t>
      </w:r>
      <w:proofErr w:type="spellStart"/>
      <w:r w:rsidRPr="001F1441">
        <w:rPr>
          <w:spacing w:val="-2"/>
          <w:lang w:bidi="ar-EG"/>
        </w:rPr>
        <w:t>SSA</w:t>
      </w:r>
      <w:proofErr w:type="spellEnd"/>
      <w:r w:rsidRPr="001F1441">
        <w:rPr>
          <w:spacing w:val="-2"/>
          <w:lang w:bidi="ar-EG"/>
        </w:rPr>
        <w:t>)</w:t>
      </w:r>
      <w:r w:rsidRPr="001F1441">
        <w:rPr>
          <w:spacing w:val="-2"/>
          <w:rtl/>
        </w:rPr>
        <w:t xml:space="preserve"> بسياسة جديدة للاستشاريين تتماشى مع أفضل الممارسات المتبعة في الأمم المتحدة. وتُدخل هذه السياسة الجديدة تفويض الصلاحيات للمديرين، وجدولاً موحداً للرسوم، وتوسيعاً في استخدام القوائم، بما يضمن إتاحة أكثر سرعة للخبرات المتخصصة وقدرات الدعم الإضافية.</w:t>
      </w:r>
    </w:p>
    <w:p w14:paraId="1E1AD70C" w14:textId="77777777" w:rsidR="00C06B68" w:rsidRPr="00C06B68" w:rsidRDefault="00C06B68" w:rsidP="001F1441">
      <w:pPr>
        <w:pStyle w:val="enumlev1"/>
        <w:rPr>
          <w:lang w:val="ar-SA" w:bidi="ar-EG"/>
        </w:rPr>
      </w:pPr>
      <w:r w:rsidRPr="00C06B68">
        <w:rPr>
          <w:rtl/>
        </w:rPr>
        <w:lastRenderedPageBreak/>
        <w:t>2</w:t>
      </w:r>
      <w:r w:rsidRPr="00C06B68">
        <w:rPr>
          <w:rtl/>
        </w:rPr>
        <w:tab/>
        <w:t>تقود دائرة إدارة الموارد البشرية جهوداً على نطاق الاتحاد لوضع إطار لتفويض السلطة في الاتحاد، بهدف تحقيق اللامركزية في صنع القرار ومواءمة السلطة مع المسؤولية. ويضمن هذا الإطار، القائم على أفضل الممارسات في الأمم المتحدة، تفويضاً سليماً وشفافاً للسلطة، يخضع الآن للاستعراض الداخلي النهائي.</w:t>
      </w:r>
    </w:p>
    <w:p w14:paraId="06B8AB8D" w14:textId="77777777" w:rsidR="00C06B68" w:rsidRPr="00C06B68" w:rsidRDefault="00C06B68" w:rsidP="001F1441">
      <w:pPr>
        <w:pStyle w:val="enumlev1"/>
        <w:rPr>
          <w:lang w:val="ar-SA" w:bidi="ar-EG"/>
        </w:rPr>
      </w:pPr>
      <w:r w:rsidRPr="00C06B68">
        <w:rPr>
          <w:rtl/>
        </w:rPr>
        <w:t>3</w:t>
      </w:r>
      <w:r w:rsidRPr="00C06B68">
        <w:rPr>
          <w:rtl/>
        </w:rPr>
        <w:tab/>
        <w:t xml:space="preserve">أطلقت دائرة إدارة الموارد البشرية سلسلة من المحادثات بشأن الموارد البشرية توفر جلسات توعية بسياسات وإجراءات الموارد البشرية. وعُقدت الجلسة الأولى في نوفمبر 2025 بشأن عملية التوظيف في إطار اتفاق الخدمة الخاصة </w:t>
      </w:r>
      <w:r w:rsidRPr="00C06B68">
        <w:rPr>
          <w:lang w:bidi="ar-EG"/>
        </w:rPr>
        <w:t>(</w:t>
      </w:r>
      <w:proofErr w:type="spellStart"/>
      <w:r w:rsidRPr="00C06B68">
        <w:rPr>
          <w:lang w:bidi="ar-EG"/>
        </w:rPr>
        <w:t>SSA</w:t>
      </w:r>
      <w:proofErr w:type="spellEnd"/>
      <w:r w:rsidRPr="00C06B68">
        <w:rPr>
          <w:lang w:bidi="ar-EG"/>
        </w:rPr>
        <w:t>)</w:t>
      </w:r>
      <w:r w:rsidRPr="00C06B68">
        <w:rPr>
          <w:rtl/>
        </w:rPr>
        <w:t>. ويجري التخطيط لعقد جلسات أخرى.</w:t>
      </w:r>
    </w:p>
    <w:p w14:paraId="7599E413" w14:textId="77777777" w:rsidR="00C06B68" w:rsidRPr="00C06B68" w:rsidRDefault="00C06B68" w:rsidP="001F1441">
      <w:pPr>
        <w:pStyle w:val="enumlev1"/>
        <w:rPr>
          <w:lang w:val="ar-SA" w:bidi="ar-EG"/>
        </w:rPr>
      </w:pPr>
      <w:r w:rsidRPr="00C06B68">
        <w:rPr>
          <w:rtl/>
        </w:rPr>
        <w:t>4</w:t>
      </w:r>
      <w:r w:rsidRPr="00C06B68">
        <w:rPr>
          <w:rtl/>
        </w:rPr>
        <w:tab/>
        <w:t>دُعم التدريب الموجَّه على إدارة الأداء والجهود ذات الصلة في مجال إدارة التغيير من خلال ست جلسات إعلامية نُظمت للمديرين والموظفين على مستوى الاتحاد ككل. وأُطلقت صفحة حديثة وسهلة الاستخدام لإدارة الأداء، ما أسهم في الحد من الاستفسارات المتعلقة بالنظام بشأن تقييمات نهاية العام.</w:t>
      </w:r>
      <w:bookmarkStart w:id="2" w:name="_Hlk195088523"/>
    </w:p>
    <w:p w14:paraId="2BCF96AA" w14:textId="77777777" w:rsidR="00C06B68" w:rsidRPr="00C06B68" w:rsidRDefault="00C06B68" w:rsidP="001F1441">
      <w:pPr>
        <w:pStyle w:val="enumlev1"/>
        <w:rPr>
          <w:lang w:val="ar-SA" w:bidi="ar-EG"/>
        </w:rPr>
      </w:pPr>
      <w:r w:rsidRPr="00C06B68">
        <w:rPr>
          <w:rtl/>
        </w:rPr>
        <w:t>5</w:t>
      </w:r>
      <w:r w:rsidRPr="00C06B68">
        <w:rPr>
          <w:rtl/>
        </w:rPr>
        <w:tab/>
        <w:t xml:space="preserve">تحسن الدعم الميداني من خلال تعزيز الاتصال بين دائرة إدارة الموارد البشرية والمكاتب الإقليمية. وعقدت دائرة إدارة الموارد البشرية اجتماعات بشأن استحقاقات الضمان الاجتماعي في مختلف المناطق ونقلت الشواغل الميدانية إلى جمعية التأمين التعاوني لموظفي الأمم المتحدة </w:t>
      </w:r>
      <w:r w:rsidRPr="00C06B68">
        <w:rPr>
          <w:lang w:bidi="ar-EG"/>
        </w:rPr>
        <w:t>(UNSMIS)</w:t>
      </w:r>
      <w:r w:rsidRPr="00C06B68">
        <w:rPr>
          <w:rtl/>
        </w:rPr>
        <w:t xml:space="preserve"> قبل عقد الاجتماعات المفتوحة. وعقب هذه التبادلات، تم تحديث بوابة الموارد البشرية وموقع </w:t>
      </w:r>
      <w:r w:rsidRPr="00C06B68">
        <w:rPr>
          <w:lang w:bidi="ar-EG"/>
        </w:rPr>
        <w:t>SharePoint</w:t>
      </w:r>
      <w:r w:rsidRPr="00C06B68">
        <w:rPr>
          <w:rtl/>
        </w:rPr>
        <w:t xml:space="preserve"> بتقديم إرشادات مبسطة بشأن الاستشفاء في حالات الطوارئ والإجراءات الطبية، استُكملت بمجموعة جديدة من الأسئلة الشائعة </w:t>
      </w:r>
      <w:r w:rsidRPr="00C06B68">
        <w:rPr>
          <w:lang w:bidi="ar-EG"/>
        </w:rPr>
        <w:t>(FAQ)</w:t>
      </w:r>
      <w:r w:rsidRPr="00C06B68">
        <w:rPr>
          <w:rtl/>
        </w:rPr>
        <w:t xml:space="preserve">، لضمان حصول الزملاء الميدانيين على دعم واضح يسهل الوصول إليه. وبالإضافة إلى ذلك، يجري إعداد حلقات دراسية إلكترونية مخصصة بشأن حالات الطوارئ الطبية، بالاشتراك مع دائرة إدارة الموارد البشرية وجمعية </w:t>
      </w:r>
      <w:r w:rsidRPr="00C06B68">
        <w:rPr>
          <w:lang w:bidi="ar-EG"/>
        </w:rPr>
        <w:t>UNSMIS</w:t>
      </w:r>
      <w:r w:rsidRPr="00C06B68">
        <w:rPr>
          <w:rtl/>
        </w:rPr>
        <w:t xml:space="preserve"> وخدمات الأمن لتقديم إرشادات للزملاء الميدانيين.</w:t>
      </w:r>
    </w:p>
    <w:bookmarkEnd w:id="2"/>
    <w:p w14:paraId="55D3CD40" w14:textId="77777777" w:rsidR="00C06B68" w:rsidRPr="00C06B68" w:rsidRDefault="00C06B68" w:rsidP="001F1441">
      <w:pPr>
        <w:pStyle w:val="enumlev1"/>
        <w:rPr>
          <w:lang w:val="ar-SA" w:bidi="ar-EG"/>
        </w:rPr>
      </w:pPr>
      <w:r w:rsidRPr="00C06B68">
        <w:rPr>
          <w:rtl/>
        </w:rPr>
        <w:t>6</w:t>
      </w:r>
      <w:r w:rsidRPr="00C06B68">
        <w:rPr>
          <w:rtl/>
        </w:rPr>
        <w:tab/>
        <w:t xml:space="preserve">استمرت عمليات خدمات الموارد البشرية في مجالات الضمان الاجتماعي والتأمين والامتثال من خلال التعاون الوثيق مع الشركاء، بما في ذلك جمعية </w:t>
      </w:r>
      <w:r w:rsidRPr="00C06B68">
        <w:rPr>
          <w:lang w:bidi="ar-EG"/>
        </w:rPr>
        <w:t>UNSMIS</w:t>
      </w:r>
      <w:r w:rsidRPr="00C06B68">
        <w:rPr>
          <w:rtl/>
        </w:rPr>
        <w:t xml:space="preserve"> والصندوق المشترك للمعاشات التقاعدية لموظفي الأمم المتحدة </w:t>
      </w:r>
      <w:r w:rsidRPr="00C06B68">
        <w:rPr>
          <w:lang w:bidi="ar-EG"/>
        </w:rPr>
        <w:t>(</w:t>
      </w:r>
      <w:proofErr w:type="spellStart"/>
      <w:r w:rsidRPr="00C06B68">
        <w:rPr>
          <w:lang w:bidi="ar-EG"/>
        </w:rPr>
        <w:t>UNJSPF</w:t>
      </w:r>
      <w:proofErr w:type="spellEnd"/>
      <w:r w:rsidRPr="00C06B68">
        <w:rPr>
          <w:lang w:bidi="ar-EG"/>
        </w:rPr>
        <w:t>)</w:t>
      </w:r>
      <w:r w:rsidRPr="00C06B68">
        <w:rPr>
          <w:rtl/>
        </w:rPr>
        <w:t>. وشمل هذا التعاون عقد اجتماعات مفتوحة للموظفين والمتقاعدين، والتحقق من صحة بيانات التسجيل في المعاشات التقاعدية، وتقديم دعم مخصص للعملاء.</w:t>
      </w:r>
    </w:p>
    <w:p w14:paraId="3975F3C1" w14:textId="77777777" w:rsidR="00C06B68" w:rsidRPr="00C06B68" w:rsidRDefault="00C06B68" w:rsidP="001F1441">
      <w:pPr>
        <w:pStyle w:val="enumlev1"/>
        <w:rPr>
          <w:lang w:val="ar-SA" w:bidi="ar-EG"/>
        </w:rPr>
      </w:pPr>
      <w:r w:rsidRPr="00C06B68">
        <w:rPr>
          <w:rtl/>
        </w:rPr>
        <w:t>7</w:t>
      </w:r>
      <w:r w:rsidRPr="00C06B68">
        <w:rPr>
          <w:rtl/>
        </w:rPr>
        <w:tab/>
        <w:t xml:space="preserve">تم تعزيز خدمة العملاء المتعلقة باستفسارات الموظفين المالية من خلال تقديم إرشادات مستمرة بشأن كشوف المرتبات العالمية والاستحقاقات المالية للموظفين، بما في ذلك الإرشادات المتعلقة بالشؤون المصرفية والاتصال ببرنامج الأمم المتحدة الإنمائي بشأن طلبات الدفع. ولزيادة تبسيط العمليات، وُضعت إجراءات تشغيل موحدة </w:t>
      </w:r>
      <w:r w:rsidRPr="00C06B68">
        <w:rPr>
          <w:lang w:bidi="ar-EG"/>
        </w:rPr>
        <w:t>(SOP)</w:t>
      </w:r>
      <w:r w:rsidRPr="00C06B68">
        <w:rPr>
          <w:rtl/>
        </w:rPr>
        <w:t xml:space="preserve"> جديدة، ما أدى إلى تحسين كفاءة وتوافق الأنشطة المتعلقة بكشوف المرتبات.</w:t>
      </w:r>
    </w:p>
    <w:p w14:paraId="7D151557" w14:textId="19A3B819" w:rsidR="00C06B68" w:rsidRPr="00C06B68" w:rsidRDefault="00C06B68" w:rsidP="001F1441">
      <w:pPr>
        <w:pStyle w:val="enumlev1"/>
        <w:rPr>
          <w:lang w:val="ar-SA" w:bidi="ar-EG"/>
        </w:rPr>
      </w:pPr>
      <w:r w:rsidRPr="00C06B68">
        <w:rPr>
          <w:rtl/>
        </w:rPr>
        <w:t>8</w:t>
      </w:r>
      <w:r w:rsidRPr="00C06B68">
        <w:rPr>
          <w:rtl/>
        </w:rPr>
        <w:tab/>
        <w:t>دعمت دائرة إدارة الموارد البشرية الدور القيادي لنائب الأمينة العامة في فرقة العمل التابعة لمجلس الرؤساء التنفيذيين</w:t>
      </w:r>
      <w:r w:rsidR="00180163">
        <w:rPr>
          <w:rFonts w:hint="cs"/>
          <w:rtl/>
        </w:rPr>
        <w:t xml:space="preserve"> </w:t>
      </w:r>
      <w:r w:rsidR="00180163" w:rsidRPr="00C06B68">
        <w:rPr>
          <w:lang w:bidi="ar-EG"/>
        </w:rPr>
        <w:t>(CEB)</w:t>
      </w:r>
      <w:r w:rsidRPr="00C06B68">
        <w:rPr>
          <w:rtl/>
        </w:rPr>
        <w:t xml:space="preserve"> في منظومة الأمم المتحدة</w:t>
      </w:r>
      <w:r w:rsidR="00180163">
        <w:rPr>
          <w:rFonts w:hint="cs"/>
          <w:rtl/>
        </w:rPr>
        <w:t xml:space="preserve"> </w:t>
      </w:r>
      <w:r w:rsidRPr="00C06B68">
        <w:rPr>
          <w:rtl/>
        </w:rPr>
        <w:t>المعنية بمنع التحرش الجنسي والتصدي له. وبالإضافة إلى ذلك، قدمت دائرة إدارة الموارد البشرية على مدار العام إرشادات للموظفين والمديرين بشأن المسائل التشغيلية والإدارية المعقدة، ما أسهم في تعزيز الكفاءة والاتساق والشفافية في العمليات المتعلقة بالاستقالات والتقاعد وخطط تحسين الأداء، وعمليات أخرى.</w:t>
      </w:r>
      <w:r w:rsidR="00EE52B6">
        <w:rPr>
          <w:rtl/>
          <w:lang w:bidi="ar-SA"/>
        </w:rPr>
        <w:t xml:space="preserve"> </w:t>
      </w:r>
      <w:r w:rsidRPr="00C06B68">
        <w:rPr>
          <w:rtl/>
        </w:rPr>
        <w:t>وفي عام 2025، فُرضت عقوبة تأديبية واحدة على أحد موظفي الاتحاد - توبيخ لفظي بسبب الاستخدام غير المصرح به لموارد الاتحاد. ولم تُفرض أي عقوبات فيما يتعلق بادعاءات الاستغلال والاعتداء الجنسيين، أو التحرش الجنسي، أو أي نوع آخر من سوء السلوك.</w:t>
      </w:r>
    </w:p>
    <w:p w14:paraId="2CE0AFD4" w14:textId="58A4039F" w:rsidR="00C06B68" w:rsidRPr="001F1441" w:rsidRDefault="00C06B68" w:rsidP="001F1441">
      <w:pPr>
        <w:pStyle w:val="enumlev1"/>
        <w:rPr>
          <w:spacing w:val="-2"/>
          <w:lang w:val="ar-SA" w:bidi="ar-EG"/>
        </w:rPr>
      </w:pPr>
      <w:r w:rsidRPr="001F1441">
        <w:rPr>
          <w:spacing w:val="-2"/>
          <w:rtl/>
        </w:rPr>
        <w:t>9</w:t>
      </w:r>
      <w:r w:rsidRPr="001F1441">
        <w:rPr>
          <w:spacing w:val="-2"/>
          <w:rtl/>
        </w:rPr>
        <w:tab/>
        <w:t xml:space="preserve">استمر تحديد عمليات الموارد البشرية واستعراضها، مع التركيز على ترشيد الخطوات والإجراءات الرئيسية وتبسيطها. وتماشياً مع أولويات دائرة إدارة الموارد البشرية في مجال كفاءة الأعمال وأتمتتها، وبالتعاون مع فريق دائرة خدمات المعلومات </w:t>
      </w:r>
      <w:r w:rsidRPr="001F1441">
        <w:rPr>
          <w:spacing w:val="-2"/>
          <w:lang w:bidi="ar-EG"/>
        </w:rPr>
        <w:t>(</w:t>
      </w:r>
      <w:proofErr w:type="spellStart"/>
      <w:r w:rsidRPr="001F1441">
        <w:rPr>
          <w:spacing w:val="-2"/>
          <w:lang w:bidi="ar-EG"/>
        </w:rPr>
        <w:t>ISD</w:t>
      </w:r>
      <w:proofErr w:type="spellEnd"/>
      <w:r w:rsidRPr="001F1441">
        <w:rPr>
          <w:spacing w:val="-2"/>
          <w:lang w:bidi="ar-EG"/>
        </w:rPr>
        <w:t>)</w:t>
      </w:r>
      <w:r w:rsidR="001F1441" w:rsidRPr="001F1441">
        <w:rPr>
          <w:rFonts w:hint="cs"/>
          <w:spacing w:val="-2"/>
          <w:rtl/>
          <w:lang w:bidi="ar-EG"/>
        </w:rPr>
        <w:t>/</w:t>
      </w:r>
      <w:r w:rsidRPr="001F1441">
        <w:rPr>
          <w:spacing w:val="-2"/>
          <w:rtl/>
        </w:rPr>
        <w:t xml:space="preserve">تخطيط موارد المؤسسة </w:t>
      </w:r>
      <w:r w:rsidRPr="001F1441">
        <w:rPr>
          <w:spacing w:val="-2"/>
          <w:lang w:bidi="ar-EG"/>
        </w:rPr>
        <w:t>(ERP)</w:t>
      </w:r>
      <w:r w:rsidRPr="001F1441">
        <w:rPr>
          <w:spacing w:val="-2"/>
          <w:rtl/>
        </w:rPr>
        <w:t xml:space="preserve">، أُدخل عدد من التحسينات على برمجيات تطبيقات ومنتجات الأنظمة </w:t>
      </w:r>
      <w:r w:rsidRPr="001F1441">
        <w:rPr>
          <w:spacing w:val="-2"/>
          <w:lang w:bidi="ar-EG"/>
        </w:rPr>
        <w:t>(SAP)</w:t>
      </w:r>
      <w:r w:rsidRPr="001F1441">
        <w:rPr>
          <w:spacing w:val="-2"/>
          <w:rtl/>
        </w:rPr>
        <w:t xml:space="preserve"> الخاصة بالموارد البشرية، ولا تزال تحسينات إضافية قيد الإعداد. وقد وضعت دائرة إدارة الموارد البشرية مبادئ توجيهية للأرشفة، وشرعت في عملية أرشفة الوثائق المهمة لتعزيز إمكانية التتبع وتحسين إدارة المعارف.</w:t>
      </w:r>
    </w:p>
    <w:p w14:paraId="42C6305B" w14:textId="272BC31B" w:rsidR="00C06B68" w:rsidRPr="001F1441" w:rsidRDefault="00C06B68" w:rsidP="001F1441">
      <w:pPr>
        <w:pStyle w:val="enumlev1"/>
        <w:rPr>
          <w:spacing w:val="-2"/>
          <w:lang w:val="ar-SA" w:bidi="ar-EG"/>
        </w:rPr>
      </w:pPr>
      <w:r w:rsidRPr="001F1441">
        <w:rPr>
          <w:spacing w:val="-2"/>
          <w:rtl/>
        </w:rPr>
        <w:t>10</w:t>
      </w:r>
      <w:r w:rsidRPr="001F1441">
        <w:rPr>
          <w:spacing w:val="-2"/>
          <w:rtl/>
        </w:rPr>
        <w:tab/>
        <w:t xml:space="preserve">تم تعزيز تحليلات الموارد البشرية وجودة البيانات لدعم عملية اتخاذ القرار استناداً إلى الأدلة. وتعززت قدرات ذكاء الأعمال من خلال تطبيقات Power BI وSAP Business Warehouse (BW)، بما يشمل إدخال تحسينات مستمرة على تقرير تحليلات القوى العاملة المقدم إلى المجلس. وإضافة إلى الاستجابة لما يقرب من 200 طلب داخلي وخارجي للإبلاغ، نهضت دائرة إدارة الموارد البشرية بتكامل البيانات بين النظام SAP HR والنظام </w:t>
      </w:r>
      <w:proofErr w:type="spellStart"/>
      <w:r w:rsidRPr="001F1441">
        <w:rPr>
          <w:spacing w:val="-2"/>
          <w:lang w:bidi="ar-EG"/>
        </w:rPr>
        <w:t>ePMDS</w:t>
      </w:r>
      <w:proofErr w:type="spellEnd"/>
      <w:r w:rsidRPr="001F1441">
        <w:rPr>
          <w:spacing w:val="-2"/>
          <w:rtl/>
        </w:rPr>
        <w:t xml:space="preserve"> ونظام إدارة التوظيف </w:t>
      </w:r>
      <w:r w:rsidRPr="001F1441">
        <w:rPr>
          <w:spacing w:val="-2"/>
          <w:lang w:bidi="ar-EG"/>
        </w:rPr>
        <w:t>(RMS)</w:t>
      </w:r>
      <w:r w:rsidRPr="001F1441">
        <w:rPr>
          <w:spacing w:val="-2"/>
          <w:rtl/>
        </w:rPr>
        <w:t xml:space="preserve"> ونظام إدارة التعلم </w:t>
      </w:r>
      <w:r w:rsidRPr="001F1441">
        <w:rPr>
          <w:spacing w:val="-2"/>
          <w:lang w:bidi="ar-EG"/>
        </w:rPr>
        <w:t>(</w:t>
      </w:r>
      <w:proofErr w:type="spellStart"/>
      <w:r w:rsidRPr="001F1441">
        <w:rPr>
          <w:spacing w:val="-2"/>
          <w:lang w:bidi="ar-EG"/>
        </w:rPr>
        <w:t>LMS</w:t>
      </w:r>
      <w:proofErr w:type="spellEnd"/>
      <w:r w:rsidRPr="001F1441">
        <w:rPr>
          <w:spacing w:val="-2"/>
          <w:lang w:bidi="ar-EG"/>
        </w:rPr>
        <w:t>)</w:t>
      </w:r>
      <w:r w:rsidRPr="001F1441">
        <w:rPr>
          <w:spacing w:val="-2"/>
          <w:rtl/>
        </w:rPr>
        <w:t>. وأسهم تنظيف البيانات المستهدف إلى تحسين الموثوقية بشكل عام.</w:t>
      </w:r>
    </w:p>
    <w:p w14:paraId="4839F2D1" w14:textId="0E9F7B3F" w:rsidR="00C06B68" w:rsidRPr="00C06B68" w:rsidRDefault="00C06B68" w:rsidP="001F1441">
      <w:pPr>
        <w:pStyle w:val="enumlev1"/>
        <w:rPr>
          <w:lang w:val="ar-SA" w:bidi="ar-EG"/>
        </w:rPr>
      </w:pPr>
      <w:r w:rsidRPr="00C06B68">
        <w:rPr>
          <w:rtl/>
        </w:rPr>
        <w:lastRenderedPageBreak/>
        <w:t>11</w:t>
      </w:r>
      <w:r w:rsidRPr="00C06B68">
        <w:rPr>
          <w:rtl/>
        </w:rPr>
        <w:tab/>
        <w:t xml:space="preserve">واصلت دائرة إدارة الموارد البشرية تعزيز المساءلة من خلال الإسهام في تنفيذ التوصيات المعلقة ذات الصلة بالمجالات التي تقع ضمن مسؤوليتها، بما في ذلك التوصيات المنبثقة عن المراجعة الداخلية والمراجعة الخارجية ووحدة التفتيش المشتركة </w:t>
      </w:r>
      <w:r w:rsidRPr="00C06B68">
        <w:rPr>
          <w:lang w:bidi="ar-EG"/>
        </w:rPr>
        <w:t>(JIU)</w:t>
      </w:r>
      <w:r w:rsidRPr="00C06B68">
        <w:rPr>
          <w:rtl/>
        </w:rPr>
        <w:t xml:space="preserve"> واللجنة الاستشارية المستقلة للإدارة </w:t>
      </w:r>
      <w:r w:rsidRPr="00C06B68">
        <w:rPr>
          <w:lang w:bidi="ar-EG"/>
        </w:rPr>
        <w:t>(IMAC)</w:t>
      </w:r>
      <w:r w:rsidRPr="00C06B68">
        <w:rPr>
          <w:rtl/>
        </w:rPr>
        <w:t xml:space="preserve">، بما يتماشى مع أولويات إدارة المخاطر. ومنذ أغسطس 2023، أغلقت 58 توصية من هذا القبيل. وأجريت عملية مطابقة دقيقة حسب الموضوع والأولوية. وتحقق التقدم بفضل: </w:t>
      </w:r>
      <w:r w:rsidR="001F1441">
        <w:rPr>
          <w:rFonts w:hint="cs"/>
          <w:rtl/>
        </w:rPr>
        <w:t>’1‘</w:t>
      </w:r>
      <w:r w:rsidRPr="00C06B68">
        <w:rPr>
          <w:rtl/>
        </w:rPr>
        <w:t xml:space="preserve"> المساءلة الملموسة، من خلال إدراج المهام في خطة العمل السنوية؛ </w:t>
      </w:r>
      <w:r w:rsidR="001F1441">
        <w:rPr>
          <w:rFonts w:hint="cs"/>
          <w:rtl/>
          <w:lang w:bidi="ar-EG"/>
        </w:rPr>
        <w:t>’2‘</w:t>
      </w:r>
      <w:r w:rsidRPr="00C06B68">
        <w:rPr>
          <w:rtl/>
        </w:rPr>
        <w:t xml:space="preserve"> التتبع المنهجي من خلال استعراضات دورية لتحديد الاختناقات؛ </w:t>
      </w:r>
      <w:r w:rsidR="001F1441">
        <w:rPr>
          <w:rFonts w:hint="cs"/>
          <w:rtl/>
          <w:lang w:bidi="ar-EG"/>
        </w:rPr>
        <w:t>’3‘</w:t>
      </w:r>
      <w:r w:rsidRPr="00C06B68">
        <w:rPr>
          <w:rtl/>
        </w:rPr>
        <w:t xml:space="preserve"> ترتيب الأولويات استناداً إلى المخاطر، مع التركيز على المسائل "الحرجة التي لم تُحل".</w:t>
      </w:r>
    </w:p>
    <w:p w14:paraId="72251B02" w14:textId="77777777" w:rsidR="00C06B68" w:rsidRPr="001F1441" w:rsidRDefault="00C06B68" w:rsidP="001F1441">
      <w:pPr>
        <w:pStyle w:val="Headingb"/>
      </w:pPr>
      <w:r w:rsidRPr="00C06B68">
        <w:rPr>
          <w:rtl/>
        </w:rPr>
        <w:t>الانتقال إلى الخطة الاستراتيجية للموارد البشرية للاتحاد للفترة 2026-2027</w:t>
      </w:r>
    </w:p>
    <w:p w14:paraId="148A08D3" w14:textId="2987CF32" w:rsidR="00C06B68" w:rsidRPr="00C06B68" w:rsidRDefault="00C06B68" w:rsidP="00EE52B6">
      <w:pPr>
        <w:rPr>
          <w:lang w:val="ar-SA" w:bidi="ar-EG"/>
        </w:rPr>
      </w:pPr>
      <w:r w:rsidRPr="00C06B68">
        <w:rPr>
          <w:rtl/>
        </w:rPr>
        <w:t xml:space="preserve">بعد الانتهاء من خطة تحول الموارد البشرية </w:t>
      </w:r>
      <w:r w:rsidRPr="00C06B68">
        <w:rPr>
          <w:lang w:bidi="ar-EG"/>
        </w:rPr>
        <w:t>(</w:t>
      </w:r>
      <w:proofErr w:type="spellStart"/>
      <w:r w:rsidRPr="00C06B68">
        <w:rPr>
          <w:lang w:bidi="ar-EG"/>
        </w:rPr>
        <w:t>HRTP</w:t>
      </w:r>
      <w:proofErr w:type="spellEnd"/>
      <w:r w:rsidRPr="00C06B68">
        <w:rPr>
          <w:lang w:bidi="ar-EG"/>
        </w:rPr>
        <w:t>)</w:t>
      </w:r>
      <w:r w:rsidRPr="00C06B68">
        <w:rPr>
          <w:rtl/>
        </w:rPr>
        <w:t>، ينتقل الاتحاد إلى خطته الاستراتيجية للموارد البشرية للفترة</w:t>
      </w:r>
      <w:r w:rsidR="001F1441">
        <w:rPr>
          <w:rFonts w:hint="cs"/>
          <w:rtl/>
        </w:rPr>
        <w:t> </w:t>
      </w:r>
      <w:r w:rsidRPr="00C06B68">
        <w:rPr>
          <w:rtl/>
        </w:rPr>
        <w:t>2026-2027 (التي سيقرها المجلس)، تكملةً لدورة التخطيط الرباعية التي يقتضيها القرار 48. وستوحِّد هذه الخطة الانتقالية لفترة السنتين وترسِّخ نتائج تحول الموارد البشرية - بالانتقال من مرحلتي التصميم والتنفيذ إلى التبني المستدام والتأثير القابل للقياس - مع ضمان المواءمة السلسة مع دورة التخطيط الاستراتيجي الرباعية المقبلة للاتحاد.</w:t>
      </w:r>
    </w:p>
    <w:p w14:paraId="3A67317A" w14:textId="4861F957" w:rsidR="00F50E3F" w:rsidRDefault="00C06B68" w:rsidP="001F1441">
      <w:pPr>
        <w:spacing w:before="5040"/>
        <w:rPr>
          <w:rtl/>
        </w:rPr>
      </w:pPr>
      <w:r w:rsidRPr="00C06B68">
        <w:rPr>
          <w:b/>
          <w:bCs/>
          <w:rtl/>
        </w:rPr>
        <w:t>الملحقات</w:t>
      </w:r>
      <w:r w:rsidRPr="00C06B68">
        <w:rPr>
          <w:lang w:bidi="ar-EG"/>
        </w:rPr>
        <w:t>:</w:t>
      </w:r>
      <w:r w:rsidR="001F1441">
        <w:rPr>
          <w:rFonts w:hint="cs"/>
          <w:rtl/>
        </w:rPr>
        <w:t xml:space="preserve"> </w:t>
      </w:r>
      <w:r w:rsidRPr="00C06B68">
        <w:rPr>
          <w:rtl/>
        </w:rPr>
        <w:t>1</w:t>
      </w:r>
    </w:p>
    <w:p w14:paraId="71A7561E" w14:textId="77777777" w:rsidR="001F1441" w:rsidRPr="00C06B68" w:rsidRDefault="001F1441" w:rsidP="00EE52B6">
      <w:pPr>
        <w:rPr>
          <w:rtl/>
          <w:lang w:bidi="ar-EG"/>
        </w:rPr>
      </w:pPr>
    </w:p>
    <w:p w14:paraId="077A80A7" w14:textId="77777777" w:rsidR="00C06B68" w:rsidRDefault="00C06B68" w:rsidP="00E61BE8">
      <w:pPr>
        <w:rPr>
          <w:rtl/>
          <w:lang w:bidi="ar-EG"/>
        </w:rPr>
        <w:sectPr w:rsidR="00C06B68" w:rsidSect="006F363C">
          <w:footerReference w:type="default" r:id="rId9"/>
          <w:headerReference w:type="first" r:id="rId10"/>
          <w:footerReference w:type="first" r:id="rId11"/>
          <w:type w:val="oddPage"/>
          <w:pgSz w:w="11907" w:h="16840" w:code="9"/>
          <w:pgMar w:top="1418" w:right="1418" w:bottom="1418" w:left="1418" w:header="709" w:footer="709" w:gutter="0"/>
          <w:cols w:space="708"/>
          <w:titlePg/>
          <w:docGrid w:linePitch="360"/>
        </w:sectPr>
      </w:pPr>
    </w:p>
    <w:p w14:paraId="2C1C7E32" w14:textId="77777777" w:rsidR="00C06B68" w:rsidRDefault="00C06B68" w:rsidP="00EE52B6">
      <w:pPr>
        <w:pStyle w:val="AnnexNo"/>
        <w:rPr>
          <w:rtl/>
        </w:rPr>
      </w:pPr>
      <w:r>
        <w:rPr>
          <w:rtl/>
        </w:rPr>
        <w:lastRenderedPageBreak/>
        <w:t xml:space="preserve">الملحق </w:t>
      </w:r>
      <w:r>
        <w:t>I</w:t>
      </w:r>
    </w:p>
    <w:p w14:paraId="23E1EC2A" w14:textId="2D9026E6" w:rsidR="00F50E3F" w:rsidRDefault="00C06B68" w:rsidP="00EE52B6">
      <w:pPr>
        <w:pStyle w:val="Annextitle"/>
      </w:pPr>
      <w:r>
        <w:rPr>
          <w:rtl/>
        </w:rPr>
        <w:t>تنفيذ القرار 48</w:t>
      </w:r>
      <w:r w:rsidR="001F1441">
        <w:rPr>
          <w:rFonts w:hint="cs"/>
          <w:rtl/>
        </w:rPr>
        <w:t xml:space="preserve"> - </w:t>
      </w:r>
      <w:r>
        <w:rPr>
          <w:rtl/>
        </w:rPr>
        <w:t>مؤشرات الموارد البشرية ومعلومات محدَّثة عن التقدم المحرز</w:t>
      </w:r>
      <w:r w:rsidR="001F1441">
        <w:rPr>
          <w:rtl/>
        </w:rPr>
        <w:br/>
      </w:r>
      <w:r>
        <w:rPr>
          <w:rtl/>
        </w:rPr>
        <w:t>(في نهاية فبراير 2026)</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603"/>
        <w:gridCol w:w="1628"/>
        <w:gridCol w:w="5018"/>
        <w:gridCol w:w="7313"/>
      </w:tblGrid>
      <w:tr w:rsidR="00C06B68" w:rsidRPr="00C06B68" w14:paraId="5533F832" w14:textId="77777777" w:rsidTr="00B2786F">
        <w:trPr>
          <w:tblHeader/>
          <w:jc w:val="center"/>
        </w:trPr>
        <w:tc>
          <w:tcPr>
            <w:tcW w:w="207" w:type="pct"/>
            <w:shd w:val="clear" w:color="auto" w:fill="BDD6EE" w:themeFill="accent1" w:themeFillTint="66"/>
            <w:hideMark/>
          </w:tcPr>
          <w:p w14:paraId="53B710CD" w14:textId="77777777" w:rsidR="00C06B68" w:rsidRPr="00CE7166" w:rsidRDefault="00C06B68" w:rsidP="00EE52B6">
            <w:pPr>
              <w:pStyle w:val="Tablehead"/>
              <w:rPr>
                <w:position w:val="2"/>
                <w:lang w:val="ar-SA" w:bidi="ar-EG"/>
              </w:rPr>
            </w:pPr>
            <w:r w:rsidRPr="00CE7166">
              <w:rPr>
                <w:position w:val="2"/>
                <w:rtl/>
              </w:rPr>
              <w:t>الرقم</w:t>
            </w:r>
          </w:p>
        </w:tc>
        <w:tc>
          <w:tcPr>
            <w:tcW w:w="559" w:type="pct"/>
            <w:shd w:val="clear" w:color="auto" w:fill="BDD6EE" w:themeFill="accent1" w:themeFillTint="66"/>
          </w:tcPr>
          <w:p w14:paraId="310C689B" w14:textId="77777777" w:rsidR="00C06B68" w:rsidRPr="00CE7166" w:rsidRDefault="00C06B68" w:rsidP="00EE52B6">
            <w:pPr>
              <w:pStyle w:val="Tablehead"/>
              <w:rPr>
                <w:position w:val="2"/>
                <w:lang w:val="ar-SA" w:bidi="ar-EG"/>
              </w:rPr>
            </w:pPr>
            <w:r w:rsidRPr="00CE7166">
              <w:rPr>
                <w:position w:val="2"/>
                <w:rtl/>
              </w:rPr>
              <w:t>البنود</w:t>
            </w:r>
          </w:p>
        </w:tc>
        <w:tc>
          <w:tcPr>
            <w:tcW w:w="1723" w:type="pct"/>
            <w:shd w:val="clear" w:color="auto" w:fill="BDD6EE" w:themeFill="accent1" w:themeFillTint="66"/>
          </w:tcPr>
          <w:p w14:paraId="4415DDDF" w14:textId="77777777" w:rsidR="00C06B68" w:rsidRPr="00CE7166" w:rsidRDefault="00C06B68" w:rsidP="00EE52B6">
            <w:pPr>
              <w:pStyle w:val="Tablehead"/>
              <w:rPr>
                <w:position w:val="2"/>
                <w:lang w:val="ar-SA" w:bidi="ar-EG"/>
              </w:rPr>
            </w:pPr>
            <w:r w:rsidRPr="00CE7166">
              <w:rPr>
                <w:position w:val="2"/>
                <w:rtl/>
              </w:rPr>
              <w:t>المؤشرات</w:t>
            </w:r>
          </w:p>
        </w:tc>
        <w:tc>
          <w:tcPr>
            <w:tcW w:w="2511" w:type="pct"/>
            <w:shd w:val="clear" w:color="auto" w:fill="BDD6EE" w:themeFill="accent1" w:themeFillTint="66"/>
          </w:tcPr>
          <w:p w14:paraId="15ED8C81" w14:textId="2964CB23" w:rsidR="00C06B68" w:rsidRPr="00CE7166" w:rsidRDefault="00C06B68" w:rsidP="00EE52B6">
            <w:pPr>
              <w:pStyle w:val="Tablehead"/>
              <w:rPr>
                <w:position w:val="2"/>
                <w:lang w:val="ar-SA" w:bidi="ar-EG"/>
              </w:rPr>
            </w:pPr>
            <w:r w:rsidRPr="00CE7166">
              <w:rPr>
                <w:position w:val="2"/>
                <w:rtl/>
              </w:rPr>
              <w:t>الإبلاغ</w:t>
            </w:r>
            <w:r w:rsidR="00B2786F">
              <w:rPr>
                <w:position w:val="2"/>
                <w:rtl/>
              </w:rPr>
              <w:br/>
            </w:r>
            <w:r w:rsidRPr="00CE7166">
              <w:rPr>
                <w:position w:val="2"/>
                <w:rtl/>
              </w:rPr>
              <w:t>(الحالة في نهاية فبراير 2026)</w:t>
            </w:r>
          </w:p>
        </w:tc>
      </w:tr>
      <w:tr w:rsidR="00C06B68" w:rsidRPr="00C06B68" w14:paraId="0CD8F291" w14:textId="77777777" w:rsidTr="00B2786F">
        <w:trPr>
          <w:jc w:val="center"/>
        </w:trPr>
        <w:tc>
          <w:tcPr>
            <w:tcW w:w="207" w:type="pct"/>
            <w:shd w:val="clear" w:color="auto" w:fill="FFFFFF" w:themeFill="background1"/>
            <w:vAlign w:val="center"/>
            <w:hideMark/>
          </w:tcPr>
          <w:p w14:paraId="45C56D02" w14:textId="77777777" w:rsidR="00C06B68" w:rsidRPr="00CE7166" w:rsidRDefault="00C06B68" w:rsidP="001F1441">
            <w:pPr>
              <w:pStyle w:val="Tabletexte"/>
              <w:jc w:val="center"/>
              <w:rPr>
                <w:b/>
                <w:bCs/>
                <w:position w:val="2"/>
                <w:lang w:val="ar-SA" w:bidi="ar-EG"/>
              </w:rPr>
            </w:pPr>
            <w:r w:rsidRPr="00CE7166">
              <w:rPr>
                <w:b/>
                <w:bCs/>
                <w:position w:val="2"/>
                <w:rtl/>
              </w:rPr>
              <w:t>1</w:t>
            </w:r>
          </w:p>
        </w:tc>
        <w:tc>
          <w:tcPr>
            <w:tcW w:w="559" w:type="pct"/>
            <w:shd w:val="clear" w:color="auto" w:fill="FFFFFF" w:themeFill="background1"/>
            <w:vAlign w:val="center"/>
            <w:hideMark/>
          </w:tcPr>
          <w:p w14:paraId="41F3AD35" w14:textId="77777777" w:rsidR="00C06B68" w:rsidRPr="00CE7166" w:rsidRDefault="00C06B68" w:rsidP="00EE52B6">
            <w:pPr>
              <w:pStyle w:val="Tabletexte"/>
              <w:rPr>
                <w:position w:val="2"/>
                <w:lang w:val="ar-SA" w:bidi="ar-EG"/>
              </w:rPr>
            </w:pPr>
            <w:r w:rsidRPr="00CE7166">
              <w:rPr>
                <w:position w:val="2"/>
                <w:rtl/>
              </w:rPr>
              <w:t>التوظيف والتمثيل</w:t>
            </w:r>
          </w:p>
        </w:tc>
        <w:tc>
          <w:tcPr>
            <w:tcW w:w="1723" w:type="pct"/>
            <w:shd w:val="clear" w:color="auto" w:fill="FFFFFF" w:themeFill="background1"/>
            <w:vAlign w:val="center"/>
          </w:tcPr>
          <w:p w14:paraId="3C48AF08" w14:textId="56E203C2" w:rsidR="00C06B68" w:rsidRPr="00CE7166" w:rsidRDefault="00C06B68" w:rsidP="001F1441">
            <w:pPr>
              <w:pStyle w:val="Tabletexte"/>
              <w:tabs>
                <w:tab w:val="clear" w:pos="794"/>
              </w:tabs>
              <w:ind w:left="217" w:hanging="217"/>
              <w:rPr>
                <w:position w:val="2"/>
                <w:lang w:val="ar-SA" w:bidi="ar-EG"/>
              </w:rPr>
            </w:pPr>
            <w:r w:rsidRPr="00CE7166">
              <w:rPr>
                <w:position w:val="2"/>
                <w:lang w:bidi="ar-EG"/>
              </w:rPr>
              <w:t>–</w:t>
            </w:r>
            <w:r w:rsidRPr="00CE7166">
              <w:rPr>
                <w:position w:val="2"/>
                <w:rtl/>
              </w:rPr>
              <w:tab/>
              <w:t>تحليل نوعي وكمي لحركة الوظائف (الاستعراض والترقية وخفض الرتبة والنقل والاستحداث)/</w:t>
            </w:r>
            <w:r w:rsidR="00180163">
              <w:rPr>
                <w:rFonts w:hint="cs"/>
                <w:position w:val="2"/>
                <w:rtl/>
              </w:rPr>
              <w:t xml:space="preserve"> </w:t>
            </w:r>
            <w:r w:rsidRPr="00CE7166">
              <w:rPr>
                <w:position w:val="2"/>
                <w:rtl/>
              </w:rPr>
              <w:t>العدد الإجمالي للوظائف التي خضعت لعملية تصنيف.</w:t>
            </w:r>
          </w:p>
          <w:p w14:paraId="4B6FAB82" w14:textId="77777777" w:rsidR="00C06B68" w:rsidRPr="00CE7166" w:rsidRDefault="00C06B68" w:rsidP="001F1441">
            <w:pPr>
              <w:pStyle w:val="Tabletexte"/>
              <w:tabs>
                <w:tab w:val="clear" w:pos="794"/>
              </w:tabs>
              <w:ind w:left="217" w:hanging="217"/>
              <w:rPr>
                <w:position w:val="2"/>
                <w:lang w:val="ar-SA" w:bidi="ar-EG"/>
              </w:rPr>
            </w:pPr>
            <w:r w:rsidRPr="00CE7166">
              <w:rPr>
                <w:position w:val="2"/>
                <w:lang w:bidi="ar-EG"/>
              </w:rPr>
              <w:t>–</w:t>
            </w:r>
            <w:r w:rsidRPr="00CE7166">
              <w:rPr>
                <w:position w:val="2"/>
                <w:rtl/>
              </w:rPr>
              <w:tab/>
              <w:t xml:space="preserve">استخدام معايير تصنيف الوظائف الصادرة عن لجنة الخدمة المدنية الدولية </w:t>
            </w:r>
            <w:r w:rsidRPr="00CE7166">
              <w:rPr>
                <w:position w:val="2"/>
                <w:lang w:bidi="ar-EG"/>
              </w:rPr>
              <w:t>(</w:t>
            </w:r>
            <w:proofErr w:type="spellStart"/>
            <w:r w:rsidRPr="00CE7166">
              <w:rPr>
                <w:position w:val="2"/>
                <w:lang w:bidi="ar-EG"/>
              </w:rPr>
              <w:t>ICSC</w:t>
            </w:r>
            <w:proofErr w:type="spellEnd"/>
            <w:r w:rsidRPr="00CE7166">
              <w:rPr>
                <w:position w:val="2"/>
                <w:lang w:bidi="ar-EG"/>
              </w:rPr>
              <w:t>)</w:t>
            </w:r>
            <w:r w:rsidRPr="00CE7166">
              <w:rPr>
                <w:position w:val="2"/>
                <w:rtl/>
              </w:rPr>
              <w:t>.</w:t>
            </w:r>
          </w:p>
        </w:tc>
        <w:tc>
          <w:tcPr>
            <w:tcW w:w="2511" w:type="pct"/>
            <w:vAlign w:val="center"/>
          </w:tcPr>
          <w:p w14:paraId="16137FC2" w14:textId="37B711B4" w:rsidR="00C06B68" w:rsidRPr="00CE7166" w:rsidRDefault="00C06B68" w:rsidP="00EE52B6">
            <w:pPr>
              <w:pStyle w:val="Tabletexte"/>
              <w:rPr>
                <w:position w:val="2"/>
                <w:lang w:val="ar-SA" w:bidi="ar-EG"/>
              </w:rPr>
            </w:pPr>
            <w:r w:rsidRPr="00CE7166">
              <w:rPr>
                <w:position w:val="2"/>
                <w:rtl/>
              </w:rPr>
              <w:t xml:space="preserve">أنشطة التصنيف من 2025 إلى فبراير 2026 </w:t>
            </w:r>
            <w:r w:rsidRPr="00CE7166">
              <w:rPr>
                <w:position w:val="2"/>
                <w:rtl/>
                <w:lang w:bidi="ar-EG"/>
              </w:rPr>
              <w:t>(*</w:t>
            </w:r>
            <w:r w:rsidRPr="00CE7166">
              <w:rPr>
                <w:position w:val="2"/>
                <w:rtl/>
              </w:rPr>
              <w:t>باستثناء التحقق من الرتبة في العقود قصيرة الأجل وعمليات إعادة التنظيم</w:t>
            </w:r>
            <w:r w:rsidRPr="00CE7166">
              <w:rPr>
                <w:position w:val="2"/>
                <w:rtl/>
                <w:lang w:bidi="ar-EG"/>
              </w:rPr>
              <w:t>):</w:t>
            </w:r>
          </w:p>
          <w:p w14:paraId="0518EDAD" w14:textId="08180F62"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استحداث 12 وظيفة من الميزانية العادية</w:t>
            </w:r>
          </w:p>
          <w:p w14:paraId="2862C22B" w14:textId="64160982"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استحداث 20 وظيفة من خارج الميزانية</w:t>
            </w:r>
          </w:p>
          <w:p w14:paraId="6FBFA790" w14:textId="3C77B5B7"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عدم خفض أي رتبة</w:t>
            </w:r>
          </w:p>
          <w:p w14:paraId="268C2524" w14:textId="57830020"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9 ترقيات</w:t>
            </w:r>
          </w:p>
          <w:p w14:paraId="6979AA38" w14:textId="57A8B2E0"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20 حالة نقل</w:t>
            </w:r>
          </w:p>
          <w:p w14:paraId="7B8425DE" w14:textId="7DE320C0"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46 استعراضاً</w:t>
            </w:r>
          </w:p>
          <w:p w14:paraId="17ADBBB3" w14:textId="0D6C5CBD" w:rsidR="00C06B68" w:rsidRPr="00CE7166" w:rsidRDefault="001F1441" w:rsidP="001F1441">
            <w:pPr>
              <w:pStyle w:val="Tabletexte"/>
              <w:tabs>
                <w:tab w:val="clear" w:pos="794"/>
              </w:tabs>
              <w:ind w:left="217" w:hanging="217"/>
              <w:rPr>
                <w:position w:val="2"/>
                <w:lang w:bidi="ar-EG"/>
              </w:rPr>
            </w:pPr>
            <w:r w:rsidRPr="00CE7166">
              <w:rPr>
                <w:position w:val="2"/>
                <w:lang w:bidi="ar-EG"/>
              </w:rPr>
              <w:sym w:font="Wingdings 2" w:char="F097"/>
            </w:r>
            <w:r w:rsidRPr="00CE7166">
              <w:rPr>
                <w:position w:val="2"/>
                <w:rtl/>
              </w:rPr>
              <w:tab/>
            </w:r>
            <w:r w:rsidR="00C06B68" w:rsidRPr="00CE7166">
              <w:rPr>
                <w:position w:val="2"/>
                <w:rtl/>
                <w:lang w:bidi="ar-EG"/>
              </w:rPr>
              <w:t>6 عمليات إلغاء</w:t>
            </w:r>
          </w:p>
          <w:p w14:paraId="7F0673DA" w14:textId="112E8339" w:rsidR="00C06B68" w:rsidRPr="00CE7166" w:rsidRDefault="001F1441" w:rsidP="001F1441">
            <w:pPr>
              <w:pStyle w:val="Tabletexte"/>
              <w:tabs>
                <w:tab w:val="clear" w:pos="794"/>
              </w:tabs>
              <w:ind w:left="217" w:hanging="217"/>
              <w:rPr>
                <w:position w:val="2"/>
                <w:lang w:val="ar-SA" w:bidi="ar-EG"/>
              </w:rPr>
            </w:pPr>
            <w:r w:rsidRPr="00CE7166">
              <w:rPr>
                <w:position w:val="2"/>
                <w:lang w:bidi="ar-EG"/>
              </w:rPr>
              <w:sym w:font="Wingdings 2" w:char="F097"/>
            </w:r>
            <w:r w:rsidRPr="00CE7166">
              <w:rPr>
                <w:position w:val="2"/>
                <w:rtl/>
              </w:rPr>
              <w:tab/>
            </w:r>
            <w:r w:rsidR="00C06B68" w:rsidRPr="00CE7166">
              <w:rPr>
                <w:position w:val="2"/>
                <w:rtl/>
                <w:lang w:bidi="ar-EG"/>
              </w:rPr>
              <w:t>26 بدل</w:t>
            </w:r>
            <w:r w:rsidR="00C06B68" w:rsidRPr="00CE7166">
              <w:rPr>
                <w:position w:val="2"/>
                <w:rtl/>
              </w:rPr>
              <w:t xml:space="preserve"> وظيفة خاصاً </w:t>
            </w:r>
            <w:r w:rsidR="00C06B68" w:rsidRPr="00CE7166">
              <w:rPr>
                <w:position w:val="2"/>
                <w:lang w:bidi="ar-EG"/>
              </w:rPr>
              <w:t>(SPA)</w:t>
            </w:r>
          </w:p>
          <w:p w14:paraId="35976A62" w14:textId="77777777" w:rsidR="00C06B68" w:rsidRPr="00CE7166" w:rsidRDefault="00C06B68" w:rsidP="00EE52B6">
            <w:pPr>
              <w:pStyle w:val="Tabletexte"/>
              <w:rPr>
                <w:position w:val="2"/>
                <w:lang w:val="ar-SA" w:bidi="ar-EG"/>
              </w:rPr>
            </w:pPr>
            <w:r w:rsidRPr="00CE7166">
              <w:rPr>
                <w:position w:val="2"/>
                <w:rtl/>
              </w:rPr>
              <w:t xml:space="preserve">وقُيمت جميع مواصفات الوظائف/المناصب على أساس معايير التصنيف الصادرة عن لجنة الخدمة المدنية الدولية </w:t>
            </w:r>
            <w:r w:rsidRPr="00CE7166">
              <w:rPr>
                <w:position w:val="2"/>
                <w:lang w:bidi="ar-EG"/>
              </w:rPr>
              <w:t>(</w:t>
            </w:r>
            <w:proofErr w:type="spellStart"/>
            <w:r w:rsidRPr="00CE7166">
              <w:rPr>
                <w:position w:val="2"/>
                <w:lang w:bidi="ar-EG"/>
              </w:rPr>
              <w:t>ICSC</w:t>
            </w:r>
            <w:proofErr w:type="spellEnd"/>
            <w:r w:rsidRPr="00CE7166">
              <w:rPr>
                <w:position w:val="2"/>
                <w:lang w:bidi="ar-EG"/>
              </w:rPr>
              <w:t>)</w:t>
            </w:r>
            <w:r w:rsidRPr="00CE7166">
              <w:rPr>
                <w:position w:val="2"/>
                <w:rtl/>
              </w:rPr>
              <w:t>.</w:t>
            </w:r>
          </w:p>
        </w:tc>
      </w:tr>
      <w:tr w:rsidR="00C06B68" w:rsidRPr="00C06B68" w14:paraId="28282D92" w14:textId="77777777" w:rsidTr="00B2786F">
        <w:trPr>
          <w:jc w:val="center"/>
        </w:trPr>
        <w:tc>
          <w:tcPr>
            <w:tcW w:w="207" w:type="pct"/>
            <w:shd w:val="clear" w:color="auto" w:fill="FFFFFF" w:themeFill="background1"/>
            <w:vAlign w:val="center"/>
          </w:tcPr>
          <w:p w14:paraId="79DE6AA8" w14:textId="77777777" w:rsidR="00C06B68" w:rsidRPr="00CE7166" w:rsidRDefault="00C06B68" w:rsidP="001F1441">
            <w:pPr>
              <w:pStyle w:val="Tabletexte"/>
              <w:jc w:val="center"/>
              <w:rPr>
                <w:b/>
                <w:bCs/>
                <w:position w:val="2"/>
                <w:lang w:val="ar-SA" w:bidi="ar-EG"/>
              </w:rPr>
            </w:pPr>
            <w:r w:rsidRPr="00CE7166">
              <w:rPr>
                <w:b/>
                <w:bCs/>
                <w:position w:val="2"/>
                <w:rtl/>
              </w:rPr>
              <w:t>2</w:t>
            </w:r>
          </w:p>
        </w:tc>
        <w:tc>
          <w:tcPr>
            <w:tcW w:w="559" w:type="pct"/>
            <w:shd w:val="clear" w:color="auto" w:fill="FFFFFF" w:themeFill="background1"/>
            <w:vAlign w:val="center"/>
          </w:tcPr>
          <w:p w14:paraId="64AEA1E5" w14:textId="77777777" w:rsidR="00C06B68" w:rsidRPr="00CE7166" w:rsidRDefault="00C06B68" w:rsidP="00EE52B6">
            <w:pPr>
              <w:pStyle w:val="Tabletexte"/>
              <w:rPr>
                <w:position w:val="2"/>
                <w:lang w:val="ar-SA" w:bidi="ar-EG"/>
              </w:rPr>
            </w:pPr>
            <w:r w:rsidRPr="00CE7166">
              <w:rPr>
                <w:position w:val="2"/>
                <w:rtl/>
              </w:rPr>
              <w:t>التوظيف والتمثيل</w:t>
            </w:r>
          </w:p>
        </w:tc>
        <w:tc>
          <w:tcPr>
            <w:tcW w:w="1723" w:type="pct"/>
            <w:shd w:val="clear" w:color="auto" w:fill="FFFFFF" w:themeFill="background1"/>
            <w:vAlign w:val="center"/>
          </w:tcPr>
          <w:p w14:paraId="1A85B991" w14:textId="77777777" w:rsidR="00C06B68" w:rsidRPr="00CE7166" w:rsidRDefault="00C06B68" w:rsidP="00EE52B6">
            <w:pPr>
              <w:pStyle w:val="Tabletexte"/>
              <w:rPr>
                <w:position w:val="2"/>
                <w:lang w:val="ar-SA" w:bidi="ar-EG"/>
              </w:rPr>
            </w:pPr>
            <w:r w:rsidRPr="00CE7166">
              <w:rPr>
                <w:position w:val="2"/>
                <w:rtl/>
              </w:rPr>
              <w:t>متوسط عدد الطلبات المقدمة لكل وظيفة</w:t>
            </w:r>
          </w:p>
        </w:tc>
        <w:tc>
          <w:tcPr>
            <w:tcW w:w="2511" w:type="pct"/>
            <w:vAlign w:val="center"/>
          </w:tcPr>
          <w:p w14:paraId="172CAE52" w14:textId="77777777" w:rsidR="00C06B68" w:rsidRPr="00CE7166" w:rsidRDefault="00C06B68" w:rsidP="00EE52B6">
            <w:pPr>
              <w:pStyle w:val="Tabletexte"/>
              <w:rPr>
                <w:position w:val="2"/>
                <w:lang w:val="ar-SA" w:bidi="ar-EG"/>
              </w:rPr>
            </w:pPr>
            <w:r w:rsidRPr="00CE7166">
              <w:rPr>
                <w:position w:val="2"/>
                <w:lang w:bidi="ar-EG"/>
              </w:rPr>
              <w:t>110,3</w:t>
            </w:r>
            <w:r w:rsidRPr="00CE7166">
              <w:rPr>
                <w:position w:val="2"/>
                <w:rtl/>
              </w:rPr>
              <w:t xml:space="preserve"> متقدمين لكل وظيفة محددة المدة</w:t>
            </w:r>
          </w:p>
        </w:tc>
      </w:tr>
      <w:tr w:rsidR="00C06B68" w:rsidRPr="00C06B68" w14:paraId="442CAF04" w14:textId="77777777" w:rsidTr="00B2786F">
        <w:trPr>
          <w:jc w:val="center"/>
        </w:trPr>
        <w:tc>
          <w:tcPr>
            <w:tcW w:w="207" w:type="pct"/>
            <w:shd w:val="clear" w:color="auto" w:fill="FFFFFF" w:themeFill="background1"/>
            <w:vAlign w:val="center"/>
          </w:tcPr>
          <w:p w14:paraId="28691335" w14:textId="77777777" w:rsidR="00C06B68" w:rsidRPr="00CE7166" w:rsidRDefault="00C06B68" w:rsidP="001F1441">
            <w:pPr>
              <w:pStyle w:val="Tabletexte"/>
              <w:jc w:val="center"/>
              <w:rPr>
                <w:b/>
                <w:bCs/>
                <w:position w:val="2"/>
                <w:lang w:val="ar-SA" w:bidi="ar-EG"/>
              </w:rPr>
            </w:pPr>
            <w:r w:rsidRPr="00CE7166">
              <w:rPr>
                <w:b/>
                <w:bCs/>
                <w:position w:val="2"/>
                <w:rtl/>
              </w:rPr>
              <w:t>3</w:t>
            </w:r>
          </w:p>
        </w:tc>
        <w:tc>
          <w:tcPr>
            <w:tcW w:w="559" w:type="pct"/>
            <w:shd w:val="clear" w:color="auto" w:fill="FFFFFF" w:themeFill="background1"/>
            <w:vAlign w:val="center"/>
          </w:tcPr>
          <w:p w14:paraId="62129193" w14:textId="77777777" w:rsidR="00C06B68" w:rsidRPr="00CE7166" w:rsidRDefault="00C06B68" w:rsidP="00EE52B6">
            <w:pPr>
              <w:pStyle w:val="Tabletexte"/>
              <w:rPr>
                <w:position w:val="2"/>
                <w:lang w:val="ar-SA" w:bidi="ar-EG"/>
              </w:rPr>
            </w:pPr>
            <w:r w:rsidRPr="00CE7166">
              <w:rPr>
                <w:position w:val="2"/>
                <w:rtl/>
              </w:rPr>
              <w:t>التوظيف والتمثيل</w:t>
            </w:r>
          </w:p>
        </w:tc>
        <w:tc>
          <w:tcPr>
            <w:tcW w:w="1723" w:type="pct"/>
            <w:shd w:val="clear" w:color="auto" w:fill="FFFFFF" w:themeFill="background1"/>
            <w:vAlign w:val="center"/>
            <w:hideMark/>
          </w:tcPr>
          <w:p w14:paraId="7D678C84" w14:textId="77777777" w:rsidR="00C06B68" w:rsidRPr="00CE7166"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rPr>
              <w:tab/>
              <w:t xml:space="preserve">نسب التمثيل </w:t>
            </w:r>
            <w:r w:rsidRPr="00CE7166">
              <w:rPr>
                <w:position w:val="2"/>
                <w:rtl/>
                <w:lang w:bidi="ar-EG"/>
              </w:rPr>
              <w:t xml:space="preserve">الجغرافي وتمثيل الجنسين في القوى العاملة، حسب مركز العمل والقطاع والرتبة </w:t>
            </w:r>
            <w:r w:rsidRPr="00CE7166">
              <w:rPr>
                <w:position w:val="2"/>
                <w:lang w:bidi="ar-EG"/>
              </w:rPr>
              <w:t>(%)</w:t>
            </w:r>
          </w:p>
          <w:p w14:paraId="0886952C" w14:textId="77777777" w:rsidR="00C06B68" w:rsidRPr="00CE7166"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توزع الجنسين حسب الفئة المهنية </w:t>
            </w:r>
            <w:r w:rsidRPr="00CE7166">
              <w:rPr>
                <w:position w:val="2"/>
                <w:lang w:bidi="ar-EG"/>
              </w:rPr>
              <w:t>(%)</w:t>
            </w:r>
          </w:p>
          <w:p w14:paraId="2E157E25" w14:textId="13290AB4" w:rsidR="00C06B68" w:rsidRPr="00CE7166" w:rsidRDefault="00C06B68" w:rsidP="001F1441">
            <w:pPr>
              <w:pStyle w:val="Tabletexte"/>
              <w:tabs>
                <w:tab w:val="clear" w:pos="794"/>
              </w:tabs>
              <w:ind w:left="217" w:hanging="217"/>
              <w:rPr>
                <w:position w:val="2"/>
                <w:lang w:val="ar-SA" w:bidi="ar-EG"/>
              </w:rPr>
            </w:pPr>
            <w:r w:rsidRPr="00CE7166">
              <w:rPr>
                <w:position w:val="2"/>
                <w:lang w:bidi="ar-EG"/>
              </w:rPr>
              <w:t>–</w:t>
            </w:r>
            <w:r w:rsidRPr="00CE7166">
              <w:rPr>
                <w:position w:val="2"/>
                <w:rtl/>
                <w:lang w:bidi="ar-EG"/>
              </w:rPr>
              <w:tab/>
              <w:t>الرصد المنتظم للمقاييس الرئيسية لتوزع القوى العاملة من قبيل التوزع الجغرافي والتكافؤ</w:t>
            </w:r>
            <w:r w:rsidRPr="00CE7166">
              <w:rPr>
                <w:position w:val="2"/>
                <w:rtl/>
              </w:rPr>
              <w:t xml:space="preserve"> بين الجنسين</w:t>
            </w:r>
          </w:p>
        </w:tc>
        <w:tc>
          <w:tcPr>
            <w:tcW w:w="2511" w:type="pct"/>
            <w:vAlign w:val="center"/>
          </w:tcPr>
          <w:p w14:paraId="09951E06" w14:textId="2D04A66E" w:rsidR="00C06B68" w:rsidRPr="00CE7166" w:rsidRDefault="00C06B68" w:rsidP="00EE52B6">
            <w:pPr>
              <w:pStyle w:val="Tabletexte"/>
              <w:rPr>
                <w:position w:val="2"/>
                <w:lang w:val="ar-SA" w:bidi="ar-EG"/>
              </w:rPr>
            </w:pPr>
            <w:r w:rsidRPr="00CE7166">
              <w:rPr>
                <w:position w:val="2"/>
                <w:rtl/>
              </w:rPr>
              <w:t xml:space="preserve">تقدم لوحة معلومات حية دينامية، تحدَّث باستمرار عبر تغذيتها بالبيانات من مستودع بيانات الموارد البشرية في نظام </w:t>
            </w:r>
            <w:r w:rsidRPr="00CE7166">
              <w:rPr>
                <w:position w:val="2"/>
                <w:lang w:bidi="ar-EG"/>
              </w:rPr>
              <w:t>SAP</w:t>
            </w:r>
            <w:r w:rsidRPr="00CE7166">
              <w:rPr>
                <w:position w:val="2"/>
                <w:rtl/>
              </w:rPr>
              <w:t>، نظرة عامة شاملة على المقاييس الرئيسية المتعلقة بالموظفين في الاتحاد، بما في</w:t>
            </w:r>
            <w:r w:rsidR="001F1441" w:rsidRPr="00CE7166">
              <w:rPr>
                <w:rFonts w:hint="eastAsia"/>
                <w:position w:val="2"/>
                <w:rtl/>
                <w:lang w:bidi="ar-EG"/>
              </w:rPr>
              <w:t> </w:t>
            </w:r>
            <w:r w:rsidRPr="00CE7166">
              <w:rPr>
                <w:position w:val="2"/>
                <w:rtl/>
              </w:rPr>
              <w:t>ذلك توزع الجنسين والتوزع الجغرافي.</w:t>
            </w:r>
          </w:p>
          <w:p w14:paraId="38AD71B8" w14:textId="77777777" w:rsidR="00C06B68" w:rsidRPr="00CE7166" w:rsidRDefault="00C06B68" w:rsidP="00EE52B6">
            <w:pPr>
              <w:pStyle w:val="Tabletexte"/>
              <w:rPr>
                <w:position w:val="2"/>
                <w:lang w:val="ar-SA" w:bidi="ar-EG"/>
              </w:rPr>
            </w:pPr>
            <w:r w:rsidRPr="00CE7166">
              <w:rPr>
                <w:position w:val="2"/>
                <w:rtl/>
              </w:rPr>
              <w:t>توزع الجنسين حسب القطاع (الموظفون الدائمون):</w:t>
            </w:r>
          </w:p>
          <w:p w14:paraId="70F079C1" w14:textId="214AE9B2" w:rsidR="00C06B68" w:rsidRPr="000B4077"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 xml:space="preserve">مكتب تنمية الاتصالات: الإناث </w:t>
            </w:r>
            <w:r w:rsidR="000B4077">
              <w:rPr>
                <w:position w:val="2"/>
                <w:lang w:bidi="ar-EG"/>
              </w:rPr>
              <w:t>%</w:t>
            </w:r>
            <w:r w:rsidRPr="00CE7166">
              <w:rPr>
                <w:position w:val="2"/>
                <w:lang w:bidi="ar-EG"/>
              </w:rPr>
              <w:t>53,9</w:t>
            </w:r>
            <w:r w:rsidRPr="00CE7166">
              <w:rPr>
                <w:position w:val="2"/>
                <w:rtl/>
                <w:lang w:bidi="ar-EG"/>
              </w:rPr>
              <w:t xml:space="preserve"> / الذكور </w:t>
            </w:r>
            <w:r w:rsidR="000B4077">
              <w:rPr>
                <w:position w:val="2"/>
                <w:lang w:bidi="ar-EG"/>
              </w:rPr>
              <w:t>%</w:t>
            </w:r>
            <w:r w:rsidRPr="00CE7166">
              <w:rPr>
                <w:position w:val="2"/>
                <w:lang w:bidi="ar-EG"/>
              </w:rPr>
              <w:t>46,1</w:t>
            </w:r>
          </w:p>
          <w:p w14:paraId="547BE01E" w14:textId="087A8587" w:rsidR="00C06B68" w:rsidRPr="00CE7166"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مكتب الاتصالات الراديوية: الإناث </w:t>
            </w:r>
            <w:r w:rsidR="000B4077">
              <w:rPr>
                <w:position w:val="2"/>
                <w:lang w:bidi="ar-EG"/>
              </w:rPr>
              <w:t>%</w:t>
            </w:r>
            <w:r w:rsidRPr="00CE7166">
              <w:rPr>
                <w:position w:val="2"/>
                <w:lang w:bidi="ar-EG"/>
              </w:rPr>
              <w:t>42,6</w:t>
            </w:r>
            <w:r w:rsidRPr="00CE7166">
              <w:rPr>
                <w:position w:val="2"/>
                <w:rtl/>
                <w:lang w:bidi="ar-EG"/>
              </w:rPr>
              <w:t xml:space="preserve"> / الذكور </w:t>
            </w:r>
            <w:r w:rsidR="000B4077">
              <w:rPr>
                <w:position w:val="2"/>
                <w:lang w:bidi="ar-EG"/>
              </w:rPr>
              <w:t>%</w:t>
            </w:r>
            <w:r w:rsidRPr="00CE7166">
              <w:rPr>
                <w:position w:val="2"/>
                <w:lang w:bidi="ar-EG"/>
              </w:rPr>
              <w:t>57,4</w:t>
            </w:r>
          </w:p>
          <w:p w14:paraId="2F51B43E" w14:textId="3F0A41CE" w:rsidR="00C06B68" w:rsidRPr="00CE7166"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الأمانة العامة: الإناث </w:t>
            </w:r>
            <w:r w:rsidR="000B4077">
              <w:rPr>
                <w:position w:val="2"/>
                <w:lang w:bidi="ar-EG"/>
              </w:rPr>
              <w:t>%</w:t>
            </w:r>
            <w:r w:rsidRPr="00CE7166">
              <w:rPr>
                <w:position w:val="2"/>
                <w:lang w:bidi="ar-EG"/>
              </w:rPr>
              <w:t>54,6</w:t>
            </w:r>
            <w:r w:rsidRPr="00CE7166">
              <w:rPr>
                <w:position w:val="2"/>
                <w:rtl/>
                <w:lang w:bidi="ar-EG"/>
              </w:rPr>
              <w:t xml:space="preserve"> / الذكور</w:t>
            </w:r>
            <w:r w:rsidR="000B4077">
              <w:rPr>
                <w:rFonts w:hint="cs"/>
                <w:position w:val="2"/>
                <w:rtl/>
                <w:lang w:bidi="ar-EG"/>
              </w:rPr>
              <w:t xml:space="preserve"> </w:t>
            </w:r>
            <w:r w:rsidR="000B4077">
              <w:rPr>
                <w:position w:val="2"/>
                <w:lang w:bidi="ar-EG"/>
              </w:rPr>
              <w:t>%</w:t>
            </w:r>
            <w:r w:rsidRPr="00CE7166">
              <w:rPr>
                <w:position w:val="2"/>
                <w:lang w:bidi="ar-EG"/>
              </w:rPr>
              <w:t>45,4</w:t>
            </w:r>
          </w:p>
          <w:p w14:paraId="6C7C8417" w14:textId="13182847" w:rsidR="00C06B68" w:rsidRPr="00CE7166" w:rsidRDefault="00C06B68" w:rsidP="001F1441">
            <w:pPr>
              <w:pStyle w:val="Tabletexte"/>
              <w:tabs>
                <w:tab w:val="clear" w:pos="794"/>
              </w:tabs>
              <w:ind w:left="217" w:hanging="217"/>
              <w:rPr>
                <w:position w:val="2"/>
                <w:lang w:val="ar-SA" w:bidi="ar-EG"/>
              </w:rPr>
            </w:pPr>
            <w:r w:rsidRPr="00CE7166">
              <w:rPr>
                <w:position w:val="2"/>
                <w:lang w:bidi="ar-EG"/>
              </w:rPr>
              <w:lastRenderedPageBreak/>
              <w:t>–</w:t>
            </w:r>
            <w:r w:rsidRPr="00CE7166">
              <w:rPr>
                <w:position w:val="2"/>
                <w:rtl/>
                <w:lang w:bidi="ar-EG"/>
              </w:rPr>
              <w:tab/>
              <w:t>مكتب تقييس</w:t>
            </w:r>
            <w:r w:rsidRPr="00CE7166">
              <w:rPr>
                <w:position w:val="2"/>
                <w:rtl/>
              </w:rPr>
              <w:t xml:space="preserve"> الاتصالات: الإناث </w:t>
            </w:r>
            <w:r w:rsidR="000B4077">
              <w:rPr>
                <w:rFonts w:hint="cs"/>
                <w:position w:val="2"/>
              </w:rPr>
              <w:t>%</w:t>
            </w:r>
            <w:r w:rsidRPr="00CE7166">
              <w:rPr>
                <w:position w:val="2"/>
              </w:rPr>
              <w:t>52,0</w:t>
            </w:r>
            <w:r w:rsidRPr="00CE7166">
              <w:rPr>
                <w:position w:val="2"/>
                <w:rtl/>
              </w:rPr>
              <w:t xml:space="preserve"> / الذكور </w:t>
            </w:r>
            <w:r w:rsidR="000B4077">
              <w:rPr>
                <w:position w:val="2"/>
              </w:rPr>
              <w:t>%</w:t>
            </w:r>
            <w:r w:rsidRPr="00CE7166">
              <w:rPr>
                <w:position w:val="2"/>
              </w:rPr>
              <w:t>48,0</w:t>
            </w:r>
          </w:p>
          <w:p w14:paraId="7FE450D3" w14:textId="77777777" w:rsidR="00C06B68" w:rsidRPr="00CE7166" w:rsidRDefault="00C06B68" w:rsidP="00EE52B6">
            <w:pPr>
              <w:pStyle w:val="Tabletexte"/>
              <w:rPr>
                <w:position w:val="2"/>
                <w:lang w:val="ar-SA" w:bidi="ar-EG"/>
              </w:rPr>
            </w:pPr>
            <w:r w:rsidRPr="00CE7166">
              <w:rPr>
                <w:position w:val="2"/>
                <w:rtl/>
              </w:rPr>
              <w:t>التوزع الجغرافي حسب الفئة المهنية (الموظفون الدائمون):</w:t>
            </w:r>
          </w:p>
          <w:p w14:paraId="74FDB333" w14:textId="5EFAEC85" w:rsidR="00C06B68" w:rsidRPr="00CE7166" w:rsidRDefault="00C06B68" w:rsidP="001F1441">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 xml:space="preserve">الفئة الفنية والفئات العليا: الإناث </w:t>
            </w:r>
            <w:r w:rsidR="000B4077">
              <w:rPr>
                <w:position w:val="2"/>
                <w:lang w:bidi="ar-EG"/>
              </w:rPr>
              <w:t>%</w:t>
            </w:r>
            <w:r w:rsidRPr="00CE7166">
              <w:rPr>
                <w:position w:val="2"/>
                <w:lang w:bidi="ar-EG"/>
              </w:rPr>
              <w:t>44,6</w:t>
            </w:r>
            <w:r w:rsidRPr="00CE7166">
              <w:rPr>
                <w:position w:val="2"/>
                <w:rtl/>
                <w:lang w:bidi="ar-EG"/>
              </w:rPr>
              <w:t xml:space="preserve"> / الذكور </w:t>
            </w:r>
            <w:r w:rsidR="000B4077">
              <w:rPr>
                <w:position w:val="2"/>
                <w:lang w:bidi="ar-EG"/>
              </w:rPr>
              <w:t>%</w:t>
            </w:r>
            <w:r w:rsidRPr="00CE7166">
              <w:rPr>
                <w:position w:val="2"/>
                <w:lang w:bidi="ar-EG"/>
              </w:rPr>
              <w:t>55,4</w:t>
            </w:r>
          </w:p>
          <w:p w14:paraId="43D091CE" w14:textId="7005AA4C" w:rsidR="00C06B68" w:rsidRPr="00CE7166" w:rsidRDefault="00C06B68" w:rsidP="001F1441">
            <w:pPr>
              <w:pStyle w:val="Tabletexte"/>
              <w:tabs>
                <w:tab w:val="clear" w:pos="794"/>
              </w:tabs>
              <w:ind w:left="217" w:hanging="217"/>
              <w:rPr>
                <w:position w:val="2"/>
                <w:lang w:val="ar-SA" w:bidi="ar-EG"/>
              </w:rPr>
            </w:pPr>
            <w:r w:rsidRPr="00CE7166">
              <w:rPr>
                <w:position w:val="2"/>
                <w:lang w:bidi="ar-EG"/>
              </w:rPr>
              <w:t>–</w:t>
            </w:r>
            <w:r w:rsidRPr="00CE7166">
              <w:rPr>
                <w:position w:val="2"/>
                <w:rtl/>
                <w:lang w:bidi="ar-EG"/>
              </w:rPr>
              <w:tab/>
              <w:t>فئة الخدمات</w:t>
            </w:r>
            <w:r w:rsidRPr="00CE7166">
              <w:rPr>
                <w:position w:val="2"/>
                <w:rtl/>
              </w:rPr>
              <w:t xml:space="preserve"> العامة: الإناث </w:t>
            </w:r>
            <w:r w:rsidR="000B4077">
              <w:rPr>
                <w:position w:val="2"/>
              </w:rPr>
              <w:t>%</w:t>
            </w:r>
            <w:r w:rsidRPr="00CE7166">
              <w:rPr>
                <w:position w:val="2"/>
              </w:rPr>
              <w:t>66,8</w:t>
            </w:r>
            <w:r w:rsidRPr="00CE7166">
              <w:rPr>
                <w:position w:val="2"/>
                <w:rtl/>
              </w:rPr>
              <w:t xml:space="preserve"> / الذكور </w:t>
            </w:r>
            <w:r w:rsidR="000B4077">
              <w:rPr>
                <w:position w:val="2"/>
              </w:rPr>
              <w:t>%</w:t>
            </w:r>
            <w:r w:rsidRPr="00CE7166">
              <w:rPr>
                <w:position w:val="2"/>
              </w:rPr>
              <w:t>33,2</w:t>
            </w:r>
          </w:p>
          <w:p w14:paraId="3376636E" w14:textId="24630E70" w:rsidR="00C06B68" w:rsidRPr="00CE7166" w:rsidRDefault="00C06B68" w:rsidP="00EE52B6">
            <w:pPr>
              <w:pStyle w:val="Tabletexte"/>
              <w:rPr>
                <w:position w:val="2"/>
                <w:lang w:val="ar-SA" w:bidi="ar-EG"/>
              </w:rPr>
            </w:pPr>
            <w:r w:rsidRPr="00CE7166">
              <w:rPr>
                <w:position w:val="2"/>
                <w:rtl/>
              </w:rPr>
              <w:t>التوزع الجغرافي (الموظفون الدائمون)</w:t>
            </w:r>
            <w:r w:rsidRPr="00CE7166">
              <w:rPr>
                <w:position w:val="2"/>
                <w:lang w:bidi="ar-EG"/>
              </w:rPr>
              <w:t>:</w:t>
            </w:r>
            <w:r w:rsidRPr="00CE7166">
              <w:rPr>
                <w:position w:val="2"/>
                <w:rtl/>
              </w:rPr>
              <w:t xml:space="preserve"> 114 جنسية</w:t>
            </w:r>
          </w:p>
          <w:p w14:paraId="5FD13366" w14:textId="77777777" w:rsidR="00C06B68" w:rsidRPr="00CE7166" w:rsidRDefault="00C06B68" w:rsidP="00EE52B6">
            <w:pPr>
              <w:pStyle w:val="Tabletexte"/>
              <w:rPr>
                <w:rFonts w:ascii="Traditional Arabic" w:hAnsi="Traditional Arabic" w:cs="Traditional Arabic"/>
                <w:position w:val="2"/>
                <w:lang w:val="ar-SA" w:bidi="ar-EG"/>
              </w:rPr>
            </w:pPr>
            <w:r w:rsidRPr="00CE7166">
              <w:rPr>
                <w:rFonts w:ascii="Traditional Arabic" w:hAnsi="Traditional Arabic" w:cs="Traditional Arabic"/>
                <w:position w:val="2"/>
                <w:lang w:bidi="ar-EG"/>
              </w:rPr>
              <w:t>_______________</w:t>
            </w:r>
          </w:p>
          <w:p w14:paraId="77ADB1FC" w14:textId="77777777" w:rsidR="00C06B68" w:rsidRPr="00CE7166" w:rsidRDefault="00C06B68" w:rsidP="00CE7166">
            <w:pPr>
              <w:pStyle w:val="Tabletexte"/>
              <w:tabs>
                <w:tab w:val="clear" w:pos="794"/>
              </w:tabs>
              <w:ind w:left="338" w:hanging="338"/>
              <w:rPr>
                <w:i/>
                <w:iCs/>
                <w:position w:val="2"/>
                <w:lang w:bidi="ar-EG"/>
              </w:rPr>
            </w:pPr>
            <w:r w:rsidRPr="00CE7166">
              <w:rPr>
                <w:i/>
                <w:iCs/>
                <w:position w:val="2"/>
                <w:lang w:bidi="ar-EG"/>
              </w:rPr>
              <w:t>*</w:t>
            </w:r>
            <w:r w:rsidRPr="00CE7166">
              <w:rPr>
                <w:i/>
                <w:iCs/>
                <w:position w:val="2"/>
                <w:rtl/>
              </w:rPr>
              <w:tab/>
            </w:r>
            <w:r w:rsidRPr="00CE7166">
              <w:rPr>
                <w:i/>
                <w:iCs/>
                <w:position w:val="2"/>
                <w:rtl/>
                <w:lang w:bidi="ar-EG"/>
              </w:rPr>
              <w:t>البيانات في 6 فبراير 2026.</w:t>
            </w:r>
          </w:p>
          <w:p w14:paraId="5D91F9E5" w14:textId="77777777" w:rsidR="00C06B68" w:rsidRPr="00CE7166" w:rsidRDefault="00C06B68" w:rsidP="00CE7166">
            <w:pPr>
              <w:pStyle w:val="Tabletexte"/>
              <w:tabs>
                <w:tab w:val="clear" w:pos="794"/>
              </w:tabs>
              <w:ind w:left="338" w:hanging="338"/>
              <w:rPr>
                <w:position w:val="2"/>
                <w:lang w:val="ar-SA" w:bidi="ar-EG"/>
              </w:rPr>
            </w:pPr>
            <w:r w:rsidRPr="00CE7166">
              <w:rPr>
                <w:i/>
                <w:iCs/>
                <w:position w:val="2"/>
                <w:lang w:bidi="ar-EG"/>
              </w:rPr>
              <w:t>**</w:t>
            </w:r>
            <w:r w:rsidRPr="00CE7166">
              <w:rPr>
                <w:i/>
                <w:iCs/>
                <w:position w:val="2"/>
                <w:rtl/>
                <w:lang w:bidi="ar-EG"/>
              </w:rPr>
              <w:tab/>
              <w:t>يستث</w:t>
            </w:r>
            <w:r w:rsidRPr="00CE7166">
              <w:rPr>
                <w:i/>
                <w:iCs/>
                <w:position w:val="2"/>
                <w:rtl/>
              </w:rPr>
              <w:t>نى من جميع الأرقام أعلاه المسؤولون المنتخَبون والموظفون الذين لديهم إجازة خاصة غير مدفوعة الأجر.</w:t>
            </w:r>
          </w:p>
        </w:tc>
      </w:tr>
      <w:tr w:rsidR="00C06B68" w:rsidRPr="00C06B68" w14:paraId="5795EFF4" w14:textId="77777777" w:rsidTr="00B2786F">
        <w:trPr>
          <w:jc w:val="center"/>
        </w:trPr>
        <w:tc>
          <w:tcPr>
            <w:tcW w:w="207" w:type="pct"/>
            <w:shd w:val="clear" w:color="auto" w:fill="FFFFFF" w:themeFill="background1"/>
            <w:vAlign w:val="center"/>
          </w:tcPr>
          <w:p w14:paraId="01430AB8" w14:textId="77777777" w:rsidR="00C06B68" w:rsidRPr="00CE7166" w:rsidRDefault="00C06B68" w:rsidP="001F1441">
            <w:pPr>
              <w:pStyle w:val="Tabletexte"/>
              <w:jc w:val="center"/>
              <w:rPr>
                <w:b/>
                <w:bCs/>
                <w:position w:val="2"/>
                <w:lang w:val="ar-SA" w:bidi="ar-EG"/>
              </w:rPr>
            </w:pPr>
            <w:r w:rsidRPr="00CE7166">
              <w:rPr>
                <w:b/>
                <w:bCs/>
                <w:position w:val="2"/>
                <w:rtl/>
              </w:rPr>
              <w:lastRenderedPageBreak/>
              <w:t>4</w:t>
            </w:r>
          </w:p>
        </w:tc>
        <w:tc>
          <w:tcPr>
            <w:tcW w:w="559" w:type="pct"/>
            <w:shd w:val="clear" w:color="auto" w:fill="FFFFFF" w:themeFill="background1"/>
            <w:vAlign w:val="center"/>
          </w:tcPr>
          <w:p w14:paraId="03FED54B" w14:textId="77777777" w:rsidR="00C06B68" w:rsidRPr="00CE7166" w:rsidRDefault="00C06B68" w:rsidP="00EE52B6">
            <w:pPr>
              <w:pStyle w:val="Tabletexte"/>
              <w:rPr>
                <w:position w:val="2"/>
                <w:lang w:val="ar-SA" w:bidi="ar-EG"/>
              </w:rPr>
            </w:pPr>
            <w:r w:rsidRPr="00CE7166">
              <w:rPr>
                <w:position w:val="2"/>
                <w:rtl/>
              </w:rPr>
              <w:t>الشراكات</w:t>
            </w:r>
          </w:p>
        </w:tc>
        <w:tc>
          <w:tcPr>
            <w:tcW w:w="1723" w:type="pct"/>
            <w:shd w:val="clear" w:color="auto" w:fill="FFFFFF" w:themeFill="background1"/>
            <w:vAlign w:val="center"/>
          </w:tcPr>
          <w:p w14:paraId="6249444F" w14:textId="5990F842" w:rsidR="00C06B68" w:rsidRPr="000B4077" w:rsidRDefault="00C06B68" w:rsidP="00CE7166">
            <w:pPr>
              <w:pStyle w:val="Tabletexte"/>
              <w:tabs>
                <w:tab w:val="clear" w:pos="794"/>
              </w:tabs>
              <w:ind w:left="217" w:hanging="217"/>
              <w:rPr>
                <w:spacing w:val="-4"/>
                <w:position w:val="2"/>
                <w:lang w:val="ar-SA" w:bidi="ar-EG"/>
              </w:rPr>
            </w:pPr>
            <w:r w:rsidRPr="000B4077">
              <w:rPr>
                <w:spacing w:val="-4"/>
                <w:position w:val="2"/>
                <w:lang w:bidi="ar-EG"/>
              </w:rPr>
              <w:t>–</w:t>
            </w:r>
            <w:r w:rsidRPr="000B4077">
              <w:rPr>
                <w:spacing w:val="-4"/>
                <w:position w:val="2"/>
                <w:rtl/>
              </w:rPr>
              <w:tab/>
              <w:t xml:space="preserve">عدد الشراكات التي عُقدت مع الإدارات (إعداد تقرير نوعي عن المبادرات وتقرير </w:t>
            </w:r>
            <w:r w:rsidRPr="000B4077">
              <w:rPr>
                <w:spacing w:val="-4"/>
                <w:position w:val="2"/>
                <w:rtl/>
                <w:lang w:bidi="ar-EG"/>
              </w:rPr>
              <w:t>كمي</w:t>
            </w:r>
            <w:r w:rsidRPr="000B4077">
              <w:rPr>
                <w:spacing w:val="-4"/>
                <w:position w:val="2"/>
                <w:rtl/>
              </w:rPr>
              <w:t xml:space="preserve"> مثلاً عن عدد الصناديق الاستئمانية </w:t>
            </w:r>
            <w:r w:rsidRPr="000B4077">
              <w:rPr>
                <w:spacing w:val="-4"/>
                <w:position w:val="2"/>
                <w:lang w:bidi="ar-EG"/>
              </w:rPr>
              <w:t>(FIT)</w:t>
            </w:r>
            <w:r w:rsidRPr="000B4077">
              <w:rPr>
                <w:spacing w:val="-4"/>
                <w:position w:val="2"/>
                <w:rtl/>
              </w:rPr>
              <w:t xml:space="preserve"> وعدد الموظفين المهنيين المبتدئين وعدد الموظفين المعارين/المنتدبين الذين تم توظيفهم من خلال برامج الشراكات)</w:t>
            </w:r>
          </w:p>
        </w:tc>
        <w:tc>
          <w:tcPr>
            <w:tcW w:w="2511" w:type="pct"/>
            <w:vAlign w:val="center"/>
          </w:tcPr>
          <w:p w14:paraId="2FCE7A87" w14:textId="77777777" w:rsidR="00C06B68" w:rsidRPr="00CE7166" w:rsidRDefault="00C06B68" w:rsidP="00EE52B6">
            <w:pPr>
              <w:pStyle w:val="Tabletexte"/>
              <w:rPr>
                <w:position w:val="2"/>
                <w:lang w:val="ar-SA" w:bidi="ar-EG"/>
              </w:rPr>
            </w:pPr>
            <w:r w:rsidRPr="00CE7166">
              <w:rPr>
                <w:position w:val="2"/>
                <w:rtl/>
              </w:rPr>
              <w:t>عدد الشركاء في برامج الصناديق الاستئمانية والإعارات</w:t>
            </w:r>
            <w:r w:rsidRPr="00CE7166">
              <w:rPr>
                <w:position w:val="2"/>
                <w:lang w:bidi="ar-EG"/>
              </w:rPr>
              <w:t>:</w:t>
            </w:r>
            <w:r w:rsidRPr="00CE7166">
              <w:rPr>
                <w:position w:val="2"/>
                <w:rtl/>
              </w:rPr>
              <w:t xml:space="preserve"> 8</w:t>
            </w:r>
          </w:p>
          <w:p w14:paraId="1F3F4FE2" w14:textId="77777777" w:rsidR="00C06B68" w:rsidRPr="00CE7166" w:rsidRDefault="00C06B68" w:rsidP="00EE52B6">
            <w:pPr>
              <w:pStyle w:val="Tabletexte"/>
              <w:rPr>
                <w:position w:val="2"/>
                <w:lang w:val="ar-SA" w:bidi="ar-EG"/>
              </w:rPr>
            </w:pPr>
            <w:r w:rsidRPr="00CE7166">
              <w:rPr>
                <w:position w:val="2"/>
                <w:rtl/>
              </w:rPr>
              <w:t>عدد الشركاء في برنامج الموظفين المهنيين المبتدئين</w:t>
            </w:r>
            <w:r w:rsidRPr="00CE7166">
              <w:rPr>
                <w:position w:val="2"/>
                <w:lang w:bidi="ar-EG"/>
              </w:rPr>
              <w:t>:</w:t>
            </w:r>
            <w:r w:rsidRPr="00CE7166">
              <w:rPr>
                <w:position w:val="2"/>
                <w:rtl/>
              </w:rPr>
              <w:t xml:space="preserve"> 8</w:t>
            </w:r>
          </w:p>
          <w:p w14:paraId="5AE8457A" w14:textId="77777777" w:rsidR="00C06B68" w:rsidRPr="00CE7166" w:rsidRDefault="00C06B68" w:rsidP="00EE52B6">
            <w:pPr>
              <w:pStyle w:val="Tabletexte"/>
              <w:rPr>
                <w:position w:val="2"/>
                <w:lang w:val="ar-SA" w:bidi="ar-EG"/>
              </w:rPr>
            </w:pPr>
            <w:r w:rsidRPr="00CE7166">
              <w:rPr>
                <w:position w:val="2"/>
                <w:rtl/>
              </w:rPr>
              <w:t>عدد الشركاء في برنامج التدريب المشمول بالرعاية</w:t>
            </w:r>
            <w:r w:rsidRPr="00CE7166">
              <w:rPr>
                <w:position w:val="2"/>
                <w:lang w:bidi="ar-EG"/>
              </w:rPr>
              <w:t>:</w:t>
            </w:r>
            <w:r w:rsidRPr="00CE7166">
              <w:rPr>
                <w:position w:val="2"/>
                <w:rtl/>
              </w:rPr>
              <w:t xml:space="preserve"> 2</w:t>
            </w:r>
          </w:p>
          <w:p w14:paraId="1BBE31E3" w14:textId="11C0E236" w:rsidR="00C06B68" w:rsidRPr="00CE7166" w:rsidRDefault="00C06B68" w:rsidP="00EE52B6">
            <w:pPr>
              <w:pStyle w:val="Tabletexte"/>
              <w:rPr>
                <w:position w:val="2"/>
                <w:lang w:val="ar-SA" w:bidi="ar-EG"/>
              </w:rPr>
            </w:pPr>
            <w:r w:rsidRPr="00CE7166">
              <w:rPr>
                <w:position w:val="2"/>
                <w:rtl/>
              </w:rPr>
              <w:t>عدد الصناديق الاستئمانية</w:t>
            </w:r>
            <w:r w:rsidRPr="00CE7166">
              <w:rPr>
                <w:position w:val="2"/>
                <w:lang w:bidi="ar-EG"/>
              </w:rPr>
              <w:t>:</w:t>
            </w:r>
            <w:r w:rsidRPr="00CE7166">
              <w:rPr>
                <w:position w:val="2"/>
                <w:rtl/>
              </w:rPr>
              <w:t xml:space="preserve"> 8</w:t>
            </w:r>
            <w:r w:rsidR="000B4077">
              <w:rPr>
                <w:rFonts w:hint="cs"/>
                <w:position w:val="2"/>
                <w:rtl/>
              </w:rPr>
              <w:t xml:space="preserve"> </w:t>
            </w:r>
            <w:r w:rsidRPr="00CE7166">
              <w:rPr>
                <w:position w:val="2"/>
                <w:rtl/>
              </w:rPr>
              <w:t>(واحد (1) آخر يبدأ في 1 مارس 2026)</w:t>
            </w:r>
          </w:p>
          <w:p w14:paraId="6A8C9FC3" w14:textId="4508F3D2" w:rsidR="00C06B68" w:rsidRPr="00CE7166" w:rsidRDefault="00C06B68" w:rsidP="00EE52B6">
            <w:pPr>
              <w:pStyle w:val="Tabletexte"/>
              <w:rPr>
                <w:position w:val="2"/>
                <w:lang w:val="ar-SA" w:bidi="ar-EG"/>
              </w:rPr>
            </w:pPr>
            <w:r w:rsidRPr="00CE7166">
              <w:rPr>
                <w:position w:val="2"/>
                <w:rtl/>
              </w:rPr>
              <w:t>عدد الموظفين المهنيين المبتدئين</w:t>
            </w:r>
            <w:r w:rsidRPr="00CE7166">
              <w:rPr>
                <w:position w:val="2"/>
                <w:lang w:bidi="ar-EG"/>
              </w:rPr>
              <w:t>:</w:t>
            </w:r>
            <w:r w:rsidRPr="00CE7166">
              <w:rPr>
                <w:position w:val="2"/>
                <w:rtl/>
              </w:rPr>
              <w:t xml:space="preserve"> 5 و3 آخرون </w:t>
            </w:r>
            <w:r w:rsidR="000B4077" w:rsidRPr="000B4077">
              <w:rPr>
                <w:position w:val="2"/>
                <w:rtl/>
              </w:rPr>
              <w:t>يبدؤون</w:t>
            </w:r>
            <w:r w:rsidR="000B4077">
              <w:rPr>
                <w:rFonts w:hint="cs"/>
                <w:position w:val="2"/>
                <w:rtl/>
              </w:rPr>
              <w:t xml:space="preserve"> </w:t>
            </w:r>
            <w:r w:rsidRPr="00CE7166">
              <w:rPr>
                <w:position w:val="2"/>
                <w:rtl/>
              </w:rPr>
              <w:t xml:space="preserve">في 1 مارس 2026 وآخرون </w:t>
            </w:r>
            <w:r w:rsidR="000B4077" w:rsidRPr="000B4077">
              <w:rPr>
                <w:position w:val="2"/>
                <w:rtl/>
              </w:rPr>
              <w:t>يبدؤون</w:t>
            </w:r>
            <w:r w:rsidR="000B4077">
              <w:rPr>
                <w:rFonts w:hint="cs"/>
                <w:position w:val="2"/>
                <w:rtl/>
              </w:rPr>
              <w:t xml:space="preserve"> </w:t>
            </w:r>
            <w:r w:rsidRPr="00CE7166">
              <w:rPr>
                <w:position w:val="2"/>
                <w:rtl/>
              </w:rPr>
              <w:t>لاحقاً</w:t>
            </w:r>
          </w:p>
          <w:p w14:paraId="2FD9F4ED" w14:textId="77777777" w:rsidR="00C06B68" w:rsidRPr="00CE7166" w:rsidRDefault="00C06B68" w:rsidP="00EE52B6">
            <w:pPr>
              <w:pStyle w:val="Tabletexte"/>
              <w:rPr>
                <w:position w:val="2"/>
                <w:lang w:val="ar-SA" w:bidi="ar-EG"/>
              </w:rPr>
            </w:pPr>
            <w:r w:rsidRPr="00CE7166">
              <w:rPr>
                <w:position w:val="2"/>
                <w:rtl/>
              </w:rPr>
              <w:t>عدد الإعارات</w:t>
            </w:r>
            <w:r w:rsidRPr="00CE7166">
              <w:rPr>
                <w:position w:val="2"/>
                <w:lang w:bidi="ar-EG"/>
              </w:rPr>
              <w:t>:</w:t>
            </w:r>
            <w:r w:rsidRPr="00CE7166">
              <w:rPr>
                <w:position w:val="2"/>
                <w:rtl/>
              </w:rPr>
              <w:t xml:space="preserve"> 9</w:t>
            </w:r>
          </w:p>
        </w:tc>
      </w:tr>
      <w:tr w:rsidR="00C06B68" w:rsidRPr="00C06B68" w14:paraId="4B6E9262" w14:textId="77777777" w:rsidTr="00B2786F">
        <w:trPr>
          <w:jc w:val="center"/>
        </w:trPr>
        <w:tc>
          <w:tcPr>
            <w:tcW w:w="207" w:type="pct"/>
            <w:shd w:val="clear" w:color="auto" w:fill="FFFFFF" w:themeFill="background1"/>
            <w:vAlign w:val="center"/>
          </w:tcPr>
          <w:p w14:paraId="2E2344E6" w14:textId="77777777" w:rsidR="00C06B68" w:rsidRPr="00CE7166" w:rsidRDefault="00C06B68" w:rsidP="001F1441">
            <w:pPr>
              <w:pStyle w:val="Tabletexte"/>
              <w:jc w:val="center"/>
              <w:rPr>
                <w:b/>
                <w:bCs/>
                <w:position w:val="2"/>
                <w:lang w:val="ar-SA" w:bidi="ar-EG"/>
              </w:rPr>
            </w:pPr>
            <w:r w:rsidRPr="00CE7166">
              <w:rPr>
                <w:b/>
                <w:bCs/>
                <w:position w:val="2"/>
                <w:rtl/>
              </w:rPr>
              <w:t>5</w:t>
            </w:r>
          </w:p>
        </w:tc>
        <w:tc>
          <w:tcPr>
            <w:tcW w:w="559" w:type="pct"/>
            <w:shd w:val="clear" w:color="auto" w:fill="FFFFFF" w:themeFill="background1"/>
            <w:vAlign w:val="center"/>
          </w:tcPr>
          <w:p w14:paraId="1A16FC8E" w14:textId="77777777" w:rsidR="00C06B68" w:rsidRPr="00CE7166" w:rsidRDefault="00C06B68" w:rsidP="00EE52B6">
            <w:pPr>
              <w:pStyle w:val="Tabletexte"/>
              <w:rPr>
                <w:position w:val="2"/>
                <w:lang w:val="ar-SA" w:bidi="ar-EG"/>
              </w:rPr>
            </w:pPr>
            <w:r w:rsidRPr="00CE7166">
              <w:rPr>
                <w:position w:val="2"/>
                <w:rtl/>
              </w:rPr>
              <w:t>الشراكات</w:t>
            </w:r>
          </w:p>
        </w:tc>
        <w:tc>
          <w:tcPr>
            <w:tcW w:w="1723" w:type="pct"/>
            <w:shd w:val="clear" w:color="auto" w:fill="FFFFFF" w:themeFill="background1"/>
            <w:vAlign w:val="center"/>
            <w:hideMark/>
          </w:tcPr>
          <w:p w14:paraId="7EE3949F"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برامج المواهب الشابة التي تم تصميمها وإطلاقها</w:t>
            </w:r>
          </w:p>
          <w:p w14:paraId="7BC98B13"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عدد المتدربين</w:t>
            </w:r>
          </w:p>
        </w:tc>
        <w:tc>
          <w:tcPr>
            <w:tcW w:w="2511" w:type="pct"/>
            <w:vAlign w:val="center"/>
          </w:tcPr>
          <w:p w14:paraId="7DE946B8" w14:textId="77777777" w:rsidR="00C06B68" w:rsidRPr="00CE7166" w:rsidRDefault="00C06B68" w:rsidP="00EE52B6">
            <w:pPr>
              <w:pStyle w:val="Tabletexte"/>
              <w:rPr>
                <w:position w:val="2"/>
                <w:lang w:val="ar-SA" w:bidi="ar-EG"/>
              </w:rPr>
            </w:pPr>
            <w:r w:rsidRPr="00CE7166">
              <w:rPr>
                <w:position w:val="2"/>
                <w:rtl/>
              </w:rPr>
              <w:t>عدد المعينين في إطار برنامج المهنيين الشباب</w:t>
            </w:r>
            <w:r w:rsidRPr="00CE7166">
              <w:rPr>
                <w:position w:val="2"/>
                <w:lang w:bidi="ar-EG"/>
              </w:rPr>
              <w:t>:</w:t>
            </w:r>
            <w:r w:rsidRPr="00CE7166">
              <w:rPr>
                <w:position w:val="2"/>
                <w:rtl/>
              </w:rPr>
              <w:t xml:space="preserve"> 6</w:t>
            </w:r>
          </w:p>
          <w:p w14:paraId="794AF38E" w14:textId="037EA353" w:rsidR="00C06B68" w:rsidRPr="00CE7166" w:rsidRDefault="00C06B68" w:rsidP="00EE52B6">
            <w:pPr>
              <w:pStyle w:val="Tabletexte"/>
              <w:rPr>
                <w:position w:val="2"/>
                <w:lang w:val="ar-SA" w:bidi="ar-EG"/>
              </w:rPr>
            </w:pPr>
            <w:r w:rsidRPr="00CE7166">
              <w:rPr>
                <w:position w:val="2"/>
                <w:rtl/>
              </w:rPr>
              <w:t>عدد المتدربين</w:t>
            </w:r>
            <w:r w:rsidRPr="00CE7166">
              <w:rPr>
                <w:position w:val="2"/>
                <w:lang w:bidi="ar-EG"/>
              </w:rPr>
              <w:t>:</w:t>
            </w:r>
            <w:r w:rsidRPr="00CE7166">
              <w:rPr>
                <w:position w:val="2"/>
                <w:rtl/>
              </w:rPr>
              <w:t xml:space="preserve"> 70 (الأمانة العامة</w:t>
            </w:r>
            <w:r w:rsidRPr="00CE7166">
              <w:rPr>
                <w:position w:val="2"/>
                <w:lang w:bidi="ar-EG"/>
              </w:rPr>
              <w:t>:</w:t>
            </w:r>
            <w:r w:rsidRPr="00CE7166">
              <w:rPr>
                <w:position w:val="2"/>
                <w:rtl/>
              </w:rPr>
              <w:t xml:space="preserve"> 22؛ مكتب الاتصالات الراديوية</w:t>
            </w:r>
            <w:r w:rsidRPr="00CE7166">
              <w:rPr>
                <w:position w:val="2"/>
                <w:lang w:bidi="ar-EG"/>
              </w:rPr>
              <w:t>:</w:t>
            </w:r>
            <w:r w:rsidRPr="00CE7166">
              <w:rPr>
                <w:position w:val="2"/>
                <w:rtl/>
              </w:rPr>
              <w:t xml:space="preserve"> 7؛ مكتب تنمية الاتصالات</w:t>
            </w:r>
            <w:r w:rsidRPr="00CE7166">
              <w:rPr>
                <w:position w:val="2"/>
                <w:lang w:bidi="ar-EG"/>
              </w:rPr>
              <w:t>:</w:t>
            </w:r>
            <w:r w:rsidRPr="00CE7166">
              <w:rPr>
                <w:position w:val="2"/>
                <w:rtl/>
              </w:rPr>
              <w:t xml:space="preserve"> 28؛ مكتب تقييس الاتصالات</w:t>
            </w:r>
            <w:r w:rsidRPr="00CE7166">
              <w:rPr>
                <w:position w:val="2"/>
                <w:lang w:bidi="ar-EG"/>
              </w:rPr>
              <w:t>:</w:t>
            </w:r>
            <w:r w:rsidRPr="00CE7166">
              <w:rPr>
                <w:position w:val="2"/>
                <w:rtl/>
              </w:rPr>
              <w:t xml:space="preserve"> 13)</w:t>
            </w:r>
          </w:p>
        </w:tc>
      </w:tr>
      <w:tr w:rsidR="00C06B68" w:rsidRPr="00C06B68" w14:paraId="3138B4AC" w14:textId="77777777" w:rsidTr="00B2786F">
        <w:trPr>
          <w:jc w:val="center"/>
        </w:trPr>
        <w:tc>
          <w:tcPr>
            <w:tcW w:w="207" w:type="pct"/>
            <w:shd w:val="clear" w:color="auto" w:fill="FFFFFF" w:themeFill="background1"/>
            <w:vAlign w:val="center"/>
          </w:tcPr>
          <w:p w14:paraId="6BF2A6EB" w14:textId="77777777" w:rsidR="00C06B68" w:rsidRPr="00CE7166" w:rsidRDefault="00C06B68" w:rsidP="001F1441">
            <w:pPr>
              <w:pStyle w:val="Tabletexte"/>
              <w:jc w:val="center"/>
              <w:rPr>
                <w:b/>
                <w:bCs/>
                <w:position w:val="2"/>
                <w:lang w:val="ar-SA" w:bidi="ar-EG"/>
              </w:rPr>
            </w:pPr>
            <w:r w:rsidRPr="00CE7166">
              <w:rPr>
                <w:b/>
                <w:bCs/>
                <w:position w:val="2"/>
                <w:rtl/>
              </w:rPr>
              <w:t>6</w:t>
            </w:r>
          </w:p>
        </w:tc>
        <w:tc>
          <w:tcPr>
            <w:tcW w:w="559" w:type="pct"/>
            <w:shd w:val="clear" w:color="auto" w:fill="FFFFFF" w:themeFill="background1"/>
            <w:vAlign w:val="center"/>
          </w:tcPr>
          <w:p w14:paraId="56FA8619" w14:textId="77777777" w:rsidR="00C06B68" w:rsidRPr="00CE7166" w:rsidRDefault="00C06B68" w:rsidP="00EE52B6">
            <w:pPr>
              <w:pStyle w:val="Tabletexte"/>
              <w:rPr>
                <w:position w:val="2"/>
                <w:lang w:val="ar-SA" w:bidi="ar-EG"/>
              </w:rPr>
            </w:pPr>
            <w:r w:rsidRPr="00CE7166">
              <w:rPr>
                <w:position w:val="2"/>
                <w:rtl/>
              </w:rPr>
              <w:t>المِنح</w:t>
            </w:r>
          </w:p>
        </w:tc>
        <w:tc>
          <w:tcPr>
            <w:tcW w:w="1723" w:type="pct"/>
            <w:shd w:val="clear" w:color="auto" w:fill="FFFFFF" w:themeFill="background1"/>
            <w:vAlign w:val="center"/>
          </w:tcPr>
          <w:p w14:paraId="63F74951"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عدد المنح المقدمة</w:t>
            </w:r>
          </w:p>
        </w:tc>
        <w:tc>
          <w:tcPr>
            <w:tcW w:w="2511" w:type="pct"/>
            <w:vAlign w:val="center"/>
          </w:tcPr>
          <w:p w14:paraId="20C49945" w14:textId="1CC5E17A" w:rsidR="00C06B68" w:rsidRPr="00CE7166" w:rsidRDefault="00C06B68" w:rsidP="00EE52B6">
            <w:pPr>
              <w:pStyle w:val="Tabletexte"/>
              <w:rPr>
                <w:position w:val="2"/>
                <w:lang w:val="ar-SA" w:bidi="ar-EG"/>
              </w:rPr>
            </w:pPr>
            <w:r w:rsidRPr="00CE7166">
              <w:rPr>
                <w:position w:val="2"/>
                <w:rtl/>
              </w:rPr>
              <w:t xml:space="preserve">تماشياً مع القرار 213 (دبي، 2018)، قُدم عدد قياسي من المنح بلغ </w:t>
            </w:r>
            <w:r w:rsidR="000B4077">
              <w:rPr>
                <w:position w:val="2"/>
              </w:rPr>
              <w:t>1 056</w:t>
            </w:r>
            <w:r w:rsidRPr="00CE7166">
              <w:rPr>
                <w:position w:val="2"/>
                <w:rtl/>
              </w:rPr>
              <w:t xml:space="preserve"> منحة في عام 2025. ومن مجموع هذه المنح، مُولت 447 منحة من الميزانية العادية للاتحاد ومنحتها المكاتب الثلاثة، وأما المنح المتبقية البالغ عددها 609 منح، فقُدمت في إطار المشاريع والمساهمات الطوعية.</w:t>
            </w:r>
          </w:p>
        </w:tc>
      </w:tr>
      <w:tr w:rsidR="00C06B68" w:rsidRPr="00C06B68" w14:paraId="5306A18F" w14:textId="77777777" w:rsidTr="00B2786F">
        <w:trPr>
          <w:jc w:val="center"/>
        </w:trPr>
        <w:tc>
          <w:tcPr>
            <w:tcW w:w="207" w:type="pct"/>
            <w:shd w:val="clear" w:color="auto" w:fill="FFFFFF" w:themeFill="background1"/>
            <w:vAlign w:val="center"/>
          </w:tcPr>
          <w:p w14:paraId="677804B2" w14:textId="77777777" w:rsidR="00C06B68" w:rsidRPr="00CE7166" w:rsidRDefault="00C06B68" w:rsidP="001F1441">
            <w:pPr>
              <w:pStyle w:val="Tabletexte"/>
              <w:jc w:val="center"/>
              <w:rPr>
                <w:b/>
                <w:bCs/>
                <w:position w:val="2"/>
                <w:lang w:val="ar-SA" w:bidi="ar-EG"/>
              </w:rPr>
            </w:pPr>
            <w:r w:rsidRPr="00CE7166">
              <w:rPr>
                <w:b/>
                <w:bCs/>
                <w:position w:val="2"/>
                <w:rtl/>
              </w:rPr>
              <w:t>7</w:t>
            </w:r>
          </w:p>
        </w:tc>
        <w:tc>
          <w:tcPr>
            <w:tcW w:w="559" w:type="pct"/>
            <w:shd w:val="clear" w:color="auto" w:fill="FFFFFF" w:themeFill="background1"/>
            <w:vAlign w:val="center"/>
          </w:tcPr>
          <w:p w14:paraId="0259152F" w14:textId="77777777" w:rsidR="00C06B68" w:rsidRPr="00CE7166" w:rsidRDefault="00C06B68" w:rsidP="00EE52B6">
            <w:pPr>
              <w:pStyle w:val="Tabletexte"/>
              <w:rPr>
                <w:position w:val="2"/>
                <w:lang w:val="ar-SA" w:bidi="ar-EG"/>
              </w:rPr>
            </w:pPr>
            <w:r w:rsidRPr="00CE7166">
              <w:rPr>
                <w:position w:val="2"/>
                <w:rtl/>
              </w:rPr>
              <w:t>إدارة الأداء</w:t>
            </w:r>
          </w:p>
        </w:tc>
        <w:tc>
          <w:tcPr>
            <w:tcW w:w="1723" w:type="pct"/>
            <w:shd w:val="clear" w:color="auto" w:fill="FFFFFF" w:themeFill="background1"/>
            <w:vAlign w:val="center"/>
            <w:hideMark/>
          </w:tcPr>
          <w:p w14:paraId="2E8E4A7F"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معدلات الامتثال</w:t>
            </w:r>
          </w:p>
          <w:p w14:paraId="23CCBA3D"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0B4077">
              <w:rPr>
                <w:spacing w:val="-6"/>
                <w:position w:val="2"/>
                <w:rtl/>
                <w:lang w:bidi="ar-EG"/>
              </w:rPr>
              <w:tab/>
              <w:t>عدد الموظفين ذوي الأداء الجيد مقابل عدد الموظفين ذوي الأداء الضعيف</w:t>
            </w:r>
          </w:p>
        </w:tc>
        <w:tc>
          <w:tcPr>
            <w:tcW w:w="2511" w:type="pct"/>
            <w:vAlign w:val="center"/>
          </w:tcPr>
          <w:p w14:paraId="00118750" w14:textId="34A49DA3" w:rsidR="00C06B68" w:rsidRPr="00CE7166" w:rsidRDefault="00C06B68" w:rsidP="00EE52B6">
            <w:pPr>
              <w:pStyle w:val="Tabletexte"/>
              <w:rPr>
                <w:position w:val="2"/>
                <w:lang w:val="ar-SA" w:bidi="ar-EG"/>
              </w:rPr>
            </w:pPr>
            <w:r w:rsidRPr="00CE7166">
              <w:rPr>
                <w:position w:val="2"/>
                <w:rtl/>
              </w:rPr>
              <w:t xml:space="preserve">أكمل </w:t>
            </w:r>
            <w:r w:rsidR="000B4077">
              <w:rPr>
                <w:position w:val="2"/>
              </w:rPr>
              <w:t>%</w:t>
            </w:r>
            <w:r w:rsidRPr="00CE7166">
              <w:rPr>
                <w:position w:val="2"/>
              </w:rPr>
              <w:t>90,1</w:t>
            </w:r>
            <w:r w:rsidRPr="00CE7166">
              <w:rPr>
                <w:position w:val="2"/>
                <w:rtl/>
              </w:rPr>
              <w:t xml:space="preserve"> من موظفي الاتحاد مرحلة وضع خطة عملهم لعام 2025 في نظام </w:t>
            </w:r>
            <w:proofErr w:type="spellStart"/>
            <w:r w:rsidRPr="00CE7166">
              <w:rPr>
                <w:position w:val="2"/>
                <w:lang w:bidi="ar-EG"/>
              </w:rPr>
              <w:t>ePMDS</w:t>
            </w:r>
            <w:proofErr w:type="spellEnd"/>
            <w:r w:rsidRPr="00CE7166">
              <w:rPr>
                <w:position w:val="2"/>
                <w:rtl/>
              </w:rPr>
              <w:t xml:space="preserve">، وأكمل </w:t>
            </w:r>
            <w:r w:rsidR="000B4077">
              <w:rPr>
                <w:position w:val="2"/>
              </w:rPr>
              <w:t>%</w:t>
            </w:r>
            <w:r w:rsidRPr="00CE7166">
              <w:rPr>
                <w:position w:val="2"/>
              </w:rPr>
              <w:t>78,6</w:t>
            </w:r>
            <w:r w:rsidRPr="00CE7166">
              <w:rPr>
                <w:position w:val="2"/>
                <w:rtl/>
              </w:rPr>
              <w:t xml:space="preserve"> منهم مرحلة تقييم نهاية العام الجارية (باستثناء الموظفين في إجازة مرضية طويلة الأجل).</w:t>
            </w:r>
          </w:p>
          <w:p w14:paraId="3B80B0AD" w14:textId="2A403C20" w:rsidR="00C06B68" w:rsidRPr="00CE7166" w:rsidRDefault="00C06B68" w:rsidP="00EE52B6">
            <w:pPr>
              <w:pStyle w:val="Tabletexte"/>
              <w:rPr>
                <w:position w:val="2"/>
                <w:lang w:val="ar-SA" w:bidi="ar-EG"/>
              </w:rPr>
            </w:pPr>
            <w:r w:rsidRPr="00CE7166">
              <w:rPr>
                <w:position w:val="2"/>
                <w:rtl/>
              </w:rPr>
              <w:t>ونُظمت 6 دورات إعلامية بشأن إدارة الأداء من أجل المديرين والموظفين على مستوى الاتحاد ككل.</w:t>
            </w:r>
          </w:p>
        </w:tc>
      </w:tr>
      <w:tr w:rsidR="00C06B68" w:rsidRPr="00C06B68" w14:paraId="7A0FBF7B" w14:textId="77777777" w:rsidTr="00B2786F">
        <w:trPr>
          <w:jc w:val="center"/>
        </w:trPr>
        <w:tc>
          <w:tcPr>
            <w:tcW w:w="207" w:type="pct"/>
            <w:shd w:val="clear" w:color="auto" w:fill="FFFFFF" w:themeFill="background1"/>
            <w:vAlign w:val="center"/>
          </w:tcPr>
          <w:p w14:paraId="4070C1B7" w14:textId="77777777" w:rsidR="00C06B68" w:rsidRPr="00CE7166" w:rsidRDefault="00C06B68" w:rsidP="001F1441">
            <w:pPr>
              <w:pStyle w:val="Tabletexte"/>
              <w:jc w:val="center"/>
              <w:rPr>
                <w:b/>
                <w:bCs/>
                <w:position w:val="2"/>
                <w:lang w:val="ar-SA" w:bidi="ar-EG"/>
              </w:rPr>
            </w:pPr>
            <w:r w:rsidRPr="00CE7166">
              <w:rPr>
                <w:b/>
                <w:bCs/>
                <w:position w:val="2"/>
                <w:rtl/>
              </w:rPr>
              <w:t>8</w:t>
            </w:r>
          </w:p>
        </w:tc>
        <w:tc>
          <w:tcPr>
            <w:tcW w:w="559" w:type="pct"/>
            <w:shd w:val="clear" w:color="auto" w:fill="FFFFFF" w:themeFill="background1"/>
            <w:vAlign w:val="center"/>
          </w:tcPr>
          <w:p w14:paraId="40C4705B" w14:textId="77777777" w:rsidR="00C06B68" w:rsidRPr="00CE7166" w:rsidRDefault="00C06B68" w:rsidP="00EE52B6">
            <w:pPr>
              <w:pStyle w:val="Tabletexte"/>
              <w:rPr>
                <w:position w:val="2"/>
                <w:lang w:val="ar-SA" w:bidi="ar-EG"/>
              </w:rPr>
            </w:pPr>
            <w:r w:rsidRPr="00CE7166">
              <w:rPr>
                <w:position w:val="2"/>
                <w:rtl/>
              </w:rPr>
              <w:t>إدارة الأداء</w:t>
            </w:r>
          </w:p>
        </w:tc>
        <w:tc>
          <w:tcPr>
            <w:tcW w:w="1723" w:type="pct"/>
            <w:shd w:val="clear" w:color="auto" w:fill="FFFFFF" w:themeFill="background1"/>
            <w:vAlign w:val="center"/>
          </w:tcPr>
          <w:p w14:paraId="4B173BF5"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تحسين كفاءة النظام </w:t>
            </w:r>
            <w:proofErr w:type="spellStart"/>
            <w:r w:rsidRPr="00CE7166">
              <w:rPr>
                <w:position w:val="2"/>
                <w:lang w:bidi="ar-EG"/>
              </w:rPr>
              <w:t>ePMDS</w:t>
            </w:r>
            <w:proofErr w:type="spellEnd"/>
          </w:p>
        </w:tc>
        <w:tc>
          <w:tcPr>
            <w:tcW w:w="2511" w:type="pct"/>
            <w:vAlign w:val="center"/>
          </w:tcPr>
          <w:p w14:paraId="55640B3B" w14:textId="77777777" w:rsidR="00C06B68" w:rsidRPr="00B2786F" w:rsidRDefault="00C06B68" w:rsidP="00EE52B6">
            <w:pPr>
              <w:pStyle w:val="Tabletexte"/>
              <w:rPr>
                <w:spacing w:val="-4"/>
                <w:position w:val="2"/>
                <w:lang w:val="ar-SA" w:bidi="ar-EG"/>
              </w:rPr>
            </w:pPr>
            <w:r w:rsidRPr="00B2786F">
              <w:rPr>
                <w:spacing w:val="-4"/>
                <w:position w:val="2"/>
                <w:rtl/>
              </w:rPr>
              <w:t xml:space="preserve">قُلص الوقت الذي يقضيه المشرفون في عمليات تقييم الأداء بنسبة </w:t>
            </w:r>
            <w:r w:rsidRPr="00B2786F">
              <w:rPr>
                <w:spacing w:val="-4"/>
                <w:position w:val="2"/>
              </w:rPr>
              <w:t>%50</w:t>
            </w:r>
            <w:r w:rsidRPr="00B2786F">
              <w:rPr>
                <w:spacing w:val="-4"/>
                <w:position w:val="2"/>
                <w:rtl/>
              </w:rPr>
              <w:t xml:space="preserve"> على الأقل من خلال الأداة المبسطة.</w:t>
            </w:r>
          </w:p>
        </w:tc>
      </w:tr>
      <w:tr w:rsidR="00C06B68" w:rsidRPr="00C06B68" w14:paraId="654CEC05" w14:textId="77777777" w:rsidTr="00B2786F">
        <w:trPr>
          <w:jc w:val="center"/>
        </w:trPr>
        <w:tc>
          <w:tcPr>
            <w:tcW w:w="207" w:type="pct"/>
            <w:shd w:val="clear" w:color="auto" w:fill="FFFFFF" w:themeFill="background1"/>
            <w:vAlign w:val="center"/>
          </w:tcPr>
          <w:p w14:paraId="4931C4D9" w14:textId="77777777" w:rsidR="00C06B68" w:rsidRPr="00CE7166" w:rsidRDefault="00C06B68" w:rsidP="001F1441">
            <w:pPr>
              <w:pStyle w:val="Tabletexte"/>
              <w:jc w:val="center"/>
              <w:rPr>
                <w:b/>
                <w:bCs/>
                <w:position w:val="2"/>
                <w:lang w:val="ar-SA" w:bidi="ar-EG"/>
              </w:rPr>
            </w:pPr>
            <w:r w:rsidRPr="00CE7166">
              <w:rPr>
                <w:b/>
                <w:bCs/>
                <w:position w:val="2"/>
                <w:rtl/>
              </w:rPr>
              <w:lastRenderedPageBreak/>
              <w:t>9</w:t>
            </w:r>
          </w:p>
        </w:tc>
        <w:tc>
          <w:tcPr>
            <w:tcW w:w="559" w:type="pct"/>
            <w:shd w:val="clear" w:color="auto" w:fill="FFFFFF" w:themeFill="background1"/>
            <w:vAlign w:val="center"/>
          </w:tcPr>
          <w:p w14:paraId="155999B8" w14:textId="77777777" w:rsidR="00C06B68" w:rsidRPr="00CE7166" w:rsidRDefault="00C06B68" w:rsidP="00EE52B6">
            <w:pPr>
              <w:pStyle w:val="Tabletexte"/>
              <w:rPr>
                <w:position w:val="2"/>
                <w:lang w:val="ar-SA" w:bidi="ar-EG"/>
              </w:rPr>
            </w:pPr>
            <w:r w:rsidRPr="00CE7166">
              <w:rPr>
                <w:position w:val="2"/>
                <w:rtl/>
              </w:rPr>
              <w:t>إدارة الأداء</w:t>
            </w:r>
          </w:p>
        </w:tc>
        <w:tc>
          <w:tcPr>
            <w:tcW w:w="1723" w:type="pct"/>
            <w:shd w:val="clear" w:color="auto" w:fill="FFFFFF" w:themeFill="background1"/>
            <w:vAlign w:val="center"/>
          </w:tcPr>
          <w:p w14:paraId="296AD600"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النسبة المئوية لانخفاض عدد الاستعلامات المتعلقة بالأداء</w:t>
            </w:r>
          </w:p>
        </w:tc>
        <w:tc>
          <w:tcPr>
            <w:tcW w:w="2511" w:type="pct"/>
            <w:vAlign w:val="center"/>
          </w:tcPr>
          <w:p w14:paraId="02A093A6" w14:textId="77777777" w:rsidR="00C06B68" w:rsidRPr="00CE7166" w:rsidRDefault="00C06B68" w:rsidP="00EE52B6">
            <w:pPr>
              <w:pStyle w:val="Tabletexte"/>
              <w:rPr>
                <w:position w:val="2"/>
                <w:lang w:val="ar-SA" w:bidi="ar-EG"/>
              </w:rPr>
            </w:pPr>
            <w:r w:rsidRPr="00CE7166">
              <w:rPr>
                <w:position w:val="2"/>
                <w:rtl/>
              </w:rPr>
              <w:t xml:space="preserve">انخفض عدد الاستفسارات ذات الصلة بالنظام عن تقييمات نهاية العام بنسبة </w:t>
            </w:r>
            <w:r w:rsidRPr="00CE7166">
              <w:rPr>
                <w:position w:val="2"/>
              </w:rPr>
              <w:t>%26</w:t>
            </w:r>
            <w:r w:rsidRPr="00CE7166">
              <w:rPr>
                <w:position w:val="2"/>
                <w:rtl/>
              </w:rPr>
              <w:t xml:space="preserve"> مقارنةً بالعام السابق.</w:t>
            </w:r>
          </w:p>
        </w:tc>
      </w:tr>
      <w:tr w:rsidR="00C06B68" w:rsidRPr="00C06B68" w14:paraId="278DB1D8" w14:textId="77777777" w:rsidTr="00B2786F">
        <w:trPr>
          <w:jc w:val="center"/>
        </w:trPr>
        <w:tc>
          <w:tcPr>
            <w:tcW w:w="207" w:type="pct"/>
            <w:shd w:val="clear" w:color="auto" w:fill="FFFFFF" w:themeFill="background1"/>
            <w:vAlign w:val="center"/>
          </w:tcPr>
          <w:p w14:paraId="530755CF" w14:textId="77777777" w:rsidR="00C06B68" w:rsidRPr="00CE7166" w:rsidRDefault="00C06B68" w:rsidP="001F1441">
            <w:pPr>
              <w:pStyle w:val="Tabletexte"/>
              <w:jc w:val="center"/>
              <w:rPr>
                <w:b/>
                <w:bCs/>
                <w:position w:val="2"/>
                <w:lang w:val="ar-SA" w:bidi="ar-EG"/>
              </w:rPr>
            </w:pPr>
            <w:r w:rsidRPr="00CE7166">
              <w:rPr>
                <w:b/>
                <w:bCs/>
                <w:position w:val="2"/>
                <w:rtl/>
              </w:rPr>
              <w:t>10</w:t>
            </w:r>
          </w:p>
        </w:tc>
        <w:tc>
          <w:tcPr>
            <w:tcW w:w="559" w:type="pct"/>
            <w:shd w:val="clear" w:color="auto" w:fill="FFFFFF" w:themeFill="background1"/>
            <w:vAlign w:val="center"/>
          </w:tcPr>
          <w:p w14:paraId="5B73B672" w14:textId="77777777" w:rsidR="00C06B68" w:rsidRPr="00CE7166" w:rsidRDefault="00C06B68" w:rsidP="00EE52B6">
            <w:pPr>
              <w:pStyle w:val="Tabletexte"/>
              <w:rPr>
                <w:position w:val="2"/>
                <w:lang w:val="ar-SA" w:bidi="ar-EG"/>
              </w:rPr>
            </w:pPr>
            <w:r w:rsidRPr="00CE7166">
              <w:rPr>
                <w:position w:val="2"/>
                <w:rtl/>
              </w:rPr>
              <w:t>التعلم والتطوير</w:t>
            </w:r>
          </w:p>
        </w:tc>
        <w:tc>
          <w:tcPr>
            <w:tcW w:w="1723" w:type="pct"/>
            <w:shd w:val="clear" w:color="auto" w:fill="FFFFFF" w:themeFill="background1"/>
            <w:vAlign w:val="center"/>
          </w:tcPr>
          <w:p w14:paraId="012B21DD" w14:textId="68B5B6F3" w:rsidR="00C06B68" w:rsidRPr="00CE7166" w:rsidRDefault="00C06B68" w:rsidP="00CE7166">
            <w:pPr>
              <w:pStyle w:val="Tabletexte"/>
              <w:tabs>
                <w:tab w:val="clear" w:pos="794"/>
              </w:tabs>
              <w:ind w:left="217" w:hanging="217"/>
              <w:rPr>
                <w:position w:val="2"/>
                <w:lang w:val="ar-SA" w:bidi="ar-EG"/>
              </w:rPr>
            </w:pPr>
            <w:r w:rsidRPr="00CE7166">
              <w:rPr>
                <w:position w:val="2"/>
                <w:lang w:bidi="ar-EG"/>
              </w:rPr>
              <w:t>–</w:t>
            </w:r>
            <w:r w:rsidRPr="00CE7166">
              <w:rPr>
                <w:position w:val="2"/>
                <w:rtl/>
              </w:rPr>
              <w:tab/>
              <w:t>الاستثمار في التدريب كنسبة مئوية من تكلفة الموظفين (الهدف</w:t>
            </w:r>
            <w:r w:rsidR="000B4077">
              <w:rPr>
                <w:position w:val="2"/>
              </w:rPr>
              <w:t> </w:t>
            </w:r>
            <w:r w:rsidRPr="00CE7166">
              <w:rPr>
                <w:position w:val="2"/>
                <w:rtl/>
              </w:rPr>
              <w:t xml:space="preserve">= </w:t>
            </w:r>
            <w:r w:rsidRPr="00CE7166">
              <w:rPr>
                <w:position w:val="2"/>
              </w:rPr>
              <w:t>%3</w:t>
            </w:r>
            <w:r w:rsidRPr="00CE7166">
              <w:rPr>
                <w:position w:val="2"/>
                <w:rtl/>
              </w:rPr>
              <w:t>)</w:t>
            </w:r>
          </w:p>
        </w:tc>
        <w:tc>
          <w:tcPr>
            <w:tcW w:w="2511" w:type="pct"/>
            <w:vAlign w:val="center"/>
          </w:tcPr>
          <w:p w14:paraId="6EBEC4B8" w14:textId="74AE63D8" w:rsidR="00C06B68" w:rsidRPr="00CE7166" w:rsidRDefault="00C06B68" w:rsidP="00EE52B6">
            <w:pPr>
              <w:pStyle w:val="Tabletexte"/>
              <w:rPr>
                <w:position w:val="2"/>
                <w:lang w:val="ar-SA" w:bidi="ar-EG"/>
              </w:rPr>
            </w:pPr>
            <w:r w:rsidRPr="00CE7166">
              <w:rPr>
                <w:position w:val="2"/>
                <w:rtl/>
              </w:rPr>
              <w:t xml:space="preserve">يمثل الاستثمار في التدريب نسبة </w:t>
            </w:r>
            <w:r w:rsidR="000B4077">
              <w:rPr>
                <w:position w:val="2"/>
              </w:rPr>
              <w:t>%</w:t>
            </w:r>
            <w:r w:rsidRPr="00CE7166">
              <w:rPr>
                <w:position w:val="2"/>
              </w:rPr>
              <w:t>0,3</w:t>
            </w:r>
            <w:r w:rsidRPr="00CE7166">
              <w:rPr>
                <w:position w:val="2"/>
                <w:rtl/>
              </w:rPr>
              <w:t xml:space="preserve"> من تكلفة الموظفين. ويجدر بالذكر أن الاتحاد يمكِّن الاستفادة من التدريب الذي يقدمه موظفوه ومن الموارد التي يتيحها مجاناً. ويستفيد الاتحاد من موارد التعلم ذاتي الوتيرة التي تتاح من خلال اتفاقات الترخيص المبرمة مع منصات من قبيل </w:t>
            </w:r>
            <w:r w:rsidRPr="00CE7166">
              <w:rPr>
                <w:position w:val="2"/>
              </w:rPr>
              <w:t>LinkedIn Learning</w:t>
            </w:r>
            <w:r w:rsidRPr="00CE7166">
              <w:rPr>
                <w:position w:val="2"/>
                <w:rtl/>
              </w:rPr>
              <w:t>، التي تتيح النفاذ إلى محتوى عالي الجودة على نحو قابل للتوسيع وفعال من حيث التكلفة. ويستفيد الاتحاد أيضاً من الخبرات الداخلية ومن التعاون داخل منظومة الأمم المتحدة لتعزيز تبادل المعارف وزيادة الكفاءة عبر منظومة الأمم المتحدة.</w:t>
            </w:r>
          </w:p>
        </w:tc>
      </w:tr>
      <w:tr w:rsidR="00C06B68" w:rsidRPr="00C06B68" w14:paraId="3A337909" w14:textId="77777777" w:rsidTr="00B2786F">
        <w:trPr>
          <w:jc w:val="center"/>
        </w:trPr>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C792C" w14:textId="77777777" w:rsidR="00C06B68" w:rsidRPr="00CE7166" w:rsidRDefault="00C06B68" w:rsidP="001F1441">
            <w:pPr>
              <w:pStyle w:val="Tabletexte"/>
              <w:jc w:val="center"/>
              <w:rPr>
                <w:b/>
                <w:bCs/>
                <w:position w:val="2"/>
                <w:lang w:val="ar-SA" w:bidi="ar-EG"/>
              </w:rPr>
            </w:pPr>
            <w:r w:rsidRPr="00CE7166">
              <w:rPr>
                <w:b/>
                <w:bCs/>
                <w:position w:val="2"/>
                <w:rtl/>
              </w:rPr>
              <w:t>11</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14E52" w14:textId="77777777" w:rsidR="00C06B68" w:rsidRPr="00CE7166" w:rsidRDefault="00C06B68" w:rsidP="00EE52B6">
            <w:pPr>
              <w:pStyle w:val="Tabletexte"/>
              <w:rPr>
                <w:position w:val="2"/>
                <w:lang w:val="ar-SA" w:bidi="ar-EG"/>
              </w:rPr>
            </w:pPr>
            <w:r w:rsidRPr="00CE7166">
              <w:rPr>
                <w:position w:val="2"/>
                <w:rtl/>
              </w:rPr>
              <w:t>التعلم والتطوير</w:t>
            </w:r>
          </w:p>
        </w:tc>
        <w:tc>
          <w:tcPr>
            <w:tcW w:w="17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6889E"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عدد برامج تنمية المهارات القيادية المقدمة</w:t>
            </w:r>
          </w:p>
          <w:p w14:paraId="25C3E44D" w14:textId="77777777" w:rsidR="00C06B68" w:rsidRPr="00CE7166" w:rsidRDefault="00C06B68" w:rsidP="00CE7166">
            <w:pPr>
              <w:pStyle w:val="Tabletexte"/>
              <w:tabs>
                <w:tab w:val="clear" w:pos="794"/>
              </w:tabs>
              <w:ind w:left="217" w:hanging="217"/>
              <w:rPr>
                <w:position w:val="2"/>
                <w:lang w:val="ar-SA" w:bidi="ar-EG"/>
              </w:rPr>
            </w:pPr>
            <w:r w:rsidRPr="00CE7166">
              <w:rPr>
                <w:position w:val="2"/>
                <w:lang w:bidi="ar-EG"/>
              </w:rPr>
              <w:t>–</w:t>
            </w:r>
            <w:r w:rsidRPr="00CE7166">
              <w:rPr>
                <w:position w:val="2"/>
                <w:rtl/>
                <w:lang w:bidi="ar-EG"/>
              </w:rPr>
              <w:tab/>
              <w:t>عدد المشاركين</w:t>
            </w:r>
            <w:r w:rsidRPr="00CE7166">
              <w:rPr>
                <w:position w:val="2"/>
                <w:rtl/>
              </w:rPr>
              <w:t xml:space="preserve"> في برنامج تنمية المهارات القيادية</w:t>
            </w:r>
          </w:p>
        </w:tc>
        <w:tc>
          <w:tcPr>
            <w:tcW w:w="2511" w:type="pct"/>
            <w:tcBorders>
              <w:top w:val="single" w:sz="4" w:space="0" w:color="auto"/>
              <w:left w:val="single" w:sz="4" w:space="0" w:color="auto"/>
              <w:bottom w:val="single" w:sz="4" w:space="0" w:color="auto"/>
              <w:right w:val="single" w:sz="4" w:space="0" w:color="auto"/>
            </w:tcBorders>
            <w:vAlign w:val="center"/>
          </w:tcPr>
          <w:p w14:paraId="671A1BB6" w14:textId="77777777" w:rsidR="00C06B68" w:rsidRPr="00CE7166" w:rsidRDefault="00C06B68" w:rsidP="00EE52B6">
            <w:pPr>
              <w:pStyle w:val="Tabletexte"/>
              <w:rPr>
                <w:position w:val="2"/>
                <w:lang w:val="ar-SA" w:bidi="ar-EG"/>
              </w:rPr>
            </w:pPr>
            <w:r w:rsidRPr="00CE7166">
              <w:rPr>
                <w:position w:val="2"/>
                <w:rtl/>
              </w:rPr>
              <w:t>برنامج شامل لتنمية المهارات القيادية يشمل العديد من مبادرات القيادة على النحو التالي:</w:t>
            </w:r>
          </w:p>
          <w:p w14:paraId="6FA608BB" w14:textId="77777777" w:rsidR="00C06B68" w:rsidRPr="00CE7166" w:rsidRDefault="00C06B68" w:rsidP="000B4077">
            <w:pPr>
              <w:pStyle w:val="Tabletexte"/>
              <w:tabs>
                <w:tab w:val="clear" w:pos="794"/>
              </w:tabs>
              <w:ind w:left="341" w:hanging="341"/>
              <w:rPr>
                <w:position w:val="2"/>
                <w:lang w:val="ar-SA" w:bidi="ar-EG"/>
              </w:rPr>
            </w:pPr>
            <w:r w:rsidRPr="00CE7166">
              <w:rPr>
                <w:position w:val="2"/>
                <w:rtl/>
              </w:rPr>
              <w:t>1</w:t>
            </w:r>
            <w:r w:rsidRPr="00CE7166">
              <w:rPr>
                <w:position w:val="2"/>
                <w:rtl/>
              </w:rPr>
              <w:tab/>
              <w:t>برنامج القيادة الشاملة (يتكون من ثلاث وحدات: إدارة التحيز والاعتداءات الدقيقة؛ تعزيز السلامة النفسية: بيئة مفتوحة وشاملة؛ النهوض بالتكافؤ بين الجنسين والتكافؤ العرقي والشمول) موجه للموظفين برتبة P5 وما فوقها.</w:t>
            </w:r>
          </w:p>
          <w:p w14:paraId="4FA9D230" w14:textId="77777777" w:rsidR="00C06B68" w:rsidRPr="00CE7166" w:rsidRDefault="00C06B68" w:rsidP="000B4077">
            <w:pPr>
              <w:pStyle w:val="Tabletexte"/>
              <w:tabs>
                <w:tab w:val="clear" w:pos="794"/>
              </w:tabs>
              <w:ind w:left="341" w:hanging="341"/>
              <w:rPr>
                <w:position w:val="2"/>
                <w:lang w:val="ar-SA" w:bidi="ar-EG"/>
              </w:rPr>
            </w:pPr>
            <w:r w:rsidRPr="00CE7166">
              <w:rPr>
                <w:position w:val="2"/>
                <w:rtl/>
              </w:rPr>
              <w:t>2</w:t>
            </w:r>
            <w:r w:rsidRPr="00CE7166">
              <w:rPr>
                <w:position w:val="2"/>
                <w:rtl/>
              </w:rPr>
              <w:tab/>
              <w:t>برنامج القيادة التكيفية، الذي يتضمن المكونات التالية:</w:t>
            </w:r>
          </w:p>
          <w:p w14:paraId="40F156C6"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ورشة عمل بشأن القيادة التكيفية موجهة لفريق الإدارة العليا</w:t>
            </w:r>
          </w:p>
          <w:p w14:paraId="059AD3E2" w14:textId="452F895E"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 عمل بشأن القيادة التكيفية وجلسات استشارية بين النظراء موجهة لمجموعة صانعي التغيير في الاتحاد</w:t>
            </w:r>
          </w:p>
          <w:p w14:paraId="1FBF326F"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ورشة عمل بشأن القيادة التكيفية موجهة للموظفين برتبة P5 وما فوقها</w:t>
            </w:r>
          </w:p>
          <w:p w14:paraId="04FEA20C"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ورشة عمل بشأن القيادة التكيفية موجهة للموظفين برتبة P4</w:t>
            </w:r>
          </w:p>
          <w:p w14:paraId="379B520B"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ورشة عمل بشأن القيادة التكيفية المتقدمة موجهة للمسؤولين المنتخَبين</w:t>
            </w:r>
          </w:p>
          <w:p w14:paraId="5CA745DD" w14:textId="77777777" w:rsidR="00C06B68" w:rsidRPr="00B2786F" w:rsidRDefault="00C06B68" w:rsidP="00CE7166">
            <w:pPr>
              <w:pStyle w:val="Tabletexte"/>
              <w:tabs>
                <w:tab w:val="clear" w:pos="794"/>
              </w:tabs>
              <w:ind w:left="217" w:hanging="217"/>
              <w:rPr>
                <w:spacing w:val="-5"/>
                <w:position w:val="2"/>
                <w:lang w:val="ar-SA" w:bidi="ar-EG"/>
              </w:rPr>
            </w:pPr>
            <w:r w:rsidRPr="00B2786F">
              <w:rPr>
                <w:spacing w:val="-5"/>
                <w:position w:val="2"/>
                <w:lang w:bidi="ar-EG"/>
              </w:rPr>
              <w:t>–</w:t>
            </w:r>
            <w:r w:rsidRPr="00B2786F">
              <w:rPr>
                <w:spacing w:val="-5"/>
                <w:position w:val="2"/>
                <w:rtl/>
                <w:lang w:bidi="ar-EG"/>
              </w:rPr>
              <w:tab/>
              <w:t>ورشة</w:t>
            </w:r>
            <w:r w:rsidRPr="00B2786F">
              <w:rPr>
                <w:spacing w:val="-5"/>
                <w:position w:val="2"/>
                <w:rtl/>
              </w:rPr>
              <w:t xml:space="preserve"> عمل بشأن القيادة التكيفية المتقدمة موجهة للموظفين برتبة P4 وما فوقها ولصانعي التغيير في الاتحاد</w:t>
            </w:r>
          </w:p>
          <w:p w14:paraId="18300F45" w14:textId="77777777" w:rsidR="00C06B68" w:rsidRPr="00CE7166" w:rsidRDefault="00C06B68" w:rsidP="000B4077">
            <w:pPr>
              <w:pStyle w:val="Tabletexte"/>
              <w:tabs>
                <w:tab w:val="clear" w:pos="794"/>
              </w:tabs>
              <w:ind w:left="341" w:hanging="341"/>
              <w:rPr>
                <w:position w:val="2"/>
                <w:lang w:val="ar-SA" w:bidi="ar-EG"/>
              </w:rPr>
            </w:pPr>
            <w:r w:rsidRPr="00CE7166">
              <w:rPr>
                <w:position w:val="2"/>
                <w:rtl/>
              </w:rPr>
              <w:t>3</w:t>
            </w:r>
            <w:r w:rsidRPr="00CE7166">
              <w:rPr>
                <w:position w:val="2"/>
                <w:rtl/>
              </w:rPr>
              <w:tab/>
              <w:t>مشاركات استشارية شهرية وحلقات دراسية إلكترونية للمتابعة تهدف إلى تعميق فهم القيادة التكيفية وتعزيز تطبيقها العملي.</w:t>
            </w:r>
          </w:p>
          <w:p w14:paraId="06C697B2" w14:textId="77777777" w:rsidR="00C06B68" w:rsidRPr="00CE7166" w:rsidRDefault="00C06B68" w:rsidP="00EE52B6">
            <w:pPr>
              <w:pStyle w:val="Tabletexte"/>
              <w:rPr>
                <w:position w:val="2"/>
                <w:lang w:val="ar-SA" w:bidi="ar-EG"/>
              </w:rPr>
            </w:pPr>
            <w:r w:rsidRPr="00CE7166">
              <w:rPr>
                <w:position w:val="2"/>
                <w:rtl/>
              </w:rPr>
              <w:t>عدد المشاركين في برنامج تنمية المهارات القيادية:</w:t>
            </w:r>
          </w:p>
          <w:p w14:paraId="0BB64209"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 xml:space="preserve">برنامج القيادة الشاملة: أكمل </w:t>
            </w:r>
            <w:r w:rsidRPr="00CE7166">
              <w:rPr>
                <w:position w:val="2"/>
                <w:lang w:bidi="ar-EG"/>
              </w:rPr>
              <w:t>%50</w:t>
            </w:r>
            <w:r w:rsidRPr="00CE7166">
              <w:rPr>
                <w:position w:val="2"/>
                <w:rtl/>
                <w:lang w:bidi="ar-EG"/>
              </w:rPr>
              <w:t xml:space="preserve"> من الموظفين برتبة P5 وما فوقها في الاتحاد جميع الدورات الثلاث</w:t>
            </w:r>
          </w:p>
          <w:p w14:paraId="6A1019DA"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 العمل بشأن القيادة التكيفية الموجهة لصناع التغيير في الاتحاد</w:t>
            </w:r>
            <w:r w:rsidRPr="00CE7166">
              <w:rPr>
                <w:position w:val="2"/>
                <w:lang w:bidi="ar-EG"/>
              </w:rPr>
              <w:t>:</w:t>
            </w:r>
            <w:r w:rsidRPr="00CE7166">
              <w:rPr>
                <w:position w:val="2"/>
                <w:rtl/>
                <w:lang w:bidi="ar-EG"/>
              </w:rPr>
              <w:t xml:space="preserve"> 29 مشاركاً</w:t>
            </w:r>
          </w:p>
          <w:p w14:paraId="06BC9E16"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ورشة العمل بشأن القيادة التكيفية الموجهة للموظفين برتبة P5 وما فوقها</w:t>
            </w:r>
            <w:r w:rsidRPr="00CE7166">
              <w:rPr>
                <w:position w:val="2"/>
                <w:lang w:bidi="ar-EG"/>
              </w:rPr>
              <w:t>:</w:t>
            </w:r>
            <w:r w:rsidRPr="00CE7166">
              <w:rPr>
                <w:position w:val="2"/>
                <w:rtl/>
                <w:lang w:bidi="ar-EG"/>
              </w:rPr>
              <w:t xml:space="preserve"> 58 مشاركاً</w:t>
            </w:r>
          </w:p>
          <w:p w14:paraId="0D0955F6" w14:textId="77777777" w:rsidR="00C06B68" w:rsidRPr="00CE7166" w:rsidRDefault="00C06B68" w:rsidP="00CE7166">
            <w:pPr>
              <w:pStyle w:val="Tabletexte"/>
              <w:tabs>
                <w:tab w:val="clear" w:pos="794"/>
              </w:tabs>
              <w:ind w:left="217" w:hanging="217"/>
              <w:rPr>
                <w:position w:val="2"/>
                <w:lang w:val="ar-SA" w:bidi="ar-EG"/>
              </w:rPr>
            </w:pPr>
            <w:r w:rsidRPr="00CE7166">
              <w:rPr>
                <w:position w:val="2"/>
                <w:lang w:bidi="ar-EG"/>
              </w:rPr>
              <w:t>–</w:t>
            </w:r>
            <w:r w:rsidRPr="00CE7166">
              <w:rPr>
                <w:position w:val="2"/>
                <w:rtl/>
                <w:lang w:bidi="ar-EG"/>
              </w:rPr>
              <w:tab/>
              <w:t>ورشة</w:t>
            </w:r>
            <w:r w:rsidRPr="00CE7166">
              <w:rPr>
                <w:position w:val="2"/>
                <w:rtl/>
              </w:rPr>
              <w:t xml:space="preserve"> العمل بشأن القيادة التكيفية المتقدمة الموجهة للموظفين برتبة P4 وما فوقها ولصانعي التغيير في الاتحاد</w:t>
            </w:r>
            <w:r w:rsidRPr="00CE7166">
              <w:rPr>
                <w:position w:val="2"/>
                <w:lang w:bidi="ar-EG"/>
              </w:rPr>
              <w:t>:</w:t>
            </w:r>
            <w:r w:rsidRPr="00CE7166">
              <w:rPr>
                <w:position w:val="2"/>
                <w:rtl/>
              </w:rPr>
              <w:t xml:space="preserve"> 36 مشاركاً</w:t>
            </w:r>
          </w:p>
        </w:tc>
      </w:tr>
      <w:tr w:rsidR="00C06B68" w:rsidRPr="00C06B68" w14:paraId="516F1AC1" w14:textId="77777777" w:rsidTr="00B2786F">
        <w:trPr>
          <w:jc w:val="center"/>
        </w:trPr>
        <w:tc>
          <w:tcPr>
            <w:tcW w:w="207" w:type="pct"/>
            <w:vMerge w:val="restart"/>
            <w:shd w:val="clear" w:color="auto" w:fill="FFFFFF" w:themeFill="background1"/>
            <w:vAlign w:val="center"/>
          </w:tcPr>
          <w:p w14:paraId="63B730B9" w14:textId="77777777" w:rsidR="00C06B68" w:rsidRPr="00CE7166" w:rsidRDefault="00C06B68" w:rsidP="001F1441">
            <w:pPr>
              <w:pStyle w:val="Tabletexte"/>
              <w:jc w:val="center"/>
              <w:rPr>
                <w:b/>
                <w:bCs/>
                <w:position w:val="2"/>
                <w:lang w:val="ar-SA" w:bidi="ar-EG"/>
              </w:rPr>
            </w:pPr>
            <w:r w:rsidRPr="00CE7166">
              <w:rPr>
                <w:b/>
                <w:bCs/>
                <w:position w:val="2"/>
                <w:rtl/>
              </w:rPr>
              <w:lastRenderedPageBreak/>
              <w:t>12</w:t>
            </w:r>
          </w:p>
        </w:tc>
        <w:tc>
          <w:tcPr>
            <w:tcW w:w="559" w:type="pct"/>
            <w:vMerge w:val="restart"/>
            <w:shd w:val="clear" w:color="auto" w:fill="FFFFFF" w:themeFill="background1"/>
            <w:vAlign w:val="center"/>
          </w:tcPr>
          <w:p w14:paraId="05D51CFA" w14:textId="77777777" w:rsidR="00C06B68" w:rsidRPr="00CE7166" w:rsidRDefault="00C06B68" w:rsidP="00EE52B6">
            <w:pPr>
              <w:pStyle w:val="Tabletexte"/>
              <w:rPr>
                <w:position w:val="2"/>
                <w:lang w:val="ar-SA" w:bidi="ar-EG"/>
              </w:rPr>
            </w:pPr>
            <w:r w:rsidRPr="00CE7166">
              <w:rPr>
                <w:position w:val="2"/>
                <w:rtl/>
              </w:rPr>
              <w:t>التعلم والتطوير</w:t>
            </w:r>
          </w:p>
        </w:tc>
        <w:tc>
          <w:tcPr>
            <w:tcW w:w="1723" w:type="pct"/>
            <w:shd w:val="clear" w:color="auto" w:fill="FFFFFF" w:themeFill="background1"/>
            <w:vAlign w:val="center"/>
            <w:hideMark/>
          </w:tcPr>
          <w:p w14:paraId="5BC54848"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معدل إكمال الدورات التدريبية الإلزامية، بالنسبة المئوية</w:t>
            </w:r>
          </w:p>
        </w:tc>
        <w:tc>
          <w:tcPr>
            <w:tcW w:w="2511" w:type="pct"/>
            <w:vAlign w:val="center"/>
          </w:tcPr>
          <w:p w14:paraId="3A72EB77" w14:textId="77777777" w:rsidR="00C06B68" w:rsidRPr="00CE7166" w:rsidRDefault="00C06B68" w:rsidP="00CE7166">
            <w:pPr>
              <w:pStyle w:val="Tabletexte"/>
              <w:keepNext/>
              <w:keepLines/>
              <w:rPr>
                <w:position w:val="2"/>
                <w:lang w:val="ar-SA" w:bidi="ar-EG"/>
              </w:rPr>
            </w:pPr>
            <w:r w:rsidRPr="00CE7166">
              <w:rPr>
                <w:position w:val="2"/>
                <w:rtl/>
              </w:rPr>
              <w:t>معدل إكمال كل دورة تدريبية إلزامية:</w:t>
            </w:r>
          </w:p>
          <w:p w14:paraId="65C010FD"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rPr>
              <w:tab/>
            </w:r>
            <w:r w:rsidRPr="00CE7166">
              <w:rPr>
                <w:position w:val="2"/>
                <w:rtl/>
                <w:lang w:bidi="ar-EG"/>
              </w:rPr>
              <w:t xml:space="preserve">دورة أساسيات التوعية بالأمن السيبراني: </w:t>
            </w:r>
            <w:r w:rsidRPr="00CE7166">
              <w:rPr>
                <w:position w:val="2"/>
                <w:lang w:bidi="ar-EG"/>
              </w:rPr>
              <w:t>%74,8</w:t>
            </w:r>
          </w:p>
          <w:p w14:paraId="1458B52C" w14:textId="6EA45F0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r>
            <w:proofErr w:type="spellStart"/>
            <w:r w:rsidRPr="00CE7166">
              <w:rPr>
                <w:position w:val="2"/>
                <w:lang w:bidi="ar-EG"/>
              </w:rPr>
              <w:t>BSAFE</w:t>
            </w:r>
            <w:proofErr w:type="spellEnd"/>
            <w:r w:rsidR="002C2E31">
              <w:rPr>
                <w:rFonts w:hint="cs"/>
                <w:position w:val="2"/>
                <w:rtl/>
                <w:lang w:bidi="ar-EG"/>
              </w:rPr>
              <w:t xml:space="preserve"> </w:t>
            </w:r>
            <w:r w:rsidRPr="00CE7166">
              <w:rPr>
                <w:position w:val="2"/>
                <w:rtl/>
                <w:lang w:bidi="ar-EG"/>
              </w:rPr>
              <w:t xml:space="preserve">(دورة تدريبية بشأن التوعية بالأمن): </w:t>
            </w:r>
            <w:r w:rsidRPr="00CE7166">
              <w:rPr>
                <w:position w:val="2"/>
                <w:lang w:bidi="ar-EG"/>
              </w:rPr>
              <w:t>%74,2</w:t>
            </w:r>
          </w:p>
          <w:p w14:paraId="2A2B04BF" w14:textId="757A2FF3"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أنا على دراية بالمساواة بين الجنسين </w:t>
            </w:r>
            <w:r w:rsidRPr="00CE7166">
              <w:rPr>
                <w:position w:val="2"/>
                <w:lang w:bidi="ar-EG"/>
              </w:rPr>
              <w:t>(I Know Gender)</w:t>
            </w:r>
            <w:r w:rsidR="00CE7166" w:rsidRPr="00CE7166">
              <w:rPr>
                <w:rFonts w:hint="cs"/>
                <w:position w:val="2"/>
                <w:rtl/>
                <w:lang w:bidi="ar-EG"/>
              </w:rPr>
              <w:t xml:space="preserve"> - </w:t>
            </w:r>
            <w:r w:rsidRPr="00CE7166">
              <w:rPr>
                <w:position w:val="2"/>
                <w:rtl/>
                <w:lang w:bidi="ar-EG"/>
              </w:rPr>
              <w:t xml:space="preserve">الوحدات 1-2-3: </w:t>
            </w:r>
            <w:r w:rsidRPr="00CE7166">
              <w:rPr>
                <w:position w:val="2"/>
                <w:lang w:bidi="ar-EG"/>
              </w:rPr>
              <w:t>%70,7</w:t>
            </w:r>
          </w:p>
          <w:p w14:paraId="4F61C9DC"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متحدون من أجل الاحترام: منع التحرش الجنسي وغيره من السلوكيات المحظورة: </w:t>
            </w:r>
            <w:r w:rsidRPr="00CE7166">
              <w:rPr>
                <w:position w:val="2"/>
                <w:lang w:bidi="ar-EG"/>
              </w:rPr>
              <w:t>%67,9</w:t>
            </w:r>
          </w:p>
          <w:p w14:paraId="7589D8C8"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منع الاستغلال والاعتداء الجنسيين: </w:t>
            </w:r>
            <w:r w:rsidRPr="00CE7166">
              <w:rPr>
                <w:position w:val="2"/>
                <w:lang w:bidi="ar-EG"/>
              </w:rPr>
              <w:t>%63,5</w:t>
            </w:r>
          </w:p>
          <w:p w14:paraId="444E6505"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الأخلاقيات والنزاهة في الاتحاد: </w:t>
            </w:r>
            <w:r w:rsidRPr="00CE7166">
              <w:rPr>
                <w:position w:val="2"/>
                <w:lang w:bidi="ar-EG"/>
              </w:rPr>
              <w:t>%62,0</w:t>
            </w:r>
          </w:p>
          <w:p w14:paraId="0E864E1B" w14:textId="64EAD1C6" w:rsidR="00C06B68" w:rsidRPr="00CE7166" w:rsidRDefault="00C06B68" w:rsidP="00CE7166">
            <w:pPr>
              <w:pStyle w:val="Tabletexte"/>
              <w:tabs>
                <w:tab w:val="clear" w:pos="794"/>
              </w:tabs>
              <w:ind w:left="217" w:hanging="217"/>
              <w:rPr>
                <w:position w:val="2"/>
                <w:lang w:val="ar-SA" w:bidi="ar-EG"/>
              </w:rPr>
            </w:pPr>
            <w:r w:rsidRPr="00CE7166">
              <w:rPr>
                <w:position w:val="2"/>
                <w:lang w:bidi="ar-EG"/>
              </w:rPr>
              <w:t>–</w:t>
            </w:r>
            <w:r w:rsidRPr="00CE7166">
              <w:rPr>
                <w:position w:val="2"/>
                <w:rtl/>
                <w:lang w:bidi="ar-EG"/>
              </w:rPr>
              <w:tab/>
              <w:t>خضرنة</w:t>
            </w:r>
            <w:r w:rsidRPr="00CE7166">
              <w:rPr>
                <w:position w:val="2"/>
                <w:rtl/>
              </w:rPr>
              <w:t xml:space="preserve"> المنظمة الزرقاء</w:t>
            </w:r>
            <w:r w:rsidRPr="00CE7166">
              <w:rPr>
                <w:position w:val="2"/>
                <w:rtl/>
                <w:lang w:bidi="ar-EG"/>
              </w:rPr>
              <w:t>:</w:t>
            </w:r>
            <w:r w:rsidR="002C2E31">
              <w:rPr>
                <w:rFonts w:hint="cs"/>
                <w:position w:val="2"/>
                <w:rtl/>
              </w:rPr>
              <w:t xml:space="preserve"> </w:t>
            </w:r>
            <w:r w:rsidR="002C2E31">
              <w:rPr>
                <w:position w:val="2"/>
              </w:rPr>
              <w:t>%</w:t>
            </w:r>
            <w:r w:rsidRPr="00CE7166">
              <w:rPr>
                <w:position w:val="2"/>
              </w:rPr>
              <w:t>61,5</w:t>
            </w:r>
          </w:p>
        </w:tc>
      </w:tr>
      <w:tr w:rsidR="00C06B68" w:rsidRPr="00C06B68" w14:paraId="0C96C2EF" w14:textId="77777777" w:rsidTr="00B2786F">
        <w:trPr>
          <w:jc w:val="center"/>
        </w:trPr>
        <w:tc>
          <w:tcPr>
            <w:tcW w:w="207" w:type="pct"/>
            <w:vMerge/>
            <w:vAlign w:val="center"/>
          </w:tcPr>
          <w:p w14:paraId="2E6239C1" w14:textId="77777777" w:rsidR="00C06B68" w:rsidRPr="00CE7166" w:rsidRDefault="00C06B68" w:rsidP="001F1441">
            <w:pPr>
              <w:pStyle w:val="Tabletexte"/>
              <w:jc w:val="center"/>
              <w:rPr>
                <w:b/>
                <w:bCs/>
                <w:position w:val="2"/>
                <w:lang w:bidi="ar-EG"/>
              </w:rPr>
            </w:pPr>
          </w:p>
        </w:tc>
        <w:tc>
          <w:tcPr>
            <w:tcW w:w="559" w:type="pct"/>
            <w:vMerge/>
            <w:vAlign w:val="center"/>
          </w:tcPr>
          <w:p w14:paraId="094E5A36" w14:textId="77777777" w:rsidR="00C06B68" w:rsidRPr="00CE7166" w:rsidRDefault="00C06B68" w:rsidP="00EE52B6">
            <w:pPr>
              <w:pStyle w:val="Tabletexte"/>
              <w:rPr>
                <w:position w:val="2"/>
                <w:lang w:bidi="ar-EG"/>
              </w:rPr>
            </w:pPr>
          </w:p>
        </w:tc>
        <w:tc>
          <w:tcPr>
            <w:tcW w:w="1723" w:type="pct"/>
            <w:shd w:val="clear" w:color="auto" w:fill="FFFFFF" w:themeFill="background1"/>
            <w:vAlign w:val="center"/>
            <w:hideMark/>
          </w:tcPr>
          <w:p w14:paraId="1DE78CD5" w14:textId="556C8E8B" w:rsidR="00C06B68" w:rsidRPr="00CE7166" w:rsidRDefault="00C06B68" w:rsidP="00CE7166">
            <w:pPr>
              <w:pStyle w:val="Tabletexte"/>
              <w:tabs>
                <w:tab w:val="clear" w:pos="794"/>
              </w:tabs>
              <w:ind w:left="217" w:hanging="217"/>
              <w:rPr>
                <w:position w:val="2"/>
                <w:lang w:bidi="ar-EG"/>
              </w:rPr>
            </w:pPr>
            <w:bookmarkStart w:id="3" w:name="_Hlk39134893"/>
            <w:r w:rsidRPr="00CE7166">
              <w:rPr>
                <w:position w:val="2"/>
                <w:lang w:bidi="ar-EG"/>
              </w:rPr>
              <w:t>–</w:t>
            </w:r>
            <w:r w:rsidRPr="00CE7166">
              <w:rPr>
                <w:position w:val="2"/>
                <w:rtl/>
                <w:lang w:bidi="ar-EG"/>
              </w:rPr>
              <w:tab/>
              <w:t>النسبة المئوية من الموظفين الذين يتلقون تدريباً</w:t>
            </w:r>
            <w:r w:rsidR="002C2E31">
              <w:rPr>
                <w:rFonts w:hint="cs"/>
                <w:position w:val="2"/>
                <w:rtl/>
                <w:lang w:bidi="ar-EG"/>
              </w:rPr>
              <w:t xml:space="preserve"> </w:t>
            </w:r>
            <w:r w:rsidRPr="00CE7166">
              <w:rPr>
                <w:position w:val="2"/>
                <w:rtl/>
                <w:lang w:bidi="ar-EG"/>
              </w:rPr>
              <w:t>أثناء الخدمة</w:t>
            </w:r>
            <w:bookmarkEnd w:id="3"/>
          </w:p>
        </w:tc>
        <w:tc>
          <w:tcPr>
            <w:tcW w:w="2511" w:type="pct"/>
            <w:vAlign w:val="center"/>
          </w:tcPr>
          <w:p w14:paraId="5712783B" w14:textId="49C1EB52" w:rsidR="00C06B68" w:rsidRPr="00CE7166" w:rsidRDefault="00C06B68" w:rsidP="00EE52B6">
            <w:pPr>
              <w:pStyle w:val="Tabletexte"/>
              <w:rPr>
                <w:position w:val="2"/>
                <w:lang w:val="ar-SA" w:bidi="ar-EG"/>
              </w:rPr>
            </w:pPr>
            <w:bookmarkStart w:id="4" w:name="_Hlk67902942"/>
            <w:r w:rsidRPr="00CE7166">
              <w:rPr>
                <w:position w:val="2"/>
                <w:rtl/>
              </w:rPr>
              <w:t>تتاح الدورات التدريبية المؤسسية في إطار خطة التعلم للاتحاد لجميع موظفي الاتحاد، بغض النظر عن نوع العقد.</w:t>
            </w:r>
          </w:p>
          <w:p w14:paraId="7A9B59C1" w14:textId="0D46B442" w:rsidR="00C06B68" w:rsidRPr="00CE7166" w:rsidRDefault="00C06B68" w:rsidP="00EE52B6">
            <w:pPr>
              <w:pStyle w:val="Tabletexte"/>
              <w:rPr>
                <w:position w:val="2"/>
                <w:lang w:val="ar-SA" w:bidi="ar-EG"/>
              </w:rPr>
            </w:pPr>
            <w:r w:rsidRPr="00CE7166">
              <w:rPr>
                <w:position w:val="2"/>
                <w:rtl/>
              </w:rPr>
              <w:t>وفي عام 2025، قدِّم داخلياً ما مجموعه 38 دورة تدريبية مؤسسية شملت مجموعة متنوعة من المواضيع بدءاً من المجال الرقمي والتطوير الوظيفي والقيادة والتنوع والشمول ومسرعات الكفاءات، وصولاً إلى إدارة الأداء والصحة والرفاهية وجلسات إذكاء الوعي.</w:t>
            </w:r>
          </w:p>
          <w:p w14:paraId="34CF37A7" w14:textId="152E03B3" w:rsidR="00C06B68" w:rsidRPr="00CE7166" w:rsidRDefault="00C06B68" w:rsidP="00EE52B6">
            <w:pPr>
              <w:pStyle w:val="Tabletexte"/>
              <w:rPr>
                <w:position w:val="2"/>
                <w:lang w:val="ar-SA" w:bidi="ar-EG"/>
              </w:rPr>
            </w:pPr>
            <w:r w:rsidRPr="00CE7166">
              <w:rPr>
                <w:position w:val="2"/>
                <w:rtl/>
              </w:rPr>
              <w:t>إضافة إلى الدورات التدريبية الجماعية، استفاد ما مجموعه 21 موظفاً من دورات تدريبية فردية متخصصة/تقنية.</w:t>
            </w:r>
            <w:bookmarkEnd w:id="4"/>
          </w:p>
        </w:tc>
      </w:tr>
      <w:tr w:rsidR="00C06B68" w:rsidRPr="00C06B68" w14:paraId="56FD7E08" w14:textId="77777777" w:rsidTr="00B2786F">
        <w:trPr>
          <w:jc w:val="center"/>
        </w:trPr>
        <w:tc>
          <w:tcPr>
            <w:tcW w:w="207" w:type="pct"/>
            <w:shd w:val="clear" w:color="auto" w:fill="FFFFFF" w:themeFill="background1"/>
            <w:vAlign w:val="center"/>
          </w:tcPr>
          <w:p w14:paraId="0EC10652" w14:textId="77777777" w:rsidR="00C06B68" w:rsidRPr="00CE7166" w:rsidRDefault="00C06B68" w:rsidP="001F1441">
            <w:pPr>
              <w:pStyle w:val="Tabletexte"/>
              <w:jc w:val="center"/>
              <w:rPr>
                <w:b/>
                <w:bCs/>
                <w:position w:val="2"/>
                <w:lang w:val="ar-SA" w:bidi="ar-EG"/>
              </w:rPr>
            </w:pPr>
            <w:r w:rsidRPr="00CE7166">
              <w:rPr>
                <w:b/>
                <w:bCs/>
                <w:position w:val="2"/>
                <w:rtl/>
              </w:rPr>
              <w:t>13</w:t>
            </w:r>
          </w:p>
        </w:tc>
        <w:tc>
          <w:tcPr>
            <w:tcW w:w="559" w:type="pct"/>
            <w:shd w:val="clear" w:color="auto" w:fill="FFFFFF" w:themeFill="background1"/>
            <w:vAlign w:val="center"/>
          </w:tcPr>
          <w:p w14:paraId="1E1C33CF" w14:textId="77777777" w:rsidR="00C06B68" w:rsidRPr="00CE7166" w:rsidRDefault="00C06B68" w:rsidP="00EE52B6">
            <w:pPr>
              <w:pStyle w:val="Tabletexte"/>
              <w:rPr>
                <w:position w:val="2"/>
                <w:lang w:val="ar-SA" w:bidi="ar-EG"/>
              </w:rPr>
            </w:pPr>
            <w:r w:rsidRPr="00CE7166">
              <w:rPr>
                <w:position w:val="2"/>
                <w:rtl/>
              </w:rPr>
              <w:t>التعلم والتطوير</w:t>
            </w:r>
          </w:p>
        </w:tc>
        <w:tc>
          <w:tcPr>
            <w:tcW w:w="1723" w:type="pct"/>
            <w:shd w:val="clear" w:color="auto" w:fill="FFFFFF" w:themeFill="background1"/>
            <w:vAlign w:val="center"/>
          </w:tcPr>
          <w:p w14:paraId="3AFC52A2"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كفاءة برنامج اللغات من حيث التكلفة</w:t>
            </w:r>
          </w:p>
        </w:tc>
        <w:tc>
          <w:tcPr>
            <w:tcW w:w="2511" w:type="pct"/>
            <w:vAlign w:val="center"/>
          </w:tcPr>
          <w:p w14:paraId="7CFAE0CC" w14:textId="2150B22F" w:rsidR="00C06B68" w:rsidRPr="00CE7166" w:rsidRDefault="00C06B68" w:rsidP="00EE52B6">
            <w:pPr>
              <w:pStyle w:val="Tabletexte"/>
              <w:rPr>
                <w:position w:val="2"/>
                <w:lang w:val="ar-SA" w:bidi="ar-EG"/>
              </w:rPr>
            </w:pPr>
            <w:r w:rsidRPr="00CE7166">
              <w:rPr>
                <w:position w:val="2"/>
                <w:rtl/>
              </w:rPr>
              <w:t>أتاح تعزيز الشراكة مع مكتب الأمم المتحدة في جنيف توسيع فرص تعلم اللغات من دورتين إلى ثلاث دورات في السنة، ما مكّن المزيد من الزملاء من تحسين مهاراتهم اللغوية دعماً لفعالية المنظمة وتقديم الخدمات المتعددة اللغات.</w:t>
            </w:r>
          </w:p>
          <w:p w14:paraId="3F8EEB0B" w14:textId="77777777" w:rsidR="00C06B68" w:rsidRPr="00CE7166" w:rsidRDefault="00C06B68" w:rsidP="00EE52B6">
            <w:pPr>
              <w:pStyle w:val="Tabletexte"/>
              <w:rPr>
                <w:position w:val="2"/>
                <w:lang w:val="ar-SA" w:bidi="ar-EG"/>
              </w:rPr>
            </w:pPr>
            <w:r w:rsidRPr="00CE7166">
              <w:rPr>
                <w:position w:val="2"/>
                <w:rtl/>
              </w:rPr>
              <w:t>وفي عام 2025، سُجلت زيادة في المشاركة (41 مشاركاً في الدورة الأولى، و53 مشاركاً في الدورة الثانية، و68 مشاركاً في الدورة الثالثة)، ما يعكس تزايد الاهتمام والإقبال.</w:t>
            </w:r>
          </w:p>
          <w:p w14:paraId="68DBE56D" w14:textId="1E8930EF" w:rsidR="00C06B68" w:rsidRPr="00CE7166" w:rsidRDefault="00C06B68" w:rsidP="00EE52B6">
            <w:pPr>
              <w:pStyle w:val="Tabletexte"/>
              <w:rPr>
                <w:position w:val="2"/>
                <w:lang w:val="ar-SA" w:bidi="ar-EG"/>
              </w:rPr>
            </w:pPr>
            <w:r w:rsidRPr="00CE7166">
              <w:rPr>
                <w:position w:val="2"/>
                <w:rtl/>
              </w:rPr>
              <w:t xml:space="preserve">والأهم من ذلك، تم استيعاب هذا التوسع وزيادة الإقبال بشكل كامل في الميزانية القائمة المخصصة لتعلم اللغات، التي لم تزد في السنوات الأخيرة، بل خُفضت فعلياً بنسبة </w:t>
            </w:r>
            <w:r w:rsidR="002C2E31">
              <w:rPr>
                <w:position w:val="2"/>
              </w:rPr>
              <w:t>%</w:t>
            </w:r>
            <w:r w:rsidRPr="00CE7166">
              <w:rPr>
                <w:position w:val="2"/>
              </w:rPr>
              <w:t>50</w:t>
            </w:r>
            <w:r w:rsidRPr="00CE7166">
              <w:rPr>
                <w:position w:val="2"/>
                <w:rtl/>
              </w:rPr>
              <w:t xml:space="preserve"> في عام 2026.</w:t>
            </w:r>
          </w:p>
        </w:tc>
      </w:tr>
      <w:tr w:rsidR="00C06B68" w:rsidRPr="00C06B68" w14:paraId="3A675A16" w14:textId="77777777" w:rsidTr="00B2786F">
        <w:trPr>
          <w:jc w:val="center"/>
        </w:trPr>
        <w:tc>
          <w:tcPr>
            <w:tcW w:w="207" w:type="pct"/>
            <w:shd w:val="clear" w:color="auto" w:fill="FFFFFF" w:themeFill="background1"/>
            <w:vAlign w:val="center"/>
          </w:tcPr>
          <w:p w14:paraId="55D8E746" w14:textId="77777777" w:rsidR="00C06B68" w:rsidRPr="00CE7166" w:rsidRDefault="00C06B68" w:rsidP="001F1441">
            <w:pPr>
              <w:pStyle w:val="Tabletexte"/>
              <w:jc w:val="center"/>
              <w:rPr>
                <w:b/>
                <w:bCs/>
                <w:position w:val="2"/>
                <w:lang w:val="ar-SA" w:bidi="ar-EG"/>
              </w:rPr>
            </w:pPr>
            <w:r w:rsidRPr="00CE7166">
              <w:rPr>
                <w:b/>
                <w:bCs/>
                <w:position w:val="2"/>
                <w:rtl/>
              </w:rPr>
              <w:t>14</w:t>
            </w:r>
          </w:p>
        </w:tc>
        <w:tc>
          <w:tcPr>
            <w:tcW w:w="559" w:type="pct"/>
            <w:shd w:val="clear" w:color="auto" w:fill="FFFFFF" w:themeFill="background1"/>
            <w:vAlign w:val="center"/>
          </w:tcPr>
          <w:p w14:paraId="7D2D579F" w14:textId="77777777" w:rsidR="00C06B68" w:rsidRPr="00CE7166" w:rsidRDefault="00C06B68" w:rsidP="00EE52B6">
            <w:pPr>
              <w:pStyle w:val="Tabletexte"/>
              <w:rPr>
                <w:position w:val="2"/>
                <w:lang w:val="ar-SA" w:bidi="ar-EG"/>
              </w:rPr>
            </w:pPr>
            <w:r w:rsidRPr="00CE7166">
              <w:rPr>
                <w:position w:val="2"/>
                <w:rtl/>
              </w:rPr>
              <w:t>التعلم والتطوير</w:t>
            </w:r>
          </w:p>
        </w:tc>
        <w:tc>
          <w:tcPr>
            <w:tcW w:w="1723" w:type="pct"/>
            <w:shd w:val="clear" w:color="auto" w:fill="FFFFFF" w:themeFill="background1"/>
            <w:vAlign w:val="center"/>
            <w:hideMark/>
          </w:tcPr>
          <w:p w14:paraId="4F875DE1"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 xml:space="preserve">عدد الأنشطة التعريفية التي عُقدت (النسبة المئوية لمشاركة الموظفين المعينين حديثاً) </w:t>
            </w:r>
          </w:p>
        </w:tc>
        <w:tc>
          <w:tcPr>
            <w:tcW w:w="2511" w:type="pct"/>
            <w:vAlign w:val="center"/>
          </w:tcPr>
          <w:p w14:paraId="172968F7" w14:textId="2FD08BD8" w:rsidR="00C06B68" w:rsidRPr="002C2E31" w:rsidRDefault="00C06B68" w:rsidP="00EE52B6">
            <w:pPr>
              <w:pStyle w:val="Tabletexte"/>
              <w:rPr>
                <w:spacing w:val="-2"/>
                <w:position w:val="2"/>
                <w:lang w:val="ar-SA" w:bidi="ar-EG"/>
              </w:rPr>
            </w:pPr>
            <w:r w:rsidRPr="002C2E31">
              <w:rPr>
                <w:spacing w:val="-2"/>
                <w:position w:val="2"/>
                <w:rtl/>
              </w:rPr>
              <w:t>في عام 2025، نُفذ بنجاح برنامجان تعريفيان (تضمن كل منهما 4 جلسات مدة كل منها نصف يوم)، استفاد منهما 110 من الملتحقين حديثاً من موظفين، واستشاريين (في إطار اتفاقات الخدمة الخاصة)، ومتدربين.</w:t>
            </w:r>
          </w:p>
          <w:p w14:paraId="2AAC989C" w14:textId="77777777" w:rsidR="00C06B68" w:rsidRPr="00CE7166" w:rsidRDefault="00C06B68" w:rsidP="00EE52B6">
            <w:pPr>
              <w:pStyle w:val="Tabletexte"/>
              <w:rPr>
                <w:position w:val="2"/>
                <w:lang w:val="ar-SA" w:bidi="ar-EG"/>
              </w:rPr>
            </w:pPr>
            <w:r w:rsidRPr="00CE7166">
              <w:rPr>
                <w:position w:val="2"/>
                <w:rtl/>
              </w:rPr>
              <w:t>وأدت هذه الجلسات دوراً رئيسياً في دعم اندماجهم السلس في المنظمة، وتعزيز القيم والمعايير المؤسسية، وضمان الفهم المشترك للسياسات والإجراءات والتوقعات منذ البداية.</w:t>
            </w:r>
          </w:p>
        </w:tc>
      </w:tr>
      <w:tr w:rsidR="00C06B68" w:rsidRPr="00C06B68" w14:paraId="4D09F8C8" w14:textId="77777777" w:rsidTr="00B2786F">
        <w:trPr>
          <w:jc w:val="center"/>
        </w:trPr>
        <w:tc>
          <w:tcPr>
            <w:tcW w:w="207" w:type="pct"/>
            <w:shd w:val="clear" w:color="auto" w:fill="FFFFFF" w:themeFill="background1"/>
            <w:vAlign w:val="center"/>
          </w:tcPr>
          <w:p w14:paraId="29F7C76C" w14:textId="77777777" w:rsidR="00C06B68" w:rsidRPr="00CE7166" w:rsidRDefault="00C06B68" w:rsidP="001F1441">
            <w:pPr>
              <w:pStyle w:val="Tabletexte"/>
              <w:jc w:val="center"/>
              <w:rPr>
                <w:b/>
                <w:bCs/>
                <w:position w:val="2"/>
                <w:lang w:val="ar-SA" w:bidi="ar-EG"/>
              </w:rPr>
            </w:pPr>
            <w:r w:rsidRPr="00CE7166">
              <w:rPr>
                <w:b/>
                <w:bCs/>
                <w:position w:val="2"/>
                <w:rtl/>
              </w:rPr>
              <w:lastRenderedPageBreak/>
              <w:t>15</w:t>
            </w:r>
          </w:p>
        </w:tc>
        <w:tc>
          <w:tcPr>
            <w:tcW w:w="559" w:type="pct"/>
            <w:shd w:val="clear" w:color="auto" w:fill="FFFFFF" w:themeFill="background1"/>
            <w:vAlign w:val="center"/>
          </w:tcPr>
          <w:p w14:paraId="21AA5460" w14:textId="77777777" w:rsidR="00C06B68" w:rsidRPr="00B2786F" w:rsidRDefault="00C06B68" w:rsidP="00EE52B6">
            <w:pPr>
              <w:pStyle w:val="Tabletexte"/>
              <w:rPr>
                <w:spacing w:val="-4"/>
                <w:position w:val="2"/>
                <w:lang w:val="ar-SA" w:bidi="ar-EG"/>
              </w:rPr>
            </w:pPr>
            <w:r w:rsidRPr="00B2786F">
              <w:rPr>
                <w:spacing w:val="-4"/>
                <w:position w:val="2"/>
                <w:rtl/>
              </w:rPr>
              <w:t>سياسة الموارد البشرية</w:t>
            </w:r>
          </w:p>
        </w:tc>
        <w:tc>
          <w:tcPr>
            <w:tcW w:w="1723" w:type="pct"/>
            <w:shd w:val="clear" w:color="auto" w:fill="FFFFFF" w:themeFill="background1"/>
            <w:vAlign w:val="center"/>
          </w:tcPr>
          <w:p w14:paraId="1E73AE0F" w14:textId="543B2C6C"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استعراض وتحديث السياسات والأوامر الإدارية المتعلقة بالموارد</w:t>
            </w:r>
            <w:r w:rsidR="002C2E31">
              <w:rPr>
                <w:position w:val="2"/>
                <w:lang w:bidi="ar-EG"/>
              </w:rPr>
              <w:t> </w:t>
            </w:r>
            <w:r w:rsidRPr="00CE7166">
              <w:rPr>
                <w:position w:val="2"/>
                <w:rtl/>
                <w:lang w:bidi="ar-EG"/>
              </w:rPr>
              <w:t>البشرية</w:t>
            </w:r>
          </w:p>
        </w:tc>
        <w:tc>
          <w:tcPr>
            <w:tcW w:w="2511" w:type="pct"/>
            <w:vAlign w:val="center"/>
          </w:tcPr>
          <w:p w14:paraId="56E93E5A" w14:textId="77777777" w:rsidR="00C06B68" w:rsidRPr="00CE7166" w:rsidRDefault="00C06B68" w:rsidP="00EE52B6">
            <w:pPr>
              <w:pStyle w:val="Tabletexte"/>
              <w:rPr>
                <w:position w:val="2"/>
                <w:lang w:val="ar-SA" w:bidi="ar-EG"/>
              </w:rPr>
            </w:pPr>
            <w:r w:rsidRPr="00CE7166">
              <w:rPr>
                <w:position w:val="2"/>
                <w:rtl/>
              </w:rPr>
              <w:t>نُشر ما مجموعه 17 من المبادئ التوجيهية والسياسات/الأوامر الإدارية الجديدة أو المراجَعة بشأن مسائل تتعلق بالموارد البشرية (بما في ذلك ما يتعلق بالتدريب الإلزامي، وأمين المظالم، ونظام العدالة الداخلي، والمرتبات وتصنيف الوظائف، وأجور العمل الإضافي لموظفي الأمانة العامة، وأيام العطل الرسمية للمكاتب الإقليمية، وأجور اتفاقات الخدمة الخاصة، وتوظيف المتقاعدين، وساعات العمل، وترتيبات العمل المرنة).</w:t>
            </w:r>
          </w:p>
        </w:tc>
      </w:tr>
      <w:tr w:rsidR="00C06B68" w:rsidRPr="00C06B68" w14:paraId="3A284391" w14:textId="77777777" w:rsidTr="00B2786F">
        <w:trPr>
          <w:jc w:val="center"/>
        </w:trPr>
        <w:tc>
          <w:tcPr>
            <w:tcW w:w="207" w:type="pct"/>
            <w:shd w:val="clear" w:color="auto" w:fill="FFFFFF" w:themeFill="background1"/>
            <w:vAlign w:val="center"/>
          </w:tcPr>
          <w:p w14:paraId="1299F4B0" w14:textId="77777777" w:rsidR="00C06B68" w:rsidRPr="00CE7166" w:rsidRDefault="00C06B68" w:rsidP="001F1441">
            <w:pPr>
              <w:pStyle w:val="Tabletexte"/>
              <w:jc w:val="center"/>
              <w:rPr>
                <w:b/>
                <w:bCs/>
                <w:position w:val="2"/>
                <w:lang w:val="ar-SA" w:bidi="ar-EG"/>
              </w:rPr>
            </w:pPr>
            <w:r w:rsidRPr="00CE7166">
              <w:rPr>
                <w:b/>
                <w:bCs/>
                <w:position w:val="2"/>
                <w:rtl/>
              </w:rPr>
              <w:t>16</w:t>
            </w:r>
          </w:p>
        </w:tc>
        <w:tc>
          <w:tcPr>
            <w:tcW w:w="559" w:type="pct"/>
            <w:shd w:val="clear" w:color="auto" w:fill="FFFFFF" w:themeFill="background1"/>
            <w:vAlign w:val="center"/>
          </w:tcPr>
          <w:p w14:paraId="374CCA39" w14:textId="77777777" w:rsidR="00C06B68" w:rsidRPr="00B2786F" w:rsidRDefault="00C06B68" w:rsidP="00EE52B6">
            <w:pPr>
              <w:pStyle w:val="Tabletexte"/>
              <w:rPr>
                <w:spacing w:val="-4"/>
                <w:position w:val="2"/>
                <w:lang w:val="ar-SA" w:bidi="ar-EG"/>
              </w:rPr>
            </w:pPr>
            <w:r w:rsidRPr="00B2786F">
              <w:rPr>
                <w:spacing w:val="-4"/>
                <w:position w:val="2"/>
                <w:rtl/>
              </w:rPr>
              <w:t>سياسة الموارد البشرية</w:t>
            </w:r>
          </w:p>
        </w:tc>
        <w:tc>
          <w:tcPr>
            <w:tcW w:w="1723" w:type="pct"/>
            <w:shd w:val="clear" w:color="auto" w:fill="FFFFFF" w:themeFill="background1"/>
            <w:vAlign w:val="center"/>
          </w:tcPr>
          <w:p w14:paraId="17F6AEB9"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السياسات قيد الاستعراض</w:t>
            </w:r>
          </w:p>
        </w:tc>
        <w:tc>
          <w:tcPr>
            <w:tcW w:w="2511" w:type="pct"/>
            <w:vAlign w:val="center"/>
          </w:tcPr>
          <w:p w14:paraId="6D99A3A8" w14:textId="77777777" w:rsidR="00C06B68" w:rsidRPr="00CE7166" w:rsidRDefault="00C06B68" w:rsidP="00EE52B6">
            <w:pPr>
              <w:pStyle w:val="Tabletexte"/>
              <w:rPr>
                <w:position w:val="2"/>
                <w:lang w:val="ar-SA" w:bidi="ar-EG"/>
              </w:rPr>
            </w:pPr>
            <w:r w:rsidRPr="00CE7166">
              <w:rPr>
                <w:position w:val="2"/>
                <w:rtl/>
              </w:rPr>
              <w:t>11 سياسة قيد الاستعراض (منها سياسات تتعلق بالاستشاريين والتوظيف، وما إلى ذلك).</w:t>
            </w:r>
          </w:p>
        </w:tc>
      </w:tr>
      <w:tr w:rsidR="00C06B68" w:rsidRPr="00C06B68" w14:paraId="739E9495" w14:textId="77777777" w:rsidTr="00B2786F">
        <w:trPr>
          <w:jc w:val="center"/>
        </w:trPr>
        <w:tc>
          <w:tcPr>
            <w:tcW w:w="207" w:type="pct"/>
            <w:shd w:val="clear" w:color="auto" w:fill="FFFFFF" w:themeFill="background1"/>
            <w:vAlign w:val="center"/>
          </w:tcPr>
          <w:p w14:paraId="35B4DBEE" w14:textId="77777777" w:rsidR="00C06B68" w:rsidRPr="00CE7166" w:rsidRDefault="00C06B68" w:rsidP="001F1441">
            <w:pPr>
              <w:pStyle w:val="Tabletexte"/>
              <w:jc w:val="center"/>
              <w:rPr>
                <w:b/>
                <w:bCs/>
                <w:position w:val="2"/>
                <w:lang w:val="ar-SA" w:bidi="ar-EG"/>
              </w:rPr>
            </w:pPr>
            <w:r w:rsidRPr="00CE7166">
              <w:rPr>
                <w:b/>
                <w:bCs/>
                <w:position w:val="2"/>
                <w:rtl/>
              </w:rPr>
              <w:t>17</w:t>
            </w:r>
          </w:p>
        </w:tc>
        <w:tc>
          <w:tcPr>
            <w:tcW w:w="559" w:type="pct"/>
            <w:shd w:val="clear" w:color="auto" w:fill="FFFFFF" w:themeFill="background1"/>
            <w:vAlign w:val="center"/>
          </w:tcPr>
          <w:p w14:paraId="76661386" w14:textId="77777777" w:rsidR="00C06B68" w:rsidRPr="00CE7166" w:rsidRDefault="00C06B68" w:rsidP="00EE52B6">
            <w:pPr>
              <w:pStyle w:val="Tabletexte"/>
              <w:rPr>
                <w:position w:val="2"/>
                <w:lang w:val="ar-SA" w:bidi="ar-EG"/>
              </w:rPr>
            </w:pPr>
            <w:r w:rsidRPr="00CE7166">
              <w:rPr>
                <w:position w:val="2"/>
                <w:rtl/>
              </w:rPr>
              <w:t>البيانات والإبلاغ</w:t>
            </w:r>
          </w:p>
        </w:tc>
        <w:tc>
          <w:tcPr>
            <w:tcW w:w="1723" w:type="pct"/>
            <w:shd w:val="clear" w:color="auto" w:fill="FFFFFF" w:themeFill="background1"/>
            <w:vAlign w:val="center"/>
          </w:tcPr>
          <w:p w14:paraId="4507E242" w14:textId="062C8E69"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النفاذ إلى لوحة معلومات الموارد البشرية المتعلقة بتحليلات القوى</w:t>
            </w:r>
            <w:r w:rsidR="002C2E31">
              <w:rPr>
                <w:position w:val="2"/>
                <w:lang w:bidi="ar-EG"/>
              </w:rPr>
              <w:t> </w:t>
            </w:r>
            <w:r w:rsidRPr="00CE7166">
              <w:rPr>
                <w:position w:val="2"/>
                <w:rtl/>
                <w:lang w:bidi="ar-EG"/>
              </w:rPr>
              <w:t>العاملة</w:t>
            </w:r>
          </w:p>
        </w:tc>
        <w:tc>
          <w:tcPr>
            <w:tcW w:w="2511" w:type="pct"/>
            <w:vAlign w:val="center"/>
          </w:tcPr>
          <w:p w14:paraId="5A7FCB14" w14:textId="77777777" w:rsidR="00C06B68" w:rsidRPr="00CE7166" w:rsidRDefault="00C06B68" w:rsidP="00EE52B6">
            <w:pPr>
              <w:pStyle w:val="Tabletexte"/>
              <w:rPr>
                <w:position w:val="2"/>
                <w:lang w:val="ar-SA" w:bidi="ar-EG"/>
              </w:rPr>
            </w:pPr>
            <w:r w:rsidRPr="00CE7166">
              <w:rPr>
                <w:position w:val="2"/>
                <w:rtl/>
              </w:rPr>
              <w:t xml:space="preserve">يمكن لكل من لديهم حساب في خدمة تبادل معلومات الاتصالات </w:t>
            </w:r>
            <w:r w:rsidRPr="00CE7166">
              <w:rPr>
                <w:position w:val="2"/>
                <w:lang w:bidi="ar-EG"/>
              </w:rPr>
              <w:t>(TIES)</w:t>
            </w:r>
            <w:r w:rsidRPr="00CE7166">
              <w:rPr>
                <w:position w:val="2"/>
                <w:rtl/>
              </w:rPr>
              <w:t xml:space="preserve"> من موظفين ودول أعضاء النفاذ إلى لوحة المعلومات هذه.</w:t>
            </w:r>
          </w:p>
        </w:tc>
      </w:tr>
      <w:tr w:rsidR="00C06B68" w:rsidRPr="00C06B68" w14:paraId="54C86157" w14:textId="77777777" w:rsidTr="00B2786F">
        <w:trPr>
          <w:jc w:val="center"/>
        </w:trPr>
        <w:tc>
          <w:tcPr>
            <w:tcW w:w="207" w:type="pct"/>
            <w:shd w:val="clear" w:color="auto" w:fill="FFFFFF" w:themeFill="background1"/>
            <w:vAlign w:val="center"/>
          </w:tcPr>
          <w:p w14:paraId="25B6FB90" w14:textId="77777777" w:rsidR="00C06B68" w:rsidRPr="00CE7166" w:rsidRDefault="00C06B68" w:rsidP="001F1441">
            <w:pPr>
              <w:pStyle w:val="Tabletexte"/>
              <w:jc w:val="center"/>
              <w:rPr>
                <w:b/>
                <w:bCs/>
                <w:position w:val="2"/>
                <w:lang w:val="ar-SA" w:bidi="ar-EG"/>
              </w:rPr>
            </w:pPr>
            <w:r w:rsidRPr="00CE7166">
              <w:rPr>
                <w:b/>
                <w:bCs/>
                <w:position w:val="2"/>
                <w:rtl/>
              </w:rPr>
              <w:t>18</w:t>
            </w:r>
          </w:p>
        </w:tc>
        <w:tc>
          <w:tcPr>
            <w:tcW w:w="559" w:type="pct"/>
            <w:shd w:val="clear" w:color="auto" w:fill="FFFFFF" w:themeFill="background1"/>
            <w:vAlign w:val="center"/>
          </w:tcPr>
          <w:p w14:paraId="77DD7849" w14:textId="77777777" w:rsidR="00C06B68" w:rsidRPr="00CE7166" w:rsidRDefault="00C06B68" w:rsidP="00EE52B6">
            <w:pPr>
              <w:pStyle w:val="Tabletexte"/>
              <w:rPr>
                <w:position w:val="2"/>
                <w:lang w:val="ar-SA" w:bidi="ar-EG"/>
              </w:rPr>
            </w:pPr>
            <w:r w:rsidRPr="00CE7166">
              <w:rPr>
                <w:position w:val="2"/>
                <w:rtl/>
              </w:rPr>
              <w:t>البيانات والإبلاغ</w:t>
            </w:r>
          </w:p>
        </w:tc>
        <w:tc>
          <w:tcPr>
            <w:tcW w:w="1723" w:type="pct"/>
            <w:shd w:val="clear" w:color="auto" w:fill="FFFFFF" w:themeFill="background1"/>
            <w:vAlign w:val="center"/>
          </w:tcPr>
          <w:p w14:paraId="065C7279"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النسبة المئوية لعمليات ربط البيانات المنشأة بين أدوات الإبلاغ ومصادر البيانات</w:t>
            </w:r>
          </w:p>
        </w:tc>
        <w:tc>
          <w:tcPr>
            <w:tcW w:w="2511" w:type="pct"/>
          </w:tcPr>
          <w:p w14:paraId="23A03971" w14:textId="5C48DBFE" w:rsidR="00C06B68" w:rsidRPr="00CE7166" w:rsidRDefault="00C06B68" w:rsidP="00EE52B6">
            <w:pPr>
              <w:pStyle w:val="Tabletexte"/>
              <w:rPr>
                <w:position w:val="2"/>
                <w:lang w:val="ar-SA" w:bidi="ar-EG"/>
              </w:rPr>
            </w:pPr>
            <w:r w:rsidRPr="00CE7166">
              <w:rPr>
                <w:position w:val="2"/>
                <w:rtl/>
              </w:rPr>
              <w:t>عمليات ربط البيانات المنشأة بين أدوات الإبلاغ ومصادر البيانات</w:t>
            </w:r>
            <w:r w:rsidRPr="00CE7166">
              <w:rPr>
                <w:position w:val="2"/>
                <w:lang w:bidi="ar-EG"/>
              </w:rPr>
              <w:t>:</w:t>
            </w:r>
            <w:r w:rsidRPr="00CE7166">
              <w:rPr>
                <w:position w:val="2"/>
                <w:rtl/>
              </w:rPr>
              <w:t xml:space="preserve"> </w:t>
            </w:r>
            <w:r w:rsidR="002C2E31">
              <w:rPr>
                <w:position w:val="2"/>
              </w:rPr>
              <w:t>%</w:t>
            </w:r>
            <w:r w:rsidRPr="00CE7166">
              <w:rPr>
                <w:position w:val="2"/>
                <w:lang w:bidi="ar-EG"/>
              </w:rPr>
              <w:t>100</w:t>
            </w:r>
            <w:r w:rsidRPr="00CE7166">
              <w:rPr>
                <w:position w:val="2"/>
                <w:rtl/>
              </w:rPr>
              <w:t>.</w:t>
            </w:r>
          </w:p>
        </w:tc>
      </w:tr>
      <w:tr w:rsidR="00C06B68" w:rsidRPr="00C06B68" w14:paraId="434298AA" w14:textId="77777777" w:rsidTr="00B2786F">
        <w:trPr>
          <w:jc w:val="center"/>
        </w:trPr>
        <w:tc>
          <w:tcPr>
            <w:tcW w:w="207" w:type="pct"/>
            <w:shd w:val="clear" w:color="auto" w:fill="FFFFFF" w:themeFill="background1"/>
            <w:vAlign w:val="center"/>
          </w:tcPr>
          <w:p w14:paraId="264B36C6" w14:textId="77777777" w:rsidR="00C06B68" w:rsidRPr="00CE7166" w:rsidRDefault="00C06B68" w:rsidP="001F1441">
            <w:pPr>
              <w:pStyle w:val="Tabletexte"/>
              <w:jc w:val="center"/>
              <w:rPr>
                <w:b/>
                <w:bCs/>
                <w:position w:val="2"/>
                <w:lang w:val="ar-SA" w:bidi="ar-EG"/>
              </w:rPr>
            </w:pPr>
            <w:r w:rsidRPr="00CE7166">
              <w:rPr>
                <w:b/>
                <w:bCs/>
                <w:position w:val="2"/>
                <w:rtl/>
              </w:rPr>
              <w:t>19</w:t>
            </w:r>
          </w:p>
        </w:tc>
        <w:tc>
          <w:tcPr>
            <w:tcW w:w="559" w:type="pct"/>
            <w:shd w:val="clear" w:color="auto" w:fill="FFFFFF" w:themeFill="background1"/>
            <w:vAlign w:val="center"/>
          </w:tcPr>
          <w:p w14:paraId="2E81208C" w14:textId="77777777" w:rsidR="00C06B68" w:rsidRPr="00CE7166" w:rsidRDefault="00C06B68" w:rsidP="00EE52B6">
            <w:pPr>
              <w:pStyle w:val="Tabletexte"/>
              <w:rPr>
                <w:position w:val="2"/>
                <w:lang w:val="ar-SA" w:bidi="ar-EG"/>
              </w:rPr>
            </w:pPr>
            <w:r w:rsidRPr="00CE7166">
              <w:rPr>
                <w:position w:val="2"/>
                <w:rtl/>
              </w:rPr>
              <w:t>البيانات والإبلاغ</w:t>
            </w:r>
          </w:p>
        </w:tc>
        <w:tc>
          <w:tcPr>
            <w:tcW w:w="1723" w:type="pct"/>
            <w:shd w:val="clear" w:color="auto" w:fill="FFFFFF" w:themeFill="background1"/>
            <w:vAlign w:val="center"/>
          </w:tcPr>
          <w:p w14:paraId="2ACA73CD"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تحديث بيانات التأمين الصحي</w:t>
            </w:r>
          </w:p>
        </w:tc>
        <w:tc>
          <w:tcPr>
            <w:tcW w:w="2511" w:type="pct"/>
            <w:vAlign w:val="center"/>
          </w:tcPr>
          <w:p w14:paraId="33C94A41" w14:textId="77777777" w:rsidR="00C06B68" w:rsidRPr="00CE7166" w:rsidRDefault="00C06B68" w:rsidP="00EE52B6">
            <w:pPr>
              <w:pStyle w:val="Tabletexte"/>
              <w:rPr>
                <w:position w:val="2"/>
                <w:lang w:val="ar-SA" w:bidi="ar-EG"/>
              </w:rPr>
            </w:pPr>
            <w:r w:rsidRPr="00CE7166">
              <w:rPr>
                <w:position w:val="2"/>
                <w:rtl/>
              </w:rPr>
              <w:t xml:space="preserve">تم استعراض وتحديث أكثر من 385 سجل للتأمين الصحي في نظام </w:t>
            </w:r>
            <w:r w:rsidRPr="00CE7166">
              <w:rPr>
                <w:position w:val="2"/>
                <w:lang w:bidi="ar-EG"/>
              </w:rPr>
              <w:t>SAP</w:t>
            </w:r>
            <w:r w:rsidRPr="00CE7166">
              <w:rPr>
                <w:position w:val="2"/>
                <w:rtl/>
              </w:rPr>
              <w:t>.</w:t>
            </w:r>
          </w:p>
          <w:p w14:paraId="4C325DBA" w14:textId="2B698C12" w:rsidR="00C06B68" w:rsidRPr="00B2786F" w:rsidRDefault="00C06B68" w:rsidP="00EE52B6">
            <w:pPr>
              <w:pStyle w:val="Tabletexte"/>
              <w:rPr>
                <w:spacing w:val="-4"/>
                <w:position w:val="2"/>
                <w:lang w:val="ar-SA" w:bidi="ar-EG"/>
              </w:rPr>
            </w:pPr>
            <w:r w:rsidRPr="00B2786F">
              <w:rPr>
                <w:spacing w:val="-4"/>
                <w:position w:val="2"/>
                <w:rtl/>
              </w:rPr>
              <w:t xml:space="preserve">وتم تحديث </w:t>
            </w:r>
            <w:r w:rsidR="002C2E31">
              <w:rPr>
                <w:spacing w:val="-4"/>
                <w:position w:val="2"/>
              </w:rPr>
              <w:t>3 074</w:t>
            </w:r>
            <w:r w:rsidRPr="00B2786F">
              <w:rPr>
                <w:spacing w:val="-4"/>
                <w:position w:val="2"/>
                <w:rtl/>
              </w:rPr>
              <w:t xml:space="preserve"> سجلاً للتأمين الصحي في نظام </w:t>
            </w:r>
            <w:r w:rsidRPr="00B2786F">
              <w:rPr>
                <w:spacing w:val="-4"/>
                <w:position w:val="2"/>
                <w:lang w:bidi="ar-EG"/>
              </w:rPr>
              <w:t>SAP</w:t>
            </w:r>
            <w:r w:rsidRPr="00B2786F">
              <w:rPr>
                <w:spacing w:val="-4"/>
                <w:position w:val="2"/>
                <w:rtl/>
              </w:rPr>
              <w:t xml:space="preserve"> في إطار عملية تنظيف للبيانات تمت في عام 2025.</w:t>
            </w:r>
          </w:p>
        </w:tc>
      </w:tr>
      <w:tr w:rsidR="00C06B68" w:rsidRPr="00C06B68" w14:paraId="3AFB803A" w14:textId="77777777" w:rsidTr="00B2786F">
        <w:trPr>
          <w:jc w:val="center"/>
        </w:trPr>
        <w:tc>
          <w:tcPr>
            <w:tcW w:w="207" w:type="pct"/>
            <w:shd w:val="clear" w:color="auto" w:fill="FFFFFF" w:themeFill="background1"/>
            <w:vAlign w:val="center"/>
          </w:tcPr>
          <w:p w14:paraId="6CE78167" w14:textId="77777777" w:rsidR="00C06B68" w:rsidRPr="00CE7166" w:rsidRDefault="00C06B68" w:rsidP="001F1441">
            <w:pPr>
              <w:pStyle w:val="Tabletexte"/>
              <w:jc w:val="center"/>
              <w:rPr>
                <w:b/>
                <w:bCs/>
                <w:position w:val="2"/>
                <w:lang w:val="ar-SA" w:bidi="ar-EG"/>
              </w:rPr>
            </w:pPr>
            <w:r w:rsidRPr="00CE7166">
              <w:rPr>
                <w:b/>
                <w:bCs/>
                <w:position w:val="2"/>
                <w:rtl/>
              </w:rPr>
              <w:t>20</w:t>
            </w:r>
          </w:p>
        </w:tc>
        <w:tc>
          <w:tcPr>
            <w:tcW w:w="559" w:type="pct"/>
            <w:shd w:val="clear" w:color="auto" w:fill="FFFFFF" w:themeFill="background1"/>
            <w:vAlign w:val="center"/>
          </w:tcPr>
          <w:p w14:paraId="085C4FD9" w14:textId="77777777" w:rsidR="00C06B68" w:rsidRPr="00CE7166" w:rsidRDefault="00C06B68" w:rsidP="00EE52B6">
            <w:pPr>
              <w:pStyle w:val="Tabletexte"/>
              <w:rPr>
                <w:position w:val="2"/>
                <w:lang w:val="ar-SA" w:bidi="ar-EG"/>
              </w:rPr>
            </w:pPr>
            <w:r w:rsidRPr="00CE7166">
              <w:rPr>
                <w:position w:val="2"/>
                <w:rtl/>
              </w:rPr>
              <w:t>المشاركة والثقافة</w:t>
            </w:r>
          </w:p>
        </w:tc>
        <w:tc>
          <w:tcPr>
            <w:tcW w:w="1723" w:type="pct"/>
            <w:shd w:val="clear" w:color="auto" w:fill="FFFFFF" w:themeFill="background1"/>
            <w:vAlign w:val="center"/>
          </w:tcPr>
          <w:p w14:paraId="586FDC05" w14:textId="77777777" w:rsidR="00C06B68" w:rsidRPr="00CE7166" w:rsidRDefault="00C06B68" w:rsidP="00CE7166">
            <w:pPr>
              <w:pStyle w:val="Tabletexte"/>
              <w:tabs>
                <w:tab w:val="clear" w:pos="794"/>
              </w:tabs>
              <w:ind w:left="217" w:hanging="217"/>
              <w:rPr>
                <w:position w:val="2"/>
                <w:lang w:bidi="ar-EG"/>
              </w:rPr>
            </w:pPr>
            <w:r w:rsidRPr="00CE7166">
              <w:rPr>
                <w:position w:val="2"/>
                <w:lang w:bidi="ar-EG"/>
              </w:rPr>
              <w:t>–</w:t>
            </w:r>
            <w:r w:rsidRPr="00CE7166">
              <w:rPr>
                <w:position w:val="2"/>
                <w:rtl/>
                <w:lang w:bidi="ar-EG"/>
              </w:rPr>
              <w:tab/>
              <w:t>مبادرات الصحة العقلية والرفاه</w:t>
            </w:r>
          </w:p>
        </w:tc>
        <w:tc>
          <w:tcPr>
            <w:tcW w:w="2511" w:type="pct"/>
            <w:vAlign w:val="center"/>
          </w:tcPr>
          <w:p w14:paraId="5658A1C1" w14:textId="77777777" w:rsidR="00C06B68" w:rsidRPr="00CE7166" w:rsidRDefault="00C06B68" w:rsidP="00EE52B6">
            <w:pPr>
              <w:pStyle w:val="Tabletexte"/>
              <w:rPr>
                <w:position w:val="2"/>
                <w:lang w:val="ar-SA" w:bidi="ar-EG"/>
              </w:rPr>
            </w:pPr>
            <w:r w:rsidRPr="00CE7166">
              <w:rPr>
                <w:position w:val="2"/>
                <w:rtl/>
              </w:rPr>
              <w:t>تقديم جلسات بشأن اليقظة الذهنية والرفاه إلى الموظفين في المقر والموظفين الميدانيين، بما في ذلك إدارة الإجهاد والموارد المتاحة عبر الإنترنت (مثلاً، قائمة تسجيلات تتعلق بالرفاه).</w:t>
            </w:r>
          </w:p>
          <w:p w14:paraId="21423F35" w14:textId="77777777" w:rsidR="00C06B68" w:rsidRPr="00CE7166" w:rsidRDefault="00C06B68" w:rsidP="00EE52B6">
            <w:pPr>
              <w:pStyle w:val="Tabletexte"/>
              <w:rPr>
                <w:position w:val="2"/>
                <w:lang w:val="ar-SA" w:bidi="ar-EG"/>
              </w:rPr>
            </w:pPr>
            <w:r w:rsidRPr="00CE7166">
              <w:rPr>
                <w:position w:val="2"/>
                <w:rtl/>
              </w:rPr>
              <w:t>الحصول على الاستشارة السرية، وقد بلغ عدد الجلسات الفردية 206 جلسات في عام 2025 مع تحسين مسارات الإحالة.</w:t>
            </w:r>
          </w:p>
          <w:p w14:paraId="057FA2C8" w14:textId="77777777" w:rsidR="00C06B68" w:rsidRPr="00CE7166" w:rsidRDefault="00C06B68" w:rsidP="00EE52B6">
            <w:pPr>
              <w:pStyle w:val="Tabletexte"/>
              <w:rPr>
                <w:position w:val="2"/>
                <w:lang w:val="ar-SA" w:bidi="ar-EG"/>
              </w:rPr>
            </w:pPr>
            <w:r w:rsidRPr="00CE7166">
              <w:rPr>
                <w:position w:val="2"/>
                <w:rtl/>
              </w:rPr>
              <w:t>وأنشئت وظيفة أمين مظالم مشترك في يناير 2026.</w:t>
            </w:r>
          </w:p>
          <w:p w14:paraId="0C9493EC" w14:textId="77777777" w:rsidR="00C06B68" w:rsidRPr="00CE7166" w:rsidRDefault="00C06B68" w:rsidP="00EE52B6">
            <w:pPr>
              <w:pStyle w:val="Tabletexte"/>
              <w:rPr>
                <w:position w:val="2"/>
                <w:lang w:val="ar-SA" w:bidi="ar-EG"/>
              </w:rPr>
            </w:pPr>
            <w:r w:rsidRPr="00CE7166">
              <w:rPr>
                <w:position w:val="2"/>
                <w:rtl/>
              </w:rPr>
              <w:t>دورات تدريبية بشأن الاعتداءات الدقيقة والتحيز اللاشعوري والقيادة الشاملة وما إلى ذلك.</w:t>
            </w:r>
          </w:p>
        </w:tc>
      </w:tr>
    </w:tbl>
    <w:p w14:paraId="2D2DCEBE"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C06B68">
      <w:footerReference w:type="default" r:id="rId12"/>
      <w:headerReference w:type="first" r:id="rId13"/>
      <w:footerReference w:type="first" r:id="rId14"/>
      <w:pgSz w:w="16840" w:h="11907" w:orient="landscape"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AD12" w14:textId="77777777" w:rsidR="00A91489" w:rsidRDefault="00A91489" w:rsidP="006C3242">
      <w:pPr>
        <w:spacing w:before="0" w:line="240" w:lineRule="auto"/>
      </w:pPr>
      <w:r>
        <w:separator/>
      </w:r>
    </w:p>
  </w:endnote>
  <w:endnote w:type="continuationSeparator" w:id="0">
    <w:p w14:paraId="6EA9DD4B" w14:textId="77777777" w:rsidR="00A91489" w:rsidRDefault="00A9148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C06B68" w:rsidRPr="007B0AA0" w14:paraId="36E333AF" w14:textId="77777777" w:rsidTr="00BD3865">
      <w:trPr>
        <w:jc w:val="center"/>
      </w:trPr>
      <w:tc>
        <w:tcPr>
          <w:tcW w:w="868" w:type="pct"/>
          <w:vAlign w:val="center"/>
        </w:tcPr>
        <w:p w14:paraId="531C0E82" w14:textId="77777777" w:rsidR="00C06B68" w:rsidRPr="007B0AA0" w:rsidRDefault="00C06B68" w:rsidP="00C06B68">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06B68">
            <w:rPr>
              <w:rFonts w:ascii="Calibri" w:hAnsi="Calibri" w:cs="Arial"/>
              <w:sz w:val="18"/>
              <w:szCs w:val="14"/>
            </w:rPr>
            <w:t>2600751</w:t>
          </w:r>
        </w:p>
      </w:tc>
      <w:tc>
        <w:tcPr>
          <w:tcW w:w="3912" w:type="pct"/>
        </w:tcPr>
        <w:p w14:paraId="76656A2A"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Pr>
              <w:rFonts w:ascii="Calibri" w:hAnsi="Calibri" w:cs="Arial"/>
              <w:bCs/>
              <w:color w:val="7F7F7F"/>
              <w:sz w:val="18"/>
            </w:rPr>
            <w:t>6</w:t>
          </w:r>
          <w:proofErr w:type="spellEnd"/>
          <w:r w:rsidRPr="007B0AA0">
            <w:rPr>
              <w:rFonts w:ascii="Calibri" w:hAnsi="Calibri" w:cs="Arial"/>
              <w:bCs/>
              <w:color w:val="7F7F7F"/>
              <w:sz w:val="18"/>
            </w:rPr>
            <w:t>/</w:t>
          </w:r>
          <w:r>
            <w:rPr>
              <w:rFonts w:ascii="Calibri" w:hAnsi="Calibri" w:cs="Arial"/>
              <w:bCs/>
              <w:color w:val="7F7F7F"/>
              <w:sz w:val="18"/>
            </w:rPr>
            <w:t>66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BA6BE67"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6</w:t>
          </w:r>
          <w:r w:rsidRPr="007B0AA0">
            <w:rPr>
              <w:rFonts w:ascii="Calibri" w:hAnsi="Calibri" w:cs="Arial"/>
              <w:noProof/>
              <w:color w:val="7F7F7F"/>
              <w:sz w:val="18"/>
            </w:rPr>
            <w:fldChar w:fldCharType="end"/>
          </w:r>
        </w:p>
      </w:tc>
    </w:tr>
  </w:tbl>
  <w:p w14:paraId="6F87684F" w14:textId="09B21F35" w:rsidR="003822A8" w:rsidRPr="00C06B68" w:rsidRDefault="003822A8" w:rsidP="00C06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F3B00D2" w14:textId="77777777" w:rsidTr="00A67F05">
      <w:trPr>
        <w:jc w:val="center"/>
      </w:trPr>
      <w:tc>
        <w:tcPr>
          <w:tcW w:w="1013" w:type="pct"/>
          <w:vAlign w:val="center"/>
        </w:tcPr>
        <w:p w14:paraId="6E30747E"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3F1F903" w14:textId="71D231E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06B68">
            <w:rPr>
              <w:rFonts w:ascii="Calibri" w:hAnsi="Calibri" w:cs="Arial"/>
              <w:bCs/>
              <w:color w:val="7F7F7F"/>
              <w:sz w:val="18"/>
            </w:rPr>
            <w:t>66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4EAD00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F2DD434" w14:textId="77777777" w:rsidR="003822A8" w:rsidRDefault="003822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1756"/>
      <w:gridCol w:w="661"/>
    </w:tblGrid>
    <w:tr w:rsidR="00C06B68" w:rsidRPr="007B0AA0" w14:paraId="1CED1FEE" w14:textId="77777777" w:rsidTr="00BD3865">
      <w:trPr>
        <w:jc w:val="center"/>
      </w:trPr>
      <w:tc>
        <w:tcPr>
          <w:tcW w:w="868" w:type="pct"/>
          <w:vAlign w:val="center"/>
        </w:tcPr>
        <w:p w14:paraId="63E8A78E" w14:textId="77777777" w:rsidR="00C06B68" w:rsidRPr="007B0AA0" w:rsidRDefault="00C06B68" w:rsidP="00C06B68">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06B68">
            <w:rPr>
              <w:rFonts w:ascii="Calibri" w:hAnsi="Calibri" w:cs="Arial"/>
              <w:sz w:val="18"/>
              <w:szCs w:val="14"/>
            </w:rPr>
            <w:t>2600751</w:t>
          </w:r>
        </w:p>
      </w:tc>
      <w:tc>
        <w:tcPr>
          <w:tcW w:w="3912" w:type="pct"/>
        </w:tcPr>
        <w:p w14:paraId="6F70D87C"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Pr>
              <w:rFonts w:ascii="Calibri" w:hAnsi="Calibri" w:cs="Arial"/>
              <w:bCs/>
              <w:color w:val="7F7F7F"/>
              <w:sz w:val="18"/>
            </w:rPr>
            <w:t>6</w:t>
          </w:r>
          <w:proofErr w:type="spellEnd"/>
          <w:r w:rsidRPr="007B0AA0">
            <w:rPr>
              <w:rFonts w:ascii="Calibri" w:hAnsi="Calibri" w:cs="Arial"/>
              <w:bCs/>
              <w:color w:val="7F7F7F"/>
              <w:sz w:val="18"/>
            </w:rPr>
            <w:t>/</w:t>
          </w:r>
          <w:r>
            <w:rPr>
              <w:rFonts w:ascii="Calibri" w:hAnsi="Calibri" w:cs="Arial"/>
              <w:bCs/>
              <w:color w:val="7F7F7F"/>
              <w:sz w:val="18"/>
            </w:rPr>
            <w:t>66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72E0E72"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8</w:t>
          </w:r>
          <w:r w:rsidRPr="007B0AA0">
            <w:rPr>
              <w:rFonts w:ascii="Calibri" w:hAnsi="Calibri" w:cs="Arial"/>
              <w:noProof/>
              <w:color w:val="7F7F7F"/>
              <w:sz w:val="18"/>
            </w:rPr>
            <w:fldChar w:fldCharType="end"/>
          </w:r>
        </w:p>
      </w:tc>
    </w:tr>
  </w:tbl>
  <w:p w14:paraId="3405F72F" w14:textId="77777777" w:rsidR="00C06B68" w:rsidRPr="00C06B68" w:rsidRDefault="00C06B68" w:rsidP="00C06B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1756"/>
      <w:gridCol w:w="661"/>
    </w:tblGrid>
    <w:tr w:rsidR="00C06B68" w:rsidRPr="007B0AA0" w14:paraId="4B88AA36" w14:textId="77777777" w:rsidTr="00C06B68">
      <w:trPr>
        <w:jc w:val="center"/>
      </w:trPr>
      <w:tc>
        <w:tcPr>
          <w:tcW w:w="868" w:type="pct"/>
          <w:vAlign w:val="center"/>
        </w:tcPr>
        <w:p w14:paraId="32CFD1CB" w14:textId="77777777" w:rsidR="00C06B68" w:rsidRPr="007B0AA0" w:rsidRDefault="00C06B68" w:rsidP="00C06B68">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06B68">
            <w:rPr>
              <w:rFonts w:ascii="Calibri" w:hAnsi="Calibri" w:cs="Arial"/>
              <w:sz w:val="18"/>
              <w:szCs w:val="14"/>
            </w:rPr>
            <w:t>2600751</w:t>
          </w:r>
        </w:p>
      </w:tc>
      <w:tc>
        <w:tcPr>
          <w:tcW w:w="3912" w:type="pct"/>
        </w:tcPr>
        <w:p w14:paraId="69B032E2"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Pr>
              <w:rFonts w:ascii="Calibri" w:hAnsi="Calibri" w:cs="Arial"/>
              <w:bCs/>
              <w:color w:val="7F7F7F"/>
              <w:sz w:val="18"/>
            </w:rPr>
            <w:t>6</w:t>
          </w:r>
          <w:proofErr w:type="spellEnd"/>
          <w:r w:rsidRPr="007B0AA0">
            <w:rPr>
              <w:rFonts w:ascii="Calibri" w:hAnsi="Calibri" w:cs="Arial"/>
              <w:bCs/>
              <w:color w:val="7F7F7F"/>
              <w:sz w:val="18"/>
            </w:rPr>
            <w:t>/</w:t>
          </w:r>
          <w:r>
            <w:rPr>
              <w:rFonts w:ascii="Calibri" w:hAnsi="Calibri" w:cs="Arial"/>
              <w:bCs/>
              <w:color w:val="7F7F7F"/>
              <w:sz w:val="18"/>
            </w:rPr>
            <w:t>66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79CF5A6" w14:textId="77777777" w:rsidR="00C06B68" w:rsidRPr="007B0AA0" w:rsidRDefault="00C06B68" w:rsidP="00C06B68">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6</w:t>
          </w:r>
          <w:r w:rsidRPr="007B0AA0">
            <w:rPr>
              <w:rFonts w:ascii="Calibri" w:hAnsi="Calibri" w:cs="Arial"/>
              <w:noProof/>
              <w:color w:val="7F7F7F"/>
              <w:sz w:val="18"/>
            </w:rPr>
            <w:fldChar w:fldCharType="end"/>
          </w:r>
        </w:p>
      </w:tc>
    </w:tr>
  </w:tbl>
  <w:p w14:paraId="1C9C4A01" w14:textId="77777777" w:rsidR="00C06B68" w:rsidRPr="00C06B68" w:rsidRDefault="00C06B68" w:rsidP="00C0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0D70" w14:textId="77777777" w:rsidR="00A91489" w:rsidRDefault="00A91489" w:rsidP="006C3242">
      <w:pPr>
        <w:spacing w:before="0" w:line="240" w:lineRule="auto"/>
      </w:pPr>
      <w:r>
        <w:separator/>
      </w:r>
    </w:p>
  </w:footnote>
  <w:footnote w:type="continuationSeparator" w:id="0">
    <w:p w14:paraId="1B80676A" w14:textId="77777777" w:rsidR="00A91489" w:rsidRDefault="00A9148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1BD7" w14:textId="77777777" w:rsidR="001A3E13" w:rsidRPr="00057769" w:rsidRDefault="001A3E13" w:rsidP="001A3E13">
    <w:pPr>
      <w:pStyle w:val="Header"/>
    </w:pPr>
    <w:r>
      <w:rPr>
        <w:noProof/>
      </w:rPr>
      <w:drawing>
        <wp:inline distT="0" distB="0" distL="0" distR="0" wp14:anchorId="39F968C1" wp14:editId="303475AD">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EAD" w14:textId="342DFD80" w:rsidR="00C06B68" w:rsidRPr="00C06B68" w:rsidRDefault="00C06B68" w:rsidP="00C0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AC774B"/>
    <w:multiLevelType w:val="hybridMultilevel"/>
    <w:tmpl w:val="2AF8AFA2"/>
    <w:lvl w:ilvl="0" w:tplc="7CC63722">
      <w:start w:val="1"/>
      <w:numFmt w:val="bullet"/>
      <w:lvlText w:val=""/>
      <w:lvlJc w:val="left"/>
      <w:pPr>
        <w:ind w:left="360" w:hanging="360"/>
      </w:pPr>
      <w:rPr>
        <w:rFonts w:ascii="Symbol" w:hAnsi="Symbol" w:hint="default"/>
      </w:rPr>
    </w:lvl>
    <w:lvl w:ilvl="1" w:tplc="7F82FB58">
      <w:start w:val="1"/>
      <w:numFmt w:val="bullet"/>
      <w:lvlText w:val="o"/>
      <w:lvlJc w:val="left"/>
      <w:pPr>
        <w:ind w:left="1080" w:hanging="360"/>
      </w:pPr>
      <w:rPr>
        <w:rFonts w:ascii="Courier New" w:hAnsi="Courier New" w:hint="default"/>
      </w:rPr>
    </w:lvl>
    <w:lvl w:ilvl="2" w:tplc="04324E0A">
      <w:start w:val="1"/>
      <w:numFmt w:val="bullet"/>
      <w:lvlText w:val=""/>
      <w:lvlJc w:val="left"/>
      <w:pPr>
        <w:ind w:left="1800" w:hanging="360"/>
      </w:pPr>
      <w:rPr>
        <w:rFonts w:ascii="Wingdings" w:hAnsi="Wingdings" w:hint="default"/>
      </w:rPr>
    </w:lvl>
    <w:lvl w:ilvl="3" w:tplc="4B8215FC">
      <w:start w:val="1"/>
      <w:numFmt w:val="bullet"/>
      <w:lvlText w:val=""/>
      <w:lvlJc w:val="left"/>
      <w:pPr>
        <w:ind w:left="2520" w:hanging="360"/>
      </w:pPr>
      <w:rPr>
        <w:rFonts w:ascii="Symbol" w:hAnsi="Symbol" w:hint="default"/>
      </w:rPr>
    </w:lvl>
    <w:lvl w:ilvl="4" w:tplc="CEE0EB60">
      <w:start w:val="1"/>
      <w:numFmt w:val="bullet"/>
      <w:lvlText w:val="o"/>
      <w:lvlJc w:val="left"/>
      <w:pPr>
        <w:ind w:left="3240" w:hanging="360"/>
      </w:pPr>
      <w:rPr>
        <w:rFonts w:ascii="Courier New" w:hAnsi="Courier New" w:hint="default"/>
      </w:rPr>
    </w:lvl>
    <w:lvl w:ilvl="5" w:tplc="7152BB98">
      <w:start w:val="1"/>
      <w:numFmt w:val="bullet"/>
      <w:lvlText w:val=""/>
      <w:lvlJc w:val="left"/>
      <w:pPr>
        <w:ind w:left="3960" w:hanging="360"/>
      </w:pPr>
      <w:rPr>
        <w:rFonts w:ascii="Wingdings" w:hAnsi="Wingdings" w:hint="default"/>
      </w:rPr>
    </w:lvl>
    <w:lvl w:ilvl="6" w:tplc="44CA726E">
      <w:start w:val="1"/>
      <w:numFmt w:val="bullet"/>
      <w:lvlText w:val=""/>
      <w:lvlJc w:val="left"/>
      <w:pPr>
        <w:ind w:left="4680" w:hanging="360"/>
      </w:pPr>
      <w:rPr>
        <w:rFonts w:ascii="Symbol" w:hAnsi="Symbol" w:hint="default"/>
      </w:rPr>
    </w:lvl>
    <w:lvl w:ilvl="7" w:tplc="5A4471C4">
      <w:start w:val="1"/>
      <w:numFmt w:val="bullet"/>
      <w:lvlText w:val="o"/>
      <w:lvlJc w:val="left"/>
      <w:pPr>
        <w:ind w:left="5400" w:hanging="360"/>
      </w:pPr>
      <w:rPr>
        <w:rFonts w:ascii="Courier New" w:hAnsi="Courier New" w:hint="default"/>
      </w:rPr>
    </w:lvl>
    <w:lvl w:ilvl="8" w:tplc="E46C8380">
      <w:start w:val="1"/>
      <w:numFmt w:val="bullet"/>
      <w:lvlText w:val=""/>
      <w:lvlJc w:val="left"/>
      <w:pPr>
        <w:ind w:left="612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583025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89"/>
    <w:rsid w:val="000116AF"/>
    <w:rsid w:val="00044925"/>
    <w:rsid w:val="0006468A"/>
    <w:rsid w:val="00077A58"/>
    <w:rsid w:val="00090574"/>
    <w:rsid w:val="000B4077"/>
    <w:rsid w:val="000C1C0E"/>
    <w:rsid w:val="000C548A"/>
    <w:rsid w:val="0012112A"/>
    <w:rsid w:val="00180163"/>
    <w:rsid w:val="00191059"/>
    <w:rsid w:val="001A3E13"/>
    <w:rsid w:val="001B6E2B"/>
    <w:rsid w:val="001C0169"/>
    <w:rsid w:val="001C0C21"/>
    <w:rsid w:val="001D1567"/>
    <w:rsid w:val="001D1D50"/>
    <w:rsid w:val="001D64C7"/>
    <w:rsid w:val="001D6745"/>
    <w:rsid w:val="001E446E"/>
    <w:rsid w:val="001F1441"/>
    <w:rsid w:val="002154EE"/>
    <w:rsid w:val="002276D2"/>
    <w:rsid w:val="00230C7C"/>
    <w:rsid w:val="0023283D"/>
    <w:rsid w:val="00254393"/>
    <w:rsid w:val="0026373E"/>
    <w:rsid w:val="00271C43"/>
    <w:rsid w:val="00290728"/>
    <w:rsid w:val="002978F4"/>
    <w:rsid w:val="002B028D"/>
    <w:rsid w:val="002C2E31"/>
    <w:rsid w:val="002C3F32"/>
    <w:rsid w:val="002E6541"/>
    <w:rsid w:val="00334924"/>
    <w:rsid w:val="003409BC"/>
    <w:rsid w:val="00357185"/>
    <w:rsid w:val="003822A8"/>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26278"/>
    <w:rsid w:val="00653F97"/>
    <w:rsid w:val="00657019"/>
    <w:rsid w:val="00660DEA"/>
    <w:rsid w:val="00677396"/>
    <w:rsid w:val="00683F16"/>
    <w:rsid w:val="00685C79"/>
    <w:rsid w:val="0069200F"/>
    <w:rsid w:val="006A65CB"/>
    <w:rsid w:val="006B12E5"/>
    <w:rsid w:val="006C3242"/>
    <w:rsid w:val="006C7CC0"/>
    <w:rsid w:val="006F363C"/>
    <w:rsid w:val="006F63F7"/>
    <w:rsid w:val="006F6644"/>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8D3D7A"/>
    <w:rsid w:val="0091702E"/>
    <w:rsid w:val="00923B0C"/>
    <w:rsid w:val="00924F46"/>
    <w:rsid w:val="00935AAC"/>
    <w:rsid w:val="0093725D"/>
    <w:rsid w:val="0094021C"/>
    <w:rsid w:val="009417CD"/>
    <w:rsid w:val="00952F86"/>
    <w:rsid w:val="0096716C"/>
    <w:rsid w:val="00982B28"/>
    <w:rsid w:val="009868AC"/>
    <w:rsid w:val="009D313F"/>
    <w:rsid w:val="00A47A5A"/>
    <w:rsid w:val="00A61F7D"/>
    <w:rsid w:val="00A63AE6"/>
    <w:rsid w:val="00A6683B"/>
    <w:rsid w:val="00A67F05"/>
    <w:rsid w:val="00A91489"/>
    <w:rsid w:val="00A91EBE"/>
    <w:rsid w:val="00A97F94"/>
    <w:rsid w:val="00AA7EA2"/>
    <w:rsid w:val="00AB5A56"/>
    <w:rsid w:val="00B03099"/>
    <w:rsid w:val="00B05BC8"/>
    <w:rsid w:val="00B22E17"/>
    <w:rsid w:val="00B2786F"/>
    <w:rsid w:val="00B30F5E"/>
    <w:rsid w:val="00B64B47"/>
    <w:rsid w:val="00B95654"/>
    <w:rsid w:val="00B97F32"/>
    <w:rsid w:val="00BA04B2"/>
    <w:rsid w:val="00C002DE"/>
    <w:rsid w:val="00C0602B"/>
    <w:rsid w:val="00C06B68"/>
    <w:rsid w:val="00C224DA"/>
    <w:rsid w:val="00C53BF8"/>
    <w:rsid w:val="00C66157"/>
    <w:rsid w:val="00C674FE"/>
    <w:rsid w:val="00C67501"/>
    <w:rsid w:val="00C75633"/>
    <w:rsid w:val="00CE2EE1"/>
    <w:rsid w:val="00CE3349"/>
    <w:rsid w:val="00CE36E5"/>
    <w:rsid w:val="00CE4360"/>
    <w:rsid w:val="00CE7166"/>
    <w:rsid w:val="00CF27F5"/>
    <w:rsid w:val="00CF3FFD"/>
    <w:rsid w:val="00D10CCF"/>
    <w:rsid w:val="00D13941"/>
    <w:rsid w:val="00D23F5F"/>
    <w:rsid w:val="00D43F7D"/>
    <w:rsid w:val="00D63735"/>
    <w:rsid w:val="00D77D0F"/>
    <w:rsid w:val="00DA1CF0"/>
    <w:rsid w:val="00DA6A30"/>
    <w:rsid w:val="00DB3165"/>
    <w:rsid w:val="00DC1E02"/>
    <w:rsid w:val="00DC24B4"/>
    <w:rsid w:val="00DC5FB0"/>
    <w:rsid w:val="00DF16DC"/>
    <w:rsid w:val="00E4045E"/>
    <w:rsid w:val="00E45211"/>
    <w:rsid w:val="00E473C5"/>
    <w:rsid w:val="00E61BE8"/>
    <w:rsid w:val="00E83FF1"/>
    <w:rsid w:val="00E92863"/>
    <w:rsid w:val="00E979B2"/>
    <w:rsid w:val="00EB796D"/>
    <w:rsid w:val="00EE52B6"/>
    <w:rsid w:val="00F058DC"/>
    <w:rsid w:val="00F24FC4"/>
    <w:rsid w:val="00F2676C"/>
    <w:rsid w:val="00F363FE"/>
    <w:rsid w:val="00F50E3F"/>
    <w:rsid w:val="00F84366"/>
    <w:rsid w:val="00F85089"/>
    <w:rsid w:val="00F915C1"/>
    <w:rsid w:val="00F974C5"/>
    <w:rsid w:val="00FA3763"/>
    <w:rsid w:val="00FA6F46"/>
    <w:rsid w:val="00FC0E94"/>
    <w:rsid w:val="00FC4592"/>
    <w:rsid w:val="00FD527F"/>
    <w:rsid w:val="00FE2D8F"/>
    <w:rsid w:val="00FE5872"/>
    <w:rsid w:val="00FE7FCA"/>
    <w:rsid w:val="00FF28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320E1"/>
  <w15:chartTrackingRefBased/>
  <w15:docId w15:val="{1C8F4D93-7343-413E-BB4E-CE914405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48-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12</Pages>
  <Words>4803</Words>
  <Characters>26661</Characters>
  <Application>Microsoft Office Word</Application>
  <DocSecurity>0</DocSecurity>
  <Lines>467</Lines>
  <Paragraphs>264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transformation plan and of Resolution 48 (Rev. Bucharest, 2022)</dc:title>
  <dc:subject>ITU Council 2026</dc:subject>
  <cp:keywords>C26; C2026; Council 2026; PP26</cp:keywords>
  <dc:description/>
  <dcterms:created xsi:type="dcterms:W3CDTF">2026-04-28T17:05:00Z</dcterms:created>
  <dcterms:modified xsi:type="dcterms:W3CDTF">2026-04-28T17:06:00Z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