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A5733E" w14:paraId="59E02E78" w14:textId="77777777" w:rsidTr="00C4421B">
        <w:trPr>
          <w:cantSplit/>
          <w:trHeight w:val="23"/>
        </w:trPr>
        <w:tc>
          <w:tcPr>
            <w:tcW w:w="3969" w:type="dxa"/>
            <w:vMerge w:val="restart"/>
            <w:tcMar>
              <w:left w:w="0" w:type="dxa"/>
            </w:tcMar>
          </w:tcPr>
          <w:p w14:paraId="74CC168F" w14:textId="24775974" w:rsidR="00FE57F6" w:rsidRPr="00A5733E" w:rsidRDefault="00CC1FAF" w:rsidP="00C4421B">
            <w:pPr>
              <w:tabs>
                <w:tab w:val="left" w:pos="851"/>
              </w:tabs>
              <w:spacing w:before="0" w:line="240" w:lineRule="atLeast"/>
              <w:rPr>
                <w:b/>
                <w:lang w:val="es-ES"/>
              </w:rPr>
            </w:pPr>
            <w:bookmarkStart w:id="0" w:name="_Hlk133421839"/>
            <w:r w:rsidRPr="00A5733E">
              <w:rPr>
                <w:b/>
                <w:lang w:val="es-ES"/>
              </w:rPr>
              <w:t>Punto del o</w:t>
            </w:r>
            <w:r w:rsidR="00BB6FD8" w:rsidRPr="00A5733E">
              <w:rPr>
                <w:b/>
                <w:lang w:val="es-ES"/>
              </w:rPr>
              <w:t>rden del día</w:t>
            </w:r>
            <w:r w:rsidR="00FE57F6" w:rsidRPr="00A5733E">
              <w:rPr>
                <w:b/>
                <w:lang w:val="es-ES"/>
              </w:rPr>
              <w:t xml:space="preserve">: </w:t>
            </w:r>
            <w:r w:rsidR="00202E6A" w:rsidRPr="00A5733E">
              <w:rPr>
                <w:b/>
                <w:lang w:val="es-ES"/>
              </w:rPr>
              <w:t>ADM3</w:t>
            </w:r>
          </w:p>
        </w:tc>
        <w:tc>
          <w:tcPr>
            <w:tcW w:w="5245" w:type="dxa"/>
          </w:tcPr>
          <w:p w14:paraId="548A54B3" w14:textId="7B129E60" w:rsidR="00FE57F6" w:rsidRPr="00A5733E" w:rsidRDefault="00FE57F6" w:rsidP="00C4421B">
            <w:pPr>
              <w:tabs>
                <w:tab w:val="left" w:pos="851"/>
              </w:tabs>
              <w:spacing w:before="0" w:line="240" w:lineRule="atLeast"/>
              <w:jc w:val="right"/>
              <w:rPr>
                <w:b/>
                <w:lang w:val="es-ES"/>
              </w:rPr>
            </w:pPr>
            <w:r w:rsidRPr="00A5733E">
              <w:rPr>
                <w:b/>
                <w:lang w:val="es-ES"/>
              </w:rPr>
              <w:t>Document</w:t>
            </w:r>
            <w:r w:rsidR="00F24B71" w:rsidRPr="00A5733E">
              <w:rPr>
                <w:b/>
                <w:lang w:val="es-ES"/>
              </w:rPr>
              <w:t>o</w:t>
            </w:r>
            <w:r w:rsidRPr="00A5733E">
              <w:rPr>
                <w:b/>
                <w:lang w:val="es-ES"/>
              </w:rPr>
              <w:t xml:space="preserve"> C2</w:t>
            </w:r>
            <w:r w:rsidR="00F85E5C" w:rsidRPr="00A5733E">
              <w:rPr>
                <w:b/>
                <w:lang w:val="es-ES"/>
              </w:rPr>
              <w:t>6</w:t>
            </w:r>
            <w:r w:rsidRPr="00A5733E">
              <w:rPr>
                <w:b/>
                <w:lang w:val="es-ES"/>
              </w:rPr>
              <w:t>/</w:t>
            </w:r>
            <w:r w:rsidR="00202E6A" w:rsidRPr="00A5733E">
              <w:rPr>
                <w:b/>
                <w:lang w:val="es-ES"/>
              </w:rPr>
              <w:t>65</w:t>
            </w:r>
            <w:r w:rsidRPr="00A5733E">
              <w:rPr>
                <w:b/>
                <w:lang w:val="es-ES"/>
              </w:rPr>
              <w:t>-</w:t>
            </w:r>
            <w:r w:rsidR="00F24B71" w:rsidRPr="00A5733E">
              <w:rPr>
                <w:b/>
                <w:lang w:val="es-ES"/>
              </w:rPr>
              <w:t>S</w:t>
            </w:r>
          </w:p>
        </w:tc>
      </w:tr>
      <w:tr w:rsidR="00FE57F6" w:rsidRPr="00A5733E" w14:paraId="032B9974" w14:textId="77777777" w:rsidTr="00C4421B">
        <w:trPr>
          <w:cantSplit/>
        </w:trPr>
        <w:tc>
          <w:tcPr>
            <w:tcW w:w="3969" w:type="dxa"/>
            <w:vMerge/>
          </w:tcPr>
          <w:p w14:paraId="08638A76" w14:textId="77777777" w:rsidR="00FE57F6" w:rsidRPr="00A5733E" w:rsidRDefault="00FE57F6" w:rsidP="00C4421B">
            <w:pPr>
              <w:tabs>
                <w:tab w:val="left" w:pos="851"/>
              </w:tabs>
              <w:spacing w:line="240" w:lineRule="atLeast"/>
              <w:rPr>
                <w:b/>
                <w:lang w:val="es-ES"/>
              </w:rPr>
            </w:pPr>
          </w:p>
        </w:tc>
        <w:tc>
          <w:tcPr>
            <w:tcW w:w="5245" w:type="dxa"/>
          </w:tcPr>
          <w:p w14:paraId="6DC394AD" w14:textId="64E1EF3C" w:rsidR="00FE57F6" w:rsidRPr="00A5733E" w:rsidRDefault="00202E6A" w:rsidP="00C4421B">
            <w:pPr>
              <w:tabs>
                <w:tab w:val="left" w:pos="851"/>
              </w:tabs>
              <w:spacing w:before="0"/>
              <w:jc w:val="right"/>
              <w:rPr>
                <w:b/>
                <w:lang w:val="es-ES"/>
              </w:rPr>
            </w:pPr>
            <w:r w:rsidRPr="00A5733E">
              <w:rPr>
                <w:b/>
                <w:lang w:val="es-ES"/>
              </w:rPr>
              <w:t>30 de marzo de 2026</w:t>
            </w:r>
          </w:p>
        </w:tc>
      </w:tr>
      <w:tr w:rsidR="00FE57F6" w:rsidRPr="00A5733E" w14:paraId="032A3FFD" w14:textId="77777777" w:rsidTr="00C4421B">
        <w:trPr>
          <w:cantSplit/>
          <w:trHeight w:val="23"/>
        </w:trPr>
        <w:tc>
          <w:tcPr>
            <w:tcW w:w="3969" w:type="dxa"/>
            <w:vMerge/>
          </w:tcPr>
          <w:p w14:paraId="3AAA9A22" w14:textId="77777777" w:rsidR="00FE57F6" w:rsidRPr="00A5733E" w:rsidRDefault="00FE57F6" w:rsidP="00C4421B">
            <w:pPr>
              <w:tabs>
                <w:tab w:val="left" w:pos="851"/>
              </w:tabs>
              <w:spacing w:line="240" w:lineRule="atLeast"/>
              <w:rPr>
                <w:b/>
                <w:lang w:val="es-ES"/>
              </w:rPr>
            </w:pPr>
          </w:p>
        </w:tc>
        <w:tc>
          <w:tcPr>
            <w:tcW w:w="5245" w:type="dxa"/>
          </w:tcPr>
          <w:p w14:paraId="3DE7DD86" w14:textId="77777777" w:rsidR="00FE57F6" w:rsidRPr="00A5733E" w:rsidRDefault="00F24B71" w:rsidP="00C4421B">
            <w:pPr>
              <w:tabs>
                <w:tab w:val="left" w:pos="851"/>
              </w:tabs>
              <w:spacing w:before="0" w:line="240" w:lineRule="atLeast"/>
              <w:jc w:val="right"/>
              <w:rPr>
                <w:b/>
                <w:bCs/>
                <w:lang w:val="es-ES"/>
              </w:rPr>
            </w:pPr>
            <w:r w:rsidRPr="00A5733E">
              <w:rPr>
                <w:rFonts w:cstheme="minorHAnsi"/>
                <w:b/>
                <w:bCs/>
                <w:lang w:val="es-ES"/>
              </w:rPr>
              <w:t>Original: inglés</w:t>
            </w:r>
          </w:p>
        </w:tc>
      </w:tr>
      <w:tr w:rsidR="00FE57F6" w:rsidRPr="00A5733E" w14:paraId="54AEB71A" w14:textId="77777777" w:rsidTr="00C4421B">
        <w:trPr>
          <w:cantSplit/>
          <w:trHeight w:val="23"/>
        </w:trPr>
        <w:tc>
          <w:tcPr>
            <w:tcW w:w="3969" w:type="dxa"/>
          </w:tcPr>
          <w:p w14:paraId="06E58C61" w14:textId="77777777" w:rsidR="00FE57F6" w:rsidRPr="00A5733E" w:rsidRDefault="00FE57F6" w:rsidP="004E6354">
            <w:pPr>
              <w:tabs>
                <w:tab w:val="left" w:pos="851"/>
              </w:tabs>
              <w:spacing w:before="0" w:line="240" w:lineRule="atLeast"/>
              <w:rPr>
                <w:b/>
                <w:lang w:val="es-ES"/>
              </w:rPr>
            </w:pPr>
          </w:p>
        </w:tc>
        <w:tc>
          <w:tcPr>
            <w:tcW w:w="5245" w:type="dxa"/>
          </w:tcPr>
          <w:p w14:paraId="2F4712F3" w14:textId="77777777" w:rsidR="00FE57F6" w:rsidRPr="00A5733E" w:rsidRDefault="00FE57F6" w:rsidP="004E6354">
            <w:pPr>
              <w:tabs>
                <w:tab w:val="left" w:pos="851"/>
              </w:tabs>
              <w:spacing w:before="0" w:line="240" w:lineRule="atLeast"/>
              <w:jc w:val="right"/>
              <w:rPr>
                <w:b/>
                <w:lang w:val="es-ES"/>
              </w:rPr>
            </w:pPr>
          </w:p>
        </w:tc>
      </w:tr>
      <w:tr w:rsidR="00FE57F6" w:rsidRPr="004E6354" w14:paraId="73691AB4" w14:textId="77777777" w:rsidTr="00C4421B">
        <w:trPr>
          <w:cantSplit/>
        </w:trPr>
        <w:tc>
          <w:tcPr>
            <w:tcW w:w="9214" w:type="dxa"/>
            <w:gridSpan w:val="2"/>
            <w:tcMar>
              <w:left w:w="0" w:type="dxa"/>
            </w:tcMar>
          </w:tcPr>
          <w:p w14:paraId="4DB3524C" w14:textId="77777777" w:rsidR="00FE57F6" w:rsidRPr="004E6354" w:rsidRDefault="00157AC4" w:rsidP="004E6354">
            <w:pPr>
              <w:pStyle w:val="Source"/>
              <w:spacing w:before="360"/>
              <w:jc w:val="left"/>
              <w:rPr>
                <w:sz w:val="32"/>
                <w:szCs w:val="32"/>
                <w:lang w:val="es-ES"/>
              </w:rPr>
            </w:pPr>
            <w:r w:rsidRPr="004E6354">
              <w:rPr>
                <w:rFonts w:cstheme="minorHAnsi"/>
                <w:sz w:val="32"/>
                <w:szCs w:val="32"/>
                <w:lang w:val="es-ES"/>
              </w:rPr>
              <w:t>Informe de la Secretaria General</w:t>
            </w:r>
          </w:p>
        </w:tc>
      </w:tr>
      <w:tr w:rsidR="00FE57F6" w:rsidRPr="004E6354" w14:paraId="00489B25" w14:textId="77777777" w:rsidTr="00C4421B">
        <w:trPr>
          <w:cantSplit/>
        </w:trPr>
        <w:tc>
          <w:tcPr>
            <w:tcW w:w="9214" w:type="dxa"/>
            <w:gridSpan w:val="2"/>
            <w:tcMar>
              <w:left w:w="0" w:type="dxa"/>
            </w:tcMar>
          </w:tcPr>
          <w:p w14:paraId="22325737" w14:textId="4A442FC1" w:rsidR="00FE57F6" w:rsidRPr="00A5733E" w:rsidRDefault="00202E6A" w:rsidP="00C4421B">
            <w:pPr>
              <w:pStyle w:val="Subtitle"/>
              <w:framePr w:hSpace="0" w:wrap="auto" w:hAnchor="text" w:xAlign="left" w:yAlign="inline"/>
              <w:rPr>
                <w:lang w:val="es-ES"/>
              </w:rPr>
            </w:pPr>
            <w:r w:rsidRPr="00A5733E">
              <w:rPr>
                <w:color w:val="000000"/>
                <w:lang w:val="es-ES"/>
              </w:rPr>
              <w:t>INFORMACIÓN ACTUALIZADA SOBRE LA CONTINUIDAD DE LAS ACTIVIDADES DURANTE EL PERIODO DE CONSTRUCCIÓN DEL NUEVO EDIFICIO DE LA UIT</w:t>
            </w:r>
          </w:p>
        </w:tc>
      </w:tr>
      <w:tr w:rsidR="00FE57F6" w:rsidRPr="004E6354" w14:paraId="62543548" w14:textId="77777777" w:rsidTr="00C4421B">
        <w:trPr>
          <w:cantSplit/>
        </w:trPr>
        <w:tc>
          <w:tcPr>
            <w:tcW w:w="9214" w:type="dxa"/>
            <w:gridSpan w:val="2"/>
            <w:tcBorders>
              <w:top w:val="single" w:sz="4" w:space="0" w:color="auto"/>
              <w:bottom w:val="single" w:sz="4" w:space="0" w:color="auto"/>
            </w:tcBorders>
            <w:tcMar>
              <w:left w:w="0" w:type="dxa"/>
            </w:tcMar>
          </w:tcPr>
          <w:p w14:paraId="7C749CD3" w14:textId="77777777" w:rsidR="00FE57F6" w:rsidRPr="00A5733E" w:rsidRDefault="00F24B71" w:rsidP="00C4421B">
            <w:pPr>
              <w:spacing w:before="160"/>
              <w:rPr>
                <w:b/>
                <w:bCs/>
                <w:sz w:val="26"/>
                <w:szCs w:val="26"/>
                <w:lang w:val="es-ES"/>
              </w:rPr>
            </w:pPr>
            <w:r w:rsidRPr="00A5733E">
              <w:rPr>
                <w:b/>
                <w:bCs/>
                <w:sz w:val="26"/>
                <w:szCs w:val="26"/>
                <w:lang w:val="es-ES"/>
              </w:rPr>
              <w:t>Finalidad</w:t>
            </w:r>
          </w:p>
          <w:p w14:paraId="43BF0FE4" w14:textId="2690A2D4" w:rsidR="00202E6A" w:rsidRPr="00A5733E" w:rsidRDefault="00202E6A" w:rsidP="004E6354">
            <w:pPr>
              <w:jc w:val="both"/>
              <w:rPr>
                <w:lang w:val="es-ES"/>
              </w:rPr>
            </w:pPr>
            <w:r w:rsidRPr="00A5733E">
              <w:rPr>
                <w:lang w:val="es-ES"/>
              </w:rPr>
              <w:t>En el presente informe se proporciona información actualizada sobre el documento relativo a las modalidades para la continuación de las reuniones de la UIT durante el período de construcción del nuevo edificio de la sede de la UIT en 2028 y 2029, que se presentó al GTC</w:t>
            </w:r>
            <w:r w:rsidR="00C04ABF" w:rsidRPr="00A5733E">
              <w:rPr>
                <w:lang w:val="es-ES"/>
              </w:rPr>
              <w:noBreakHyphen/>
            </w:r>
            <w:r w:rsidRPr="00A5733E">
              <w:rPr>
                <w:lang w:val="es-ES"/>
              </w:rPr>
              <w:t xml:space="preserve">RHF en su 22.ª reunión (documento </w:t>
            </w:r>
            <w:hyperlink r:id="rId8" w:history="1">
              <w:proofErr w:type="spellStart"/>
              <w:r w:rsidRPr="00A5733E">
                <w:rPr>
                  <w:rStyle w:val="Hyperlink"/>
                  <w:lang w:val="es-ES"/>
                </w:rPr>
                <w:t>CWG</w:t>
              </w:r>
              <w:proofErr w:type="spellEnd"/>
              <w:r w:rsidRPr="00A5733E">
                <w:rPr>
                  <w:rStyle w:val="Hyperlink"/>
                  <w:lang w:val="es-ES"/>
                </w:rPr>
                <w:t>-</w:t>
              </w:r>
              <w:proofErr w:type="spellStart"/>
              <w:r w:rsidRPr="00A5733E">
                <w:rPr>
                  <w:rStyle w:val="Hyperlink"/>
                  <w:lang w:val="es-ES"/>
                </w:rPr>
                <w:t>FHR</w:t>
              </w:r>
              <w:proofErr w:type="spellEnd"/>
              <w:r w:rsidRPr="00A5733E">
                <w:rPr>
                  <w:rStyle w:val="Hyperlink"/>
                  <w:lang w:val="es-ES"/>
                </w:rPr>
                <w:t>-22/13</w:t>
              </w:r>
            </w:hyperlink>
            <w:r w:rsidRPr="00A5733E">
              <w:rPr>
                <w:lang w:val="es-ES"/>
              </w:rPr>
              <w:t>). Se facilita información adicional sobre las diferentes opciones para celebrar las reuniones de la UIT en el período en cuestión y sus repercusiones financieras.</w:t>
            </w:r>
            <w:hyperlink r:id="rId9"/>
          </w:p>
          <w:p w14:paraId="20B14850" w14:textId="4B1A0A1C" w:rsidR="00FE57F6" w:rsidRPr="00A5733E" w:rsidRDefault="00202E6A" w:rsidP="004E6354">
            <w:pPr>
              <w:jc w:val="both"/>
              <w:rPr>
                <w:lang w:val="es-ES"/>
              </w:rPr>
            </w:pPr>
            <w:r w:rsidRPr="00A5733E">
              <w:rPr>
                <w:color w:val="000000"/>
                <w:lang w:val="es-ES"/>
              </w:rPr>
              <w:t xml:space="preserve">El presente informe se centra en la continuidad de las actividades para las reuniones. El Documento </w:t>
            </w:r>
            <w:hyperlink r:id="rId10" w:history="1">
              <w:proofErr w:type="spellStart"/>
              <w:r w:rsidRPr="00A5733E">
                <w:rPr>
                  <w:rStyle w:val="Hyperlink"/>
                  <w:lang w:val="es-ES"/>
                </w:rPr>
                <w:t>C26</w:t>
              </w:r>
              <w:proofErr w:type="spellEnd"/>
              <w:r w:rsidRPr="00A5733E">
                <w:rPr>
                  <w:rStyle w:val="Hyperlink"/>
                  <w:lang w:val="es-ES"/>
                </w:rPr>
                <w:t>/7</w:t>
              </w:r>
            </w:hyperlink>
            <w:r w:rsidRPr="00A5733E">
              <w:rPr>
                <w:color w:val="000000"/>
                <w:lang w:val="es-ES"/>
              </w:rPr>
              <w:t xml:space="preserve"> contiene información actualizada sobre la continuidad de las operaciones de la Sede de la UIT.</w:t>
            </w:r>
          </w:p>
          <w:p w14:paraId="4C2FD817" w14:textId="77777777" w:rsidR="00FE57F6" w:rsidRPr="00A5733E" w:rsidRDefault="00F24B71" w:rsidP="00C4421B">
            <w:pPr>
              <w:spacing w:before="160"/>
              <w:rPr>
                <w:b/>
                <w:bCs/>
                <w:sz w:val="26"/>
                <w:szCs w:val="26"/>
                <w:lang w:val="es-ES"/>
              </w:rPr>
            </w:pPr>
            <w:r w:rsidRPr="00A5733E">
              <w:rPr>
                <w:b/>
                <w:bCs/>
                <w:sz w:val="26"/>
                <w:szCs w:val="26"/>
                <w:lang w:val="es-ES"/>
              </w:rPr>
              <w:t xml:space="preserve">Acción solicitada </w:t>
            </w:r>
            <w:r w:rsidR="00677A97" w:rsidRPr="00A5733E">
              <w:rPr>
                <w:b/>
                <w:bCs/>
                <w:sz w:val="26"/>
                <w:szCs w:val="26"/>
                <w:lang w:val="es-ES"/>
              </w:rPr>
              <w:t>al</w:t>
            </w:r>
            <w:r w:rsidRPr="00A5733E">
              <w:rPr>
                <w:b/>
                <w:bCs/>
                <w:sz w:val="26"/>
                <w:szCs w:val="26"/>
                <w:lang w:val="es-ES"/>
              </w:rPr>
              <w:t xml:space="preserve"> Consejo</w:t>
            </w:r>
          </w:p>
          <w:p w14:paraId="7297A691" w14:textId="77777777" w:rsidR="00202E6A" w:rsidRPr="00A5733E" w:rsidRDefault="00202E6A" w:rsidP="00202E6A">
            <w:pPr>
              <w:rPr>
                <w:lang w:val="es-ES"/>
              </w:rPr>
            </w:pPr>
            <w:r w:rsidRPr="00A5733E">
              <w:rPr>
                <w:color w:val="000000"/>
                <w:lang w:val="es-ES"/>
              </w:rPr>
              <w:t xml:space="preserve">Se invita al Consejo a </w:t>
            </w:r>
            <w:r w:rsidRPr="00A5733E">
              <w:rPr>
                <w:b/>
                <w:bCs/>
                <w:color w:val="000000"/>
                <w:lang w:val="es-ES"/>
              </w:rPr>
              <w:t>tomar nota</w:t>
            </w:r>
            <w:r w:rsidRPr="00A5733E">
              <w:rPr>
                <w:color w:val="000000"/>
                <w:lang w:val="es-ES"/>
              </w:rPr>
              <w:t xml:space="preserve"> de este documento.</w:t>
            </w:r>
          </w:p>
          <w:p w14:paraId="2592F7E2" w14:textId="77777777" w:rsidR="00F92BED" w:rsidRPr="00A5733E" w:rsidRDefault="00F92BED" w:rsidP="00C4421B">
            <w:pPr>
              <w:spacing w:before="160"/>
              <w:rPr>
                <w:b/>
                <w:bCs/>
                <w:sz w:val="26"/>
                <w:szCs w:val="26"/>
                <w:lang w:val="es-ES"/>
              </w:rPr>
            </w:pPr>
            <w:r w:rsidRPr="00A5733E">
              <w:rPr>
                <w:b/>
                <w:bCs/>
                <w:sz w:val="26"/>
                <w:szCs w:val="26"/>
                <w:lang w:val="es-ES"/>
              </w:rPr>
              <w:t>Vínculo(s) pertinente(s) con el Plan Estratégico</w:t>
            </w:r>
          </w:p>
          <w:p w14:paraId="123C6515" w14:textId="55FB5B36" w:rsidR="00F92BED" w:rsidRPr="00A5733E" w:rsidRDefault="00202E6A" w:rsidP="00C4421B">
            <w:pPr>
              <w:rPr>
                <w:lang w:val="es-ES"/>
              </w:rPr>
            </w:pPr>
            <w:r w:rsidRPr="00A5733E">
              <w:rPr>
                <w:color w:val="000000"/>
                <w:lang w:val="es-ES"/>
              </w:rPr>
              <w:t>Plataformas de reunión</w:t>
            </w:r>
          </w:p>
          <w:p w14:paraId="31FE9126" w14:textId="77777777" w:rsidR="00F92BED" w:rsidRPr="00A5733E" w:rsidRDefault="00F92BED" w:rsidP="00C4421B">
            <w:pPr>
              <w:spacing w:before="160"/>
              <w:rPr>
                <w:b/>
                <w:bCs/>
                <w:sz w:val="26"/>
                <w:szCs w:val="26"/>
                <w:lang w:val="es-ES"/>
              </w:rPr>
            </w:pPr>
            <w:r w:rsidRPr="00A5733E">
              <w:rPr>
                <w:b/>
                <w:bCs/>
                <w:sz w:val="26"/>
                <w:szCs w:val="26"/>
                <w:lang w:val="es-ES"/>
              </w:rPr>
              <w:t>Repercusiones financieras</w:t>
            </w:r>
          </w:p>
          <w:p w14:paraId="2A31B16A" w14:textId="6978FA07" w:rsidR="00202E6A" w:rsidRPr="00794E08" w:rsidRDefault="00202E6A" w:rsidP="004E6354">
            <w:pPr>
              <w:jc w:val="both"/>
              <w:rPr>
                <w:spacing w:val="-3"/>
                <w:lang w:val="es-ES"/>
              </w:rPr>
            </w:pPr>
            <w:r w:rsidRPr="00794E08">
              <w:rPr>
                <w:spacing w:val="-3"/>
                <w:lang w:val="es-ES"/>
              </w:rPr>
              <w:t>Todas las opciones de continuidad de las actividades requieren financiación. El fondo de continuidad de las actividades asciende actualmente a 3,17 millones CHF, incluida la contribución de Suiza de 2,78 millones CHF y 0,389 millones CHF atribuidos por el Consejo en</w:t>
            </w:r>
            <w:r w:rsidR="00912F3D" w:rsidRPr="00794E08">
              <w:rPr>
                <w:spacing w:val="-3"/>
                <w:lang w:val="es-ES"/>
              </w:rPr>
              <w:t> </w:t>
            </w:r>
            <w:r w:rsidRPr="00794E08">
              <w:rPr>
                <w:spacing w:val="-3"/>
                <w:lang w:val="es-ES"/>
              </w:rPr>
              <w:t>2025.</w:t>
            </w:r>
          </w:p>
          <w:p w14:paraId="0E133354" w14:textId="28D13722" w:rsidR="00F92BED" w:rsidRPr="00A5733E" w:rsidRDefault="00202E6A" w:rsidP="004E6354">
            <w:pPr>
              <w:jc w:val="both"/>
              <w:rPr>
                <w:lang w:val="es-ES"/>
              </w:rPr>
            </w:pPr>
            <w:r w:rsidRPr="00A5733E">
              <w:rPr>
                <w:color w:val="000000"/>
                <w:lang w:val="es-ES"/>
              </w:rPr>
              <w:t xml:space="preserve">En el Documento </w:t>
            </w:r>
            <w:hyperlink r:id="rId11" w:history="1">
              <w:proofErr w:type="spellStart"/>
              <w:r w:rsidRPr="00A5733E">
                <w:rPr>
                  <w:rStyle w:val="Hyperlink"/>
                  <w:lang w:val="es-ES"/>
                </w:rPr>
                <w:t>C26</w:t>
              </w:r>
              <w:proofErr w:type="spellEnd"/>
              <w:r w:rsidRPr="00A5733E">
                <w:rPr>
                  <w:rStyle w:val="Hyperlink"/>
                  <w:lang w:val="es-ES"/>
                </w:rPr>
                <w:t>/42</w:t>
              </w:r>
            </w:hyperlink>
            <w:r w:rsidRPr="00A5733E">
              <w:rPr>
                <w:color w:val="000000"/>
                <w:lang w:val="es-ES"/>
              </w:rPr>
              <w:t xml:space="preserve"> se propone la atribución de una financiación adicional de 1,5</w:t>
            </w:r>
            <w:r w:rsidR="00912F3D" w:rsidRPr="00A5733E">
              <w:rPr>
                <w:color w:val="000000"/>
                <w:lang w:val="es-ES"/>
              </w:rPr>
              <w:t> </w:t>
            </w:r>
            <w:r w:rsidRPr="00A5733E">
              <w:rPr>
                <w:color w:val="000000"/>
                <w:lang w:val="es-ES"/>
              </w:rPr>
              <w:t>millones CHF de los ahorros de la ejecución presupuestaria en 2025 para la continuidad de las actividades de la UIT, según la evaluación proporcionada en el Documento C26/7 del Consejo.</w:t>
            </w:r>
          </w:p>
          <w:p w14:paraId="11A4CCCC" w14:textId="77777777" w:rsidR="00FE57F6" w:rsidRPr="00A5733E" w:rsidRDefault="00FE57F6" w:rsidP="00794E08">
            <w:pPr>
              <w:spacing w:before="0"/>
              <w:rPr>
                <w:caps/>
                <w:sz w:val="22"/>
                <w:lang w:val="es-ES"/>
              </w:rPr>
            </w:pPr>
            <w:r w:rsidRPr="00A5733E">
              <w:rPr>
                <w:sz w:val="22"/>
                <w:lang w:val="es-ES"/>
              </w:rPr>
              <w:t>__________________</w:t>
            </w:r>
          </w:p>
          <w:p w14:paraId="7A51792F" w14:textId="1DAE1825" w:rsidR="00FE57F6" w:rsidRPr="00A5733E" w:rsidRDefault="00F24B71" w:rsidP="00C4421B">
            <w:pPr>
              <w:spacing w:before="160"/>
              <w:rPr>
                <w:b/>
                <w:bCs/>
                <w:sz w:val="26"/>
                <w:szCs w:val="26"/>
                <w:lang w:val="es-ES"/>
              </w:rPr>
            </w:pPr>
            <w:r w:rsidRPr="00A5733E">
              <w:rPr>
                <w:b/>
                <w:bCs/>
                <w:sz w:val="26"/>
                <w:szCs w:val="26"/>
                <w:lang w:val="es-ES"/>
              </w:rPr>
              <w:t>Referencia</w:t>
            </w:r>
            <w:r w:rsidR="00F92BED" w:rsidRPr="00A5733E">
              <w:rPr>
                <w:b/>
                <w:bCs/>
                <w:sz w:val="26"/>
                <w:szCs w:val="26"/>
                <w:lang w:val="es-ES"/>
              </w:rPr>
              <w:t>s</w:t>
            </w:r>
          </w:p>
          <w:p w14:paraId="22A3006E" w14:textId="43BC6B76" w:rsidR="00FE57F6" w:rsidRPr="004E6354" w:rsidRDefault="00202E6A" w:rsidP="00C4421B">
            <w:pPr>
              <w:spacing w:after="160"/>
              <w:rPr>
                <w:i/>
                <w:iCs/>
                <w:sz w:val="22"/>
                <w:szCs w:val="22"/>
                <w:lang w:val="es-ES"/>
              </w:rPr>
            </w:pPr>
            <w:r w:rsidRPr="004E6354">
              <w:rPr>
                <w:i/>
                <w:iCs/>
                <w:color w:val="000000"/>
                <w:sz w:val="22"/>
                <w:szCs w:val="22"/>
                <w:lang w:val="es-ES"/>
              </w:rPr>
              <w:t xml:space="preserve">Documento </w:t>
            </w:r>
            <w:hyperlink r:id="rId12" w:history="1">
              <w:proofErr w:type="spellStart"/>
              <w:r w:rsidRPr="004E6354">
                <w:rPr>
                  <w:rStyle w:val="Hyperlink"/>
                  <w:i/>
                  <w:iCs/>
                  <w:sz w:val="22"/>
                  <w:lang w:val="es-ES"/>
                </w:rPr>
                <w:t>CWG</w:t>
              </w:r>
              <w:proofErr w:type="spellEnd"/>
              <w:r w:rsidRPr="004E6354">
                <w:rPr>
                  <w:rStyle w:val="Hyperlink"/>
                  <w:i/>
                  <w:iCs/>
                  <w:sz w:val="22"/>
                  <w:lang w:val="es-ES"/>
                </w:rPr>
                <w:t>-</w:t>
              </w:r>
              <w:proofErr w:type="spellStart"/>
              <w:r w:rsidRPr="004E6354">
                <w:rPr>
                  <w:rStyle w:val="Hyperlink"/>
                  <w:i/>
                  <w:iCs/>
                  <w:sz w:val="22"/>
                  <w:lang w:val="es-ES"/>
                </w:rPr>
                <w:t>FHR</w:t>
              </w:r>
              <w:proofErr w:type="spellEnd"/>
              <w:r w:rsidRPr="004E6354">
                <w:rPr>
                  <w:rStyle w:val="Hyperlink"/>
                  <w:i/>
                  <w:iCs/>
                  <w:sz w:val="22"/>
                  <w:lang w:val="es-ES"/>
                </w:rPr>
                <w:t>-20/9</w:t>
              </w:r>
            </w:hyperlink>
            <w:r w:rsidRPr="004E6354">
              <w:rPr>
                <w:i/>
                <w:iCs/>
                <w:color w:val="000000"/>
                <w:sz w:val="22"/>
                <w:szCs w:val="22"/>
                <w:lang w:val="es-ES"/>
              </w:rPr>
              <w:t>;</w:t>
            </w:r>
            <w:r w:rsidRPr="004E6354">
              <w:rPr>
                <w:color w:val="000000"/>
                <w:sz w:val="22"/>
                <w:szCs w:val="22"/>
                <w:lang w:val="es-ES"/>
              </w:rPr>
              <w:t xml:space="preserve"> </w:t>
            </w:r>
            <w:r w:rsidRPr="004E6354">
              <w:rPr>
                <w:i/>
                <w:iCs/>
                <w:color w:val="000000"/>
                <w:sz w:val="22"/>
                <w:szCs w:val="22"/>
                <w:lang w:val="es-ES"/>
              </w:rPr>
              <w:t xml:space="preserve">Acuerdo </w:t>
            </w:r>
            <w:hyperlink r:id="rId13" w:history="1">
              <w:r w:rsidRPr="004E6354">
                <w:rPr>
                  <w:rStyle w:val="Hyperlink"/>
                  <w:i/>
                  <w:iCs/>
                  <w:sz w:val="22"/>
                  <w:lang w:val="es-ES"/>
                </w:rPr>
                <w:t>640 (</w:t>
              </w:r>
              <w:proofErr w:type="spellStart"/>
              <w:r w:rsidRPr="004E6354">
                <w:rPr>
                  <w:rStyle w:val="Hyperlink"/>
                  <w:i/>
                  <w:iCs/>
                  <w:sz w:val="22"/>
                  <w:lang w:val="es-ES"/>
                </w:rPr>
                <w:t>C24</w:t>
              </w:r>
              <w:proofErr w:type="spellEnd"/>
              <w:r w:rsidRPr="004E6354">
                <w:rPr>
                  <w:rStyle w:val="Hyperlink"/>
                  <w:i/>
                  <w:iCs/>
                  <w:sz w:val="22"/>
                  <w:lang w:val="es-ES"/>
                </w:rPr>
                <w:t>)</w:t>
              </w:r>
            </w:hyperlink>
            <w:r w:rsidRPr="004E6354">
              <w:rPr>
                <w:i/>
                <w:iCs/>
                <w:color w:val="000000"/>
                <w:sz w:val="22"/>
                <w:szCs w:val="22"/>
                <w:lang w:val="es-ES"/>
              </w:rPr>
              <w:t xml:space="preserve"> del Consejo;</w:t>
            </w:r>
            <w:r w:rsidRPr="004E6354">
              <w:rPr>
                <w:color w:val="000000"/>
                <w:sz w:val="22"/>
                <w:szCs w:val="22"/>
                <w:lang w:val="es-ES"/>
              </w:rPr>
              <w:t xml:space="preserve"> </w:t>
            </w:r>
            <w:hyperlink r:id="rId14" w:history="1">
              <w:r w:rsidRPr="004E6354">
                <w:rPr>
                  <w:rStyle w:val="Hyperlink"/>
                  <w:i/>
                  <w:iCs/>
                  <w:sz w:val="22"/>
                  <w:lang w:val="es-ES"/>
                </w:rPr>
                <w:t xml:space="preserve">Informe resumido de la 20.ª reunión del </w:t>
              </w:r>
              <w:proofErr w:type="spellStart"/>
              <w:r w:rsidRPr="004E6354">
                <w:rPr>
                  <w:rStyle w:val="Hyperlink"/>
                  <w:i/>
                  <w:iCs/>
                  <w:sz w:val="22"/>
                  <w:lang w:val="es-ES"/>
                </w:rPr>
                <w:t>GTC-RHF</w:t>
              </w:r>
              <w:proofErr w:type="spellEnd"/>
            </w:hyperlink>
            <w:r w:rsidRPr="00794E08">
              <w:rPr>
                <w:i/>
                <w:iCs/>
                <w:color w:val="000000"/>
                <w:sz w:val="22"/>
                <w:szCs w:val="22"/>
                <w:lang w:val="es-ES"/>
              </w:rPr>
              <w:t>;</w:t>
            </w:r>
            <w:r w:rsidRPr="00794E08">
              <w:rPr>
                <w:color w:val="000000"/>
                <w:sz w:val="22"/>
                <w:szCs w:val="22"/>
                <w:lang w:val="es-ES"/>
              </w:rPr>
              <w:t xml:space="preserve"> </w:t>
            </w:r>
            <w:r w:rsidRPr="004E6354">
              <w:rPr>
                <w:i/>
                <w:iCs/>
                <w:color w:val="000000"/>
                <w:sz w:val="22"/>
                <w:szCs w:val="22"/>
                <w:lang w:val="es-ES"/>
              </w:rPr>
              <w:t xml:space="preserve">Documentos </w:t>
            </w:r>
            <w:hyperlink r:id="rId15" w:history="1">
              <w:proofErr w:type="spellStart"/>
              <w:r w:rsidRPr="004E6354">
                <w:rPr>
                  <w:rStyle w:val="Hyperlink"/>
                  <w:i/>
                  <w:iCs/>
                  <w:sz w:val="22"/>
                  <w:lang w:val="es-ES"/>
                </w:rPr>
                <w:t>CWG</w:t>
              </w:r>
              <w:proofErr w:type="spellEnd"/>
              <w:r w:rsidRPr="004E6354">
                <w:rPr>
                  <w:rStyle w:val="Hyperlink"/>
                  <w:i/>
                  <w:iCs/>
                  <w:sz w:val="22"/>
                  <w:lang w:val="es-ES"/>
                </w:rPr>
                <w:t>-</w:t>
              </w:r>
              <w:proofErr w:type="spellStart"/>
              <w:r w:rsidRPr="004E6354">
                <w:rPr>
                  <w:rStyle w:val="Hyperlink"/>
                  <w:i/>
                  <w:iCs/>
                  <w:sz w:val="22"/>
                  <w:lang w:val="es-ES"/>
                </w:rPr>
                <w:t>FHR</w:t>
              </w:r>
              <w:proofErr w:type="spellEnd"/>
              <w:r w:rsidRPr="004E6354">
                <w:rPr>
                  <w:rStyle w:val="Hyperlink"/>
                  <w:i/>
                  <w:iCs/>
                  <w:sz w:val="22"/>
                  <w:lang w:val="es-ES"/>
                </w:rPr>
                <w:t>-21/10</w:t>
              </w:r>
            </w:hyperlink>
            <w:r w:rsidRPr="004E6354">
              <w:rPr>
                <w:i/>
                <w:iCs/>
                <w:color w:val="000000"/>
                <w:sz w:val="22"/>
                <w:szCs w:val="22"/>
                <w:lang w:val="es-ES"/>
              </w:rPr>
              <w:t xml:space="preserve">, </w:t>
            </w:r>
            <w:hyperlink r:id="rId16" w:history="1">
              <w:proofErr w:type="spellStart"/>
              <w:r w:rsidRPr="004E6354">
                <w:rPr>
                  <w:rStyle w:val="Hyperlink"/>
                  <w:i/>
                  <w:iCs/>
                  <w:sz w:val="22"/>
                  <w:lang w:val="es-ES"/>
                </w:rPr>
                <w:t>CWG</w:t>
              </w:r>
              <w:proofErr w:type="spellEnd"/>
              <w:r w:rsidRPr="004E6354">
                <w:rPr>
                  <w:rStyle w:val="Hyperlink"/>
                  <w:i/>
                  <w:iCs/>
                  <w:sz w:val="22"/>
                  <w:lang w:val="es-ES"/>
                </w:rPr>
                <w:t>-</w:t>
              </w:r>
              <w:proofErr w:type="spellStart"/>
              <w:r w:rsidRPr="004E6354">
                <w:rPr>
                  <w:rStyle w:val="Hyperlink"/>
                  <w:i/>
                  <w:iCs/>
                  <w:sz w:val="22"/>
                  <w:lang w:val="es-ES"/>
                </w:rPr>
                <w:t>FHR</w:t>
              </w:r>
              <w:proofErr w:type="spellEnd"/>
              <w:r w:rsidRPr="004E6354">
                <w:rPr>
                  <w:rStyle w:val="Hyperlink"/>
                  <w:i/>
                  <w:iCs/>
                  <w:sz w:val="22"/>
                  <w:lang w:val="es-ES"/>
                </w:rPr>
                <w:t>-21/25</w:t>
              </w:r>
            </w:hyperlink>
            <w:r w:rsidRPr="004E6354">
              <w:rPr>
                <w:i/>
                <w:iCs/>
                <w:color w:val="000000"/>
                <w:sz w:val="22"/>
                <w:szCs w:val="22"/>
                <w:lang w:val="es-ES"/>
              </w:rPr>
              <w:t xml:space="preserve">, </w:t>
            </w:r>
            <w:hyperlink r:id="rId17" w:history="1">
              <w:proofErr w:type="spellStart"/>
              <w:r w:rsidRPr="004E6354">
                <w:rPr>
                  <w:rStyle w:val="Hyperlink"/>
                  <w:i/>
                  <w:iCs/>
                  <w:sz w:val="22"/>
                  <w:lang w:val="es-ES"/>
                </w:rPr>
                <w:t>CWG</w:t>
              </w:r>
              <w:proofErr w:type="spellEnd"/>
              <w:r w:rsidRPr="004E6354">
                <w:rPr>
                  <w:rStyle w:val="Hyperlink"/>
                  <w:i/>
                  <w:iCs/>
                  <w:sz w:val="22"/>
                  <w:lang w:val="es-ES"/>
                </w:rPr>
                <w:t>-</w:t>
              </w:r>
              <w:proofErr w:type="spellStart"/>
              <w:r w:rsidRPr="004E6354">
                <w:rPr>
                  <w:rStyle w:val="Hyperlink"/>
                  <w:i/>
                  <w:iCs/>
                  <w:sz w:val="22"/>
                  <w:lang w:val="es-ES"/>
                </w:rPr>
                <w:t>FHR</w:t>
              </w:r>
              <w:proofErr w:type="spellEnd"/>
              <w:r w:rsidRPr="004E6354">
                <w:rPr>
                  <w:rStyle w:val="Hyperlink"/>
                  <w:i/>
                  <w:iCs/>
                  <w:sz w:val="22"/>
                  <w:lang w:val="es-ES"/>
                </w:rPr>
                <w:t>-21/INF/4</w:t>
              </w:r>
            </w:hyperlink>
            <w:r w:rsidRPr="004E6354">
              <w:rPr>
                <w:i/>
                <w:iCs/>
                <w:color w:val="000000"/>
                <w:sz w:val="22"/>
                <w:szCs w:val="22"/>
                <w:lang w:val="es-ES"/>
              </w:rPr>
              <w:t xml:space="preserve">, </w:t>
            </w:r>
            <w:hyperlink r:id="rId18" w:history="1">
              <w:proofErr w:type="spellStart"/>
              <w:r w:rsidRPr="004E6354">
                <w:rPr>
                  <w:rStyle w:val="Hyperlink"/>
                  <w:i/>
                  <w:iCs/>
                  <w:sz w:val="22"/>
                  <w:lang w:val="es-ES"/>
                </w:rPr>
                <w:t>CWG</w:t>
              </w:r>
              <w:proofErr w:type="spellEnd"/>
              <w:r w:rsidRPr="004E6354">
                <w:rPr>
                  <w:rStyle w:val="Hyperlink"/>
                  <w:i/>
                  <w:iCs/>
                  <w:sz w:val="22"/>
                  <w:lang w:val="es-ES"/>
                </w:rPr>
                <w:t>-</w:t>
              </w:r>
              <w:proofErr w:type="spellStart"/>
              <w:r w:rsidRPr="004E6354">
                <w:rPr>
                  <w:rStyle w:val="Hyperlink"/>
                  <w:i/>
                  <w:iCs/>
                  <w:sz w:val="22"/>
                  <w:lang w:val="es-ES"/>
                </w:rPr>
                <w:t>FHR</w:t>
              </w:r>
              <w:proofErr w:type="spellEnd"/>
              <w:r w:rsidRPr="004E6354">
                <w:rPr>
                  <w:rStyle w:val="Hyperlink"/>
                  <w:i/>
                  <w:iCs/>
                  <w:sz w:val="22"/>
                  <w:lang w:val="es-ES"/>
                </w:rPr>
                <w:t>-22/13</w:t>
              </w:r>
            </w:hyperlink>
            <w:r w:rsidRPr="004E6354">
              <w:rPr>
                <w:i/>
                <w:iCs/>
                <w:color w:val="000000"/>
                <w:sz w:val="22"/>
                <w:szCs w:val="22"/>
                <w:lang w:val="es-ES"/>
              </w:rPr>
              <w:t xml:space="preserve"> y </w:t>
            </w:r>
            <w:hyperlink r:id="rId19" w:history="1">
              <w:proofErr w:type="spellStart"/>
              <w:r w:rsidRPr="004E6354">
                <w:rPr>
                  <w:rStyle w:val="Hyperlink"/>
                  <w:i/>
                  <w:iCs/>
                  <w:sz w:val="22"/>
                  <w:lang w:val="es-ES"/>
                </w:rPr>
                <w:t>CWG</w:t>
              </w:r>
              <w:proofErr w:type="spellEnd"/>
              <w:r w:rsidRPr="004E6354">
                <w:rPr>
                  <w:rStyle w:val="Hyperlink"/>
                  <w:i/>
                  <w:iCs/>
                  <w:sz w:val="22"/>
                  <w:lang w:val="es-ES"/>
                </w:rPr>
                <w:t>-</w:t>
              </w:r>
              <w:proofErr w:type="spellStart"/>
              <w:r w:rsidRPr="004E6354">
                <w:rPr>
                  <w:rStyle w:val="Hyperlink"/>
                  <w:i/>
                  <w:iCs/>
                  <w:sz w:val="22"/>
                  <w:lang w:val="es-ES"/>
                </w:rPr>
                <w:t>FHR</w:t>
              </w:r>
              <w:proofErr w:type="spellEnd"/>
              <w:r w:rsidRPr="004E6354">
                <w:rPr>
                  <w:rStyle w:val="Hyperlink"/>
                  <w:i/>
                  <w:iCs/>
                  <w:sz w:val="22"/>
                  <w:lang w:val="es-ES"/>
                </w:rPr>
                <w:t>-22/36</w:t>
              </w:r>
            </w:hyperlink>
          </w:p>
        </w:tc>
      </w:tr>
      <w:bookmarkEnd w:id="0"/>
    </w:tbl>
    <w:p w14:paraId="5EF7BF48" w14:textId="77777777" w:rsidR="001559F5" w:rsidRPr="00A5733E"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A5733E">
        <w:rPr>
          <w:lang w:val="es-ES"/>
        </w:rPr>
        <w:br w:type="page"/>
      </w:r>
    </w:p>
    <w:p w14:paraId="61CEF706" w14:textId="77777777" w:rsidR="00202E6A" w:rsidRPr="00A5733E" w:rsidRDefault="00202E6A" w:rsidP="00633200">
      <w:pPr>
        <w:pStyle w:val="Heading1"/>
        <w:rPr>
          <w:lang w:val="es-ES"/>
        </w:rPr>
      </w:pPr>
      <w:r w:rsidRPr="00A5733E">
        <w:rPr>
          <w:lang w:val="es-ES"/>
        </w:rPr>
        <w:lastRenderedPageBreak/>
        <w:t>1</w:t>
      </w:r>
      <w:r w:rsidRPr="00A5733E">
        <w:rPr>
          <w:lang w:val="es-ES"/>
        </w:rPr>
        <w:tab/>
      </w:r>
      <w:r w:rsidRPr="00553599">
        <w:rPr>
          <w:lang w:val="es-ES"/>
        </w:rPr>
        <w:t>Contexto</w:t>
      </w:r>
    </w:p>
    <w:p w14:paraId="5BE779F8" w14:textId="77777777" w:rsidR="00202E6A" w:rsidRPr="00A5733E" w:rsidRDefault="00202E6A" w:rsidP="00794E08">
      <w:pPr>
        <w:jc w:val="both"/>
        <w:rPr>
          <w:rFonts w:eastAsia="Calibri"/>
          <w:lang w:val="es-ES"/>
        </w:rPr>
      </w:pPr>
      <w:r w:rsidRPr="00A5733E">
        <w:rPr>
          <w:lang w:val="es-ES"/>
        </w:rPr>
        <w:t>Cada año se celebran en la sede de la UIT entre 60 y 65 reuniones, a las que se suman otras que tienen lugar en el CICG/CCV. Estas reuniones comprenden reuniones técnicas estatutarias (Comisiones de Estudio y Grupos de Trabajo) de todos los Sectores (de conformidad con lo dispuesto en los documentos constitutivos de la Unión y los Sectores, con funciones decisorias y relevancia estratégica), así como reuniones de los Grupos Asesores, del Consejo y de los Grupos de Trabajo del Consejo.</w:t>
      </w:r>
    </w:p>
    <w:p w14:paraId="5A3F024C" w14:textId="77777777" w:rsidR="00202E6A" w:rsidRPr="00A5733E" w:rsidRDefault="00202E6A" w:rsidP="00794E08">
      <w:pPr>
        <w:jc w:val="both"/>
        <w:rPr>
          <w:rFonts w:eastAsia="Calibri"/>
          <w:lang w:val="es-ES"/>
        </w:rPr>
      </w:pPr>
      <w:r w:rsidRPr="00A5733E">
        <w:rPr>
          <w:lang w:val="es-ES"/>
        </w:rPr>
        <w:t>Debido a la construcción del nuevo edificio en el marco del proyecto de Sede de la UIT, es necesario asegurar locales de reunión adecuados para poder organizar las reuniones de la UIT que normalmente se celebran en la Sede de la UIT, en particular durante el periodo principal de interrupción causado por los procesos de demolición y construcción.</w:t>
      </w:r>
    </w:p>
    <w:p w14:paraId="3E480A55" w14:textId="2BCF9C1B" w:rsidR="00202E6A" w:rsidRPr="00A5733E" w:rsidRDefault="00202E6A" w:rsidP="00794E08">
      <w:pPr>
        <w:jc w:val="both"/>
        <w:rPr>
          <w:lang w:val="es-ES"/>
        </w:rPr>
      </w:pPr>
      <w:r w:rsidRPr="00A5733E">
        <w:rPr>
          <w:lang w:val="es-ES"/>
        </w:rPr>
        <w:t>Estas reuniones podrán celebrarse fuera de Ginebra por invitación de un gobierno u organización anfitriona, de conformidad con la Resolución 5 (Kioto, 1994) relativa a las invitaciones para celebrar reuniones o conferencias fuera de esta ciudad, en cuyo caso el anfitrión sufragaría los gastos adicionales que suponga para la Unión la celebración de la reunión fuera de Ginebra.</w:t>
      </w:r>
    </w:p>
    <w:p w14:paraId="6CC127DB" w14:textId="5124FA30" w:rsidR="00202E6A" w:rsidRPr="00A5733E" w:rsidRDefault="00202E6A" w:rsidP="00794E08">
      <w:pPr>
        <w:jc w:val="both"/>
        <w:rPr>
          <w:rFonts w:eastAsia="Calibri" w:cs="Calibri"/>
          <w:color w:val="000000" w:themeColor="text1"/>
          <w:lang w:val="es-ES"/>
        </w:rPr>
      </w:pPr>
      <w:r w:rsidRPr="00A5733E">
        <w:rPr>
          <w:lang w:val="es-ES"/>
        </w:rPr>
        <w:t>Con todo, la celebración de todas las reuniones en función de las necesidades en distintos lugares no sería viable debido a los considerables problemas financieros, logísticos y organizativos que representaría esta solución, incluido el incremento de costos, la pérdida de eficacia en la utilización de los recursos humanos y el incremento de incertidumbre en la planificación de los delegados.</w:t>
      </w:r>
      <w:r w:rsidR="00A5733E" w:rsidRPr="00A5733E">
        <w:rPr>
          <w:lang w:val="es-ES"/>
        </w:rPr>
        <w:t xml:space="preserve"> </w:t>
      </w:r>
      <w:r w:rsidRPr="00A5733E">
        <w:rPr>
          <w:lang w:val="es-ES"/>
        </w:rPr>
        <w:t>La lista detallada de las reuniones de la UIT previstas para el periodo comprendido entre octubre de 2028 y agosto de 2029 se ha actualizado con la información más reciente facilitada por los organizadores de reuniones de los Sectores y de la Secretaría General. La lista puede consultarse en el Anexo 1 al presente documento e incluye estimaciones de las fechas de las reuniones, el número y tamaño de las salas.</w:t>
      </w:r>
    </w:p>
    <w:p w14:paraId="4922F99D" w14:textId="77777777" w:rsidR="00202E6A" w:rsidRPr="00A5733E" w:rsidRDefault="00202E6A" w:rsidP="000314FC">
      <w:pPr>
        <w:pStyle w:val="Heading1"/>
        <w:rPr>
          <w:lang w:val="es-ES"/>
        </w:rPr>
      </w:pPr>
      <w:r w:rsidRPr="00A5733E">
        <w:rPr>
          <w:lang w:val="es-ES"/>
        </w:rPr>
        <w:t>2</w:t>
      </w:r>
      <w:r w:rsidRPr="00A5733E">
        <w:rPr>
          <w:lang w:val="es-ES"/>
        </w:rPr>
        <w:tab/>
      </w:r>
      <w:r w:rsidRPr="00553599">
        <w:rPr>
          <w:lang w:val="es-ES"/>
        </w:rPr>
        <w:t>Confirmación</w:t>
      </w:r>
      <w:r w:rsidRPr="00A5733E">
        <w:rPr>
          <w:lang w:val="es-ES"/>
        </w:rPr>
        <w:t xml:space="preserve"> del periodo principal de interrupción</w:t>
      </w:r>
    </w:p>
    <w:p w14:paraId="5DCEDC04" w14:textId="7D3CDEF3" w:rsidR="00202E6A" w:rsidRPr="00A5733E" w:rsidRDefault="00202E6A" w:rsidP="00794E08">
      <w:pPr>
        <w:jc w:val="both"/>
        <w:rPr>
          <w:rFonts w:eastAsia="Calibri"/>
          <w:lang w:val="es-ES"/>
        </w:rPr>
      </w:pPr>
      <w:r w:rsidRPr="00A5733E">
        <w:rPr>
          <w:lang w:val="es-ES"/>
        </w:rPr>
        <w:t xml:space="preserve">Tras la mejora realizada por la empresa diseñadora del proyecto, se ha confirmado que el periodo principal de interrupción durante el que puede que se necesiten salas de reunión alternativas se extiende del </w:t>
      </w:r>
      <w:r w:rsidRPr="00A5733E">
        <w:rPr>
          <w:b/>
          <w:bCs/>
          <w:lang w:val="es-ES"/>
        </w:rPr>
        <w:t>1 de octubre de 2028 al 31 de agosto de 2029, ambos inclusive</w:t>
      </w:r>
      <w:r w:rsidRPr="00A5733E">
        <w:rPr>
          <w:lang w:val="es-ES"/>
        </w:rPr>
        <w:t>.</w:t>
      </w:r>
    </w:p>
    <w:p w14:paraId="63DB7971" w14:textId="77777777" w:rsidR="00202E6A" w:rsidRPr="00A5733E" w:rsidRDefault="00202E6A" w:rsidP="000314FC">
      <w:pPr>
        <w:pStyle w:val="Heading1"/>
        <w:rPr>
          <w:lang w:val="es-ES"/>
        </w:rPr>
      </w:pPr>
      <w:r w:rsidRPr="00A5733E">
        <w:rPr>
          <w:lang w:val="es-ES"/>
        </w:rPr>
        <w:t>3</w:t>
      </w:r>
      <w:r w:rsidRPr="00A5733E">
        <w:rPr>
          <w:lang w:val="es-ES"/>
        </w:rPr>
        <w:tab/>
        <w:t xml:space="preserve">Disponibilidad de las </w:t>
      </w:r>
      <w:r w:rsidRPr="00553599">
        <w:rPr>
          <w:lang w:val="es-ES"/>
        </w:rPr>
        <w:t>salas</w:t>
      </w:r>
      <w:r w:rsidRPr="00A5733E">
        <w:rPr>
          <w:lang w:val="es-ES"/>
        </w:rPr>
        <w:t xml:space="preserve"> de reunión de la UIT durante el periodo principal de interrupción</w:t>
      </w:r>
    </w:p>
    <w:p w14:paraId="75CEC4C8" w14:textId="23421B0C" w:rsidR="00202E6A" w:rsidRPr="00A5733E" w:rsidRDefault="00202E6A" w:rsidP="00794E08">
      <w:pPr>
        <w:jc w:val="both"/>
        <w:rPr>
          <w:rFonts w:eastAsia="Calibri"/>
          <w:lang w:val="es-ES"/>
        </w:rPr>
      </w:pPr>
      <w:r w:rsidRPr="00A5733E">
        <w:rPr>
          <w:lang w:val="es-ES"/>
        </w:rPr>
        <w:t>Se han realizado pruebas acústicas en los edificios de la Torre y Montbrillant para evaluar los niveles de perturbación durante la demolición y la construcción.</w:t>
      </w:r>
    </w:p>
    <w:p w14:paraId="1860199B" w14:textId="77777777" w:rsidR="00202E6A" w:rsidRPr="00A5733E" w:rsidRDefault="00202E6A" w:rsidP="00794E08">
      <w:pPr>
        <w:jc w:val="both"/>
        <w:rPr>
          <w:rFonts w:eastAsia="Calibri" w:cs="Calibri"/>
          <w:color w:val="000000" w:themeColor="text1"/>
          <w:lang w:val="es-ES"/>
        </w:rPr>
      </w:pPr>
      <w:r w:rsidRPr="00A5733E">
        <w:rPr>
          <w:lang w:val="es-ES"/>
        </w:rPr>
        <w:t>Los resultados preliminares indican la posibilidad de utilizar algunas salas de la Sede de la UIT durante el periodo principal de perturbaciones relacionadas con los trabajos pesados de construcción, siempre que se acepte una perturbación limitada. Con todo, seguir utilizando las salas de la Sede puede requerir actualizar las infraestructuras y los equipos para garantizar la continuidad de las actividades y la calidad del servicio, ya que, de lo contrario, algunas de estas infraestructuras y equipos llegarían al final de su vida útil antes o durante el periodo de construcción previsto. Se está evaluando el alcance de la renovación y estableciendo las inversiones adicionales que se necesitan.</w:t>
      </w:r>
    </w:p>
    <w:p w14:paraId="39C306FB" w14:textId="77777777" w:rsidR="00202E6A" w:rsidRPr="00A5733E" w:rsidRDefault="00202E6A" w:rsidP="000314FC">
      <w:pPr>
        <w:pStyle w:val="Heading1"/>
        <w:rPr>
          <w:lang w:val="es-ES"/>
        </w:rPr>
      </w:pPr>
      <w:r w:rsidRPr="00A5733E">
        <w:rPr>
          <w:lang w:val="es-ES"/>
        </w:rPr>
        <w:lastRenderedPageBreak/>
        <w:t>4</w:t>
      </w:r>
      <w:r w:rsidRPr="00A5733E">
        <w:rPr>
          <w:lang w:val="es-ES"/>
        </w:rPr>
        <w:tab/>
        <w:t xml:space="preserve">Lugares </w:t>
      </w:r>
      <w:r w:rsidRPr="00553599">
        <w:rPr>
          <w:lang w:val="es-ES"/>
        </w:rPr>
        <w:t>alternativos</w:t>
      </w:r>
      <w:r w:rsidRPr="00A5733E">
        <w:rPr>
          <w:lang w:val="es-ES"/>
        </w:rPr>
        <w:t xml:space="preserve"> en Ginebra</w:t>
      </w:r>
    </w:p>
    <w:p w14:paraId="09EFA374" w14:textId="77777777" w:rsidR="00202E6A" w:rsidRPr="00A5733E" w:rsidRDefault="00202E6A" w:rsidP="00794E08">
      <w:pPr>
        <w:jc w:val="both"/>
        <w:rPr>
          <w:rFonts w:eastAsia="Calibri" w:cs="Calibri"/>
          <w:color w:val="000000" w:themeColor="text1"/>
          <w:szCs w:val="24"/>
          <w:lang w:val="es-ES"/>
        </w:rPr>
      </w:pPr>
      <w:r w:rsidRPr="00A5733E">
        <w:rPr>
          <w:lang w:val="es-ES"/>
        </w:rPr>
        <w:t>La Secretaría ha seguido estudiando diversas opciones para garantizar la continuidad de las actividades en el periodo en cuestión mediante el alquiler de salas de reunión en otros lugares de Ginebra.</w:t>
      </w:r>
    </w:p>
    <w:p w14:paraId="495E4B91" w14:textId="77777777" w:rsidR="00202E6A" w:rsidRPr="00A5733E" w:rsidRDefault="00202E6A" w:rsidP="000314FC">
      <w:pPr>
        <w:pStyle w:val="Headingb"/>
        <w:rPr>
          <w:lang w:val="es-ES"/>
        </w:rPr>
      </w:pPr>
      <w:r w:rsidRPr="00A5733E">
        <w:rPr>
          <w:lang w:val="es-ES"/>
        </w:rPr>
        <w:t xml:space="preserve">Celebración del </w:t>
      </w:r>
      <w:r w:rsidRPr="00553599">
        <w:rPr>
          <w:lang w:val="es-ES"/>
        </w:rPr>
        <w:t>Consejo</w:t>
      </w:r>
      <w:r w:rsidRPr="00A5733E">
        <w:rPr>
          <w:lang w:val="es-ES"/>
        </w:rPr>
        <w:t xml:space="preserve"> de la UIT en 2028 y 2029</w:t>
      </w:r>
    </w:p>
    <w:p w14:paraId="4185DCE2" w14:textId="77777777" w:rsidR="00202E6A" w:rsidRPr="00A5733E" w:rsidRDefault="00202E6A" w:rsidP="00794E08">
      <w:pPr>
        <w:jc w:val="both"/>
        <w:rPr>
          <w:lang w:val="es-ES"/>
        </w:rPr>
      </w:pPr>
      <w:r w:rsidRPr="00A5733E">
        <w:rPr>
          <w:lang w:val="es-ES"/>
        </w:rPr>
        <w:t>Habida cuenta de que la reunión anual del Consejo reviste una importancia estratégica, y de conformidad con el número 51 del Artículo 4 del Convenio, según el cual el Consejo celebrará anualmente una reunión ordinaria en la sede de la Unión, las sesiones del Consejo de 2028 y 2029 tendrán lugar en Ginebra.</w:t>
      </w:r>
    </w:p>
    <w:p w14:paraId="47779076" w14:textId="77777777" w:rsidR="00202E6A" w:rsidRPr="00A5733E" w:rsidRDefault="00202E6A" w:rsidP="00794E08">
      <w:pPr>
        <w:jc w:val="both"/>
        <w:rPr>
          <w:rFonts w:eastAsia="Calibri" w:cs="Calibri"/>
          <w:lang w:val="es-ES"/>
        </w:rPr>
      </w:pPr>
      <w:r w:rsidRPr="00A5733E">
        <w:rPr>
          <w:lang w:val="es-ES"/>
        </w:rPr>
        <w:t>Está previsto que la reunión del Consejo de 2028 se celebre del 13 al 23 de junio en la Sala Popov, en el edificio de la Torre de la Sede de la UIT, periodo durante el cual no está previsto realizar grandes trabajos de demolición con elevados niveles de perturbación, según el calendario actual del proyecto de construcción.</w:t>
      </w:r>
    </w:p>
    <w:p w14:paraId="50EDC7D9" w14:textId="77777777" w:rsidR="00202E6A" w:rsidRPr="00A5733E" w:rsidRDefault="00202E6A" w:rsidP="00794E08">
      <w:pPr>
        <w:jc w:val="both"/>
        <w:rPr>
          <w:rFonts w:eastAsia="Calibri" w:cs="Calibri"/>
          <w:lang w:val="es-ES"/>
        </w:rPr>
      </w:pPr>
      <w:r w:rsidRPr="00A5733E">
        <w:rPr>
          <w:lang w:val="es-ES"/>
        </w:rPr>
        <w:t>En principio, la reunión del Consejo de 2029 estaba prevista para junio. Dado que el CICG no puede acoger la reunión, es posible que esta se celebre en junio de 2029 en la Sala Popov (a la espera de los resultados finales de las pruebas acústicas) o en la OMS, que ha confirmado la disponibilidad de espacio a partir de hoy.</w:t>
      </w:r>
    </w:p>
    <w:p w14:paraId="4D18A686" w14:textId="39B729CD" w:rsidR="00202E6A" w:rsidRPr="00A5733E" w:rsidRDefault="00202E6A" w:rsidP="00794E08">
      <w:pPr>
        <w:jc w:val="both"/>
        <w:rPr>
          <w:rFonts w:eastAsia="Calibri" w:cs="Calibri"/>
          <w:lang w:val="es-ES"/>
        </w:rPr>
      </w:pPr>
      <w:r w:rsidRPr="00A5733E">
        <w:rPr>
          <w:lang w:val="es-ES"/>
        </w:rPr>
        <w:t xml:space="preserve">Una opción más conservadora y rentable sería celebrar la reunión de 2029 del Consejo en la Sala Popov en septiembre, a la espera de la aprobación de los Estados Miembros (véase el Documento </w:t>
      </w:r>
      <w:hyperlink r:id="rId20" w:history="1">
        <w:proofErr w:type="spellStart"/>
        <w:r w:rsidRPr="00A5733E">
          <w:rPr>
            <w:rStyle w:val="Hyperlink"/>
            <w:lang w:val="es-ES"/>
          </w:rPr>
          <w:t>C26</w:t>
        </w:r>
        <w:proofErr w:type="spellEnd"/>
        <w:r w:rsidRPr="00A5733E">
          <w:rPr>
            <w:rStyle w:val="Hyperlink"/>
            <w:lang w:val="es-ES"/>
          </w:rPr>
          <w:t>/2</w:t>
        </w:r>
      </w:hyperlink>
      <w:r w:rsidRPr="00A5733E">
        <w:rPr>
          <w:lang w:val="es-ES"/>
        </w:rPr>
        <w:t>).</w:t>
      </w:r>
      <w:hyperlink r:id="rId21"/>
    </w:p>
    <w:p w14:paraId="45B94296" w14:textId="1D7D32E9" w:rsidR="00202E6A" w:rsidRPr="00A5733E" w:rsidRDefault="00202E6A" w:rsidP="000314FC">
      <w:pPr>
        <w:pStyle w:val="Headingb"/>
        <w:rPr>
          <w:lang w:val="es-ES"/>
        </w:rPr>
      </w:pPr>
      <w:r w:rsidRPr="00A5733E">
        <w:rPr>
          <w:lang w:val="es-ES"/>
        </w:rPr>
        <w:t xml:space="preserve">Celebración de </w:t>
      </w:r>
      <w:r w:rsidRPr="000314FC">
        <w:rPr>
          <w:lang w:val="es-ES"/>
        </w:rPr>
        <w:t>Comisiones</w:t>
      </w:r>
      <w:r w:rsidRPr="00A5733E">
        <w:rPr>
          <w:lang w:val="es-ES"/>
        </w:rPr>
        <w:t xml:space="preserve"> de Estudio, Grupos de Trabajo y Grupos Asesores</w:t>
      </w:r>
    </w:p>
    <w:p w14:paraId="6F3C6183" w14:textId="77777777" w:rsidR="00202E6A" w:rsidRPr="00553599" w:rsidRDefault="00202E6A" w:rsidP="000314FC">
      <w:pPr>
        <w:pStyle w:val="Headingi"/>
        <w:rPr>
          <w:lang w:val="es-ES"/>
        </w:rPr>
      </w:pPr>
      <w:r w:rsidRPr="00A5733E">
        <w:rPr>
          <w:lang w:val="es-ES"/>
        </w:rPr>
        <w:t>CICG</w:t>
      </w:r>
    </w:p>
    <w:p w14:paraId="7A75C371" w14:textId="6716E26B" w:rsidR="00202E6A" w:rsidRPr="00A5733E" w:rsidRDefault="00202E6A" w:rsidP="00794E08">
      <w:pPr>
        <w:jc w:val="both"/>
        <w:rPr>
          <w:rFonts w:eastAsia="Calibri" w:cs="Calibri"/>
          <w:color w:val="000000" w:themeColor="text1"/>
          <w:lang w:val="es-ES"/>
        </w:rPr>
      </w:pPr>
      <w:r w:rsidRPr="00A5733E">
        <w:rPr>
          <w:lang w:val="es-ES"/>
        </w:rPr>
        <w:t>El CICG sigue siendo la alternativa más adecuada para celebrar reuniones, dada su larga colaboración con la UIT, su cómoda ubicación y la familiaridad de los delegados con sus instalaciones. Con todo, debido a las obras de renovación previstas, el CICG permanecerá cerrado del 1 de enero al 31 de octubre de 2028, con una disponibilidad limitada a finales de 2028 y a lo largo de 2029.</w:t>
      </w:r>
      <w:bookmarkStart w:id="1" w:name="_Int_MmwLdN8V"/>
      <w:bookmarkEnd w:id="1"/>
    </w:p>
    <w:p w14:paraId="12D7B2C6" w14:textId="77777777" w:rsidR="00202E6A" w:rsidRPr="00A5733E" w:rsidRDefault="00202E6A" w:rsidP="00794E08">
      <w:pPr>
        <w:jc w:val="both"/>
        <w:rPr>
          <w:rFonts w:eastAsia="Calibri" w:cs="Calibri"/>
          <w:lang w:val="es-ES"/>
        </w:rPr>
      </w:pPr>
      <w:r w:rsidRPr="00A5733E">
        <w:rPr>
          <w:lang w:val="es-ES"/>
        </w:rPr>
        <w:t>La Secretaría de la UIT está colaborando estrechamente con el CICG para determinar la posibilidad de celebrar el mayor número posible de reuniones de la UIT en el periodo comprendido entre octubre de 2028 y agosto de 2029. Actualmente, el CICG puede acoger un número limitado de reuniones en este periodo, y para todas las demás reuniones el lugar de celebración no está disponible o solo puede ofrecer espacio a la UIT como segunda opción en espera de la cancelación de otras partes.</w:t>
      </w:r>
    </w:p>
    <w:p w14:paraId="77F21EFB" w14:textId="73F9118A" w:rsidR="00202E6A" w:rsidRPr="00A5733E" w:rsidRDefault="00202E6A" w:rsidP="00794E08">
      <w:pPr>
        <w:jc w:val="both"/>
        <w:rPr>
          <w:rFonts w:eastAsia="Calibri" w:cs="Calibri"/>
          <w:color w:val="000000" w:themeColor="text1"/>
          <w:lang w:val="es-ES"/>
        </w:rPr>
      </w:pPr>
      <w:r w:rsidRPr="00A5733E">
        <w:rPr>
          <w:lang w:val="es-ES"/>
        </w:rPr>
        <w:t>A partir de 2027, se aplicará una tarifa plana por alquiler a todas las reuniones que se celebren en el CICG. Aunque el CICG aplica nuevas tasas de alquiler y tarifas planas desde 2025, los costes de alquiler de las reuniones de la UIT en el CICG en 2025 y 2026 se reembolsarán como parte de un generoso paquete de medidas urgentes para apoyar a Internacional de Ginebra proporcionadas por Suiza, por las que la UIT sigue muy agradecida.</w:t>
      </w:r>
    </w:p>
    <w:p w14:paraId="1E9B8736" w14:textId="3522BFD6" w:rsidR="00202E6A" w:rsidRPr="00553599" w:rsidRDefault="00202E6A" w:rsidP="000314FC">
      <w:pPr>
        <w:pStyle w:val="Headingi"/>
        <w:rPr>
          <w:lang w:val="es-ES"/>
        </w:rPr>
      </w:pPr>
      <w:r w:rsidRPr="00A5733E">
        <w:rPr>
          <w:lang w:val="es-ES"/>
        </w:rPr>
        <w:t>Palexpo</w:t>
      </w:r>
    </w:p>
    <w:p w14:paraId="4F9ED831" w14:textId="11265361" w:rsidR="00202E6A" w:rsidRPr="00A5733E" w:rsidRDefault="00202E6A" w:rsidP="00633200">
      <w:pPr>
        <w:rPr>
          <w:rFonts w:eastAsia="Calibri" w:cs="Calibri"/>
          <w:color w:val="000000" w:themeColor="text1"/>
          <w:lang w:val="es-ES"/>
        </w:rPr>
      </w:pPr>
      <w:r w:rsidRPr="00A5733E">
        <w:rPr>
          <w:lang w:val="es-ES"/>
        </w:rPr>
        <w:t xml:space="preserve">En otras conversaciones con la dirección de Palexpo se ha confirmado que, entre octubre de 2028 y agosto de 2029, solo habrá un número limitado de salas de reunión disponibles en este centro con carácter </w:t>
      </w:r>
      <w:r w:rsidRPr="00A5733E">
        <w:rPr>
          <w:i/>
          <w:iCs/>
          <w:lang w:val="es-ES"/>
        </w:rPr>
        <w:t>ad hoc</w:t>
      </w:r>
      <w:r w:rsidRPr="00A5733E">
        <w:rPr>
          <w:lang w:val="es-ES"/>
        </w:rPr>
        <w:t xml:space="preserve">. Esta sigue siendo la opción más cara en Ginebra debido a </w:t>
      </w:r>
      <w:r w:rsidRPr="00A5733E">
        <w:rPr>
          <w:lang w:val="es-ES"/>
        </w:rPr>
        <w:lastRenderedPageBreak/>
        <w:t>los elevados costes de los servicios técnicos. La Secretaría está tratando de establecer una correspondencia entre las reuniones de la UIT que todavía necesitan un lugar de celebración y los espacios de alquiler disponibles en Palexpo en ese periodo.</w:t>
      </w:r>
    </w:p>
    <w:p w14:paraId="1BD8A4C6" w14:textId="77777777" w:rsidR="00202E6A" w:rsidRPr="00A5733E" w:rsidRDefault="00202E6A" w:rsidP="000314FC">
      <w:pPr>
        <w:pStyle w:val="Headingi"/>
        <w:rPr>
          <w:rFonts w:eastAsia="Calibri"/>
          <w:lang w:val="es-ES"/>
        </w:rPr>
      </w:pPr>
      <w:r w:rsidRPr="00A5733E">
        <w:rPr>
          <w:lang w:val="es-ES"/>
        </w:rPr>
        <w:t xml:space="preserve">Oficina de las Naciones Unidas en Ginebra </w:t>
      </w:r>
    </w:p>
    <w:p w14:paraId="6135F2A8" w14:textId="77777777" w:rsidR="00202E6A" w:rsidRPr="00A5733E" w:rsidRDefault="00202E6A" w:rsidP="00794E08">
      <w:pPr>
        <w:jc w:val="both"/>
        <w:rPr>
          <w:rFonts w:eastAsia="Calibri" w:cs="Calibri"/>
          <w:color w:val="000000" w:themeColor="text1"/>
          <w:lang w:val="es-ES"/>
        </w:rPr>
      </w:pPr>
      <w:r w:rsidRPr="00A5733E">
        <w:rPr>
          <w:lang w:val="es-ES"/>
        </w:rPr>
        <w:t>Las conversaciones preliminares con la Oficina de las Naciones Unidas en Ginebra (ONUG) indican que la disponibilidad para reuniones externas es limitada y que no es posible recibir confirmación de disponibilidad antes de los seis meses previos a la reunión. No obstante, la UIT ha preguntado mediante una comunicación oficial si la ONUG podría celebrar alguna de las reuniones de la UIT en el periodo en cuestión y está a la espera de una respuesta.</w:t>
      </w:r>
    </w:p>
    <w:p w14:paraId="6DAAEFBE" w14:textId="5536747F" w:rsidR="00202E6A" w:rsidRPr="00794E08" w:rsidRDefault="00202E6A" w:rsidP="00794E08">
      <w:pPr>
        <w:jc w:val="both"/>
        <w:rPr>
          <w:rFonts w:eastAsia="Calibri" w:cs="Calibri"/>
          <w:color w:val="000000" w:themeColor="text1"/>
          <w:spacing w:val="-2"/>
          <w:lang w:val="es-ES"/>
        </w:rPr>
      </w:pPr>
      <w:r w:rsidRPr="00794E08">
        <w:rPr>
          <w:spacing w:val="-2"/>
          <w:lang w:val="es-ES"/>
        </w:rPr>
        <w:t>Utilizar durante todo el año la estructura temporal de conferencias Tempus en la Oficina de las Naciones Unidas en Ginebra no es una opción realista dada su capacidad limitada y sus elevados costes, incluido el coste de la reconfiguración de la sala y el desmontaje de la estructura al final del periodo de arrendamiento. Se calcula que solo el desmontaje, que según la ONUG correspondería a la UIT en el marco de estas condiciones, se eleva en 0,5</w:t>
      </w:r>
      <w:r w:rsidR="00633200" w:rsidRPr="00794E08">
        <w:rPr>
          <w:spacing w:val="-2"/>
          <w:lang w:val="es-ES"/>
        </w:rPr>
        <w:t> </w:t>
      </w:r>
      <w:r w:rsidRPr="00794E08">
        <w:rPr>
          <w:spacing w:val="-2"/>
          <w:lang w:val="es-ES"/>
        </w:rPr>
        <w:t>millones CHF.</w:t>
      </w:r>
    </w:p>
    <w:p w14:paraId="51BC4E9F" w14:textId="77777777" w:rsidR="00202E6A" w:rsidRPr="00A5733E" w:rsidRDefault="00202E6A" w:rsidP="000314FC">
      <w:pPr>
        <w:pStyle w:val="Headingi"/>
        <w:rPr>
          <w:lang w:val="es-ES"/>
        </w:rPr>
      </w:pPr>
      <w:r w:rsidRPr="00A5733E">
        <w:rPr>
          <w:lang w:val="es-ES"/>
        </w:rPr>
        <w:t>Otras entidades de las Naciones Unidas o internacionales, en función de las necesidades</w:t>
      </w:r>
    </w:p>
    <w:p w14:paraId="40211AAE" w14:textId="30B1B9DE" w:rsidR="00202E6A" w:rsidRPr="00A5733E" w:rsidRDefault="00202E6A" w:rsidP="00794E08">
      <w:pPr>
        <w:jc w:val="both"/>
        <w:rPr>
          <w:rFonts w:eastAsia="Calibri" w:cs="Calibri"/>
          <w:color w:val="000000" w:themeColor="text1"/>
          <w:lang w:val="es-ES"/>
        </w:rPr>
      </w:pPr>
      <w:r w:rsidRPr="00A5733E">
        <w:rPr>
          <w:lang w:val="es-ES"/>
        </w:rPr>
        <w:t>En 2028 y 2029 podría haber un número limitado de salas disponibles para alquilar de otras organizaciones internacionales en Ginebra en función de las necesidades. Tanto la OMS como la OIT ofrecen instalaciones adecuadas para reuniones de tamaño mediano con la posibilidad de reservar los espacios con mucha antelación, lo que permite la planificación oportuna y una visibilidad a largo plazo. La UIT celebrará por primera vez una Comisión de Estudio de la BR en la OMS en junio de 2028. Cabe señalar que tanto la OMS como la OIT utilizan las instalaciones de la ONUG para reuniones más grandes, y que la ONUG está llevando a cabo su propio programa de renovación, lo que significa que la disponibilidad es limitada y existe cierta competencia para conseguir espacios de reunión adecuados, en particular durante ciertos periodos del año. Otras organizaciones internacionales solo aceptan solicitudes de alquiler de espacios de reunión provenientes de sus Estados Miembros para eventos que entran dentro del ámbito de su mandato, o no disponen de salas de reunión lo suficientemente grandes para las reuniones de la UIT.</w:t>
      </w:r>
    </w:p>
    <w:p w14:paraId="510954C9" w14:textId="77777777" w:rsidR="00202E6A" w:rsidRPr="00A5733E" w:rsidRDefault="00202E6A" w:rsidP="00794E08">
      <w:pPr>
        <w:jc w:val="both"/>
        <w:rPr>
          <w:rFonts w:eastAsia="Calibri" w:cs="Calibri"/>
          <w:szCs w:val="24"/>
          <w:lang w:val="es-ES"/>
        </w:rPr>
      </w:pPr>
      <w:r w:rsidRPr="00A5733E">
        <w:rPr>
          <w:lang w:val="es-ES"/>
        </w:rPr>
        <w:t>Por otra parte, la Secretaría sigue reforzando su colaboración y el intercambio de información con el país anfitrión y la comunidad de las Naciones Unidas en Ginebra. En su calidad de coordinadora del Grupo de Organismos Especializados de la Iniciativa UN80 junto con la OIT, la Secretaria General de la UIT ha pedido que se establezca un marco coordinado para que las entidades de las Naciones Unidas con sede en Ginebra racionalicen y compartan la utilización de las instalaciones en todo Ginebra. Tras una reunión inicial con la ONUG y la OIT en diciembre de 2025, la UIT está elaborando un esbozo inicial del proyecto con los pasos que deben seguirse. La UIT también participa en grupos de trabajo organizados por la Misión Suiza para facilitar la coordinación de las instalaciones de conferencias y oficinas con la Ginebra internacional. Se prevé que estos esfuerzos generen, en última instancia, sinergias y un uso más eficiente de los recursos entre los organismos de las Naciones Unidas en Ginebra y en el contexto del campus de la UIT.</w:t>
      </w:r>
    </w:p>
    <w:p w14:paraId="6E06791C" w14:textId="77777777" w:rsidR="00202E6A" w:rsidRPr="00A5733E" w:rsidRDefault="00202E6A" w:rsidP="000314FC">
      <w:pPr>
        <w:pStyle w:val="Headingi"/>
        <w:rPr>
          <w:lang w:val="es-ES"/>
        </w:rPr>
      </w:pPr>
      <w:r w:rsidRPr="00A5733E">
        <w:rPr>
          <w:lang w:val="es-ES"/>
        </w:rPr>
        <w:t>Resumen general de los costes en otros lugares en Ginebra en función de las necesidades</w:t>
      </w:r>
    </w:p>
    <w:p w14:paraId="09611C10" w14:textId="409549EE" w:rsidR="00202E6A" w:rsidRPr="00A5733E" w:rsidRDefault="00202E6A" w:rsidP="00794E08">
      <w:pPr>
        <w:jc w:val="both"/>
        <w:rPr>
          <w:lang w:val="es-ES"/>
        </w:rPr>
      </w:pPr>
      <w:r w:rsidRPr="00A5733E">
        <w:rPr>
          <w:lang w:val="es-ES"/>
        </w:rPr>
        <w:t>Todos los espacios de reunión en Ginebra aplican tarifas de alquiler a precios de mercado, más los gastos técnicos y de servicio.</w:t>
      </w:r>
    </w:p>
    <w:p w14:paraId="6D7E5313" w14:textId="77777777" w:rsidR="00202E6A" w:rsidRPr="00A5733E" w:rsidRDefault="00202E6A" w:rsidP="00794E08">
      <w:pPr>
        <w:spacing w:after="120"/>
        <w:jc w:val="both"/>
        <w:rPr>
          <w:rFonts w:eastAsia="Calibri"/>
          <w:lang w:val="es-ES"/>
        </w:rPr>
      </w:pPr>
      <w:r w:rsidRPr="00A5733E">
        <w:rPr>
          <w:lang w:val="es-ES"/>
        </w:rPr>
        <w:lastRenderedPageBreak/>
        <w:t>En el cuadro siguiente se ofrece una comparación indicativa del costo del alquiler de una serie de salas de reunión en diferentes lugares, teniendo en cuenta que también se aplicarán tasas por servicios técnicos y de otro tipo:</w:t>
      </w:r>
    </w:p>
    <w:tbl>
      <w:tblPr>
        <w:tblStyle w:val="TableGrid"/>
        <w:tblW w:w="9156" w:type="dxa"/>
        <w:jc w:val="center"/>
        <w:tblLayout w:type="fixed"/>
        <w:tblCellMar>
          <w:left w:w="57" w:type="dxa"/>
          <w:right w:w="57" w:type="dxa"/>
        </w:tblCellMar>
        <w:tblLook w:val="04A0" w:firstRow="1" w:lastRow="0" w:firstColumn="1" w:lastColumn="0" w:noHBand="0" w:noVBand="1"/>
      </w:tblPr>
      <w:tblGrid>
        <w:gridCol w:w="1064"/>
        <w:gridCol w:w="825"/>
        <w:gridCol w:w="1692"/>
        <w:gridCol w:w="1575"/>
        <w:gridCol w:w="1363"/>
        <w:gridCol w:w="1237"/>
        <w:gridCol w:w="1400"/>
      </w:tblGrid>
      <w:tr w:rsidR="00202E6A" w:rsidRPr="00A5733E" w14:paraId="767EF0F1" w14:textId="77777777" w:rsidTr="00201343">
        <w:trPr>
          <w:tblHeader/>
          <w:jc w:val="center"/>
        </w:trPr>
        <w:tc>
          <w:tcPr>
            <w:tcW w:w="1064" w:type="dxa"/>
            <w:hideMark/>
          </w:tcPr>
          <w:p w14:paraId="6DF2B201" w14:textId="77777777" w:rsidR="00202E6A" w:rsidRPr="00A5733E" w:rsidRDefault="00202E6A" w:rsidP="00201343">
            <w:pPr>
              <w:pStyle w:val="Tablehead"/>
              <w:rPr>
                <w:rFonts w:ascii="Segoe UI" w:hAnsi="Segoe UI" w:cs="Segoe UI"/>
                <w:sz w:val="18"/>
                <w:szCs w:val="18"/>
                <w:lang w:val="es-ES"/>
              </w:rPr>
            </w:pPr>
            <w:r w:rsidRPr="00A5733E">
              <w:rPr>
                <w:bCs/>
                <w:color w:val="000000"/>
                <w:lang w:val="es-ES"/>
              </w:rPr>
              <w:t>Reunión</w:t>
            </w:r>
            <w:r w:rsidRPr="00A5733E">
              <w:rPr>
                <w:color w:val="000000"/>
                <w:lang w:val="es-ES"/>
              </w:rPr>
              <w:t xml:space="preserve"> </w:t>
            </w:r>
          </w:p>
        </w:tc>
        <w:tc>
          <w:tcPr>
            <w:tcW w:w="825" w:type="dxa"/>
            <w:hideMark/>
          </w:tcPr>
          <w:p w14:paraId="12A3CB19" w14:textId="77777777" w:rsidR="00202E6A" w:rsidRPr="00A5733E" w:rsidRDefault="00202E6A" w:rsidP="00201343">
            <w:pPr>
              <w:pStyle w:val="Tablehead"/>
              <w:rPr>
                <w:rFonts w:ascii="Segoe UI" w:hAnsi="Segoe UI" w:cs="Segoe UI"/>
                <w:sz w:val="18"/>
                <w:szCs w:val="18"/>
                <w:lang w:val="es-ES"/>
              </w:rPr>
            </w:pPr>
            <w:r w:rsidRPr="00A5733E">
              <w:rPr>
                <w:bCs/>
                <w:color w:val="000000"/>
                <w:lang w:val="es-ES"/>
              </w:rPr>
              <w:t>Días</w:t>
            </w:r>
          </w:p>
        </w:tc>
        <w:tc>
          <w:tcPr>
            <w:tcW w:w="1692" w:type="dxa"/>
            <w:hideMark/>
          </w:tcPr>
          <w:p w14:paraId="30B345F1" w14:textId="77777777" w:rsidR="00202E6A" w:rsidRPr="00A5733E" w:rsidRDefault="00202E6A" w:rsidP="00201343">
            <w:pPr>
              <w:pStyle w:val="Tablehead"/>
              <w:rPr>
                <w:rFonts w:ascii="Segoe UI" w:hAnsi="Segoe UI" w:cs="Segoe UI"/>
                <w:sz w:val="18"/>
                <w:szCs w:val="18"/>
                <w:lang w:val="es-ES"/>
              </w:rPr>
            </w:pPr>
            <w:r w:rsidRPr="00A5733E">
              <w:rPr>
                <w:bCs/>
                <w:color w:val="000000"/>
                <w:lang w:val="es-ES"/>
              </w:rPr>
              <w:t>Salas/aforo</w:t>
            </w:r>
          </w:p>
        </w:tc>
        <w:tc>
          <w:tcPr>
            <w:tcW w:w="1575" w:type="dxa"/>
            <w:hideMark/>
          </w:tcPr>
          <w:p w14:paraId="688EE971" w14:textId="3A42154A" w:rsidR="00202E6A" w:rsidRPr="00A5733E" w:rsidRDefault="00202E6A" w:rsidP="00201343">
            <w:pPr>
              <w:pStyle w:val="Tablehead"/>
              <w:rPr>
                <w:rFonts w:ascii="Segoe UI" w:hAnsi="Segoe UI" w:cs="Segoe UI"/>
                <w:sz w:val="18"/>
                <w:szCs w:val="18"/>
                <w:lang w:val="es-ES"/>
              </w:rPr>
            </w:pPr>
            <w:r w:rsidRPr="00A5733E">
              <w:rPr>
                <w:bCs/>
                <w:color w:val="000000"/>
                <w:lang w:val="es-ES"/>
              </w:rPr>
              <w:t>Coste (CHF)</w:t>
            </w:r>
          </w:p>
        </w:tc>
        <w:tc>
          <w:tcPr>
            <w:tcW w:w="1363" w:type="dxa"/>
            <w:hideMark/>
          </w:tcPr>
          <w:p w14:paraId="4D9E8B69" w14:textId="77777777" w:rsidR="00202E6A" w:rsidRPr="00A5733E" w:rsidRDefault="00202E6A" w:rsidP="00201343">
            <w:pPr>
              <w:pStyle w:val="Tablehead"/>
              <w:rPr>
                <w:rFonts w:ascii="Segoe UI" w:hAnsi="Segoe UI" w:cs="Segoe UI"/>
                <w:sz w:val="18"/>
                <w:szCs w:val="18"/>
                <w:lang w:val="es-ES"/>
              </w:rPr>
            </w:pPr>
            <w:r w:rsidRPr="00A5733E">
              <w:rPr>
                <w:bCs/>
                <w:color w:val="000000"/>
                <w:lang w:val="es-ES"/>
              </w:rPr>
              <w:t>CICG</w:t>
            </w:r>
            <w:r w:rsidRPr="00A5733E">
              <w:rPr>
                <w:color w:val="000000"/>
                <w:lang w:val="es-ES"/>
              </w:rPr>
              <w:t xml:space="preserve"> </w:t>
            </w:r>
          </w:p>
        </w:tc>
        <w:tc>
          <w:tcPr>
            <w:tcW w:w="1237" w:type="dxa"/>
            <w:hideMark/>
          </w:tcPr>
          <w:p w14:paraId="5657228B" w14:textId="14378BF5" w:rsidR="00202E6A" w:rsidRPr="00A5733E" w:rsidRDefault="00202E6A" w:rsidP="00201343">
            <w:pPr>
              <w:pStyle w:val="Tablehead"/>
              <w:rPr>
                <w:rFonts w:ascii="Segoe UI" w:hAnsi="Segoe UI" w:cs="Segoe UI"/>
                <w:sz w:val="18"/>
                <w:szCs w:val="18"/>
                <w:lang w:val="es-ES"/>
              </w:rPr>
            </w:pPr>
            <w:r w:rsidRPr="00A5733E">
              <w:rPr>
                <w:bCs/>
                <w:color w:val="000000"/>
                <w:lang w:val="es-ES"/>
              </w:rPr>
              <w:t>ONUG</w:t>
            </w:r>
          </w:p>
        </w:tc>
        <w:tc>
          <w:tcPr>
            <w:tcW w:w="1400" w:type="dxa"/>
            <w:hideMark/>
          </w:tcPr>
          <w:p w14:paraId="67D521CF" w14:textId="3200E1D7" w:rsidR="00202E6A" w:rsidRPr="00A5733E" w:rsidRDefault="00202E6A" w:rsidP="00201343">
            <w:pPr>
              <w:pStyle w:val="Tablehead"/>
              <w:rPr>
                <w:rFonts w:ascii="Segoe UI" w:hAnsi="Segoe UI" w:cs="Segoe UI"/>
                <w:sz w:val="18"/>
                <w:szCs w:val="18"/>
                <w:lang w:val="es-ES"/>
              </w:rPr>
            </w:pPr>
            <w:r w:rsidRPr="00A5733E">
              <w:rPr>
                <w:bCs/>
                <w:color w:val="000000"/>
                <w:lang w:val="es-ES"/>
              </w:rPr>
              <w:t>Palexpo</w:t>
            </w:r>
          </w:p>
        </w:tc>
      </w:tr>
      <w:tr w:rsidR="00202E6A" w:rsidRPr="00A5733E" w14:paraId="03AF0B5F" w14:textId="77777777" w:rsidTr="00201343">
        <w:trPr>
          <w:jc w:val="center"/>
        </w:trPr>
        <w:tc>
          <w:tcPr>
            <w:tcW w:w="1064" w:type="dxa"/>
            <w:vMerge w:val="restart"/>
            <w:vAlign w:val="center"/>
            <w:hideMark/>
          </w:tcPr>
          <w:p w14:paraId="7EEE3938" w14:textId="248330FC" w:rsidR="00202E6A" w:rsidRPr="00A5733E" w:rsidRDefault="00202E6A" w:rsidP="00201343">
            <w:pPr>
              <w:pStyle w:val="Tabletext"/>
              <w:spacing w:before="60" w:after="60"/>
              <w:rPr>
                <w:rFonts w:ascii="Segoe UI" w:hAnsi="Segoe UI" w:cs="Segoe UI"/>
                <w:sz w:val="18"/>
                <w:szCs w:val="18"/>
                <w:lang w:val="es-ES"/>
              </w:rPr>
            </w:pPr>
            <w:r w:rsidRPr="00A5733E">
              <w:rPr>
                <w:b/>
                <w:bCs/>
                <w:color w:val="000000"/>
                <w:lang w:val="es-ES"/>
              </w:rPr>
              <w:t>Consejo</w:t>
            </w:r>
          </w:p>
        </w:tc>
        <w:tc>
          <w:tcPr>
            <w:tcW w:w="825" w:type="dxa"/>
            <w:vMerge w:val="restart"/>
            <w:vAlign w:val="center"/>
            <w:hideMark/>
          </w:tcPr>
          <w:p w14:paraId="14161A4C" w14:textId="77777777" w:rsidR="00202E6A" w:rsidRPr="00A5733E" w:rsidRDefault="00202E6A" w:rsidP="00201343">
            <w:pPr>
              <w:pStyle w:val="Tabletext"/>
              <w:spacing w:before="60" w:after="60"/>
              <w:jc w:val="center"/>
              <w:rPr>
                <w:rFonts w:ascii="Segoe UI" w:hAnsi="Segoe UI" w:cs="Segoe UI"/>
                <w:sz w:val="18"/>
                <w:szCs w:val="18"/>
                <w:lang w:val="es-ES"/>
              </w:rPr>
            </w:pPr>
            <w:r w:rsidRPr="00A5733E">
              <w:rPr>
                <w:color w:val="000000"/>
                <w:lang w:val="es-ES"/>
              </w:rPr>
              <w:t>12</w:t>
            </w:r>
          </w:p>
        </w:tc>
        <w:tc>
          <w:tcPr>
            <w:tcW w:w="1692" w:type="dxa"/>
            <w:vMerge w:val="restart"/>
            <w:vAlign w:val="center"/>
            <w:hideMark/>
          </w:tcPr>
          <w:p w14:paraId="2EFBA050" w14:textId="77777777" w:rsidR="00202E6A" w:rsidRPr="00A5733E" w:rsidRDefault="00202E6A" w:rsidP="00201343">
            <w:pPr>
              <w:pStyle w:val="Tabletext"/>
              <w:jc w:val="center"/>
              <w:rPr>
                <w:rFonts w:ascii="Segoe UI" w:hAnsi="Segoe UI" w:cs="Segoe UI"/>
                <w:sz w:val="18"/>
                <w:szCs w:val="18"/>
                <w:lang w:val="es-ES"/>
              </w:rPr>
            </w:pPr>
            <w:r w:rsidRPr="00A5733E">
              <w:rPr>
                <w:color w:val="000000"/>
                <w:lang w:val="es-ES"/>
              </w:rPr>
              <w:t>1×350, 1×150, 1×80, 2×30, 1×20</w:t>
            </w:r>
          </w:p>
        </w:tc>
        <w:tc>
          <w:tcPr>
            <w:tcW w:w="1575" w:type="dxa"/>
            <w:hideMark/>
          </w:tcPr>
          <w:p w14:paraId="0641FA94" w14:textId="7861DC50" w:rsidR="00202E6A" w:rsidRPr="00A5733E" w:rsidRDefault="00202E6A" w:rsidP="00201343">
            <w:pPr>
              <w:pStyle w:val="Tabletext"/>
              <w:rPr>
                <w:rFonts w:ascii="Segoe UI" w:hAnsi="Segoe UI" w:cs="Segoe UI"/>
                <w:sz w:val="18"/>
                <w:szCs w:val="18"/>
                <w:lang w:val="es-ES"/>
              </w:rPr>
            </w:pPr>
            <w:r w:rsidRPr="00A5733E">
              <w:rPr>
                <w:color w:val="000000"/>
                <w:lang w:val="es-ES"/>
              </w:rPr>
              <w:t>Alquiler</w:t>
            </w:r>
          </w:p>
        </w:tc>
        <w:tc>
          <w:tcPr>
            <w:tcW w:w="1363" w:type="dxa"/>
            <w:hideMark/>
          </w:tcPr>
          <w:p w14:paraId="2C36A741" w14:textId="66E4B28B"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27 368</w:t>
            </w:r>
          </w:p>
        </w:tc>
        <w:tc>
          <w:tcPr>
            <w:tcW w:w="1237" w:type="dxa"/>
            <w:hideMark/>
          </w:tcPr>
          <w:p w14:paraId="47BB37E3" w14:textId="07B58B19"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33 792</w:t>
            </w:r>
          </w:p>
        </w:tc>
        <w:tc>
          <w:tcPr>
            <w:tcW w:w="1400" w:type="dxa"/>
            <w:hideMark/>
          </w:tcPr>
          <w:p w14:paraId="745BE00B" w14:textId="0EA8A988"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95 400</w:t>
            </w:r>
          </w:p>
        </w:tc>
      </w:tr>
      <w:tr w:rsidR="00202E6A" w:rsidRPr="00A5733E" w14:paraId="51309240" w14:textId="77777777" w:rsidTr="00201343">
        <w:trPr>
          <w:jc w:val="center"/>
        </w:trPr>
        <w:tc>
          <w:tcPr>
            <w:tcW w:w="1064" w:type="dxa"/>
            <w:vMerge/>
            <w:vAlign w:val="center"/>
            <w:hideMark/>
          </w:tcPr>
          <w:p w14:paraId="6D53FB46" w14:textId="77777777" w:rsidR="00202E6A" w:rsidRPr="00A5733E" w:rsidRDefault="00202E6A" w:rsidP="00201343">
            <w:pPr>
              <w:pStyle w:val="Tabletext"/>
              <w:spacing w:before="60" w:after="60"/>
              <w:rPr>
                <w:rFonts w:ascii="Segoe UI" w:hAnsi="Segoe UI" w:cs="Segoe UI"/>
                <w:sz w:val="18"/>
                <w:szCs w:val="18"/>
                <w:lang w:val="es-ES" w:eastAsia="en-GB"/>
              </w:rPr>
            </w:pPr>
          </w:p>
        </w:tc>
        <w:tc>
          <w:tcPr>
            <w:tcW w:w="825" w:type="dxa"/>
            <w:vMerge/>
            <w:vAlign w:val="center"/>
            <w:hideMark/>
          </w:tcPr>
          <w:p w14:paraId="49DB9C5F" w14:textId="77777777" w:rsidR="00202E6A" w:rsidRPr="00A5733E" w:rsidRDefault="00202E6A" w:rsidP="00201343">
            <w:pPr>
              <w:pStyle w:val="Tabletext"/>
              <w:spacing w:before="60" w:after="60"/>
              <w:jc w:val="center"/>
              <w:rPr>
                <w:rFonts w:ascii="Segoe UI" w:hAnsi="Segoe UI" w:cs="Segoe UI"/>
                <w:sz w:val="18"/>
                <w:szCs w:val="18"/>
                <w:lang w:val="es-ES" w:eastAsia="en-GB"/>
              </w:rPr>
            </w:pPr>
          </w:p>
        </w:tc>
        <w:tc>
          <w:tcPr>
            <w:tcW w:w="1692" w:type="dxa"/>
            <w:vMerge/>
            <w:vAlign w:val="center"/>
            <w:hideMark/>
          </w:tcPr>
          <w:p w14:paraId="090AD0BE" w14:textId="77777777" w:rsidR="00202E6A" w:rsidRPr="00A5733E" w:rsidRDefault="00202E6A" w:rsidP="00201343">
            <w:pPr>
              <w:pStyle w:val="Tabletext"/>
              <w:jc w:val="center"/>
              <w:rPr>
                <w:rFonts w:ascii="Segoe UI" w:hAnsi="Segoe UI" w:cs="Segoe UI"/>
                <w:sz w:val="18"/>
                <w:szCs w:val="18"/>
                <w:lang w:val="es-ES" w:eastAsia="en-GB"/>
              </w:rPr>
            </w:pPr>
          </w:p>
        </w:tc>
        <w:tc>
          <w:tcPr>
            <w:tcW w:w="1575" w:type="dxa"/>
            <w:hideMark/>
          </w:tcPr>
          <w:p w14:paraId="7EF6AF88" w14:textId="7966D0B6" w:rsidR="00202E6A" w:rsidRPr="00A5733E" w:rsidRDefault="00202E6A" w:rsidP="00201343">
            <w:pPr>
              <w:pStyle w:val="Tabletext"/>
              <w:rPr>
                <w:rFonts w:ascii="Segoe UI" w:hAnsi="Segoe UI" w:cs="Segoe UI"/>
                <w:sz w:val="18"/>
                <w:szCs w:val="18"/>
                <w:lang w:val="es-ES"/>
              </w:rPr>
            </w:pPr>
            <w:r w:rsidRPr="00A5733E">
              <w:rPr>
                <w:color w:val="000000"/>
                <w:lang w:val="es-ES"/>
              </w:rPr>
              <w:t>Seguridad</w:t>
            </w:r>
          </w:p>
        </w:tc>
        <w:tc>
          <w:tcPr>
            <w:tcW w:w="1363" w:type="dxa"/>
            <w:hideMark/>
          </w:tcPr>
          <w:p w14:paraId="58B9028B" w14:textId="6EA27C99"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10 220</w:t>
            </w:r>
          </w:p>
        </w:tc>
        <w:tc>
          <w:tcPr>
            <w:tcW w:w="1237" w:type="dxa"/>
            <w:hideMark/>
          </w:tcPr>
          <w:p w14:paraId="4CA37E5D" w14:textId="5AA5EBAD"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18 968</w:t>
            </w:r>
          </w:p>
        </w:tc>
        <w:tc>
          <w:tcPr>
            <w:tcW w:w="1400" w:type="dxa"/>
            <w:hideMark/>
          </w:tcPr>
          <w:p w14:paraId="373396E5" w14:textId="777C8B90"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14 099</w:t>
            </w:r>
          </w:p>
        </w:tc>
      </w:tr>
      <w:tr w:rsidR="00202E6A" w:rsidRPr="00A5733E" w14:paraId="5D2D6836" w14:textId="77777777" w:rsidTr="00201343">
        <w:trPr>
          <w:jc w:val="center"/>
        </w:trPr>
        <w:tc>
          <w:tcPr>
            <w:tcW w:w="1064" w:type="dxa"/>
            <w:vMerge/>
            <w:vAlign w:val="center"/>
            <w:hideMark/>
          </w:tcPr>
          <w:p w14:paraId="4F6790E4" w14:textId="77777777" w:rsidR="00202E6A" w:rsidRPr="00A5733E" w:rsidRDefault="00202E6A" w:rsidP="00201343">
            <w:pPr>
              <w:pStyle w:val="Tabletext"/>
              <w:spacing w:before="60" w:after="60"/>
              <w:rPr>
                <w:rFonts w:ascii="Segoe UI" w:hAnsi="Segoe UI" w:cs="Segoe UI"/>
                <w:sz w:val="18"/>
                <w:szCs w:val="18"/>
                <w:lang w:val="es-ES" w:eastAsia="en-GB"/>
              </w:rPr>
            </w:pPr>
          </w:p>
        </w:tc>
        <w:tc>
          <w:tcPr>
            <w:tcW w:w="825" w:type="dxa"/>
            <w:vMerge/>
            <w:vAlign w:val="center"/>
            <w:hideMark/>
          </w:tcPr>
          <w:p w14:paraId="532E6D65" w14:textId="77777777" w:rsidR="00202E6A" w:rsidRPr="00A5733E" w:rsidRDefault="00202E6A" w:rsidP="00201343">
            <w:pPr>
              <w:pStyle w:val="Tabletext"/>
              <w:spacing w:before="60" w:after="60"/>
              <w:jc w:val="center"/>
              <w:rPr>
                <w:rFonts w:ascii="Segoe UI" w:hAnsi="Segoe UI" w:cs="Segoe UI"/>
                <w:sz w:val="18"/>
                <w:szCs w:val="18"/>
                <w:lang w:val="es-ES" w:eastAsia="en-GB"/>
              </w:rPr>
            </w:pPr>
          </w:p>
        </w:tc>
        <w:tc>
          <w:tcPr>
            <w:tcW w:w="1692" w:type="dxa"/>
            <w:vMerge/>
            <w:vAlign w:val="center"/>
            <w:hideMark/>
          </w:tcPr>
          <w:p w14:paraId="37278B1E" w14:textId="77777777" w:rsidR="00202E6A" w:rsidRPr="00A5733E" w:rsidRDefault="00202E6A" w:rsidP="00201343">
            <w:pPr>
              <w:pStyle w:val="Tabletext"/>
              <w:jc w:val="center"/>
              <w:rPr>
                <w:rFonts w:ascii="Segoe UI" w:hAnsi="Segoe UI" w:cs="Segoe UI"/>
                <w:sz w:val="18"/>
                <w:szCs w:val="18"/>
                <w:lang w:val="es-ES" w:eastAsia="en-GB"/>
              </w:rPr>
            </w:pPr>
          </w:p>
        </w:tc>
        <w:tc>
          <w:tcPr>
            <w:tcW w:w="1575" w:type="dxa"/>
            <w:hideMark/>
          </w:tcPr>
          <w:p w14:paraId="0310C60F" w14:textId="070F84D0" w:rsidR="00202E6A" w:rsidRPr="00A5733E" w:rsidRDefault="00202E6A" w:rsidP="00201343">
            <w:pPr>
              <w:pStyle w:val="Tabletext"/>
              <w:rPr>
                <w:rFonts w:ascii="Segoe UI" w:hAnsi="Segoe UI" w:cs="Segoe UI"/>
                <w:sz w:val="18"/>
                <w:szCs w:val="18"/>
                <w:lang w:val="es-ES"/>
              </w:rPr>
            </w:pPr>
            <w:r w:rsidRPr="00A5733E">
              <w:rPr>
                <w:color w:val="000000"/>
                <w:lang w:val="es-ES"/>
              </w:rPr>
              <w:t>Servicio técnico</w:t>
            </w:r>
          </w:p>
        </w:tc>
        <w:tc>
          <w:tcPr>
            <w:tcW w:w="1363" w:type="dxa"/>
            <w:hideMark/>
          </w:tcPr>
          <w:p w14:paraId="358ADDDB" w14:textId="6A92EE51"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50 000</w:t>
            </w:r>
          </w:p>
        </w:tc>
        <w:tc>
          <w:tcPr>
            <w:tcW w:w="1237" w:type="dxa"/>
            <w:hideMark/>
          </w:tcPr>
          <w:p w14:paraId="2B6DDB13" w14:textId="2A4F26C6"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44 000</w:t>
            </w:r>
          </w:p>
        </w:tc>
        <w:tc>
          <w:tcPr>
            <w:tcW w:w="1400" w:type="dxa"/>
            <w:hideMark/>
          </w:tcPr>
          <w:p w14:paraId="307A4171" w14:textId="00030642"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151 167</w:t>
            </w:r>
          </w:p>
        </w:tc>
      </w:tr>
      <w:tr w:rsidR="00202E6A" w:rsidRPr="00A5733E" w14:paraId="51140C8C" w14:textId="77777777" w:rsidTr="00201343">
        <w:trPr>
          <w:jc w:val="center"/>
        </w:trPr>
        <w:tc>
          <w:tcPr>
            <w:tcW w:w="1064" w:type="dxa"/>
            <w:vMerge/>
            <w:vAlign w:val="center"/>
            <w:hideMark/>
          </w:tcPr>
          <w:p w14:paraId="3203C97E" w14:textId="77777777" w:rsidR="00202E6A" w:rsidRPr="00A5733E" w:rsidRDefault="00202E6A" w:rsidP="00201343">
            <w:pPr>
              <w:pStyle w:val="Tabletext"/>
              <w:rPr>
                <w:rFonts w:ascii="Segoe UI" w:hAnsi="Segoe UI" w:cs="Segoe UI"/>
                <w:sz w:val="18"/>
                <w:szCs w:val="18"/>
                <w:lang w:val="es-ES" w:eastAsia="en-GB"/>
              </w:rPr>
            </w:pPr>
          </w:p>
        </w:tc>
        <w:tc>
          <w:tcPr>
            <w:tcW w:w="825" w:type="dxa"/>
            <w:vMerge/>
            <w:vAlign w:val="center"/>
            <w:hideMark/>
          </w:tcPr>
          <w:p w14:paraId="5655B380" w14:textId="77777777" w:rsidR="00202E6A" w:rsidRPr="00A5733E" w:rsidRDefault="00202E6A" w:rsidP="00201343">
            <w:pPr>
              <w:pStyle w:val="Tabletext"/>
              <w:jc w:val="center"/>
              <w:rPr>
                <w:rFonts w:ascii="Segoe UI" w:hAnsi="Segoe UI" w:cs="Segoe UI"/>
                <w:sz w:val="18"/>
                <w:szCs w:val="18"/>
                <w:lang w:val="es-ES" w:eastAsia="en-GB"/>
              </w:rPr>
            </w:pPr>
          </w:p>
        </w:tc>
        <w:tc>
          <w:tcPr>
            <w:tcW w:w="1692" w:type="dxa"/>
            <w:vMerge/>
            <w:vAlign w:val="center"/>
            <w:hideMark/>
          </w:tcPr>
          <w:p w14:paraId="30D40F57" w14:textId="77777777" w:rsidR="00202E6A" w:rsidRPr="00A5733E" w:rsidRDefault="00202E6A" w:rsidP="00201343">
            <w:pPr>
              <w:pStyle w:val="Tabletext"/>
              <w:jc w:val="center"/>
              <w:rPr>
                <w:rFonts w:ascii="Segoe UI" w:hAnsi="Segoe UI" w:cs="Segoe UI"/>
                <w:sz w:val="18"/>
                <w:szCs w:val="18"/>
                <w:lang w:val="es-ES" w:eastAsia="en-GB"/>
              </w:rPr>
            </w:pPr>
          </w:p>
        </w:tc>
        <w:tc>
          <w:tcPr>
            <w:tcW w:w="1575" w:type="dxa"/>
            <w:hideMark/>
          </w:tcPr>
          <w:p w14:paraId="525D4E47" w14:textId="50F1A701" w:rsidR="00202E6A" w:rsidRPr="00A5733E" w:rsidRDefault="00202E6A" w:rsidP="00201343">
            <w:pPr>
              <w:pStyle w:val="Tabletext"/>
              <w:jc w:val="right"/>
              <w:rPr>
                <w:rFonts w:ascii="Segoe UI" w:hAnsi="Segoe UI" w:cs="Segoe UI"/>
                <w:b/>
                <w:bCs/>
                <w:sz w:val="18"/>
                <w:szCs w:val="18"/>
                <w:lang w:val="es-ES"/>
              </w:rPr>
            </w:pPr>
            <w:r w:rsidRPr="00A5733E">
              <w:rPr>
                <w:b/>
                <w:bCs/>
                <w:color w:val="000000"/>
                <w:lang w:val="es-ES"/>
              </w:rPr>
              <w:t>Total:</w:t>
            </w:r>
          </w:p>
        </w:tc>
        <w:tc>
          <w:tcPr>
            <w:tcW w:w="1363" w:type="dxa"/>
            <w:hideMark/>
          </w:tcPr>
          <w:p w14:paraId="6090D32E" w14:textId="21CD99A1" w:rsidR="00202E6A" w:rsidRPr="00A5733E" w:rsidRDefault="00202E6A" w:rsidP="00201343">
            <w:pPr>
              <w:pStyle w:val="Tabletext"/>
              <w:jc w:val="right"/>
              <w:rPr>
                <w:rFonts w:ascii="Segoe UI" w:hAnsi="Segoe UI" w:cs="Segoe UI"/>
                <w:b/>
                <w:bCs/>
                <w:sz w:val="18"/>
                <w:szCs w:val="18"/>
                <w:lang w:val="es-ES"/>
              </w:rPr>
            </w:pPr>
            <w:r w:rsidRPr="00A5733E">
              <w:rPr>
                <w:b/>
                <w:bCs/>
                <w:color w:val="000000"/>
                <w:lang w:val="es-ES"/>
              </w:rPr>
              <w:t>87 588</w:t>
            </w:r>
          </w:p>
        </w:tc>
        <w:tc>
          <w:tcPr>
            <w:tcW w:w="1237" w:type="dxa"/>
            <w:hideMark/>
          </w:tcPr>
          <w:p w14:paraId="2F02804D" w14:textId="398F50B3" w:rsidR="00202E6A" w:rsidRPr="00A5733E" w:rsidRDefault="00202E6A" w:rsidP="00201343">
            <w:pPr>
              <w:pStyle w:val="Tabletext"/>
              <w:jc w:val="right"/>
              <w:rPr>
                <w:rFonts w:ascii="Segoe UI" w:hAnsi="Segoe UI" w:cs="Segoe UI"/>
                <w:b/>
                <w:bCs/>
                <w:sz w:val="18"/>
                <w:szCs w:val="18"/>
                <w:lang w:val="es-ES"/>
              </w:rPr>
            </w:pPr>
            <w:r w:rsidRPr="00A5733E">
              <w:rPr>
                <w:b/>
                <w:bCs/>
                <w:color w:val="000000"/>
                <w:lang w:val="es-ES"/>
              </w:rPr>
              <w:t>96 760</w:t>
            </w:r>
          </w:p>
        </w:tc>
        <w:tc>
          <w:tcPr>
            <w:tcW w:w="1400" w:type="dxa"/>
            <w:hideMark/>
          </w:tcPr>
          <w:p w14:paraId="0E00D5BB" w14:textId="0F13B7AB" w:rsidR="00202E6A" w:rsidRPr="00A5733E" w:rsidRDefault="00202E6A" w:rsidP="00201343">
            <w:pPr>
              <w:pStyle w:val="Tabletext"/>
              <w:jc w:val="right"/>
              <w:rPr>
                <w:rFonts w:ascii="Segoe UI" w:hAnsi="Segoe UI" w:cs="Segoe UI"/>
                <w:b/>
                <w:bCs/>
                <w:sz w:val="18"/>
                <w:szCs w:val="18"/>
                <w:lang w:val="es-ES"/>
              </w:rPr>
            </w:pPr>
            <w:r w:rsidRPr="00A5733E">
              <w:rPr>
                <w:b/>
                <w:bCs/>
                <w:color w:val="000000"/>
                <w:lang w:val="es-ES"/>
              </w:rPr>
              <w:t>260 666</w:t>
            </w:r>
          </w:p>
        </w:tc>
      </w:tr>
      <w:tr w:rsidR="00202E6A" w:rsidRPr="00A5733E" w14:paraId="2138D208" w14:textId="77777777" w:rsidTr="00201343">
        <w:trPr>
          <w:jc w:val="center"/>
        </w:trPr>
        <w:tc>
          <w:tcPr>
            <w:tcW w:w="1064" w:type="dxa"/>
            <w:vMerge w:val="restart"/>
            <w:vAlign w:val="center"/>
            <w:hideMark/>
          </w:tcPr>
          <w:p w14:paraId="093237BF" w14:textId="77777777" w:rsidR="00202E6A" w:rsidRPr="00A5733E" w:rsidRDefault="00202E6A" w:rsidP="00201343">
            <w:pPr>
              <w:pStyle w:val="Tabletext"/>
              <w:rPr>
                <w:rFonts w:ascii="Segoe UI" w:hAnsi="Segoe UI" w:cs="Segoe UI"/>
                <w:sz w:val="18"/>
                <w:szCs w:val="18"/>
                <w:lang w:val="es-ES"/>
              </w:rPr>
            </w:pPr>
            <w:r w:rsidRPr="00A5733E">
              <w:rPr>
                <w:b/>
                <w:bCs/>
                <w:color w:val="000000"/>
                <w:lang w:val="es-ES"/>
              </w:rPr>
              <w:t>GTC</w:t>
            </w:r>
          </w:p>
        </w:tc>
        <w:tc>
          <w:tcPr>
            <w:tcW w:w="825" w:type="dxa"/>
            <w:vMerge w:val="restart"/>
            <w:vAlign w:val="center"/>
            <w:hideMark/>
          </w:tcPr>
          <w:p w14:paraId="6691488A" w14:textId="77777777" w:rsidR="00202E6A" w:rsidRPr="00A5733E" w:rsidRDefault="00202E6A" w:rsidP="00201343">
            <w:pPr>
              <w:pStyle w:val="Tabletext"/>
              <w:jc w:val="center"/>
              <w:rPr>
                <w:rFonts w:ascii="Segoe UI" w:hAnsi="Segoe UI" w:cs="Segoe UI"/>
                <w:sz w:val="18"/>
                <w:szCs w:val="18"/>
                <w:lang w:val="es-ES"/>
              </w:rPr>
            </w:pPr>
            <w:r w:rsidRPr="00A5733E">
              <w:rPr>
                <w:color w:val="000000"/>
                <w:lang w:val="es-ES"/>
              </w:rPr>
              <w:t>12</w:t>
            </w:r>
          </w:p>
        </w:tc>
        <w:tc>
          <w:tcPr>
            <w:tcW w:w="1692" w:type="dxa"/>
            <w:vMerge w:val="restart"/>
            <w:vAlign w:val="center"/>
            <w:hideMark/>
          </w:tcPr>
          <w:p w14:paraId="6E98D223" w14:textId="77777777" w:rsidR="00202E6A" w:rsidRPr="00A5733E" w:rsidRDefault="00202E6A" w:rsidP="00201343">
            <w:pPr>
              <w:pStyle w:val="Tabletext"/>
              <w:jc w:val="center"/>
              <w:rPr>
                <w:rFonts w:ascii="Segoe UI" w:hAnsi="Segoe UI" w:cs="Segoe UI"/>
                <w:sz w:val="18"/>
                <w:szCs w:val="18"/>
                <w:lang w:val="es-ES"/>
              </w:rPr>
            </w:pPr>
            <w:r w:rsidRPr="00A5733E">
              <w:rPr>
                <w:color w:val="000000"/>
                <w:lang w:val="es-ES"/>
              </w:rPr>
              <w:t>1×150, 1×80</w:t>
            </w:r>
          </w:p>
        </w:tc>
        <w:tc>
          <w:tcPr>
            <w:tcW w:w="1575" w:type="dxa"/>
            <w:hideMark/>
          </w:tcPr>
          <w:p w14:paraId="77C27A27" w14:textId="61A0BCE2" w:rsidR="00202E6A" w:rsidRPr="00A5733E" w:rsidRDefault="00202E6A" w:rsidP="00201343">
            <w:pPr>
              <w:pStyle w:val="Tabletext"/>
              <w:rPr>
                <w:rFonts w:ascii="Segoe UI" w:hAnsi="Segoe UI" w:cs="Segoe UI"/>
                <w:sz w:val="18"/>
                <w:szCs w:val="18"/>
                <w:lang w:val="es-ES"/>
              </w:rPr>
            </w:pPr>
            <w:r w:rsidRPr="00A5733E">
              <w:rPr>
                <w:color w:val="000000"/>
                <w:lang w:val="es-ES"/>
              </w:rPr>
              <w:t>Alquiler</w:t>
            </w:r>
          </w:p>
        </w:tc>
        <w:tc>
          <w:tcPr>
            <w:tcW w:w="1363" w:type="dxa"/>
            <w:hideMark/>
          </w:tcPr>
          <w:p w14:paraId="7AD52AAB" w14:textId="678B8728"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21 560</w:t>
            </w:r>
          </w:p>
        </w:tc>
        <w:tc>
          <w:tcPr>
            <w:tcW w:w="1237" w:type="dxa"/>
            <w:hideMark/>
          </w:tcPr>
          <w:p w14:paraId="5ED2CFBD" w14:textId="4A17A38A"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14 784</w:t>
            </w:r>
          </w:p>
        </w:tc>
        <w:tc>
          <w:tcPr>
            <w:tcW w:w="1400" w:type="dxa"/>
            <w:hideMark/>
          </w:tcPr>
          <w:p w14:paraId="58787BF9" w14:textId="0279DC9D"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56 760</w:t>
            </w:r>
          </w:p>
        </w:tc>
      </w:tr>
      <w:tr w:rsidR="00202E6A" w:rsidRPr="00A5733E" w14:paraId="4E5C7AE8" w14:textId="77777777" w:rsidTr="00201343">
        <w:trPr>
          <w:jc w:val="center"/>
        </w:trPr>
        <w:tc>
          <w:tcPr>
            <w:tcW w:w="1064" w:type="dxa"/>
            <w:vMerge/>
            <w:hideMark/>
          </w:tcPr>
          <w:p w14:paraId="1BDE36D4" w14:textId="77777777" w:rsidR="00202E6A" w:rsidRPr="00A5733E" w:rsidRDefault="00202E6A" w:rsidP="00201343">
            <w:pPr>
              <w:pStyle w:val="Tabletext"/>
              <w:spacing w:before="60" w:after="60"/>
              <w:rPr>
                <w:rFonts w:ascii="Segoe UI" w:hAnsi="Segoe UI" w:cs="Segoe UI"/>
                <w:sz w:val="18"/>
                <w:szCs w:val="18"/>
                <w:lang w:val="es-ES" w:eastAsia="en-GB"/>
              </w:rPr>
            </w:pPr>
          </w:p>
        </w:tc>
        <w:tc>
          <w:tcPr>
            <w:tcW w:w="825" w:type="dxa"/>
            <w:vMerge/>
            <w:hideMark/>
          </w:tcPr>
          <w:p w14:paraId="36EA2627" w14:textId="77777777" w:rsidR="00202E6A" w:rsidRPr="00A5733E" w:rsidRDefault="00202E6A" w:rsidP="00201343">
            <w:pPr>
              <w:pStyle w:val="Tabletext"/>
              <w:spacing w:before="60" w:after="60"/>
              <w:jc w:val="center"/>
              <w:rPr>
                <w:rFonts w:ascii="Segoe UI" w:hAnsi="Segoe UI" w:cs="Segoe UI"/>
                <w:sz w:val="18"/>
                <w:szCs w:val="18"/>
                <w:lang w:val="es-ES" w:eastAsia="en-GB"/>
              </w:rPr>
            </w:pPr>
          </w:p>
        </w:tc>
        <w:tc>
          <w:tcPr>
            <w:tcW w:w="1692" w:type="dxa"/>
            <w:vMerge/>
            <w:hideMark/>
          </w:tcPr>
          <w:p w14:paraId="4FC6766A" w14:textId="77777777" w:rsidR="00202E6A" w:rsidRPr="00A5733E" w:rsidRDefault="00202E6A" w:rsidP="00201343">
            <w:pPr>
              <w:pStyle w:val="Tabletext"/>
              <w:jc w:val="center"/>
              <w:rPr>
                <w:rFonts w:ascii="Segoe UI" w:hAnsi="Segoe UI" w:cs="Segoe UI"/>
                <w:sz w:val="18"/>
                <w:szCs w:val="18"/>
                <w:lang w:val="es-ES" w:eastAsia="en-GB"/>
              </w:rPr>
            </w:pPr>
          </w:p>
        </w:tc>
        <w:tc>
          <w:tcPr>
            <w:tcW w:w="1575" w:type="dxa"/>
            <w:hideMark/>
          </w:tcPr>
          <w:p w14:paraId="0BB9AEF5" w14:textId="6E7B1D0A" w:rsidR="00202E6A" w:rsidRPr="00A5733E" w:rsidRDefault="00202E6A" w:rsidP="00201343">
            <w:pPr>
              <w:pStyle w:val="Tabletext"/>
              <w:rPr>
                <w:rFonts w:ascii="Segoe UI" w:hAnsi="Segoe UI" w:cs="Segoe UI"/>
                <w:sz w:val="18"/>
                <w:szCs w:val="18"/>
                <w:lang w:val="es-ES"/>
              </w:rPr>
            </w:pPr>
            <w:r w:rsidRPr="00A5733E">
              <w:rPr>
                <w:color w:val="000000"/>
                <w:lang w:val="es-ES"/>
              </w:rPr>
              <w:t>Seguridad</w:t>
            </w:r>
          </w:p>
        </w:tc>
        <w:tc>
          <w:tcPr>
            <w:tcW w:w="1363" w:type="dxa"/>
            <w:hideMark/>
          </w:tcPr>
          <w:p w14:paraId="6D799670" w14:textId="6ECD0948"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10 220</w:t>
            </w:r>
          </w:p>
        </w:tc>
        <w:tc>
          <w:tcPr>
            <w:tcW w:w="1237" w:type="dxa"/>
            <w:hideMark/>
          </w:tcPr>
          <w:p w14:paraId="6C8D31AF" w14:textId="07E9CE09"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600</w:t>
            </w:r>
          </w:p>
        </w:tc>
        <w:tc>
          <w:tcPr>
            <w:tcW w:w="1400" w:type="dxa"/>
            <w:hideMark/>
          </w:tcPr>
          <w:p w14:paraId="7FB7EF18" w14:textId="18112AE6"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14 099</w:t>
            </w:r>
          </w:p>
        </w:tc>
      </w:tr>
      <w:tr w:rsidR="00202E6A" w:rsidRPr="00A5733E" w14:paraId="1DE8F86A" w14:textId="77777777" w:rsidTr="00201343">
        <w:trPr>
          <w:jc w:val="center"/>
        </w:trPr>
        <w:tc>
          <w:tcPr>
            <w:tcW w:w="1064" w:type="dxa"/>
            <w:vMerge/>
            <w:hideMark/>
          </w:tcPr>
          <w:p w14:paraId="4CE3F49E" w14:textId="77777777" w:rsidR="00202E6A" w:rsidRPr="00A5733E" w:rsidRDefault="00202E6A" w:rsidP="00201343">
            <w:pPr>
              <w:pStyle w:val="Tabletext"/>
              <w:spacing w:before="60" w:after="60"/>
              <w:rPr>
                <w:rFonts w:ascii="Segoe UI" w:hAnsi="Segoe UI" w:cs="Segoe UI"/>
                <w:sz w:val="18"/>
                <w:szCs w:val="18"/>
                <w:lang w:val="es-ES" w:eastAsia="en-GB"/>
              </w:rPr>
            </w:pPr>
          </w:p>
        </w:tc>
        <w:tc>
          <w:tcPr>
            <w:tcW w:w="825" w:type="dxa"/>
            <w:vMerge/>
            <w:hideMark/>
          </w:tcPr>
          <w:p w14:paraId="602C1F2C" w14:textId="77777777" w:rsidR="00202E6A" w:rsidRPr="00A5733E" w:rsidRDefault="00202E6A" w:rsidP="00201343">
            <w:pPr>
              <w:pStyle w:val="Tabletext"/>
              <w:spacing w:before="60" w:after="60"/>
              <w:jc w:val="center"/>
              <w:rPr>
                <w:rFonts w:ascii="Segoe UI" w:hAnsi="Segoe UI" w:cs="Segoe UI"/>
                <w:sz w:val="18"/>
                <w:szCs w:val="18"/>
                <w:lang w:val="es-ES" w:eastAsia="en-GB"/>
              </w:rPr>
            </w:pPr>
          </w:p>
        </w:tc>
        <w:tc>
          <w:tcPr>
            <w:tcW w:w="1692" w:type="dxa"/>
            <w:vMerge/>
            <w:hideMark/>
          </w:tcPr>
          <w:p w14:paraId="17B4C9A8" w14:textId="77777777" w:rsidR="00202E6A" w:rsidRPr="00A5733E" w:rsidRDefault="00202E6A" w:rsidP="00201343">
            <w:pPr>
              <w:pStyle w:val="Tabletext"/>
              <w:jc w:val="center"/>
              <w:rPr>
                <w:rFonts w:ascii="Segoe UI" w:hAnsi="Segoe UI" w:cs="Segoe UI"/>
                <w:sz w:val="18"/>
                <w:szCs w:val="18"/>
                <w:lang w:val="es-ES" w:eastAsia="en-GB"/>
              </w:rPr>
            </w:pPr>
          </w:p>
        </w:tc>
        <w:tc>
          <w:tcPr>
            <w:tcW w:w="1575" w:type="dxa"/>
            <w:hideMark/>
          </w:tcPr>
          <w:p w14:paraId="0DA8F060" w14:textId="0415FAE7" w:rsidR="00202E6A" w:rsidRPr="00A5733E" w:rsidRDefault="00202E6A" w:rsidP="00201343">
            <w:pPr>
              <w:pStyle w:val="Tabletext"/>
              <w:rPr>
                <w:rFonts w:ascii="Segoe UI" w:hAnsi="Segoe UI" w:cs="Segoe UI"/>
                <w:sz w:val="18"/>
                <w:szCs w:val="18"/>
                <w:lang w:val="es-ES"/>
              </w:rPr>
            </w:pPr>
            <w:r w:rsidRPr="00A5733E">
              <w:rPr>
                <w:color w:val="000000"/>
                <w:lang w:val="es-ES"/>
              </w:rPr>
              <w:t>Servicio técnico</w:t>
            </w:r>
          </w:p>
        </w:tc>
        <w:tc>
          <w:tcPr>
            <w:tcW w:w="1363" w:type="dxa"/>
            <w:hideMark/>
          </w:tcPr>
          <w:p w14:paraId="251A4B26" w14:textId="4AEA03BF"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35 000</w:t>
            </w:r>
          </w:p>
        </w:tc>
        <w:tc>
          <w:tcPr>
            <w:tcW w:w="1237" w:type="dxa"/>
            <w:hideMark/>
          </w:tcPr>
          <w:p w14:paraId="7CC1B416" w14:textId="2F91EE23"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28 800</w:t>
            </w:r>
          </w:p>
        </w:tc>
        <w:tc>
          <w:tcPr>
            <w:tcW w:w="1400" w:type="dxa"/>
            <w:hideMark/>
          </w:tcPr>
          <w:p w14:paraId="2E26B48B" w14:textId="65A769B2"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93 542</w:t>
            </w:r>
          </w:p>
        </w:tc>
      </w:tr>
      <w:tr w:rsidR="00202E6A" w:rsidRPr="00A5733E" w14:paraId="416F4676" w14:textId="77777777" w:rsidTr="00201343">
        <w:trPr>
          <w:jc w:val="center"/>
        </w:trPr>
        <w:tc>
          <w:tcPr>
            <w:tcW w:w="1064" w:type="dxa"/>
            <w:vMerge/>
            <w:hideMark/>
          </w:tcPr>
          <w:p w14:paraId="0D8EABAA" w14:textId="77777777" w:rsidR="00202E6A" w:rsidRPr="00A5733E" w:rsidRDefault="00202E6A" w:rsidP="00201343">
            <w:pPr>
              <w:pStyle w:val="Tabletext"/>
              <w:rPr>
                <w:rFonts w:ascii="Segoe UI" w:hAnsi="Segoe UI" w:cs="Segoe UI"/>
                <w:sz w:val="18"/>
                <w:szCs w:val="18"/>
                <w:lang w:val="es-ES" w:eastAsia="en-GB"/>
              </w:rPr>
            </w:pPr>
          </w:p>
        </w:tc>
        <w:tc>
          <w:tcPr>
            <w:tcW w:w="825" w:type="dxa"/>
            <w:vMerge/>
            <w:hideMark/>
          </w:tcPr>
          <w:p w14:paraId="355C523B" w14:textId="77777777" w:rsidR="00202E6A" w:rsidRPr="00A5733E" w:rsidRDefault="00202E6A" w:rsidP="00201343">
            <w:pPr>
              <w:pStyle w:val="Tabletext"/>
              <w:jc w:val="center"/>
              <w:rPr>
                <w:rFonts w:ascii="Segoe UI" w:hAnsi="Segoe UI" w:cs="Segoe UI"/>
                <w:sz w:val="18"/>
                <w:szCs w:val="18"/>
                <w:lang w:val="es-ES" w:eastAsia="en-GB"/>
              </w:rPr>
            </w:pPr>
          </w:p>
        </w:tc>
        <w:tc>
          <w:tcPr>
            <w:tcW w:w="1692" w:type="dxa"/>
            <w:vMerge/>
            <w:hideMark/>
          </w:tcPr>
          <w:p w14:paraId="31CB6120" w14:textId="77777777" w:rsidR="00202E6A" w:rsidRPr="00A5733E" w:rsidRDefault="00202E6A" w:rsidP="00201343">
            <w:pPr>
              <w:pStyle w:val="Tabletext"/>
              <w:jc w:val="center"/>
              <w:rPr>
                <w:rFonts w:ascii="Segoe UI" w:hAnsi="Segoe UI" w:cs="Segoe UI"/>
                <w:sz w:val="18"/>
                <w:szCs w:val="18"/>
                <w:lang w:val="es-ES" w:eastAsia="en-GB"/>
              </w:rPr>
            </w:pPr>
          </w:p>
        </w:tc>
        <w:tc>
          <w:tcPr>
            <w:tcW w:w="1575" w:type="dxa"/>
            <w:hideMark/>
          </w:tcPr>
          <w:p w14:paraId="6259CB3C" w14:textId="5A47238B" w:rsidR="00202E6A" w:rsidRPr="00A5733E" w:rsidRDefault="00202E6A" w:rsidP="00201343">
            <w:pPr>
              <w:pStyle w:val="Tabletext"/>
              <w:jc w:val="right"/>
              <w:rPr>
                <w:rFonts w:ascii="Segoe UI" w:hAnsi="Segoe UI" w:cs="Segoe UI"/>
                <w:b/>
                <w:bCs/>
                <w:sz w:val="18"/>
                <w:szCs w:val="18"/>
                <w:lang w:val="es-ES"/>
              </w:rPr>
            </w:pPr>
            <w:r w:rsidRPr="00A5733E">
              <w:rPr>
                <w:b/>
                <w:bCs/>
                <w:color w:val="000000"/>
                <w:lang w:val="es-ES"/>
              </w:rPr>
              <w:t>Total:</w:t>
            </w:r>
          </w:p>
        </w:tc>
        <w:tc>
          <w:tcPr>
            <w:tcW w:w="1363" w:type="dxa"/>
            <w:hideMark/>
          </w:tcPr>
          <w:p w14:paraId="29D6A8FF" w14:textId="0E9E8224" w:rsidR="00202E6A" w:rsidRPr="00A5733E" w:rsidRDefault="00202E6A" w:rsidP="00201343">
            <w:pPr>
              <w:pStyle w:val="Tabletext"/>
              <w:jc w:val="right"/>
              <w:rPr>
                <w:rFonts w:ascii="Segoe UI" w:hAnsi="Segoe UI" w:cs="Segoe UI"/>
                <w:b/>
                <w:bCs/>
                <w:sz w:val="18"/>
                <w:szCs w:val="18"/>
                <w:lang w:val="es-ES"/>
              </w:rPr>
            </w:pPr>
            <w:r w:rsidRPr="00A5733E">
              <w:rPr>
                <w:b/>
                <w:bCs/>
                <w:color w:val="000000"/>
                <w:lang w:val="es-ES"/>
              </w:rPr>
              <w:t>66 780</w:t>
            </w:r>
          </w:p>
        </w:tc>
        <w:tc>
          <w:tcPr>
            <w:tcW w:w="1237" w:type="dxa"/>
            <w:hideMark/>
          </w:tcPr>
          <w:p w14:paraId="2B1DFD34" w14:textId="0C697768" w:rsidR="00202E6A" w:rsidRPr="00A5733E" w:rsidRDefault="00202E6A" w:rsidP="00201343">
            <w:pPr>
              <w:pStyle w:val="Tabletext"/>
              <w:jc w:val="right"/>
              <w:rPr>
                <w:rFonts w:ascii="Segoe UI" w:hAnsi="Segoe UI" w:cs="Segoe UI"/>
                <w:b/>
                <w:bCs/>
                <w:sz w:val="18"/>
                <w:szCs w:val="18"/>
                <w:lang w:val="es-ES"/>
              </w:rPr>
            </w:pPr>
            <w:r w:rsidRPr="00A5733E">
              <w:rPr>
                <w:b/>
                <w:bCs/>
                <w:color w:val="000000"/>
                <w:lang w:val="es-ES"/>
              </w:rPr>
              <w:t>44 184</w:t>
            </w:r>
          </w:p>
        </w:tc>
        <w:tc>
          <w:tcPr>
            <w:tcW w:w="1400" w:type="dxa"/>
            <w:hideMark/>
          </w:tcPr>
          <w:p w14:paraId="38878111" w14:textId="628ECA56" w:rsidR="00202E6A" w:rsidRPr="00A5733E" w:rsidRDefault="00202E6A" w:rsidP="00201343">
            <w:pPr>
              <w:pStyle w:val="Tabletext"/>
              <w:jc w:val="right"/>
              <w:rPr>
                <w:rFonts w:ascii="Segoe UI" w:hAnsi="Segoe UI" w:cs="Segoe UI"/>
                <w:b/>
                <w:bCs/>
                <w:sz w:val="18"/>
                <w:szCs w:val="18"/>
                <w:lang w:val="es-ES"/>
              </w:rPr>
            </w:pPr>
            <w:r w:rsidRPr="00A5733E">
              <w:rPr>
                <w:b/>
                <w:bCs/>
                <w:color w:val="000000"/>
                <w:lang w:val="es-ES"/>
              </w:rPr>
              <w:t>164 401</w:t>
            </w:r>
          </w:p>
        </w:tc>
      </w:tr>
      <w:tr w:rsidR="00202E6A" w:rsidRPr="00A5733E" w14:paraId="1EA494A4" w14:textId="77777777" w:rsidTr="00201343">
        <w:trPr>
          <w:jc w:val="center"/>
        </w:trPr>
        <w:tc>
          <w:tcPr>
            <w:tcW w:w="1064" w:type="dxa"/>
            <w:vMerge w:val="restart"/>
            <w:vAlign w:val="center"/>
            <w:hideMark/>
          </w:tcPr>
          <w:p w14:paraId="64EEFC2D" w14:textId="097D3C69" w:rsidR="00202E6A" w:rsidRPr="00A5733E" w:rsidRDefault="00202E6A" w:rsidP="00201343">
            <w:pPr>
              <w:pStyle w:val="Tabletext"/>
              <w:rPr>
                <w:rFonts w:ascii="Segoe UI" w:hAnsi="Segoe UI" w:cs="Segoe UI"/>
                <w:b/>
                <w:bCs/>
                <w:sz w:val="18"/>
                <w:szCs w:val="18"/>
                <w:lang w:val="es-ES"/>
              </w:rPr>
            </w:pPr>
            <w:r w:rsidRPr="00A5733E">
              <w:rPr>
                <w:b/>
                <w:bCs/>
                <w:color w:val="000000"/>
                <w:lang w:val="es-ES"/>
              </w:rPr>
              <w:t>GANT</w:t>
            </w:r>
          </w:p>
        </w:tc>
        <w:tc>
          <w:tcPr>
            <w:tcW w:w="825" w:type="dxa"/>
            <w:vMerge w:val="restart"/>
            <w:vAlign w:val="center"/>
            <w:hideMark/>
          </w:tcPr>
          <w:p w14:paraId="3F4D25FC" w14:textId="77777777" w:rsidR="00202E6A" w:rsidRPr="00A5733E" w:rsidRDefault="00202E6A" w:rsidP="00201343">
            <w:pPr>
              <w:pStyle w:val="Tabletext"/>
              <w:jc w:val="center"/>
              <w:rPr>
                <w:rFonts w:ascii="Segoe UI" w:hAnsi="Segoe UI" w:cs="Segoe UI"/>
                <w:sz w:val="18"/>
                <w:szCs w:val="18"/>
                <w:lang w:val="es-ES"/>
              </w:rPr>
            </w:pPr>
            <w:r w:rsidRPr="00A5733E">
              <w:rPr>
                <w:color w:val="000000"/>
                <w:lang w:val="es-ES"/>
              </w:rPr>
              <w:t>5</w:t>
            </w:r>
          </w:p>
        </w:tc>
        <w:tc>
          <w:tcPr>
            <w:tcW w:w="1692" w:type="dxa"/>
            <w:vMerge w:val="restart"/>
            <w:vAlign w:val="center"/>
            <w:hideMark/>
          </w:tcPr>
          <w:p w14:paraId="0DB71402" w14:textId="77777777" w:rsidR="00202E6A" w:rsidRPr="00A5733E" w:rsidRDefault="00202E6A" w:rsidP="00201343">
            <w:pPr>
              <w:pStyle w:val="Tabletext"/>
              <w:jc w:val="center"/>
              <w:rPr>
                <w:rFonts w:ascii="Segoe UI" w:hAnsi="Segoe UI" w:cs="Segoe UI"/>
                <w:sz w:val="18"/>
                <w:szCs w:val="18"/>
                <w:lang w:val="es-ES"/>
              </w:rPr>
            </w:pPr>
            <w:r w:rsidRPr="00A5733E">
              <w:rPr>
                <w:color w:val="000000"/>
                <w:lang w:val="es-ES"/>
              </w:rPr>
              <w:t>1×200, 1×50, 1×30, 1×20</w:t>
            </w:r>
          </w:p>
        </w:tc>
        <w:tc>
          <w:tcPr>
            <w:tcW w:w="1575" w:type="dxa"/>
            <w:hideMark/>
          </w:tcPr>
          <w:p w14:paraId="438753F0" w14:textId="762B6B1A" w:rsidR="00202E6A" w:rsidRPr="00A5733E" w:rsidRDefault="00202E6A" w:rsidP="00201343">
            <w:pPr>
              <w:pStyle w:val="Tabletext"/>
              <w:rPr>
                <w:rFonts w:ascii="Segoe UI" w:hAnsi="Segoe UI" w:cs="Segoe UI"/>
                <w:sz w:val="18"/>
                <w:szCs w:val="18"/>
                <w:lang w:val="es-ES"/>
              </w:rPr>
            </w:pPr>
            <w:r w:rsidRPr="00A5733E">
              <w:rPr>
                <w:color w:val="000000"/>
                <w:lang w:val="es-ES"/>
              </w:rPr>
              <w:t>Alquiler</w:t>
            </w:r>
          </w:p>
        </w:tc>
        <w:tc>
          <w:tcPr>
            <w:tcW w:w="1363" w:type="dxa"/>
            <w:hideMark/>
          </w:tcPr>
          <w:p w14:paraId="39ABF568" w14:textId="71F36B0D"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14 050</w:t>
            </w:r>
          </w:p>
        </w:tc>
        <w:tc>
          <w:tcPr>
            <w:tcW w:w="1237" w:type="dxa"/>
            <w:hideMark/>
          </w:tcPr>
          <w:p w14:paraId="14F25ABF" w14:textId="45167738"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7 920</w:t>
            </w:r>
          </w:p>
        </w:tc>
        <w:tc>
          <w:tcPr>
            <w:tcW w:w="1400" w:type="dxa"/>
            <w:hideMark/>
          </w:tcPr>
          <w:p w14:paraId="308FFB33" w14:textId="1AF5205C"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26 400</w:t>
            </w:r>
          </w:p>
        </w:tc>
      </w:tr>
      <w:tr w:rsidR="00202E6A" w:rsidRPr="00A5733E" w14:paraId="2012FA59" w14:textId="77777777" w:rsidTr="00201343">
        <w:trPr>
          <w:jc w:val="center"/>
        </w:trPr>
        <w:tc>
          <w:tcPr>
            <w:tcW w:w="1064" w:type="dxa"/>
            <w:vMerge/>
            <w:vAlign w:val="center"/>
            <w:hideMark/>
          </w:tcPr>
          <w:p w14:paraId="2AE72B80" w14:textId="77777777" w:rsidR="00202E6A" w:rsidRPr="00A5733E" w:rsidRDefault="00202E6A" w:rsidP="00201343">
            <w:pPr>
              <w:pStyle w:val="Tabletext"/>
              <w:spacing w:before="60" w:after="60"/>
              <w:rPr>
                <w:rFonts w:ascii="Segoe UI" w:hAnsi="Segoe UI" w:cs="Segoe UI"/>
                <w:b/>
                <w:bCs/>
                <w:sz w:val="18"/>
                <w:szCs w:val="18"/>
                <w:lang w:val="es-ES" w:eastAsia="en-GB"/>
              </w:rPr>
            </w:pPr>
          </w:p>
        </w:tc>
        <w:tc>
          <w:tcPr>
            <w:tcW w:w="825" w:type="dxa"/>
            <w:vMerge/>
            <w:vAlign w:val="center"/>
            <w:hideMark/>
          </w:tcPr>
          <w:p w14:paraId="017C91C4" w14:textId="77777777" w:rsidR="00202E6A" w:rsidRPr="00A5733E" w:rsidRDefault="00202E6A" w:rsidP="00201343">
            <w:pPr>
              <w:pStyle w:val="Tabletext"/>
              <w:spacing w:before="60" w:after="60"/>
              <w:jc w:val="center"/>
              <w:rPr>
                <w:rFonts w:ascii="Segoe UI" w:hAnsi="Segoe UI" w:cs="Segoe UI"/>
                <w:sz w:val="18"/>
                <w:szCs w:val="18"/>
                <w:lang w:val="es-ES" w:eastAsia="en-GB"/>
              </w:rPr>
            </w:pPr>
          </w:p>
        </w:tc>
        <w:tc>
          <w:tcPr>
            <w:tcW w:w="1692" w:type="dxa"/>
            <w:vMerge/>
            <w:vAlign w:val="center"/>
            <w:hideMark/>
          </w:tcPr>
          <w:p w14:paraId="22F0AB86" w14:textId="77777777" w:rsidR="00202E6A" w:rsidRPr="00A5733E" w:rsidRDefault="00202E6A" w:rsidP="00201343">
            <w:pPr>
              <w:pStyle w:val="Tabletext"/>
              <w:jc w:val="center"/>
              <w:rPr>
                <w:rFonts w:ascii="Segoe UI" w:hAnsi="Segoe UI" w:cs="Segoe UI"/>
                <w:sz w:val="18"/>
                <w:szCs w:val="18"/>
                <w:lang w:val="es-ES" w:eastAsia="en-GB"/>
              </w:rPr>
            </w:pPr>
          </w:p>
        </w:tc>
        <w:tc>
          <w:tcPr>
            <w:tcW w:w="1575" w:type="dxa"/>
            <w:hideMark/>
          </w:tcPr>
          <w:p w14:paraId="05F10AAD" w14:textId="7AB8BBF4" w:rsidR="00202E6A" w:rsidRPr="00A5733E" w:rsidRDefault="00202E6A" w:rsidP="00201343">
            <w:pPr>
              <w:pStyle w:val="Tabletext"/>
              <w:rPr>
                <w:rFonts w:ascii="Segoe UI" w:hAnsi="Segoe UI" w:cs="Segoe UI"/>
                <w:sz w:val="18"/>
                <w:szCs w:val="18"/>
                <w:lang w:val="es-ES"/>
              </w:rPr>
            </w:pPr>
            <w:r w:rsidRPr="00A5733E">
              <w:rPr>
                <w:color w:val="000000"/>
                <w:lang w:val="es-ES"/>
              </w:rPr>
              <w:t>Seguridad</w:t>
            </w:r>
          </w:p>
        </w:tc>
        <w:tc>
          <w:tcPr>
            <w:tcW w:w="1363" w:type="dxa"/>
            <w:hideMark/>
          </w:tcPr>
          <w:p w14:paraId="0B334968" w14:textId="225ED8F8"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7 200</w:t>
            </w:r>
          </w:p>
        </w:tc>
        <w:tc>
          <w:tcPr>
            <w:tcW w:w="1237" w:type="dxa"/>
            <w:hideMark/>
          </w:tcPr>
          <w:p w14:paraId="4993DF9A" w14:textId="09E88028"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800</w:t>
            </w:r>
          </w:p>
        </w:tc>
        <w:tc>
          <w:tcPr>
            <w:tcW w:w="1400" w:type="dxa"/>
            <w:hideMark/>
          </w:tcPr>
          <w:p w14:paraId="48F5FDB6" w14:textId="48E7181A"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7 242</w:t>
            </w:r>
          </w:p>
        </w:tc>
      </w:tr>
      <w:tr w:rsidR="00202E6A" w:rsidRPr="00A5733E" w14:paraId="51427DD2" w14:textId="77777777" w:rsidTr="00201343">
        <w:trPr>
          <w:jc w:val="center"/>
        </w:trPr>
        <w:tc>
          <w:tcPr>
            <w:tcW w:w="1064" w:type="dxa"/>
            <w:vMerge/>
            <w:vAlign w:val="center"/>
            <w:hideMark/>
          </w:tcPr>
          <w:p w14:paraId="131AE9E6" w14:textId="77777777" w:rsidR="00202E6A" w:rsidRPr="00A5733E" w:rsidRDefault="00202E6A" w:rsidP="00201343">
            <w:pPr>
              <w:pStyle w:val="Tabletext"/>
              <w:spacing w:before="60" w:after="60"/>
              <w:rPr>
                <w:rFonts w:ascii="Segoe UI" w:hAnsi="Segoe UI" w:cs="Segoe UI"/>
                <w:b/>
                <w:bCs/>
                <w:sz w:val="18"/>
                <w:szCs w:val="18"/>
                <w:lang w:val="es-ES" w:eastAsia="en-GB"/>
              </w:rPr>
            </w:pPr>
          </w:p>
        </w:tc>
        <w:tc>
          <w:tcPr>
            <w:tcW w:w="825" w:type="dxa"/>
            <w:vMerge/>
            <w:vAlign w:val="center"/>
            <w:hideMark/>
          </w:tcPr>
          <w:p w14:paraId="0A8BCD90" w14:textId="77777777" w:rsidR="00202E6A" w:rsidRPr="00A5733E" w:rsidRDefault="00202E6A" w:rsidP="00201343">
            <w:pPr>
              <w:pStyle w:val="Tabletext"/>
              <w:spacing w:before="60" w:after="60"/>
              <w:jc w:val="center"/>
              <w:rPr>
                <w:rFonts w:ascii="Segoe UI" w:hAnsi="Segoe UI" w:cs="Segoe UI"/>
                <w:sz w:val="18"/>
                <w:szCs w:val="18"/>
                <w:lang w:val="es-ES" w:eastAsia="en-GB"/>
              </w:rPr>
            </w:pPr>
          </w:p>
        </w:tc>
        <w:tc>
          <w:tcPr>
            <w:tcW w:w="1692" w:type="dxa"/>
            <w:vMerge/>
            <w:vAlign w:val="center"/>
            <w:hideMark/>
          </w:tcPr>
          <w:p w14:paraId="3059B8D9" w14:textId="77777777" w:rsidR="00202E6A" w:rsidRPr="00A5733E" w:rsidRDefault="00202E6A" w:rsidP="00201343">
            <w:pPr>
              <w:pStyle w:val="Tabletext"/>
              <w:jc w:val="center"/>
              <w:rPr>
                <w:rFonts w:ascii="Segoe UI" w:hAnsi="Segoe UI" w:cs="Segoe UI"/>
                <w:sz w:val="18"/>
                <w:szCs w:val="18"/>
                <w:lang w:val="es-ES" w:eastAsia="en-GB"/>
              </w:rPr>
            </w:pPr>
          </w:p>
        </w:tc>
        <w:tc>
          <w:tcPr>
            <w:tcW w:w="1575" w:type="dxa"/>
            <w:hideMark/>
          </w:tcPr>
          <w:p w14:paraId="7D1524C3" w14:textId="1C0F750E" w:rsidR="00202E6A" w:rsidRPr="00A5733E" w:rsidRDefault="00202E6A" w:rsidP="00201343">
            <w:pPr>
              <w:pStyle w:val="Tabletext"/>
              <w:rPr>
                <w:rFonts w:ascii="Segoe UI" w:hAnsi="Segoe UI" w:cs="Segoe UI"/>
                <w:sz w:val="18"/>
                <w:szCs w:val="18"/>
                <w:lang w:val="es-ES"/>
              </w:rPr>
            </w:pPr>
            <w:r w:rsidRPr="00A5733E">
              <w:rPr>
                <w:color w:val="000000"/>
                <w:lang w:val="es-ES"/>
              </w:rPr>
              <w:t>Servicio técnico</w:t>
            </w:r>
          </w:p>
        </w:tc>
        <w:tc>
          <w:tcPr>
            <w:tcW w:w="1363" w:type="dxa"/>
            <w:hideMark/>
          </w:tcPr>
          <w:p w14:paraId="2F303511" w14:textId="2BB676B0"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18 000</w:t>
            </w:r>
          </w:p>
        </w:tc>
        <w:tc>
          <w:tcPr>
            <w:tcW w:w="1237" w:type="dxa"/>
            <w:hideMark/>
          </w:tcPr>
          <w:p w14:paraId="67709A20" w14:textId="378925B8"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15 200</w:t>
            </w:r>
          </w:p>
        </w:tc>
        <w:tc>
          <w:tcPr>
            <w:tcW w:w="1400" w:type="dxa"/>
            <w:hideMark/>
          </w:tcPr>
          <w:p w14:paraId="65D5AC5E" w14:textId="64947D80"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54 228</w:t>
            </w:r>
          </w:p>
        </w:tc>
      </w:tr>
      <w:tr w:rsidR="00202E6A" w:rsidRPr="00A5733E" w14:paraId="30A70D54" w14:textId="77777777" w:rsidTr="00201343">
        <w:trPr>
          <w:jc w:val="center"/>
        </w:trPr>
        <w:tc>
          <w:tcPr>
            <w:tcW w:w="1064" w:type="dxa"/>
            <w:vMerge/>
            <w:vAlign w:val="center"/>
            <w:hideMark/>
          </w:tcPr>
          <w:p w14:paraId="7EE1BBCD" w14:textId="77777777" w:rsidR="00202E6A" w:rsidRPr="00A5733E" w:rsidRDefault="00202E6A" w:rsidP="00201343">
            <w:pPr>
              <w:pStyle w:val="Tabletext"/>
              <w:rPr>
                <w:rFonts w:ascii="Segoe UI" w:hAnsi="Segoe UI" w:cs="Segoe UI"/>
                <w:b/>
                <w:bCs/>
                <w:sz w:val="18"/>
                <w:szCs w:val="18"/>
                <w:lang w:val="es-ES" w:eastAsia="en-GB"/>
              </w:rPr>
            </w:pPr>
          </w:p>
        </w:tc>
        <w:tc>
          <w:tcPr>
            <w:tcW w:w="825" w:type="dxa"/>
            <w:vMerge/>
            <w:vAlign w:val="center"/>
            <w:hideMark/>
          </w:tcPr>
          <w:p w14:paraId="34EE917F" w14:textId="77777777" w:rsidR="00202E6A" w:rsidRPr="00A5733E" w:rsidRDefault="00202E6A" w:rsidP="00201343">
            <w:pPr>
              <w:pStyle w:val="Tabletext"/>
              <w:jc w:val="center"/>
              <w:rPr>
                <w:rFonts w:ascii="Segoe UI" w:hAnsi="Segoe UI" w:cs="Segoe UI"/>
                <w:sz w:val="18"/>
                <w:szCs w:val="18"/>
                <w:lang w:val="es-ES" w:eastAsia="en-GB"/>
              </w:rPr>
            </w:pPr>
          </w:p>
        </w:tc>
        <w:tc>
          <w:tcPr>
            <w:tcW w:w="1692" w:type="dxa"/>
            <w:vMerge/>
            <w:vAlign w:val="center"/>
            <w:hideMark/>
          </w:tcPr>
          <w:p w14:paraId="3F508FE0" w14:textId="77777777" w:rsidR="00202E6A" w:rsidRPr="00A5733E" w:rsidRDefault="00202E6A" w:rsidP="00201343">
            <w:pPr>
              <w:pStyle w:val="Tabletext"/>
              <w:jc w:val="center"/>
              <w:rPr>
                <w:rFonts w:ascii="Segoe UI" w:hAnsi="Segoe UI" w:cs="Segoe UI"/>
                <w:sz w:val="18"/>
                <w:szCs w:val="18"/>
                <w:lang w:val="es-ES" w:eastAsia="en-GB"/>
              </w:rPr>
            </w:pPr>
          </w:p>
        </w:tc>
        <w:tc>
          <w:tcPr>
            <w:tcW w:w="1575" w:type="dxa"/>
            <w:hideMark/>
          </w:tcPr>
          <w:p w14:paraId="10AC5CF2" w14:textId="180A65D7" w:rsidR="00202E6A" w:rsidRPr="00A5733E" w:rsidRDefault="00202E6A" w:rsidP="00201343">
            <w:pPr>
              <w:pStyle w:val="Tabletext"/>
              <w:jc w:val="right"/>
              <w:rPr>
                <w:rFonts w:ascii="Segoe UI" w:hAnsi="Segoe UI" w:cs="Segoe UI"/>
                <w:b/>
                <w:bCs/>
                <w:sz w:val="18"/>
                <w:szCs w:val="18"/>
                <w:lang w:val="es-ES"/>
              </w:rPr>
            </w:pPr>
            <w:r w:rsidRPr="00A5733E">
              <w:rPr>
                <w:b/>
                <w:bCs/>
                <w:color w:val="000000"/>
                <w:lang w:val="es-ES"/>
              </w:rPr>
              <w:t>Total:</w:t>
            </w:r>
          </w:p>
        </w:tc>
        <w:tc>
          <w:tcPr>
            <w:tcW w:w="1363" w:type="dxa"/>
            <w:hideMark/>
          </w:tcPr>
          <w:p w14:paraId="3F7657DA" w14:textId="11F41A8D" w:rsidR="00202E6A" w:rsidRPr="00A5733E" w:rsidRDefault="00202E6A" w:rsidP="00201343">
            <w:pPr>
              <w:pStyle w:val="Tabletext"/>
              <w:jc w:val="right"/>
              <w:rPr>
                <w:rFonts w:ascii="Segoe UI" w:hAnsi="Segoe UI" w:cs="Segoe UI"/>
                <w:b/>
                <w:bCs/>
                <w:sz w:val="18"/>
                <w:szCs w:val="18"/>
                <w:lang w:val="es-ES"/>
              </w:rPr>
            </w:pPr>
            <w:r w:rsidRPr="00A5733E">
              <w:rPr>
                <w:b/>
                <w:bCs/>
                <w:color w:val="000000"/>
                <w:lang w:val="es-ES"/>
              </w:rPr>
              <w:t>38 450</w:t>
            </w:r>
          </w:p>
        </w:tc>
        <w:tc>
          <w:tcPr>
            <w:tcW w:w="1237" w:type="dxa"/>
            <w:hideMark/>
          </w:tcPr>
          <w:p w14:paraId="3A1518EB" w14:textId="2378DD9C" w:rsidR="00202E6A" w:rsidRPr="00A5733E" w:rsidRDefault="00202E6A" w:rsidP="00201343">
            <w:pPr>
              <w:pStyle w:val="Tabletext"/>
              <w:jc w:val="right"/>
              <w:rPr>
                <w:rFonts w:ascii="Segoe UI" w:hAnsi="Segoe UI" w:cs="Segoe UI"/>
                <w:b/>
                <w:bCs/>
                <w:sz w:val="18"/>
                <w:szCs w:val="18"/>
                <w:lang w:val="es-ES"/>
              </w:rPr>
            </w:pPr>
            <w:r w:rsidRPr="00A5733E">
              <w:rPr>
                <w:b/>
                <w:bCs/>
                <w:color w:val="000000"/>
                <w:lang w:val="es-ES"/>
              </w:rPr>
              <w:t>23 920</w:t>
            </w:r>
          </w:p>
        </w:tc>
        <w:tc>
          <w:tcPr>
            <w:tcW w:w="1400" w:type="dxa"/>
            <w:hideMark/>
          </w:tcPr>
          <w:p w14:paraId="5669B73A" w14:textId="77777777" w:rsidR="00202E6A" w:rsidRPr="00A5733E" w:rsidRDefault="00202E6A" w:rsidP="00201343">
            <w:pPr>
              <w:pStyle w:val="Tabletext"/>
              <w:jc w:val="right"/>
              <w:rPr>
                <w:rFonts w:ascii="Segoe UI" w:hAnsi="Segoe UI" w:cs="Segoe UI"/>
                <w:b/>
                <w:bCs/>
                <w:sz w:val="18"/>
                <w:szCs w:val="18"/>
                <w:lang w:val="es-ES"/>
              </w:rPr>
            </w:pPr>
            <w:r w:rsidRPr="00A5733E">
              <w:rPr>
                <w:b/>
                <w:bCs/>
                <w:color w:val="000000"/>
                <w:lang w:val="es-ES"/>
              </w:rPr>
              <w:t>87 870</w:t>
            </w:r>
          </w:p>
        </w:tc>
      </w:tr>
      <w:tr w:rsidR="00202E6A" w:rsidRPr="00A5733E" w14:paraId="2BA0C951" w14:textId="77777777" w:rsidTr="00201343">
        <w:trPr>
          <w:jc w:val="center"/>
        </w:trPr>
        <w:tc>
          <w:tcPr>
            <w:tcW w:w="1064" w:type="dxa"/>
            <w:vMerge w:val="restart"/>
            <w:vAlign w:val="center"/>
            <w:hideMark/>
          </w:tcPr>
          <w:p w14:paraId="13B72084" w14:textId="77777777" w:rsidR="00202E6A" w:rsidRPr="00A5733E" w:rsidRDefault="00202E6A" w:rsidP="00201343">
            <w:pPr>
              <w:pStyle w:val="Tabletext"/>
              <w:rPr>
                <w:rFonts w:ascii="Segoe UI" w:hAnsi="Segoe UI" w:cs="Segoe UI"/>
                <w:b/>
                <w:bCs/>
                <w:sz w:val="18"/>
                <w:szCs w:val="18"/>
                <w:lang w:val="es-ES"/>
              </w:rPr>
            </w:pPr>
            <w:r w:rsidRPr="00A5733E">
              <w:rPr>
                <w:b/>
                <w:bCs/>
                <w:color w:val="000000"/>
                <w:lang w:val="es-ES"/>
              </w:rPr>
              <w:t>GT 5A-B-C BR</w:t>
            </w:r>
          </w:p>
        </w:tc>
        <w:tc>
          <w:tcPr>
            <w:tcW w:w="825" w:type="dxa"/>
            <w:vMerge w:val="restart"/>
            <w:vAlign w:val="center"/>
            <w:hideMark/>
          </w:tcPr>
          <w:p w14:paraId="736728FD" w14:textId="77777777" w:rsidR="00202E6A" w:rsidRPr="00A5733E" w:rsidRDefault="00202E6A" w:rsidP="00201343">
            <w:pPr>
              <w:pStyle w:val="Tabletext"/>
              <w:jc w:val="center"/>
              <w:rPr>
                <w:rFonts w:ascii="Segoe UI" w:hAnsi="Segoe UI" w:cs="Segoe UI"/>
                <w:sz w:val="18"/>
                <w:szCs w:val="18"/>
                <w:lang w:val="es-ES"/>
              </w:rPr>
            </w:pPr>
            <w:r w:rsidRPr="00A5733E">
              <w:rPr>
                <w:color w:val="000000"/>
                <w:lang w:val="es-ES"/>
              </w:rPr>
              <w:t>12</w:t>
            </w:r>
          </w:p>
        </w:tc>
        <w:tc>
          <w:tcPr>
            <w:tcW w:w="1692" w:type="dxa"/>
            <w:vMerge w:val="restart"/>
            <w:vAlign w:val="center"/>
            <w:hideMark/>
          </w:tcPr>
          <w:p w14:paraId="579C6539" w14:textId="77777777" w:rsidR="00202E6A" w:rsidRPr="00A5733E" w:rsidRDefault="00202E6A" w:rsidP="00201343">
            <w:pPr>
              <w:pStyle w:val="Tabletext"/>
              <w:jc w:val="center"/>
              <w:rPr>
                <w:rFonts w:ascii="Segoe UI" w:hAnsi="Segoe UI" w:cs="Segoe UI"/>
                <w:sz w:val="18"/>
                <w:szCs w:val="18"/>
                <w:lang w:val="es-ES"/>
              </w:rPr>
            </w:pPr>
            <w:r w:rsidRPr="00A5733E">
              <w:rPr>
                <w:color w:val="000000"/>
                <w:lang w:val="es-ES"/>
              </w:rPr>
              <w:t>1×200, 1×120, 1×80, 1×50, 1×30</w:t>
            </w:r>
          </w:p>
        </w:tc>
        <w:tc>
          <w:tcPr>
            <w:tcW w:w="1575" w:type="dxa"/>
            <w:hideMark/>
          </w:tcPr>
          <w:p w14:paraId="25E42A87" w14:textId="61F1B515" w:rsidR="00202E6A" w:rsidRPr="00A5733E" w:rsidRDefault="00202E6A" w:rsidP="00201343">
            <w:pPr>
              <w:pStyle w:val="Tabletext"/>
              <w:rPr>
                <w:rFonts w:ascii="Segoe UI" w:hAnsi="Segoe UI" w:cs="Segoe UI"/>
                <w:sz w:val="18"/>
                <w:szCs w:val="18"/>
                <w:lang w:val="es-ES"/>
              </w:rPr>
            </w:pPr>
            <w:r w:rsidRPr="00A5733E">
              <w:rPr>
                <w:color w:val="000000"/>
                <w:lang w:val="es-ES"/>
              </w:rPr>
              <w:t>Alquiler</w:t>
            </w:r>
          </w:p>
        </w:tc>
        <w:tc>
          <w:tcPr>
            <w:tcW w:w="1363" w:type="dxa"/>
            <w:hideMark/>
          </w:tcPr>
          <w:p w14:paraId="3D404952" w14:textId="5CAB5A2E"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27 128</w:t>
            </w:r>
          </w:p>
        </w:tc>
        <w:tc>
          <w:tcPr>
            <w:tcW w:w="1237" w:type="dxa"/>
            <w:hideMark/>
          </w:tcPr>
          <w:p w14:paraId="6649A52E" w14:textId="6EDA745F"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31 488</w:t>
            </w:r>
          </w:p>
        </w:tc>
        <w:tc>
          <w:tcPr>
            <w:tcW w:w="1400" w:type="dxa"/>
            <w:hideMark/>
          </w:tcPr>
          <w:p w14:paraId="3252C01C" w14:textId="2F9F9275"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90 720</w:t>
            </w:r>
          </w:p>
        </w:tc>
      </w:tr>
      <w:tr w:rsidR="00202E6A" w:rsidRPr="00A5733E" w14:paraId="67484996" w14:textId="77777777" w:rsidTr="00201343">
        <w:trPr>
          <w:jc w:val="center"/>
        </w:trPr>
        <w:tc>
          <w:tcPr>
            <w:tcW w:w="1064" w:type="dxa"/>
            <w:vMerge/>
            <w:vAlign w:val="center"/>
            <w:hideMark/>
          </w:tcPr>
          <w:p w14:paraId="5257E56B" w14:textId="77777777" w:rsidR="00202E6A" w:rsidRPr="00A5733E" w:rsidRDefault="00202E6A" w:rsidP="00201343">
            <w:pPr>
              <w:pStyle w:val="Tabletext"/>
              <w:spacing w:before="60" w:after="60"/>
              <w:rPr>
                <w:rFonts w:ascii="Segoe UI" w:hAnsi="Segoe UI" w:cs="Segoe UI"/>
                <w:b/>
                <w:bCs/>
                <w:sz w:val="18"/>
                <w:szCs w:val="18"/>
                <w:lang w:val="es-ES" w:eastAsia="en-GB"/>
              </w:rPr>
            </w:pPr>
          </w:p>
        </w:tc>
        <w:tc>
          <w:tcPr>
            <w:tcW w:w="825" w:type="dxa"/>
            <w:vMerge/>
            <w:vAlign w:val="center"/>
            <w:hideMark/>
          </w:tcPr>
          <w:p w14:paraId="11090E2B" w14:textId="77777777" w:rsidR="00202E6A" w:rsidRPr="00A5733E" w:rsidRDefault="00202E6A" w:rsidP="00201343">
            <w:pPr>
              <w:pStyle w:val="Tabletext"/>
              <w:spacing w:before="60" w:after="60"/>
              <w:jc w:val="center"/>
              <w:rPr>
                <w:rFonts w:ascii="Segoe UI" w:hAnsi="Segoe UI" w:cs="Segoe UI"/>
                <w:sz w:val="18"/>
                <w:szCs w:val="18"/>
                <w:lang w:val="es-ES" w:eastAsia="en-GB"/>
              </w:rPr>
            </w:pPr>
          </w:p>
        </w:tc>
        <w:tc>
          <w:tcPr>
            <w:tcW w:w="1692" w:type="dxa"/>
            <w:vMerge/>
            <w:vAlign w:val="center"/>
            <w:hideMark/>
          </w:tcPr>
          <w:p w14:paraId="2371485C" w14:textId="77777777" w:rsidR="00202E6A" w:rsidRPr="00A5733E" w:rsidRDefault="00202E6A" w:rsidP="00201343">
            <w:pPr>
              <w:pStyle w:val="Tabletext"/>
              <w:jc w:val="center"/>
              <w:rPr>
                <w:rFonts w:ascii="Segoe UI" w:hAnsi="Segoe UI" w:cs="Segoe UI"/>
                <w:sz w:val="18"/>
                <w:szCs w:val="18"/>
                <w:lang w:val="es-ES" w:eastAsia="en-GB"/>
              </w:rPr>
            </w:pPr>
          </w:p>
        </w:tc>
        <w:tc>
          <w:tcPr>
            <w:tcW w:w="1575" w:type="dxa"/>
            <w:hideMark/>
          </w:tcPr>
          <w:p w14:paraId="4BF1C8DD" w14:textId="10BCC784" w:rsidR="00202E6A" w:rsidRPr="00A5733E" w:rsidRDefault="00202E6A" w:rsidP="00201343">
            <w:pPr>
              <w:pStyle w:val="Tabletext"/>
              <w:rPr>
                <w:rFonts w:ascii="Segoe UI" w:hAnsi="Segoe UI" w:cs="Segoe UI"/>
                <w:sz w:val="18"/>
                <w:szCs w:val="18"/>
                <w:lang w:val="es-ES"/>
              </w:rPr>
            </w:pPr>
            <w:r w:rsidRPr="00A5733E">
              <w:rPr>
                <w:color w:val="000000"/>
                <w:lang w:val="es-ES"/>
              </w:rPr>
              <w:t>Seguridad</w:t>
            </w:r>
          </w:p>
        </w:tc>
        <w:tc>
          <w:tcPr>
            <w:tcW w:w="1363" w:type="dxa"/>
            <w:hideMark/>
          </w:tcPr>
          <w:p w14:paraId="15B39F27" w14:textId="34AF7113"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10 220</w:t>
            </w:r>
          </w:p>
        </w:tc>
        <w:tc>
          <w:tcPr>
            <w:tcW w:w="1237" w:type="dxa"/>
            <w:hideMark/>
          </w:tcPr>
          <w:p w14:paraId="26ED5EFB" w14:textId="4DAF6463"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1 280</w:t>
            </w:r>
          </w:p>
        </w:tc>
        <w:tc>
          <w:tcPr>
            <w:tcW w:w="1400" w:type="dxa"/>
            <w:hideMark/>
          </w:tcPr>
          <w:p w14:paraId="7B61856B" w14:textId="17C26F1E"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14 099</w:t>
            </w:r>
          </w:p>
        </w:tc>
      </w:tr>
      <w:tr w:rsidR="00202E6A" w:rsidRPr="00A5733E" w14:paraId="55A9ED9C" w14:textId="77777777" w:rsidTr="00201343">
        <w:trPr>
          <w:jc w:val="center"/>
        </w:trPr>
        <w:tc>
          <w:tcPr>
            <w:tcW w:w="1064" w:type="dxa"/>
            <w:vMerge/>
            <w:vAlign w:val="center"/>
            <w:hideMark/>
          </w:tcPr>
          <w:p w14:paraId="5B3BF919" w14:textId="77777777" w:rsidR="00202E6A" w:rsidRPr="00A5733E" w:rsidRDefault="00202E6A" w:rsidP="00201343">
            <w:pPr>
              <w:pStyle w:val="Tabletext"/>
              <w:spacing w:before="60" w:after="60"/>
              <w:rPr>
                <w:rFonts w:ascii="Segoe UI" w:hAnsi="Segoe UI" w:cs="Segoe UI"/>
                <w:b/>
                <w:bCs/>
                <w:sz w:val="18"/>
                <w:szCs w:val="18"/>
                <w:lang w:val="es-ES" w:eastAsia="en-GB"/>
              </w:rPr>
            </w:pPr>
          </w:p>
        </w:tc>
        <w:tc>
          <w:tcPr>
            <w:tcW w:w="825" w:type="dxa"/>
            <w:vMerge/>
            <w:vAlign w:val="center"/>
            <w:hideMark/>
          </w:tcPr>
          <w:p w14:paraId="26D02CB8" w14:textId="77777777" w:rsidR="00202E6A" w:rsidRPr="00A5733E" w:rsidRDefault="00202E6A" w:rsidP="00201343">
            <w:pPr>
              <w:pStyle w:val="Tabletext"/>
              <w:spacing w:before="60" w:after="60"/>
              <w:jc w:val="center"/>
              <w:rPr>
                <w:rFonts w:ascii="Segoe UI" w:hAnsi="Segoe UI" w:cs="Segoe UI"/>
                <w:sz w:val="18"/>
                <w:szCs w:val="18"/>
                <w:lang w:val="es-ES" w:eastAsia="en-GB"/>
              </w:rPr>
            </w:pPr>
          </w:p>
        </w:tc>
        <w:tc>
          <w:tcPr>
            <w:tcW w:w="1692" w:type="dxa"/>
            <w:vMerge/>
            <w:vAlign w:val="center"/>
            <w:hideMark/>
          </w:tcPr>
          <w:p w14:paraId="1B505341" w14:textId="77777777" w:rsidR="00202E6A" w:rsidRPr="00A5733E" w:rsidRDefault="00202E6A" w:rsidP="00201343">
            <w:pPr>
              <w:pStyle w:val="Tabletext"/>
              <w:jc w:val="center"/>
              <w:rPr>
                <w:rFonts w:ascii="Segoe UI" w:hAnsi="Segoe UI" w:cs="Segoe UI"/>
                <w:sz w:val="18"/>
                <w:szCs w:val="18"/>
                <w:lang w:val="es-ES" w:eastAsia="en-GB"/>
              </w:rPr>
            </w:pPr>
          </w:p>
        </w:tc>
        <w:tc>
          <w:tcPr>
            <w:tcW w:w="1575" w:type="dxa"/>
            <w:hideMark/>
          </w:tcPr>
          <w:p w14:paraId="7396B83B" w14:textId="353EC11C" w:rsidR="00202E6A" w:rsidRPr="00A5733E" w:rsidRDefault="00202E6A" w:rsidP="00201343">
            <w:pPr>
              <w:pStyle w:val="Tabletext"/>
              <w:rPr>
                <w:rFonts w:ascii="Segoe UI" w:hAnsi="Segoe UI" w:cs="Segoe UI"/>
                <w:sz w:val="18"/>
                <w:szCs w:val="18"/>
                <w:lang w:val="es-ES"/>
              </w:rPr>
            </w:pPr>
            <w:r w:rsidRPr="00A5733E">
              <w:rPr>
                <w:color w:val="000000"/>
                <w:lang w:val="es-ES"/>
              </w:rPr>
              <w:t>Servicio técnico</w:t>
            </w:r>
          </w:p>
        </w:tc>
        <w:tc>
          <w:tcPr>
            <w:tcW w:w="1363" w:type="dxa"/>
            <w:hideMark/>
          </w:tcPr>
          <w:p w14:paraId="7826A48B" w14:textId="4991C1FD"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75 000</w:t>
            </w:r>
          </w:p>
        </w:tc>
        <w:tc>
          <w:tcPr>
            <w:tcW w:w="1237" w:type="dxa"/>
            <w:hideMark/>
          </w:tcPr>
          <w:p w14:paraId="7D836519" w14:textId="5CAAF7D0"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101 600</w:t>
            </w:r>
          </w:p>
        </w:tc>
        <w:tc>
          <w:tcPr>
            <w:tcW w:w="1400" w:type="dxa"/>
            <w:hideMark/>
          </w:tcPr>
          <w:p w14:paraId="34CA72FC" w14:textId="192D98DC"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131 853</w:t>
            </w:r>
          </w:p>
        </w:tc>
      </w:tr>
      <w:tr w:rsidR="00202E6A" w:rsidRPr="00A5733E" w14:paraId="4C77D408" w14:textId="77777777" w:rsidTr="00201343">
        <w:trPr>
          <w:jc w:val="center"/>
        </w:trPr>
        <w:tc>
          <w:tcPr>
            <w:tcW w:w="1064" w:type="dxa"/>
            <w:vMerge/>
            <w:vAlign w:val="center"/>
            <w:hideMark/>
          </w:tcPr>
          <w:p w14:paraId="730D5F1F" w14:textId="77777777" w:rsidR="00202E6A" w:rsidRPr="00A5733E" w:rsidRDefault="00202E6A" w:rsidP="00201343">
            <w:pPr>
              <w:pStyle w:val="Tabletext"/>
              <w:rPr>
                <w:rFonts w:ascii="Segoe UI" w:hAnsi="Segoe UI" w:cs="Segoe UI"/>
                <w:b/>
                <w:bCs/>
                <w:sz w:val="18"/>
                <w:szCs w:val="18"/>
                <w:lang w:val="es-ES" w:eastAsia="en-GB"/>
              </w:rPr>
            </w:pPr>
          </w:p>
        </w:tc>
        <w:tc>
          <w:tcPr>
            <w:tcW w:w="825" w:type="dxa"/>
            <w:vMerge/>
            <w:vAlign w:val="center"/>
            <w:hideMark/>
          </w:tcPr>
          <w:p w14:paraId="63072637" w14:textId="77777777" w:rsidR="00202E6A" w:rsidRPr="00A5733E" w:rsidRDefault="00202E6A" w:rsidP="00201343">
            <w:pPr>
              <w:pStyle w:val="Tabletext"/>
              <w:jc w:val="center"/>
              <w:rPr>
                <w:rFonts w:ascii="Segoe UI" w:hAnsi="Segoe UI" w:cs="Segoe UI"/>
                <w:sz w:val="18"/>
                <w:szCs w:val="18"/>
                <w:lang w:val="es-ES" w:eastAsia="en-GB"/>
              </w:rPr>
            </w:pPr>
          </w:p>
        </w:tc>
        <w:tc>
          <w:tcPr>
            <w:tcW w:w="1692" w:type="dxa"/>
            <w:vMerge/>
            <w:vAlign w:val="center"/>
            <w:hideMark/>
          </w:tcPr>
          <w:p w14:paraId="2451F2DC" w14:textId="77777777" w:rsidR="00202E6A" w:rsidRPr="00A5733E" w:rsidRDefault="00202E6A" w:rsidP="00201343">
            <w:pPr>
              <w:pStyle w:val="Tabletext"/>
              <w:jc w:val="center"/>
              <w:rPr>
                <w:rFonts w:ascii="Segoe UI" w:hAnsi="Segoe UI" w:cs="Segoe UI"/>
                <w:sz w:val="18"/>
                <w:szCs w:val="18"/>
                <w:lang w:val="es-ES" w:eastAsia="en-GB"/>
              </w:rPr>
            </w:pPr>
          </w:p>
        </w:tc>
        <w:tc>
          <w:tcPr>
            <w:tcW w:w="1575" w:type="dxa"/>
            <w:hideMark/>
          </w:tcPr>
          <w:p w14:paraId="76DEA475" w14:textId="438324D1" w:rsidR="00202E6A" w:rsidRPr="00A5733E" w:rsidRDefault="00202E6A" w:rsidP="00201343">
            <w:pPr>
              <w:pStyle w:val="Tabletext"/>
              <w:jc w:val="right"/>
              <w:rPr>
                <w:rFonts w:ascii="Segoe UI" w:hAnsi="Segoe UI" w:cs="Segoe UI"/>
                <w:b/>
                <w:bCs/>
                <w:sz w:val="18"/>
                <w:szCs w:val="18"/>
                <w:lang w:val="es-ES"/>
              </w:rPr>
            </w:pPr>
            <w:r w:rsidRPr="00A5733E">
              <w:rPr>
                <w:b/>
                <w:bCs/>
                <w:color w:val="000000"/>
                <w:lang w:val="es-ES"/>
              </w:rPr>
              <w:t>Total:</w:t>
            </w:r>
          </w:p>
        </w:tc>
        <w:tc>
          <w:tcPr>
            <w:tcW w:w="1363" w:type="dxa"/>
            <w:hideMark/>
          </w:tcPr>
          <w:p w14:paraId="565801BB" w14:textId="77CBE9D0" w:rsidR="00202E6A" w:rsidRPr="00A5733E" w:rsidRDefault="00202E6A" w:rsidP="00201343">
            <w:pPr>
              <w:pStyle w:val="Tabletext"/>
              <w:jc w:val="right"/>
              <w:rPr>
                <w:rFonts w:ascii="Segoe UI" w:hAnsi="Segoe UI" w:cs="Segoe UI"/>
                <w:b/>
                <w:bCs/>
                <w:sz w:val="18"/>
                <w:szCs w:val="18"/>
                <w:lang w:val="es-ES"/>
              </w:rPr>
            </w:pPr>
            <w:r w:rsidRPr="00A5733E">
              <w:rPr>
                <w:b/>
                <w:bCs/>
                <w:color w:val="000000"/>
                <w:lang w:val="es-ES"/>
              </w:rPr>
              <w:t>112 348</w:t>
            </w:r>
          </w:p>
        </w:tc>
        <w:tc>
          <w:tcPr>
            <w:tcW w:w="1237" w:type="dxa"/>
            <w:hideMark/>
          </w:tcPr>
          <w:p w14:paraId="09474C10" w14:textId="77777777" w:rsidR="00202E6A" w:rsidRPr="00A5733E" w:rsidRDefault="00202E6A" w:rsidP="00201343">
            <w:pPr>
              <w:pStyle w:val="Tabletext"/>
              <w:jc w:val="right"/>
              <w:rPr>
                <w:rFonts w:ascii="Segoe UI" w:hAnsi="Segoe UI" w:cs="Segoe UI"/>
                <w:b/>
                <w:bCs/>
                <w:sz w:val="18"/>
                <w:szCs w:val="18"/>
                <w:lang w:val="es-ES"/>
              </w:rPr>
            </w:pPr>
            <w:r w:rsidRPr="00A5733E">
              <w:rPr>
                <w:b/>
                <w:bCs/>
                <w:color w:val="000000"/>
                <w:lang w:val="es-ES"/>
              </w:rPr>
              <w:t>134 368</w:t>
            </w:r>
          </w:p>
        </w:tc>
        <w:tc>
          <w:tcPr>
            <w:tcW w:w="1400" w:type="dxa"/>
            <w:hideMark/>
          </w:tcPr>
          <w:p w14:paraId="0F3DAF39" w14:textId="054DE3ED" w:rsidR="00202E6A" w:rsidRPr="00A5733E" w:rsidRDefault="00202E6A" w:rsidP="00201343">
            <w:pPr>
              <w:pStyle w:val="Tabletext"/>
              <w:jc w:val="right"/>
              <w:rPr>
                <w:rFonts w:ascii="Segoe UI" w:hAnsi="Segoe UI" w:cs="Segoe UI"/>
                <w:b/>
                <w:bCs/>
                <w:sz w:val="18"/>
                <w:szCs w:val="18"/>
                <w:lang w:val="es-ES"/>
              </w:rPr>
            </w:pPr>
            <w:r w:rsidRPr="00A5733E">
              <w:rPr>
                <w:b/>
                <w:bCs/>
                <w:color w:val="000000"/>
                <w:lang w:val="es-ES"/>
              </w:rPr>
              <w:t>236 672</w:t>
            </w:r>
          </w:p>
        </w:tc>
      </w:tr>
      <w:tr w:rsidR="00202E6A" w:rsidRPr="00A5733E" w14:paraId="26062E4E" w14:textId="77777777" w:rsidTr="00201343">
        <w:trPr>
          <w:jc w:val="center"/>
        </w:trPr>
        <w:tc>
          <w:tcPr>
            <w:tcW w:w="1064" w:type="dxa"/>
            <w:vMerge w:val="restart"/>
            <w:vAlign w:val="center"/>
            <w:hideMark/>
          </w:tcPr>
          <w:p w14:paraId="2C0E04D5" w14:textId="77777777" w:rsidR="00202E6A" w:rsidRPr="00A5733E" w:rsidRDefault="00202E6A" w:rsidP="00201343">
            <w:pPr>
              <w:pStyle w:val="Tabletext"/>
              <w:rPr>
                <w:rFonts w:ascii="Segoe UI" w:hAnsi="Segoe UI" w:cs="Segoe UI"/>
                <w:b/>
                <w:bCs/>
                <w:sz w:val="18"/>
                <w:szCs w:val="18"/>
                <w:lang w:val="es-ES"/>
              </w:rPr>
            </w:pPr>
            <w:r w:rsidRPr="00A5733E">
              <w:rPr>
                <w:b/>
                <w:bCs/>
                <w:color w:val="000000"/>
                <w:lang w:val="es-ES"/>
              </w:rPr>
              <w:t>CE 17 TSB</w:t>
            </w:r>
          </w:p>
        </w:tc>
        <w:tc>
          <w:tcPr>
            <w:tcW w:w="825" w:type="dxa"/>
            <w:vMerge w:val="restart"/>
            <w:vAlign w:val="center"/>
            <w:hideMark/>
          </w:tcPr>
          <w:p w14:paraId="30DC359F" w14:textId="77777777" w:rsidR="00202E6A" w:rsidRPr="00A5733E" w:rsidRDefault="00202E6A" w:rsidP="00201343">
            <w:pPr>
              <w:pStyle w:val="Tabletext"/>
              <w:jc w:val="center"/>
              <w:rPr>
                <w:rFonts w:ascii="Segoe UI" w:hAnsi="Segoe UI" w:cs="Segoe UI"/>
                <w:sz w:val="18"/>
                <w:szCs w:val="18"/>
                <w:lang w:val="es-ES"/>
              </w:rPr>
            </w:pPr>
            <w:r w:rsidRPr="00A5733E">
              <w:rPr>
                <w:color w:val="000000"/>
                <w:lang w:val="es-ES"/>
              </w:rPr>
              <w:t>12</w:t>
            </w:r>
          </w:p>
        </w:tc>
        <w:tc>
          <w:tcPr>
            <w:tcW w:w="1692" w:type="dxa"/>
            <w:vMerge w:val="restart"/>
            <w:vAlign w:val="center"/>
            <w:hideMark/>
          </w:tcPr>
          <w:p w14:paraId="0B01F13A" w14:textId="77777777" w:rsidR="00202E6A" w:rsidRPr="00A5733E" w:rsidRDefault="00202E6A" w:rsidP="00201343">
            <w:pPr>
              <w:pStyle w:val="Tabletext"/>
              <w:jc w:val="center"/>
              <w:rPr>
                <w:rFonts w:ascii="Segoe UI" w:hAnsi="Segoe UI" w:cs="Segoe UI"/>
                <w:sz w:val="18"/>
                <w:szCs w:val="18"/>
                <w:lang w:val="es-ES"/>
              </w:rPr>
            </w:pPr>
            <w:r w:rsidRPr="00A5733E">
              <w:rPr>
                <w:color w:val="000000"/>
                <w:lang w:val="es-ES"/>
              </w:rPr>
              <w:t>1×200, 2×50, 1×30, 3×20, 3×15</w:t>
            </w:r>
          </w:p>
        </w:tc>
        <w:tc>
          <w:tcPr>
            <w:tcW w:w="1575" w:type="dxa"/>
            <w:hideMark/>
          </w:tcPr>
          <w:p w14:paraId="648FF717" w14:textId="19283102" w:rsidR="00202E6A" w:rsidRPr="00A5733E" w:rsidRDefault="00202E6A" w:rsidP="00201343">
            <w:pPr>
              <w:pStyle w:val="Tabletext"/>
              <w:rPr>
                <w:rFonts w:ascii="Segoe UI" w:hAnsi="Segoe UI" w:cs="Segoe UI"/>
                <w:sz w:val="18"/>
                <w:szCs w:val="18"/>
                <w:lang w:val="es-ES"/>
              </w:rPr>
            </w:pPr>
            <w:r w:rsidRPr="00A5733E">
              <w:rPr>
                <w:color w:val="000000"/>
                <w:lang w:val="es-ES"/>
              </w:rPr>
              <w:t>Alquiler</w:t>
            </w:r>
          </w:p>
        </w:tc>
        <w:tc>
          <w:tcPr>
            <w:tcW w:w="1363" w:type="dxa"/>
            <w:hideMark/>
          </w:tcPr>
          <w:p w14:paraId="02070FF7" w14:textId="64D5C7C6"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23 720</w:t>
            </w:r>
          </w:p>
        </w:tc>
        <w:tc>
          <w:tcPr>
            <w:tcW w:w="1237" w:type="dxa"/>
            <w:hideMark/>
          </w:tcPr>
          <w:p w14:paraId="63FC2BB4" w14:textId="25F1DC34"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63 360</w:t>
            </w:r>
          </w:p>
        </w:tc>
        <w:tc>
          <w:tcPr>
            <w:tcW w:w="1400" w:type="dxa"/>
            <w:hideMark/>
          </w:tcPr>
          <w:p w14:paraId="5C258257" w14:textId="182DB0D3"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102 240</w:t>
            </w:r>
          </w:p>
        </w:tc>
      </w:tr>
      <w:tr w:rsidR="00202E6A" w:rsidRPr="00A5733E" w14:paraId="750371A1" w14:textId="77777777" w:rsidTr="00201343">
        <w:trPr>
          <w:jc w:val="center"/>
        </w:trPr>
        <w:tc>
          <w:tcPr>
            <w:tcW w:w="1064" w:type="dxa"/>
            <w:vMerge/>
            <w:vAlign w:val="center"/>
            <w:hideMark/>
          </w:tcPr>
          <w:p w14:paraId="562B32FD" w14:textId="77777777" w:rsidR="00202E6A" w:rsidRPr="00A5733E" w:rsidRDefault="00202E6A" w:rsidP="00201343">
            <w:pPr>
              <w:pStyle w:val="Tabletext"/>
              <w:spacing w:before="60" w:after="60"/>
              <w:rPr>
                <w:rFonts w:ascii="Segoe UI" w:hAnsi="Segoe UI" w:cs="Segoe UI"/>
                <w:b/>
                <w:bCs/>
                <w:sz w:val="18"/>
                <w:szCs w:val="18"/>
                <w:lang w:val="es-ES" w:eastAsia="en-GB"/>
              </w:rPr>
            </w:pPr>
          </w:p>
        </w:tc>
        <w:tc>
          <w:tcPr>
            <w:tcW w:w="825" w:type="dxa"/>
            <w:vMerge/>
            <w:vAlign w:val="center"/>
            <w:hideMark/>
          </w:tcPr>
          <w:p w14:paraId="524FE6C8" w14:textId="77777777" w:rsidR="00202E6A" w:rsidRPr="00A5733E" w:rsidRDefault="00202E6A" w:rsidP="00201343">
            <w:pPr>
              <w:pStyle w:val="Tabletext"/>
              <w:spacing w:before="60" w:after="60"/>
              <w:jc w:val="center"/>
              <w:rPr>
                <w:rFonts w:ascii="Segoe UI" w:hAnsi="Segoe UI" w:cs="Segoe UI"/>
                <w:sz w:val="18"/>
                <w:szCs w:val="18"/>
                <w:lang w:val="es-ES" w:eastAsia="en-GB"/>
              </w:rPr>
            </w:pPr>
          </w:p>
        </w:tc>
        <w:tc>
          <w:tcPr>
            <w:tcW w:w="1692" w:type="dxa"/>
            <w:vMerge/>
            <w:vAlign w:val="center"/>
            <w:hideMark/>
          </w:tcPr>
          <w:p w14:paraId="5E555C73" w14:textId="77777777" w:rsidR="00202E6A" w:rsidRPr="00A5733E" w:rsidRDefault="00202E6A" w:rsidP="00201343">
            <w:pPr>
              <w:pStyle w:val="Tabletext"/>
              <w:jc w:val="center"/>
              <w:rPr>
                <w:rFonts w:ascii="Segoe UI" w:hAnsi="Segoe UI" w:cs="Segoe UI"/>
                <w:sz w:val="18"/>
                <w:szCs w:val="18"/>
                <w:lang w:val="es-ES" w:eastAsia="en-GB"/>
              </w:rPr>
            </w:pPr>
          </w:p>
        </w:tc>
        <w:tc>
          <w:tcPr>
            <w:tcW w:w="1575" w:type="dxa"/>
            <w:hideMark/>
          </w:tcPr>
          <w:p w14:paraId="0BC880CC" w14:textId="35ECCD5A" w:rsidR="00202E6A" w:rsidRPr="00A5733E" w:rsidRDefault="00202E6A" w:rsidP="00201343">
            <w:pPr>
              <w:pStyle w:val="Tabletext"/>
              <w:rPr>
                <w:rFonts w:ascii="Segoe UI" w:hAnsi="Segoe UI" w:cs="Segoe UI"/>
                <w:sz w:val="18"/>
                <w:szCs w:val="18"/>
                <w:lang w:val="es-ES"/>
              </w:rPr>
            </w:pPr>
            <w:r w:rsidRPr="00A5733E">
              <w:rPr>
                <w:color w:val="000000"/>
                <w:lang w:val="es-ES"/>
              </w:rPr>
              <w:t>Seguridad</w:t>
            </w:r>
          </w:p>
        </w:tc>
        <w:tc>
          <w:tcPr>
            <w:tcW w:w="1363" w:type="dxa"/>
            <w:hideMark/>
          </w:tcPr>
          <w:p w14:paraId="2601BD7F" w14:textId="785DD077"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10 220</w:t>
            </w:r>
          </w:p>
        </w:tc>
        <w:tc>
          <w:tcPr>
            <w:tcW w:w="1237" w:type="dxa"/>
            <w:hideMark/>
          </w:tcPr>
          <w:p w14:paraId="2BCF6B22" w14:textId="4A99711C"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1 000</w:t>
            </w:r>
          </w:p>
        </w:tc>
        <w:tc>
          <w:tcPr>
            <w:tcW w:w="1400" w:type="dxa"/>
            <w:hideMark/>
          </w:tcPr>
          <w:p w14:paraId="4F4DC174" w14:textId="2BE54B32"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14 099</w:t>
            </w:r>
          </w:p>
        </w:tc>
      </w:tr>
      <w:tr w:rsidR="00202E6A" w:rsidRPr="00A5733E" w14:paraId="76F775CA" w14:textId="77777777" w:rsidTr="00201343">
        <w:trPr>
          <w:jc w:val="center"/>
        </w:trPr>
        <w:tc>
          <w:tcPr>
            <w:tcW w:w="1064" w:type="dxa"/>
            <w:vMerge/>
            <w:vAlign w:val="center"/>
            <w:hideMark/>
          </w:tcPr>
          <w:p w14:paraId="202B1C4F" w14:textId="77777777" w:rsidR="00202E6A" w:rsidRPr="00A5733E" w:rsidRDefault="00202E6A" w:rsidP="00201343">
            <w:pPr>
              <w:pStyle w:val="Tabletext"/>
              <w:spacing w:before="60" w:after="60"/>
              <w:rPr>
                <w:rFonts w:ascii="Segoe UI" w:hAnsi="Segoe UI" w:cs="Segoe UI"/>
                <w:b/>
                <w:bCs/>
                <w:sz w:val="18"/>
                <w:szCs w:val="18"/>
                <w:lang w:val="es-ES" w:eastAsia="en-GB"/>
              </w:rPr>
            </w:pPr>
          </w:p>
        </w:tc>
        <w:tc>
          <w:tcPr>
            <w:tcW w:w="825" w:type="dxa"/>
            <w:vMerge/>
            <w:vAlign w:val="center"/>
            <w:hideMark/>
          </w:tcPr>
          <w:p w14:paraId="30E9CF0D" w14:textId="77777777" w:rsidR="00202E6A" w:rsidRPr="00A5733E" w:rsidRDefault="00202E6A" w:rsidP="00201343">
            <w:pPr>
              <w:pStyle w:val="Tabletext"/>
              <w:spacing w:before="60" w:after="60"/>
              <w:jc w:val="center"/>
              <w:rPr>
                <w:rFonts w:ascii="Segoe UI" w:hAnsi="Segoe UI" w:cs="Segoe UI"/>
                <w:sz w:val="18"/>
                <w:szCs w:val="18"/>
                <w:lang w:val="es-ES" w:eastAsia="en-GB"/>
              </w:rPr>
            </w:pPr>
          </w:p>
        </w:tc>
        <w:tc>
          <w:tcPr>
            <w:tcW w:w="1692" w:type="dxa"/>
            <w:vMerge/>
            <w:vAlign w:val="center"/>
            <w:hideMark/>
          </w:tcPr>
          <w:p w14:paraId="14B90316" w14:textId="77777777" w:rsidR="00202E6A" w:rsidRPr="00A5733E" w:rsidRDefault="00202E6A" w:rsidP="00201343">
            <w:pPr>
              <w:pStyle w:val="Tabletext"/>
              <w:jc w:val="center"/>
              <w:rPr>
                <w:rFonts w:ascii="Segoe UI" w:hAnsi="Segoe UI" w:cs="Segoe UI"/>
                <w:sz w:val="18"/>
                <w:szCs w:val="18"/>
                <w:lang w:val="es-ES" w:eastAsia="en-GB"/>
              </w:rPr>
            </w:pPr>
          </w:p>
        </w:tc>
        <w:tc>
          <w:tcPr>
            <w:tcW w:w="1575" w:type="dxa"/>
            <w:hideMark/>
          </w:tcPr>
          <w:p w14:paraId="18B822E9" w14:textId="588ED54D" w:rsidR="00202E6A" w:rsidRPr="00A5733E" w:rsidRDefault="00202E6A" w:rsidP="00201343">
            <w:pPr>
              <w:pStyle w:val="Tabletext"/>
              <w:rPr>
                <w:rFonts w:ascii="Segoe UI" w:hAnsi="Segoe UI" w:cs="Segoe UI"/>
                <w:sz w:val="18"/>
                <w:szCs w:val="18"/>
                <w:lang w:val="es-ES"/>
              </w:rPr>
            </w:pPr>
            <w:r w:rsidRPr="00A5733E">
              <w:rPr>
                <w:color w:val="000000"/>
                <w:lang w:val="es-ES"/>
              </w:rPr>
              <w:t>Servicio técnico</w:t>
            </w:r>
          </w:p>
        </w:tc>
        <w:tc>
          <w:tcPr>
            <w:tcW w:w="1363" w:type="dxa"/>
            <w:hideMark/>
          </w:tcPr>
          <w:p w14:paraId="6B1FF5CC" w14:textId="421367C1"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120 000</w:t>
            </w:r>
          </w:p>
        </w:tc>
        <w:tc>
          <w:tcPr>
            <w:tcW w:w="1237" w:type="dxa"/>
            <w:hideMark/>
          </w:tcPr>
          <w:p w14:paraId="442572F1" w14:textId="7B951E2D"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178 400</w:t>
            </w:r>
          </w:p>
        </w:tc>
        <w:tc>
          <w:tcPr>
            <w:tcW w:w="1400" w:type="dxa"/>
            <w:hideMark/>
          </w:tcPr>
          <w:p w14:paraId="6BB76DAD" w14:textId="16828E04"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108 774</w:t>
            </w:r>
          </w:p>
        </w:tc>
      </w:tr>
      <w:tr w:rsidR="00202E6A" w:rsidRPr="00A5733E" w14:paraId="30CB5A79" w14:textId="77777777" w:rsidTr="00201343">
        <w:trPr>
          <w:jc w:val="center"/>
        </w:trPr>
        <w:tc>
          <w:tcPr>
            <w:tcW w:w="1064" w:type="dxa"/>
            <w:vMerge/>
            <w:vAlign w:val="center"/>
            <w:hideMark/>
          </w:tcPr>
          <w:p w14:paraId="0E6EAE9D" w14:textId="77777777" w:rsidR="00202E6A" w:rsidRPr="00A5733E" w:rsidRDefault="00202E6A" w:rsidP="00201343">
            <w:pPr>
              <w:pStyle w:val="Tabletext"/>
              <w:rPr>
                <w:rFonts w:ascii="Segoe UI" w:hAnsi="Segoe UI" w:cs="Segoe UI"/>
                <w:b/>
                <w:bCs/>
                <w:sz w:val="18"/>
                <w:szCs w:val="18"/>
                <w:lang w:val="es-ES" w:eastAsia="en-GB"/>
              </w:rPr>
            </w:pPr>
          </w:p>
        </w:tc>
        <w:tc>
          <w:tcPr>
            <w:tcW w:w="825" w:type="dxa"/>
            <w:vMerge/>
            <w:vAlign w:val="center"/>
            <w:hideMark/>
          </w:tcPr>
          <w:p w14:paraId="472D63A0" w14:textId="77777777" w:rsidR="00202E6A" w:rsidRPr="00A5733E" w:rsidRDefault="00202E6A" w:rsidP="00201343">
            <w:pPr>
              <w:pStyle w:val="Tabletext"/>
              <w:jc w:val="center"/>
              <w:rPr>
                <w:rFonts w:ascii="Segoe UI" w:hAnsi="Segoe UI" w:cs="Segoe UI"/>
                <w:sz w:val="18"/>
                <w:szCs w:val="18"/>
                <w:lang w:val="es-ES" w:eastAsia="en-GB"/>
              </w:rPr>
            </w:pPr>
          </w:p>
        </w:tc>
        <w:tc>
          <w:tcPr>
            <w:tcW w:w="1692" w:type="dxa"/>
            <w:vMerge/>
            <w:vAlign w:val="center"/>
            <w:hideMark/>
          </w:tcPr>
          <w:p w14:paraId="3353B982" w14:textId="77777777" w:rsidR="00202E6A" w:rsidRPr="00A5733E" w:rsidRDefault="00202E6A" w:rsidP="00201343">
            <w:pPr>
              <w:pStyle w:val="Tabletext"/>
              <w:jc w:val="center"/>
              <w:rPr>
                <w:rFonts w:ascii="Segoe UI" w:hAnsi="Segoe UI" w:cs="Segoe UI"/>
                <w:sz w:val="18"/>
                <w:szCs w:val="18"/>
                <w:lang w:val="es-ES" w:eastAsia="en-GB"/>
              </w:rPr>
            </w:pPr>
          </w:p>
        </w:tc>
        <w:tc>
          <w:tcPr>
            <w:tcW w:w="1575" w:type="dxa"/>
            <w:hideMark/>
          </w:tcPr>
          <w:p w14:paraId="2E007589" w14:textId="7A99E27B" w:rsidR="00202E6A" w:rsidRPr="00A5733E" w:rsidRDefault="00202E6A" w:rsidP="00201343">
            <w:pPr>
              <w:pStyle w:val="Tabletext"/>
              <w:jc w:val="right"/>
              <w:rPr>
                <w:rFonts w:ascii="Segoe UI" w:hAnsi="Segoe UI" w:cs="Segoe UI"/>
                <w:b/>
                <w:bCs/>
                <w:sz w:val="18"/>
                <w:szCs w:val="18"/>
                <w:lang w:val="es-ES"/>
              </w:rPr>
            </w:pPr>
            <w:r w:rsidRPr="00A5733E">
              <w:rPr>
                <w:b/>
                <w:bCs/>
                <w:color w:val="000000"/>
                <w:lang w:val="es-ES"/>
              </w:rPr>
              <w:t>Total:</w:t>
            </w:r>
          </w:p>
        </w:tc>
        <w:tc>
          <w:tcPr>
            <w:tcW w:w="1363" w:type="dxa"/>
            <w:hideMark/>
          </w:tcPr>
          <w:p w14:paraId="62A9E348" w14:textId="7D804122" w:rsidR="00202E6A" w:rsidRPr="00A5733E" w:rsidRDefault="00202E6A" w:rsidP="00201343">
            <w:pPr>
              <w:pStyle w:val="Tabletext"/>
              <w:jc w:val="right"/>
              <w:rPr>
                <w:rFonts w:ascii="Segoe UI" w:hAnsi="Segoe UI" w:cs="Segoe UI"/>
                <w:b/>
                <w:bCs/>
                <w:sz w:val="18"/>
                <w:szCs w:val="18"/>
                <w:lang w:val="es-ES"/>
              </w:rPr>
            </w:pPr>
            <w:r w:rsidRPr="00A5733E">
              <w:rPr>
                <w:b/>
                <w:bCs/>
                <w:color w:val="000000"/>
                <w:lang w:val="es-ES"/>
              </w:rPr>
              <w:t>153 940</w:t>
            </w:r>
          </w:p>
        </w:tc>
        <w:tc>
          <w:tcPr>
            <w:tcW w:w="1237" w:type="dxa"/>
            <w:hideMark/>
          </w:tcPr>
          <w:p w14:paraId="2A812B2E" w14:textId="22B3B0D7" w:rsidR="00202E6A" w:rsidRPr="00A5733E" w:rsidRDefault="00202E6A" w:rsidP="00201343">
            <w:pPr>
              <w:pStyle w:val="Tabletext"/>
              <w:jc w:val="right"/>
              <w:rPr>
                <w:rFonts w:ascii="Segoe UI" w:hAnsi="Segoe UI" w:cs="Segoe UI"/>
                <w:b/>
                <w:bCs/>
                <w:sz w:val="18"/>
                <w:szCs w:val="18"/>
                <w:lang w:val="es-ES"/>
              </w:rPr>
            </w:pPr>
            <w:r w:rsidRPr="00A5733E">
              <w:rPr>
                <w:b/>
                <w:bCs/>
                <w:color w:val="000000"/>
                <w:lang w:val="es-ES"/>
              </w:rPr>
              <w:t>242 760</w:t>
            </w:r>
          </w:p>
        </w:tc>
        <w:tc>
          <w:tcPr>
            <w:tcW w:w="1400" w:type="dxa"/>
            <w:hideMark/>
          </w:tcPr>
          <w:p w14:paraId="38625E60" w14:textId="298EE28E" w:rsidR="00202E6A" w:rsidRPr="00A5733E" w:rsidRDefault="00202E6A" w:rsidP="00201343">
            <w:pPr>
              <w:pStyle w:val="Tabletext"/>
              <w:jc w:val="right"/>
              <w:rPr>
                <w:rFonts w:ascii="Segoe UI" w:hAnsi="Segoe UI" w:cs="Segoe UI"/>
                <w:b/>
                <w:bCs/>
                <w:sz w:val="18"/>
                <w:szCs w:val="18"/>
                <w:lang w:val="es-ES"/>
              </w:rPr>
            </w:pPr>
            <w:r w:rsidRPr="00A5733E">
              <w:rPr>
                <w:b/>
                <w:bCs/>
                <w:color w:val="000000"/>
                <w:lang w:val="es-ES"/>
              </w:rPr>
              <w:t>225 113</w:t>
            </w:r>
          </w:p>
        </w:tc>
      </w:tr>
      <w:tr w:rsidR="00202E6A" w:rsidRPr="00A5733E" w14:paraId="3BF283C1" w14:textId="77777777" w:rsidTr="00201343">
        <w:trPr>
          <w:jc w:val="center"/>
        </w:trPr>
        <w:tc>
          <w:tcPr>
            <w:tcW w:w="1064" w:type="dxa"/>
            <w:vMerge w:val="restart"/>
            <w:vAlign w:val="center"/>
            <w:hideMark/>
          </w:tcPr>
          <w:p w14:paraId="045AA662" w14:textId="52AE72F7" w:rsidR="00202E6A" w:rsidRPr="00A5733E" w:rsidRDefault="00202E6A" w:rsidP="00201343">
            <w:pPr>
              <w:pStyle w:val="Tabletext"/>
              <w:ind w:right="-113"/>
              <w:rPr>
                <w:rFonts w:ascii="Segoe UI" w:hAnsi="Segoe UI" w:cs="Segoe UI"/>
                <w:b/>
                <w:bCs/>
                <w:sz w:val="18"/>
                <w:szCs w:val="18"/>
                <w:lang w:val="es-ES"/>
              </w:rPr>
            </w:pPr>
            <w:r w:rsidRPr="00A5733E">
              <w:rPr>
                <w:b/>
                <w:bCs/>
                <w:color w:val="000000"/>
                <w:lang w:val="es-ES"/>
              </w:rPr>
              <w:t>CE 1&amp;2 BDT</w:t>
            </w:r>
          </w:p>
        </w:tc>
        <w:tc>
          <w:tcPr>
            <w:tcW w:w="825" w:type="dxa"/>
            <w:vMerge w:val="restart"/>
            <w:vAlign w:val="center"/>
            <w:hideMark/>
          </w:tcPr>
          <w:p w14:paraId="24ADA996" w14:textId="77777777" w:rsidR="00202E6A" w:rsidRPr="00A5733E" w:rsidRDefault="00202E6A" w:rsidP="00201343">
            <w:pPr>
              <w:pStyle w:val="Tabletext"/>
              <w:jc w:val="center"/>
              <w:rPr>
                <w:rFonts w:ascii="Segoe UI" w:hAnsi="Segoe UI" w:cs="Segoe UI"/>
                <w:sz w:val="18"/>
                <w:szCs w:val="18"/>
                <w:lang w:val="es-ES"/>
              </w:rPr>
            </w:pPr>
            <w:r w:rsidRPr="00A5733E">
              <w:rPr>
                <w:color w:val="000000"/>
                <w:lang w:val="es-ES"/>
              </w:rPr>
              <w:t>12</w:t>
            </w:r>
          </w:p>
        </w:tc>
        <w:tc>
          <w:tcPr>
            <w:tcW w:w="1692" w:type="dxa"/>
            <w:vMerge w:val="restart"/>
            <w:vAlign w:val="center"/>
            <w:hideMark/>
          </w:tcPr>
          <w:p w14:paraId="354FAADF" w14:textId="77777777" w:rsidR="00202E6A" w:rsidRPr="00A5733E" w:rsidRDefault="00202E6A" w:rsidP="00201343">
            <w:pPr>
              <w:pStyle w:val="Tabletext"/>
              <w:jc w:val="center"/>
              <w:rPr>
                <w:rFonts w:ascii="Segoe UI" w:hAnsi="Segoe UI" w:cs="Segoe UI"/>
                <w:sz w:val="18"/>
                <w:szCs w:val="18"/>
                <w:lang w:val="es-ES"/>
              </w:rPr>
            </w:pPr>
            <w:r w:rsidRPr="00A5733E">
              <w:rPr>
                <w:color w:val="000000"/>
                <w:lang w:val="es-ES"/>
              </w:rPr>
              <w:t>1×250, 1×30</w:t>
            </w:r>
          </w:p>
        </w:tc>
        <w:tc>
          <w:tcPr>
            <w:tcW w:w="1575" w:type="dxa"/>
            <w:hideMark/>
          </w:tcPr>
          <w:p w14:paraId="4C5AFC83" w14:textId="7C927E05" w:rsidR="00202E6A" w:rsidRPr="00A5733E" w:rsidRDefault="00202E6A" w:rsidP="00201343">
            <w:pPr>
              <w:pStyle w:val="Tabletext"/>
              <w:rPr>
                <w:rFonts w:ascii="Segoe UI" w:hAnsi="Segoe UI" w:cs="Segoe UI"/>
                <w:sz w:val="18"/>
                <w:szCs w:val="18"/>
                <w:lang w:val="es-ES"/>
              </w:rPr>
            </w:pPr>
            <w:r w:rsidRPr="00A5733E">
              <w:rPr>
                <w:color w:val="000000"/>
                <w:lang w:val="es-ES"/>
              </w:rPr>
              <w:t>Alquiler</w:t>
            </w:r>
          </w:p>
        </w:tc>
        <w:tc>
          <w:tcPr>
            <w:tcW w:w="1363" w:type="dxa"/>
            <w:hideMark/>
          </w:tcPr>
          <w:p w14:paraId="5995FCB6" w14:textId="3C4FB661"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20 120</w:t>
            </w:r>
          </w:p>
        </w:tc>
        <w:tc>
          <w:tcPr>
            <w:tcW w:w="1237" w:type="dxa"/>
            <w:hideMark/>
          </w:tcPr>
          <w:p w14:paraId="6A0CCB20" w14:textId="6293F1C2"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14 400</w:t>
            </w:r>
          </w:p>
        </w:tc>
        <w:tc>
          <w:tcPr>
            <w:tcW w:w="1400" w:type="dxa"/>
            <w:hideMark/>
          </w:tcPr>
          <w:p w14:paraId="07D971E1" w14:textId="699636C7"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39 600</w:t>
            </w:r>
          </w:p>
        </w:tc>
      </w:tr>
      <w:tr w:rsidR="00202E6A" w:rsidRPr="00A5733E" w14:paraId="52F803E1" w14:textId="77777777" w:rsidTr="00201343">
        <w:trPr>
          <w:jc w:val="center"/>
        </w:trPr>
        <w:tc>
          <w:tcPr>
            <w:tcW w:w="1064" w:type="dxa"/>
            <w:vMerge/>
            <w:hideMark/>
          </w:tcPr>
          <w:p w14:paraId="61B553BC" w14:textId="77777777" w:rsidR="00202E6A" w:rsidRPr="00A5733E" w:rsidRDefault="00202E6A" w:rsidP="00201343">
            <w:pPr>
              <w:pStyle w:val="Tabletext"/>
              <w:spacing w:before="60" w:after="60"/>
              <w:rPr>
                <w:rFonts w:ascii="Segoe UI" w:hAnsi="Segoe UI" w:cs="Segoe UI"/>
                <w:sz w:val="18"/>
                <w:szCs w:val="18"/>
                <w:lang w:val="es-ES" w:eastAsia="en-GB"/>
              </w:rPr>
            </w:pPr>
          </w:p>
        </w:tc>
        <w:tc>
          <w:tcPr>
            <w:tcW w:w="825" w:type="dxa"/>
            <w:vMerge/>
            <w:hideMark/>
          </w:tcPr>
          <w:p w14:paraId="045A3E39" w14:textId="77777777" w:rsidR="00202E6A" w:rsidRPr="00A5733E" w:rsidRDefault="00202E6A" w:rsidP="00201343">
            <w:pPr>
              <w:pStyle w:val="Tabletext"/>
              <w:spacing w:before="60" w:after="60"/>
              <w:jc w:val="center"/>
              <w:rPr>
                <w:rFonts w:ascii="Segoe UI" w:hAnsi="Segoe UI" w:cs="Segoe UI"/>
                <w:sz w:val="18"/>
                <w:szCs w:val="18"/>
                <w:lang w:val="es-ES" w:eastAsia="en-GB"/>
              </w:rPr>
            </w:pPr>
          </w:p>
        </w:tc>
        <w:tc>
          <w:tcPr>
            <w:tcW w:w="1692" w:type="dxa"/>
            <w:vMerge/>
            <w:hideMark/>
          </w:tcPr>
          <w:p w14:paraId="1511CBE7" w14:textId="77777777" w:rsidR="00202E6A" w:rsidRPr="00A5733E" w:rsidRDefault="00202E6A" w:rsidP="00201343">
            <w:pPr>
              <w:pStyle w:val="Tabletext"/>
              <w:jc w:val="center"/>
              <w:rPr>
                <w:rFonts w:ascii="Segoe UI" w:hAnsi="Segoe UI" w:cs="Segoe UI"/>
                <w:sz w:val="18"/>
                <w:szCs w:val="18"/>
                <w:lang w:val="es-ES" w:eastAsia="en-GB"/>
              </w:rPr>
            </w:pPr>
          </w:p>
        </w:tc>
        <w:tc>
          <w:tcPr>
            <w:tcW w:w="1575" w:type="dxa"/>
            <w:hideMark/>
          </w:tcPr>
          <w:p w14:paraId="66C8236C" w14:textId="1AF9710B" w:rsidR="00202E6A" w:rsidRPr="00A5733E" w:rsidRDefault="00202E6A" w:rsidP="00201343">
            <w:pPr>
              <w:pStyle w:val="Tabletext"/>
              <w:rPr>
                <w:rFonts w:ascii="Segoe UI" w:hAnsi="Segoe UI" w:cs="Segoe UI"/>
                <w:sz w:val="18"/>
                <w:szCs w:val="18"/>
                <w:lang w:val="es-ES"/>
              </w:rPr>
            </w:pPr>
            <w:r w:rsidRPr="00A5733E">
              <w:rPr>
                <w:color w:val="000000"/>
                <w:lang w:val="es-ES"/>
              </w:rPr>
              <w:t>Seguridad</w:t>
            </w:r>
          </w:p>
        </w:tc>
        <w:tc>
          <w:tcPr>
            <w:tcW w:w="1363" w:type="dxa"/>
            <w:hideMark/>
          </w:tcPr>
          <w:p w14:paraId="2703E384" w14:textId="591478FC"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10 220</w:t>
            </w:r>
          </w:p>
        </w:tc>
        <w:tc>
          <w:tcPr>
            <w:tcW w:w="1237" w:type="dxa"/>
            <w:hideMark/>
          </w:tcPr>
          <w:p w14:paraId="5B3C0D67" w14:textId="60AE8E85"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1 000</w:t>
            </w:r>
          </w:p>
        </w:tc>
        <w:tc>
          <w:tcPr>
            <w:tcW w:w="1400" w:type="dxa"/>
            <w:hideMark/>
          </w:tcPr>
          <w:p w14:paraId="29DB0914" w14:textId="42C05E4A"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14 099</w:t>
            </w:r>
          </w:p>
        </w:tc>
      </w:tr>
      <w:tr w:rsidR="00202E6A" w:rsidRPr="00A5733E" w14:paraId="62DD4E2A" w14:textId="77777777" w:rsidTr="00201343">
        <w:trPr>
          <w:jc w:val="center"/>
        </w:trPr>
        <w:tc>
          <w:tcPr>
            <w:tcW w:w="1064" w:type="dxa"/>
            <w:vMerge/>
            <w:hideMark/>
          </w:tcPr>
          <w:p w14:paraId="0FB9B0BF" w14:textId="77777777" w:rsidR="00202E6A" w:rsidRPr="00A5733E" w:rsidRDefault="00202E6A" w:rsidP="00201343">
            <w:pPr>
              <w:pStyle w:val="Tabletext"/>
              <w:spacing w:before="60" w:after="60"/>
              <w:rPr>
                <w:rFonts w:ascii="Segoe UI" w:hAnsi="Segoe UI" w:cs="Segoe UI"/>
                <w:sz w:val="18"/>
                <w:szCs w:val="18"/>
                <w:lang w:val="es-ES" w:eastAsia="en-GB"/>
              </w:rPr>
            </w:pPr>
          </w:p>
        </w:tc>
        <w:tc>
          <w:tcPr>
            <w:tcW w:w="825" w:type="dxa"/>
            <w:vMerge/>
            <w:hideMark/>
          </w:tcPr>
          <w:p w14:paraId="61BE5957" w14:textId="77777777" w:rsidR="00202E6A" w:rsidRPr="00A5733E" w:rsidRDefault="00202E6A" w:rsidP="00201343">
            <w:pPr>
              <w:pStyle w:val="Tabletext"/>
              <w:spacing w:before="60" w:after="60"/>
              <w:jc w:val="center"/>
              <w:rPr>
                <w:rFonts w:ascii="Segoe UI" w:hAnsi="Segoe UI" w:cs="Segoe UI"/>
                <w:sz w:val="18"/>
                <w:szCs w:val="18"/>
                <w:lang w:val="es-ES" w:eastAsia="en-GB"/>
              </w:rPr>
            </w:pPr>
          </w:p>
        </w:tc>
        <w:tc>
          <w:tcPr>
            <w:tcW w:w="1692" w:type="dxa"/>
            <w:vMerge/>
            <w:hideMark/>
          </w:tcPr>
          <w:p w14:paraId="5E764328" w14:textId="77777777" w:rsidR="00202E6A" w:rsidRPr="00A5733E" w:rsidRDefault="00202E6A" w:rsidP="00201343">
            <w:pPr>
              <w:pStyle w:val="Tabletext"/>
              <w:jc w:val="center"/>
              <w:rPr>
                <w:rFonts w:ascii="Segoe UI" w:hAnsi="Segoe UI" w:cs="Segoe UI"/>
                <w:sz w:val="18"/>
                <w:szCs w:val="18"/>
                <w:lang w:val="es-ES" w:eastAsia="en-GB"/>
              </w:rPr>
            </w:pPr>
          </w:p>
        </w:tc>
        <w:tc>
          <w:tcPr>
            <w:tcW w:w="1575" w:type="dxa"/>
            <w:hideMark/>
          </w:tcPr>
          <w:p w14:paraId="79FB4C97" w14:textId="6E7263C6" w:rsidR="00202E6A" w:rsidRPr="00A5733E" w:rsidRDefault="00202E6A" w:rsidP="00201343">
            <w:pPr>
              <w:pStyle w:val="Tabletext"/>
              <w:rPr>
                <w:rFonts w:ascii="Segoe UI" w:hAnsi="Segoe UI" w:cs="Segoe UI"/>
                <w:sz w:val="18"/>
                <w:szCs w:val="18"/>
                <w:lang w:val="es-ES"/>
              </w:rPr>
            </w:pPr>
            <w:r w:rsidRPr="00A5733E">
              <w:rPr>
                <w:color w:val="000000"/>
                <w:lang w:val="es-ES"/>
              </w:rPr>
              <w:t>Servicio técnico</w:t>
            </w:r>
          </w:p>
        </w:tc>
        <w:tc>
          <w:tcPr>
            <w:tcW w:w="1363" w:type="dxa"/>
            <w:hideMark/>
          </w:tcPr>
          <w:p w14:paraId="38B62EBF" w14:textId="01723BE9"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30 000</w:t>
            </w:r>
          </w:p>
        </w:tc>
        <w:tc>
          <w:tcPr>
            <w:tcW w:w="1237" w:type="dxa"/>
            <w:hideMark/>
          </w:tcPr>
          <w:p w14:paraId="402C32D3" w14:textId="239E6580"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44 000</w:t>
            </w:r>
          </w:p>
        </w:tc>
        <w:tc>
          <w:tcPr>
            <w:tcW w:w="1400" w:type="dxa"/>
            <w:hideMark/>
          </w:tcPr>
          <w:p w14:paraId="7AA68F88" w14:textId="68EE093C" w:rsidR="00202E6A" w:rsidRPr="00A5733E" w:rsidRDefault="00202E6A" w:rsidP="00201343">
            <w:pPr>
              <w:pStyle w:val="Tabletext"/>
              <w:jc w:val="right"/>
              <w:rPr>
                <w:rFonts w:ascii="Segoe UI" w:hAnsi="Segoe UI" w:cs="Segoe UI"/>
                <w:sz w:val="18"/>
                <w:szCs w:val="18"/>
                <w:lang w:val="es-ES"/>
              </w:rPr>
            </w:pPr>
            <w:r w:rsidRPr="00A5733E">
              <w:rPr>
                <w:color w:val="000000"/>
                <w:lang w:val="es-ES"/>
              </w:rPr>
              <w:t>97 530</w:t>
            </w:r>
          </w:p>
        </w:tc>
      </w:tr>
      <w:tr w:rsidR="00202E6A" w:rsidRPr="00A5733E" w14:paraId="4B57EC36" w14:textId="77777777" w:rsidTr="00201343">
        <w:trPr>
          <w:jc w:val="center"/>
        </w:trPr>
        <w:tc>
          <w:tcPr>
            <w:tcW w:w="1064" w:type="dxa"/>
            <w:vMerge/>
            <w:hideMark/>
          </w:tcPr>
          <w:p w14:paraId="5F0C818A" w14:textId="77777777" w:rsidR="00202E6A" w:rsidRPr="00A5733E" w:rsidRDefault="00202E6A" w:rsidP="00201343">
            <w:pPr>
              <w:pStyle w:val="Tabletext"/>
              <w:rPr>
                <w:rFonts w:ascii="Segoe UI" w:hAnsi="Segoe UI" w:cs="Segoe UI"/>
                <w:sz w:val="18"/>
                <w:szCs w:val="18"/>
                <w:lang w:val="es-ES" w:eastAsia="en-GB"/>
              </w:rPr>
            </w:pPr>
          </w:p>
        </w:tc>
        <w:tc>
          <w:tcPr>
            <w:tcW w:w="825" w:type="dxa"/>
            <w:vMerge/>
            <w:hideMark/>
          </w:tcPr>
          <w:p w14:paraId="7DD274A1" w14:textId="77777777" w:rsidR="00202E6A" w:rsidRPr="00A5733E" w:rsidRDefault="00202E6A" w:rsidP="00201343">
            <w:pPr>
              <w:pStyle w:val="Tabletext"/>
              <w:jc w:val="center"/>
              <w:rPr>
                <w:rFonts w:ascii="Segoe UI" w:hAnsi="Segoe UI" w:cs="Segoe UI"/>
                <w:sz w:val="18"/>
                <w:szCs w:val="18"/>
                <w:lang w:val="es-ES" w:eastAsia="en-GB"/>
              </w:rPr>
            </w:pPr>
          </w:p>
        </w:tc>
        <w:tc>
          <w:tcPr>
            <w:tcW w:w="1692" w:type="dxa"/>
            <w:vMerge/>
            <w:hideMark/>
          </w:tcPr>
          <w:p w14:paraId="0DD13B1A" w14:textId="77777777" w:rsidR="00202E6A" w:rsidRPr="00A5733E" w:rsidRDefault="00202E6A" w:rsidP="00201343">
            <w:pPr>
              <w:pStyle w:val="Tabletext"/>
              <w:jc w:val="center"/>
              <w:rPr>
                <w:rFonts w:ascii="Segoe UI" w:hAnsi="Segoe UI" w:cs="Segoe UI"/>
                <w:sz w:val="18"/>
                <w:szCs w:val="18"/>
                <w:lang w:val="es-ES" w:eastAsia="en-GB"/>
              </w:rPr>
            </w:pPr>
          </w:p>
        </w:tc>
        <w:tc>
          <w:tcPr>
            <w:tcW w:w="1575" w:type="dxa"/>
            <w:tcBorders>
              <w:bottom w:val="single" w:sz="4" w:space="0" w:color="auto"/>
            </w:tcBorders>
            <w:hideMark/>
          </w:tcPr>
          <w:p w14:paraId="2ED51C9A" w14:textId="356A8649" w:rsidR="00202E6A" w:rsidRPr="00A5733E" w:rsidRDefault="00202E6A" w:rsidP="00201343">
            <w:pPr>
              <w:pStyle w:val="Tabletext"/>
              <w:ind w:left="720" w:hanging="720"/>
              <w:jc w:val="right"/>
              <w:rPr>
                <w:rFonts w:ascii="Segoe UI" w:hAnsi="Segoe UI" w:cs="Segoe UI"/>
                <w:b/>
                <w:bCs/>
                <w:sz w:val="18"/>
                <w:szCs w:val="18"/>
                <w:lang w:val="es-ES"/>
              </w:rPr>
            </w:pPr>
            <w:r w:rsidRPr="00A5733E">
              <w:rPr>
                <w:b/>
                <w:bCs/>
                <w:color w:val="000000"/>
                <w:lang w:val="es-ES"/>
              </w:rPr>
              <w:t>Total:</w:t>
            </w:r>
          </w:p>
        </w:tc>
        <w:tc>
          <w:tcPr>
            <w:tcW w:w="1363" w:type="dxa"/>
            <w:tcBorders>
              <w:bottom w:val="single" w:sz="4" w:space="0" w:color="auto"/>
            </w:tcBorders>
            <w:hideMark/>
          </w:tcPr>
          <w:p w14:paraId="40B716B6" w14:textId="1670FD63" w:rsidR="00202E6A" w:rsidRPr="00A5733E" w:rsidRDefault="00202E6A" w:rsidP="00201343">
            <w:pPr>
              <w:pStyle w:val="Tabletext"/>
              <w:jc w:val="right"/>
              <w:rPr>
                <w:rFonts w:ascii="Segoe UI" w:hAnsi="Segoe UI" w:cs="Segoe UI"/>
                <w:b/>
                <w:bCs/>
                <w:sz w:val="18"/>
                <w:szCs w:val="18"/>
                <w:lang w:val="es-ES"/>
              </w:rPr>
            </w:pPr>
            <w:r w:rsidRPr="00A5733E">
              <w:rPr>
                <w:b/>
                <w:bCs/>
                <w:color w:val="000000"/>
                <w:lang w:val="es-ES"/>
              </w:rPr>
              <w:t>60 340</w:t>
            </w:r>
          </w:p>
        </w:tc>
        <w:tc>
          <w:tcPr>
            <w:tcW w:w="1237" w:type="dxa"/>
            <w:tcBorders>
              <w:bottom w:val="single" w:sz="4" w:space="0" w:color="auto"/>
            </w:tcBorders>
            <w:hideMark/>
          </w:tcPr>
          <w:p w14:paraId="4AEF2AFE" w14:textId="77777777" w:rsidR="00202E6A" w:rsidRPr="00A5733E" w:rsidRDefault="00202E6A" w:rsidP="00201343">
            <w:pPr>
              <w:pStyle w:val="Tabletext"/>
              <w:jc w:val="right"/>
              <w:rPr>
                <w:rFonts w:ascii="Segoe UI" w:hAnsi="Segoe UI" w:cs="Segoe UI"/>
                <w:b/>
                <w:bCs/>
                <w:sz w:val="18"/>
                <w:szCs w:val="18"/>
                <w:lang w:val="es-ES"/>
              </w:rPr>
            </w:pPr>
            <w:r w:rsidRPr="00A5733E">
              <w:rPr>
                <w:b/>
                <w:bCs/>
                <w:color w:val="000000"/>
                <w:lang w:val="es-ES"/>
              </w:rPr>
              <w:t>59 400</w:t>
            </w:r>
          </w:p>
        </w:tc>
        <w:tc>
          <w:tcPr>
            <w:tcW w:w="1400" w:type="dxa"/>
            <w:tcBorders>
              <w:bottom w:val="single" w:sz="4" w:space="0" w:color="auto"/>
            </w:tcBorders>
            <w:hideMark/>
          </w:tcPr>
          <w:p w14:paraId="54513B2C" w14:textId="0EE52029" w:rsidR="00202E6A" w:rsidRPr="00A5733E" w:rsidRDefault="00202E6A" w:rsidP="00201343">
            <w:pPr>
              <w:pStyle w:val="Tabletext"/>
              <w:jc w:val="right"/>
              <w:rPr>
                <w:rFonts w:ascii="Segoe UI" w:hAnsi="Segoe UI" w:cs="Segoe UI"/>
                <w:b/>
                <w:bCs/>
                <w:sz w:val="18"/>
                <w:szCs w:val="18"/>
                <w:lang w:val="es-ES"/>
              </w:rPr>
            </w:pPr>
            <w:r w:rsidRPr="00A5733E">
              <w:rPr>
                <w:b/>
                <w:bCs/>
                <w:color w:val="000000"/>
                <w:lang w:val="es-ES"/>
              </w:rPr>
              <w:t>151 229</w:t>
            </w:r>
          </w:p>
        </w:tc>
      </w:tr>
      <w:tr w:rsidR="00202E6A" w:rsidRPr="004E6354" w14:paraId="6C556806" w14:textId="77777777" w:rsidTr="00201343">
        <w:trPr>
          <w:jc w:val="center"/>
        </w:trPr>
        <w:tc>
          <w:tcPr>
            <w:tcW w:w="9156" w:type="dxa"/>
            <w:gridSpan w:val="7"/>
            <w:tcBorders>
              <w:top w:val="single" w:sz="4" w:space="0" w:color="auto"/>
              <w:left w:val="nil"/>
              <w:bottom w:val="nil"/>
              <w:right w:val="nil"/>
            </w:tcBorders>
            <w:hideMark/>
          </w:tcPr>
          <w:p w14:paraId="070DBCAC" w14:textId="77777777" w:rsidR="00202E6A" w:rsidRPr="00A5733E" w:rsidRDefault="00202E6A" w:rsidP="00201343">
            <w:pPr>
              <w:pStyle w:val="Tablelegend"/>
              <w:rPr>
                <w:rFonts w:ascii="Segoe UI" w:hAnsi="Segoe UI" w:cs="Segoe UI"/>
                <w:lang w:val="es-ES"/>
              </w:rPr>
            </w:pPr>
            <w:r w:rsidRPr="00A5733E">
              <w:rPr>
                <w:color w:val="000000"/>
                <w:lang w:val="es-ES"/>
              </w:rPr>
              <w:t>Notas:</w:t>
            </w:r>
          </w:p>
          <w:p w14:paraId="350BB8EC" w14:textId="3A9D7E1C" w:rsidR="00202E6A" w:rsidRPr="00A5733E" w:rsidRDefault="00202E6A" w:rsidP="00794E08">
            <w:pPr>
              <w:pStyle w:val="Tablelegend"/>
              <w:jc w:val="both"/>
              <w:rPr>
                <w:rFonts w:ascii="Segoe UI" w:hAnsi="Segoe UI" w:cs="Segoe UI"/>
                <w:lang w:val="es-ES"/>
              </w:rPr>
            </w:pPr>
            <w:r w:rsidRPr="00A5733E">
              <w:rPr>
                <w:color w:val="000000"/>
                <w:vertAlign w:val="superscript"/>
                <w:lang w:val="es-ES"/>
              </w:rPr>
              <w:t>1</w:t>
            </w:r>
            <w:r w:rsidRPr="00A5733E">
              <w:rPr>
                <w:color w:val="000000"/>
                <w:lang w:val="es-ES"/>
              </w:rPr>
              <w:tab/>
              <w:t>El precio incluye fines de semana, en su caso.</w:t>
            </w:r>
          </w:p>
          <w:p w14:paraId="1DC2168B" w14:textId="38FE2D0D" w:rsidR="00202E6A" w:rsidRPr="00A5733E" w:rsidRDefault="00202E6A" w:rsidP="00794E08">
            <w:pPr>
              <w:pStyle w:val="Tablelegend"/>
              <w:jc w:val="both"/>
              <w:rPr>
                <w:rFonts w:ascii="Segoe UI" w:hAnsi="Segoe UI" w:cs="Segoe UI"/>
                <w:lang w:val="es-ES"/>
              </w:rPr>
            </w:pPr>
            <w:r w:rsidRPr="00A5733E">
              <w:rPr>
                <w:color w:val="000000"/>
                <w:vertAlign w:val="superscript"/>
                <w:lang w:val="es-ES"/>
              </w:rPr>
              <w:t>2</w:t>
            </w:r>
            <w:r w:rsidRPr="00A5733E">
              <w:rPr>
                <w:color w:val="000000"/>
                <w:lang w:val="es-ES"/>
              </w:rPr>
              <w:tab/>
              <w:t>La seguridad se calcula como costos marginales, incluido el costo de un guardia de seguridad de la ONUG desarmado (79 USD = 61 CHF/H) y el costo de los asistentes encargados de la identificación, cuando corresponda. Los costos de la ONUG también incluyen 4 CHF por tarjeta impresa (utilizando el sistema de tarjetas de identificación de la ONUG).</w:t>
            </w:r>
          </w:p>
          <w:p w14:paraId="39E7A00C" w14:textId="2BCE35CC" w:rsidR="00202E6A" w:rsidRPr="00A5733E" w:rsidRDefault="00202E6A" w:rsidP="00794E08">
            <w:pPr>
              <w:pStyle w:val="Tablelegend"/>
              <w:jc w:val="both"/>
              <w:rPr>
                <w:rFonts w:ascii="Segoe UI" w:hAnsi="Segoe UI" w:cs="Segoe UI"/>
                <w:lang w:val="es-ES"/>
              </w:rPr>
            </w:pPr>
            <w:r w:rsidRPr="00A5733E">
              <w:rPr>
                <w:color w:val="000000"/>
                <w:vertAlign w:val="superscript"/>
                <w:lang w:val="es-ES"/>
              </w:rPr>
              <w:t>3</w:t>
            </w:r>
            <w:r w:rsidRPr="00A5733E">
              <w:rPr>
                <w:color w:val="000000"/>
                <w:lang w:val="es-ES"/>
              </w:rPr>
              <w:tab/>
              <w:t>Alquiler y asistencia técnica de la ONUG disponibles en USD, convertidos a CHF a efectos comparativos utilizando un tipo de cambio de 1 USD = 0,8 CHF. Este coste puede aumentar en función de los tipos de cambio; las salas de la ONUG pueden reservarse en el último momento.</w:t>
            </w:r>
          </w:p>
          <w:p w14:paraId="05F3C621" w14:textId="173E0AD5" w:rsidR="00202E6A" w:rsidRPr="00A5733E" w:rsidRDefault="00202E6A" w:rsidP="00794E08">
            <w:pPr>
              <w:pStyle w:val="Tablelegend"/>
              <w:jc w:val="both"/>
              <w:rPr>
                <w:rFonts w:ascii="Segoe UI" w:hAnsi="Segoe UI" w:cs="Segoe UI"/>
                <w:lang w:val="es-ES"/>
              </w:rPr>
            </w:pPr>
            <w:r w:rsidRPr="00A5733E">
              <w:rPr>
                <w:color w:val="000000"/>
                <w:vertAlign w:val="superscript"/>
                <w:lang w:val="es-ES"/>
              </w:rPr>
              <w:t>4</w:t>
            </w:r>
            <w:r w:rsidRPr="00A5733E">
              <w:rPr>
                <w:color w:val="000000"/>
                <w:lang w:val="es-ES"/>
              </w:rPr>
              <w:tab/>
              <w:t>Los precios de Palexpo para el Consejo y los GTC se han estimado con un descuento del 40 % sobre el precio de catálogo y solo en caso de reservas de grupo.</w:t>
            </w:r>
          </w:p>
          <w:p w14:paraId="74048453" w14:textId="20CBB6BF" w:rsidR="00202E6A" w:rsidRPr="00A5733E" w:rsidRDefault="00202E6A" w:rsidP="00794E08">
            <w:pPr>
              <w:pStyle w:val="Tablelegend"/>
              <w:jc w:val="both"/>
              <w:rPr>
                <w:rFonts w:ascii="Segoe UI" w:hAnsi="Segoe UI" w:cs="Segoe UI"/>
                <w:lang w:val="es-ES"/>
              </w:rPr>
            </w:pPr>
            <w:r w:rsidRPr="00A5733E">
              <w:rPr>
                <w:color w:val="000000"/>
                <w:vertAlign w:val="superscript"/>
                <w:lang w:val="es-ES"/>
              </w:rPr>
              <w:t>5</w:t>
            </w:r>
            <w:r w:rsidRPr="00A5733E">
              <w:rPr>
                <w:color w:val="000000"/>
                <w:lang w:val="es-ES"/>
              </w:rPr>
              <w:tab/>
              <w:t>Los precios de la OMS y la OIT no estaban disponibles en el momento de presentar este informe; en la medida de lo posible, se proporcionará información actualizada verbalmente.</w:t>
            </w:r>
          </w:p>
        </w:tc>
      </w:tr>
    </w:tbl>
    <w:p w14:paraId="3256CC0B" w14:textId="77777777" w:rsidR="00202E6A" w:rsidRPr="00A5733E" w:rsidRDefault="00202E6A" w:rsidP="000314FC">
      <w:pPr>
        <w:pStyle w:val="Heading1"/>
        <w:rPr>
          <w:lang w:val="es-ES"/>
        </w:rPr>
      </w:pPr>
      <w:r w:rsidRPr="00A5733E">
        <w:rPr>
          <w:lang w:val="es-ES"/>
        </w:rPr>
        <w:lastRenderedPageBreak/>
        <w:t>5</w:t>
      </w:r>
      <w:r w:rsidRPr="00A5733E">
        <w:rPr>
          <w:lang w:val="es-ES"/>
        </w:rPr>
        <w:tab/>
        <w:t xml:space="preserve">Modalidades </w:t>
      </w:r>
      <w:r w:rsidRPr="00553599">
        <w:rPr>
          <w:lang w:val="es-ES"/>
        </w:rPr>
        <w:t>adicionales</w:t>
      </w:r>
      <w:r w:rsidRPr="00A5733E">
        <w:rPr>
          <w:lang w:val="es-ES"/>
        </w:rPr>
        <w:t xml:space="preserve"> para la continuación de las actividades</w:t>
      </w:r>
    </w:p>
    <w:p w14:paraId="46DE832F" w14:textId="77777777" w:rsidR="00202E6A" w:rsidRPr="00A5733E" w:rsidRDefault="00202E6A" w:rsidP="000314FC">
      <w:pPr>
        <w:pStyle w:val="Headingb"/>
        <w:rPr>
          <w:lang w:val="es-ES"/>
        </w:rPr>
      </w:pPr>
      <w:r w:rsidRPr="00A5733E">
        <w:rPr>
          <w:lang w:val="es-ES"/>
        </w:rPr>
        <w:t xml:space="preserve">Lugares alternativos </w:t>
      </w:r>
      <w:r w:rsidRPr="00553599">
        <w:rPr>
          <w:lang w:val="es-ES"/>
        </w:rPr>
        <w:t>fuera</w:t>
      </w:r>
      <w:r w:rsidRPr="00A5733E">
        <w:rPr>
          <w:lang w:val="es-ES"/>
        </w:rPr>
        <w:t xml:space="preserve"> de Ginebra</w:t>
      </w:r>
    </w:p>
    <w:p w14:paraId="615B7CF6" w14:textId="77777777" w:rsidR="00202E6A" w:rsidRPr="00A5733E" w:rsidRDefault="00202E6A" w:rsidP="00794E08">
      <w:pPr>
        <w:jc w:val="both"/>
        <w:rPr>
          <w:rFonts w:eastAsia="Calibri" w:cs="Calibri"/>
          <w:color w:val="000000" w:themeColor="text1"/>
          <w:lang w:val="es-ES"/>
        </w:rPr>
      </w:pPr>
      <w:r w:rsidRPr="00A5733E">
        <w:rPr>
          <w:lang w:val="es-ES"/>
        </w:rPr>
        <w:t>A petición del GTC-FHR en su 21.ª reunión, la Secretaría de la UIT ha realizado una evaluación inicial de los lugares de conferencia en Lausana, el centro internacional de reuniones más cercano con una infraestructura comparable. Tras una evaluación inicial, dos de ellos podrían ofrecer instalaciones adecuadas para un número limitado de reuniones de la UIT: el Swiss Tech Convention Center, uno de los centros de convenciones más grandes de la región del lago Lemán, y el Beaulieu, un complejo multifuncional con capacidad para eventos de entre 50 y 4 000 personas. Con todo, habida cuenta de los costos financieros y operativos adicionales que entraña la celebración de reuniones fuera de Ginebra, la posible disponibilidad de salas en la Sede de la UIT y la financiación recibida de Suiza, hay actualmente otras opciones de continuidad de las actividades más viables, por lo que esta opción no muestra una ventaja comparativa de cara a continuar las actividades en esta etapa.</w:t>
      </w:r>
    </w:p>
    <w:p w14:paraId="0DD5CFDF" w14:textId="77777777" w:rsidR="00202E6A" w:rsidRPr="00A5733E" w:rsidRDefault="00202E6A" w:rsidP="000314FC">
      <w:pPr>
        <w:pStyle w:val="Headingb"/>
        <w:rPr>
          <w:lang w:val="es-ES"/>
        </w:rPr>
      </w:pPr>
      <w:r w:rsidRPr="00A5733E">
        <w:rPr>
          <w:lang w:val="es-ES"/>
        </w:rPr>
        <w:t xml:space="preserve">Celebración organizada </w:t>
      </w:r>
      <w:r w:rsidRPr="00A5733E">
        <w:rPr>
          <w:i/>
          <w:iCs/>
          <w:lang w:val="es-ES"/>
        </w:rPr>
        <w:t>ad hoc</w:t>
      </w:r>
      <w:r w:rsidRPr="00A5733E">
        <w:rPr>
          <w:lang w:val="es-ES"/>
        </w:rPr>
        <w:t xml:space="preserve"> </w:t>
      </w:r>
      <w:r w:rsidRPr="00553599">
        <w:rPr>
          <w:lang w:val="es-ES"/>
        </w:rPr>
        <w:t>por</w:t>
      </w:r>
      <w:r w:rsidRPr="00A5733E">
        <w:rPr>
          <w:lang w:val="es-ES"/>
        </w:rPr>
        <w:t xml:space="preserve"> los Estados Miembros</w:t>
      </w:r>
    </w:p>
    <w:p w14:paraId="5E946411" w14:textId="422E7236" w:rsidR="00202E6A" w:rsidRPr="00A5733E" w:rsidRDefault="00202E6A" w:rsidP="00794E08">
      <w:pPr>
        <w:jc w:val="both"/>
        <w:rPr>
          <w:b/>
          <w:lang w:val="es-ES"/>
        </w:rPr>
      </w:pPr>
      <w:r w:rsidRPr="00A5733E">
        <w:rPr>
          <w:lang w:val="es-ES"/>
        </w:rPr>
        <w:t>Durante este periodo, los Estados Miembros podrán seguir acogiendo un número limitado de reuniones de las Comisiones de Estudio en función de las necesidades, de conformidad con la práctica habitual en virtud de la Resolución 5 (Kyoto, 1994) de la Conferencia de Plenipotenciarios, consistente en que los Estados Miembros asuman los gastos adicionales que entrañe la celebración de una reunión fuera de la Sede de Ginebra.</w:t>
      </w:r>
    </w:p>
    <w:p w14:paraId="7DCFDA01" w14:textId="77777777" w:rsidR="00202E6A" w:rsidRPr="00A5733E" w:rsidRDefault="00202E6A" w:rsidP="000314FC">
      <w:pPr>
        <w:pStyle w:val="Headingb"/>
        <w:rPr>
          <w:lang w:val="es-ES"/>
        </w:rPr>
      </w:pPr>
      <w:r w:rsidRPr="00A5733E">
        <w:rPr>
          <w:lang w:val="es-ES"/>
        </w:rPr>
        <w:t>Centro de reuniones de la UIT</w:t>
      </w:r>
    </w:p>
    <w:p w14:paraId="29EB65E8" w14:textId="6D6DE076" w:rsidR="00202E6A" w:rsidRPr="00A5733E" w:rsidRDefault="00202E6A" w:rsidP="00794E08">
      <w:pPr>
        <w:jc w:val="both"/>
        <w:rPr>
          <w:rFonts w:eastAsia="Calibri" w:cs="Calibri"/>
          <w:color w:val="000000" w:themeColor="text1"/>
          <w:spacing w:val="-2"/>
          <w:lang w:val="es-ES"/>
        </w:rPr>
      </w:pPr>
      <w:r w:rsidRPr="00A5733E">
        <w:rPr>
          <w:lang w:val="es-ES"/>
        </w:rPr>
        <w:t xml:space="preserve">El concepto del Centro de Reuniones de la UIT consiste en que el país anfitrión asuma los gastos relacionados con el lugar de celebración, las instalaciones, los servicios técnicos y la gestión de todas las reuniones técnicas de la UIT durante todo el período en que se requieran las instalaciones (o durante un año), además de los gastos de personal de la UIT </w:t>
      </w:r>
      <w:r w:rsidRPr="00A5733E">
        <w:rPr>
          <w:i/>
          <w:iCs/>
          <w:lang w:val="es-ES"/>
        </w:rPr>
        <w:t>in situ</w:t>
      </w:r>
      <w:r w:rsidRPr="00A5733E">
        <w:rPr>
          <w:lang w:val="es-ES"/>
        </w:rPr>
        <w:t xml:space="preserve">, de conformidad con la </w:t>
      </w:r>
      <w:hyperlink r:id="rId22" w:history="1">
        <w:r w:rsidRPr="00A5733E">
          <w:rPr>
            <w:rStyle w:val="Hyperlink"/>
            <w:lang w:val="es-ES"/>
          </w:rPr>
          <w:t>Resolución 5 de la Conferencia de Plenipotenciarios (Kioto, 1994)</w:t>
        </w:r>
      </w:hyperlink>
      <w:r w:rsidRPr="00A5733E">
        <w:rPr>
          <w:lang w:val="es-ES"/>
        </w:rPr>
        <w:t xml:space="preserve"> y las respectivas Resoluciones de los Sectores.</w:t>
      </w:r>
      <w:hyperlink r:id="rId23" w:history="1"/>
    </w:p>
    <w:p w14:paraId="46B12D67" w14:textId="66D4835D" w:rsidR="00202E6A" w:rsidRPr="00A5733E" w:rsidRDefault="00202E6A" w:rsidP="00794E08">
      <w:pPr>
        <w:jc w:val="both"/>
        <w:rPr>
          <w:rFonts w:eastAsia="Calibri" w:cs="Calibri"/>
          <w:color w:val="000000" w:themeColor="text1"/>
          <w:lang w:val="es-ES"/>
        </w:rPr>
      </w:pPr>
      <w:r w:rsidRPr="00A5733E">
        <w:rPr>
          <w:lang w:val="es-ES"/>
        </w:rPr>
        <w:t>En vista del interés manifestado por varios Estados Miembros en la reunión del Consejo de 2025 por seguir estudiando esta opción, la Secretaría publicó en agosto de 2025 una invitación a presentar propuestas para acoger un centro de reuniones de la UIT durante el período de construcción del nuevo edificio de la sede de la UIT en 2028-2029 (</w:t>
      </w:r>
      <w:hyperlink r:id="rId24" w:history="1">
        <w:r w:rsidRPr="00A5733E">
          <w:rPr>
            <w:rStyle w:val="Hyperlink"/>
            <w:lang w:val="es-ES"/>
          </w:rPr>
          <w:t>CL-25/38</w:t>
        </w:r>
      </w:hyperlink>
      <w:r w:rsidRPr="00A5733E">
        <w:rPr>
          <w:lang w:val="es-ES"/>
        </w:rPr>
        <w:t>). Dos Estados Miembros han respondido positivamente pero, tras debates adicionales y la presentación de estimaciones financieras y requisitos detallados, no se ha recibido ninguna propuesta concreta. Por lo tanto, la Secretaría no considera factible seguir adelante con esta opción en esta etapa.</w:t>
      </w:r>
      <w:hyperlink r:id="rId25" w:history="1"/>
    </w:p>
    <w:p w14:paraId="1627A422" w14:textId="77777777" w:rsidR="00202E6A" w:rsidRPr="00553599" w:rsidRDefault="00202E6A" w:rsidP="000314FC">
      <w:pPr>
        <w:pStyle w:val="Headingb"/>
        <w:rPr>
          <w:lang w:val="es-ES"/>
        </w:rPr>
      </w:pPr>
      <w:r w:rsidRPr="00A5733E">
        <w:rPr>
          <w:lang w:val="es-ES"/>
        </w:rPr>
        <w:t>Reuniones virtuales</w:t>
      </w:r>
    </w:p>
    <w:p w14:paraId="09D06C6B" w14:textId="036172B7" w:rsidR="00202E6A" w:rsidRPr="00A5733E" w:rsidRDefault="00202E6A" w:rsidP="00794E08">
      <w:pPr>
        <w:jc w:val="both"/>
        <w:rPr>
          <w:rFonts w:eastAsia="Calibri" w:cs="Calibri"/>
          <w:color w:val="000000" w:themeColor="text1"/>
          <w:lang w:val="es-ES"/>
        </w:rPr>
      </w:pPr>
      <w:r w:rsidRPr="00A5733E">
        <w:rPr>
          <w:lang w:val="es-ES"/>
        </w:rPr>
        <w:t xml:space="preserve">Sigue siendo técnicamente viable celebrar reuniones técnicas totalmente virtuales, en particular dadas las </w:t>
      </w:r>
      <w:hyperlink r:id="rId26" w:history="1">
        <w:r w:rsidRPr="00A5733E">
          <w:rPr>
            <w:rStyle w:val="Hyperlink"/>
            <w:lang w:val="es-ES"/>
          </w:rPr>
          <w:t>directrices establecidas para las reuniones con participación a distancia</w:t>
        </w:r>
      </w:hyperlink>
      <w:r w:rsidRPr="00A5733E">
        <w:rPr>
          <w:lang w:val="es-ES"/>
        </w:rPr>
        <w:t>. Con todo, la práctica actual permite celebrar reuniones totalmente virtuales de hasta 3</w:t>
      </w:r>
      <w:r w:rsidR="00633200">
        <w:rPr>
          <w:lang w:val="es-ES"/>
        </w:rPr>
        <w:t> </w:t>
      </w:r>
      <w:r w:rsidRPr="00A5733E">
        <w:rPr>
          <w:lang w:val="es-ES"/>
        </w:rPr>
        <w:t>horas al día, alrededor de las 12.00 horas de Ginebra. Esto afectaría a la flexibilidad y la duración de las reuniones técnicas, que suelen prolongarse de 5 a 8 días. Además, en las reuniones del Consejo y del GTC-RHF se ha planteado reiteradamente la dificultad de celebrar reuniones virtuales con participantes en diferentes husos horarios. Esta sigue siendo por lo tanto una opción únicamente de reserva.</w:t>
      </w:r>
      <w:hyperlink r:id="rId27"/>
    </w:p>
    <w:p w14:paraId="1BDC03F7" w14:textId="77777777" w:rsidR="00202E6A" w:rsidRPr="00A5733E" w:rsidRDefault="00202E6A" w:rsidP="000314FC">
      <w:pPr>
        <w:pStyle w:val="Heading1"/>
        <w:rPr>
          <w:rFonts w:eastAsia="Calibri" w:cs="Calibri"/>
          <w:color w:val="000000" w:themeColor="text1"/>
          <w:lang w:val="es-ES"/>
        </w:rPr>
      </w:pPr>
      <w:r w:rsidRPr="00A5733E">
        <w:rPr>
          <w:lang w:val="es-ES"/>
        </w:rPr>
        <w:lastRenderedPageBreak/>
        <w:t>6</w:t>
      </w:r>
      <w:r w:rsidRPr="00A5733E">
        <w:rPr>
          <w:lang w:val="es-ES"/>
        </w:rPr>
        <w:tab/>
        <w:t xml:space="preserve">Continuidad </w:t>
      </w:r>
      <w:r w:rsidRPr="00553599">
        <w:rPr>
          <w:lang w:val="es-ES"/>
        </w:rPr>
        <w:t>de</w:t>
      </w:r>
      <w:r w:rsidRPr="00A5733E">
        <w:rPr>
          <w:lang w:val="es-ES"/>
        </w:rPr>
        <w:t xml:space="preserve"> las actividades en la Sede de la UIT</w:t>
      </w:r>
    </w:p>
    <w:p w14:paraId="6290CBF5" w14:textId="0532CEFC" w:rsidR="00202E6A" w:rsidRPr="00A5733E" w:rsidRDefault="00202E6A" w:rsidP="00794E08">
      <w:pPr>
        <w:jc w:val="both"/>
        <w:rPr>
          <w:lang w:val="es-ES"/>
        </w:rPr>
      </w:pPr>
      <w:r w:rsidRPr="00A5733E">
        <w:rPr>
          <w:lang w:val="es-ES"/>
        </w:rPr>
        <w:t xml:space="preserve">En la Información actualizada sobre el proyecto de la Sede de la Unión (Documento </w:t>
      </w:r>
      <w:hyperlink r:id="rId28" w:history="1">
        <w:proofErr w:type="spellStart"/>
        <w:r w:rsidRPr="00A5733E">
          <w:rPr>
            <w:rStyle w:val="Hyperlink"/>
            <w:lang w:val="es-ES"/>
          </w:rPr>
          <w:t>C26</w:t>
        </w:r>
        <w:proofErr w:type="spellEnd"/>
        <w:r w:rsidRPr="00A5733E">
          <w:rPr>
            <w:rStyle w:val="Hyperlink"/>
            <w:lang w:val="es-ES"/>
          </w:rPr>
          <w:t>/7</w:t>
        </w:r>
      </w:hyperlink>
      <w:r w:rsidRPr="00A5733E">
        <w:rPr>
          <w:lang w:val="es-ES"/>
        </w:rPr>
        <w:t>) se dan todos los detalles sobre las medidas para continuar con las actividades en ámbitos distintos de las reuniones de la UIT.</w:t>
      </w:r>
      <w:hyperlink r:id="rId29"/>
    </w:p>
    <w:p w14:paraId="67ED5CCE" w14:textId="77777777" w:rsidR="00202E6A" w:rsidRPr="00553599" w:rsidRDefault="00202E6A" w:rsidP="000314FC">
      <w:pPr>
        <w:pStyle w:val="Heading1"/>
        <w:rPr>
          <w:lang w:val="es-ES"/>
        </w:rPr>
      </w:pPr>
      <w:r w:rsidRPr="00A5733E">
        <w:rPr>
          <w:lang w:val="es-ES"/>
        </w:rPr>
        <w:t>7</w:t>
      </w:r>
      <w:r w:rsidRPr="00A5733E">
        <w:rPr>
          <w:lang w:val="es-ES"/>
        </w:rPr>
        <w:tab/>
        <w:t>Financiación</w:t>
      </w:r>
    </w:p>
    <w:p w14:paraId="180E2CC5" w14:textId="6AC59267" w:rsidR="00202E6A" w:rsidRPr="00794E08" w:rsidRDefault="00202E6A" w:rsidP="00794E08">
      <w:pPr>
        <w:jc w:val="both"/>
        <w:rPr>
          <w:spacing w:val="-2"/>
          <w:lang w:val="es-ES"/>
        </w:rPr>
      </w:pPr>
      <w:r w:rsidRPr="00794E08">
        <w:rPr>
          <w:spacing w:val="-2"/>
          <w:lang w:val="es-ES"/>
        </w:rPr>
        <w:t xml:space="preserve">En la 22.ª reunión del GTC-RHF celebrada en enero de 2026, Suiza confirmó que la UIT se beneficiaría de una exención de dos años (2025 y 2026) de la obligación de reembolsar los préstamos inmobiliarios admisibles asignados anteriormente por la Confederación Suiza (Documento </w:t>
      </w:r>
      <w:hyperlink r:id="rId30" w:history="1">
        <w:proofErr w:type="spellStart"/>
        <w:r w:rsidRPr="00794E08">
          <w:rPr>
            <w:rStyle w:val="Hyperlink"/>
            <w:spacing w:val="-2"/>
            <w:lang w:val="es-ES"/>
          </w:rPr>
          <w:t>CWG</w:t>
        </w:r>
        <w:proofErr w:type="spellEnd"/>
        <w:r w:rsidRPr="00794E08">
          <w:rPr>
            <w:rStyle w:val="Hyperlink"/>
            <w:spacing w:val="-2"/>
            <w:lang w:val="es-ES"/>
          </w:rPr>
          <w:t>-</w:t>
        </w:r>
        <w:proofErr w:type="spellStart"/>
        <w:r w:rsidRPr="00794E08">
          <w:rPr>
            <w:rStyle w:val="Hyperlink"/>
            <w:spacing w:val="-2"/>
            <w:lang w:val="es-ES"/>
          </w:rPr>
          <w:t>FHR</w:t>
        </w:r>
        <w:proofErr w:type="spellEnd"/>
        <w:r w:rsidRPr="00794E08">
          <w:rPr>
            <w:rStyle w:val="Hyperlink"/>
            <w:spacing w:val="-2"/>
            <w:lang w:val="es-ES"/>
          </w:rPr>
          <w:t>-22/23</w:t>
        </w:r>
      </w:hyperlink>
      <w:r w:rsidRPr="00794E08">
        <w:rPr>
          <w:spacing w:val="-2"/>
          <w:lang w:val="es-ES"/>
        </w:rPr>
        <w:t>), con el objetivo de asignar los 2</w:t>
      </w:r>
      <w:r w:rsidR="00693161" w:rsidRPr="00794E08">
        <w:rPr>
          <w:spacing w:val="-2"/>
          <w:lang w:val="es-ES"/>
        </w:rPr>
        <w:t> </w:t>
      </w:r>
      <w:r w:rsidRPr="00794E08">
        <w:rPr>
          <w:spacing w:val="-2"/>
          <w:lang w:val="es-ES"/>
        </w:rPr>
        <w:t>782</w:t>
      </w:r>
      <w:r w:rsidR="00693161" w:rsidRPr="00794E08">
        <w:rPr>
          <w:spacing w:val="-2"/>
          <w:lang w:val="es-ES"/>
        </w:rPr>
        <w:t> </w:t>
      </w:r>
      <w:r w:rsidRPr="00794E08">
        <w:rPr>
          <w:spacing w:val="-2"/>
          <w:lang w:val="es-ES"/>
        </w:rPr>
        <w:t>600</w:t>
      </w:r>
      <w:r w:rsidR="00693161" w:rsidRPr="00794E08">
        <w:rPr>
          <w:spacing w:val="-2"/>
          <w:lang w:val="es-ES"/>
        </w:rPr>
        <w:t> </w:t>
      </w:r>
      <w:r w:rsidRPr="00794E08">
        <w:rPr>
          <w:spacing w:val="-2"/>
          <w:lang w:val="es-ES"/>
        </w:rPr>
        <w:t>CHF de ahorro resultantes al fondo de continuidad de las actividades, con miras a cubrir los costes de celebración de reuniones en el país durante el periodo en que los edificios de la Sede de la UIT y el CICG estuviesen completa o parcialmente indisponibles. Gracias a esta generosa contribución, el fondo de continuidad de las actividades para el periodo de construcción del nuevo edificio de la Sede de la UIT asciende ahora a 3,171 millones CHF, lo que supone una asignación de 389</w:t>
      </w:r>
      <w:r w:rsidR="00693161" w:rsidRPr="00794E08">
        <w:rPr>
          <w:spacing w:val="-2"/>
          <w:lang w:val="es-ES"/>
        </w:rPr>
        <w:t> </w:t>
      </w:r>
      <w:r w:rsidRPr="00794E08">
        <w:rPr>
          <w:spacing w:val="-2"/>
          <w:lang w:val="es-ES"/>
        </w:rPr>
        <w:t>000</w:t>
      </w:r>
      <w:r w:rsidR="00693161" w:rsidRPr="00794E08">
        <w:rPr>
          <w:spacing w:val="-2"/>
          <w:lang w:val="es-ES"/>
        </w:rPr>
        <w:t> </w:t>
      </w:r>
      <w:r w:rsidRPr="00794E08">
        <w:rPr>
          <w:spacing w:val="-2"/>
          <w:lang w:val="es-ES"/>
        </w:rPr>
        <w:t xml:space="preserve">CHF ahorrados en 2024 al fondo de continuidad (Resolución </w:t>
      </w:r>
      <w:hyperlink r:id="rId31" w:history="1">
        <w:r w:rsidRPr="00794E08">
          <w:rPr>
            <w:rStyle w:val="Hyperlink"/>
            <w:spacing w:val="-2"/>
            <w:lang w:val="es-ES"/>
          </w:rPr>
          <w:t>1434 (</w:t>
        </w:r>
        <w:proofErr w:type="spellStart"/>
        <w:r w:rsidRPr="00794E08">
          <w:rPr>
            <w:rStyle w:val="Hyperlink"/>
            <w:spacing w:val="-2"/>
            <w:lang w:val="es-ES"/>
          </w:rPr>
          <w:t>C25</w:t>
        </w:r>
        <w:proofErr w:type="spellEnd"/>
        <w:r w:rsidRPr="00794E08">
          <w:rPr>
            <w:rStyle w:val="Hyperlink"/>
            <w:spacing w:val="-2"/>
            <w:lang w:val="es-ES"/>
          </w:rPr>
          <w:t>)</w:t>
        </w:r>
      </w:hyperlink>
      <w:r w:rsidR="00794E08" w:rsidRPr="00794E08">
        <w:rPr>
          <w:spacing w:val="-2"/>
          <w:lang w:val="es-ES"/>
        </w:rPr>
        <w:t>).</w:t>
      </w:r>
      <w:hyperlink r:id="rId32"/>
      <w:hyperlink r:id="rId33"/>
    </w:p>
    <w:p w14:paraId="72D8448D" w14:textId="332241D7" w:rsidR="00202E6A" w:rsidRPr="00A5733E" w:rsidRDefault="00202E6A" w:rsidP="00794E08">
      <w:pPr>
        <w:jc w:val="both"/>
        <w:rPr>
          <w:lang w:val="es-ES"/>
        </w:rPr>
      </w:pPr>
      <w:r w:rsidRPr="00A5733E">
        <w:rPr>
          <w:lang w:val="es-ES"/>
        </w:rPr>
        <w:t xml:space="preserve">La atribución de 1,5 millones CHF de ahorros esbozada en el Documento </w:t>
      </w:r>
      <w:hyperlink r:id="rId34" w:history="1">
        <w:proofErr w:type="spellStart"/>
        <w:r w:rsidRPr="00A5733E">
          <w:rPr>
            <w:rStyle w:val="Hyperlink"/>
            <w:lang w:val="es-ES"/>
          </w:rPr>
          <w:t>C26</w:t>
        </w:r>
        <w:proofErr w:type="spellEnd"/>
        <w:r w:rsidRPr="00A5733E">
          <w:rPr>
            <w:rStyle w:val="Hyperlink"/>
            <w:lang w:val="es-ES"/>
          </w:rPr>
          <w:t>/42</w:t>
        </w:r>
      </w:hyperlink>
      <w:r w:rsidRPr="00A5733E">
        <w:rPr>
          <w:lang w:val="es-ES"/>
        </w:rPr>
        <w:t xml:space="preserve"> se refiere a la continuidad de las operaciones.</w:t>
      </w:r>
      <w:hyperlink r:id="rId35" w:history="1"/>
    </w:p>
    <w:p w14:paraId="6DCABDE5" w14:textId="77777777" w:rsidR="00202E6A" w:rsidRPr="00553599" w:rsidRDefault="00202E6A" w:rsidP="000314FC">
      <w:pPr>
        <w:pStyle w:val="Heading1"/>
        <w:rPr>
          <w:lang w:val="es-ES"/>
        </w:rPr>
      </w:pPr>
      <w:r w:rsidRPr="00A5733E">
        <w:rPr>
          <w:lang w:val="es-ES"/>
        </w:rPr>
        <w:t>8</w:t>
      </w:r>
      <w:r w:rsidRPr="00A5733E">
        <w:rPr>
          <w:lang w:val="es-ES"/>
        </w:rPr>
        <w:tab/>
        <w:t>Conclusión</w:t>
      </w:r>
    </w:p>
    <w:p w14:paraId="15E3F0F5" w14:textId="77777777" w:rsidR="00202E6A" w:rsidRPr="00A5733E" w:rsidRDefault="00202E6A" w:rsidP="00794E08">
      <w:pPr>
        <w:jc w:val="both"/>
        <w:rPr>
          <w:lang w:val="es-ES"/>
        </w:rPr>
      </w:pPr>
      <w:r w:rsidRPr="00A5733E">
        <w:rPr>
          <w:lang w:val="es-ES"/>
        </w:rPr>
        <w:t>Se ha confirmado que el periodo principal de interrupción de las reuniones de la UIT debido a los intensos trabajos de demolición y construcción de los locales de la Sede de la Unión se extenderá del 1 de octubre de 2028 al 31 de agosto de 2029, ambos inclusive. Se ha actualizado la lista de reuniones reglamentarias previstas para este periodo a fin de reflejar con mayor precisión las salas de reunión y los servicios que se necesitan.</w:t>
      </w:r>
    </w:p>
    <w:p w14:paraId="649F96BB" w14:textId="5F668F5E" w:rsidR="00202E6A" w:rsidRPr="00A5733E" w:rsidRDefault="00202E6A" w:rsidP="00794E08">
      <w:pPr>
        <w:jc w:val="both"/>
        <w:rPr>
          <w:lang w:val="es-ES"/>
        </w:rPr>
      </w:pPr>
      <w:r w:rsidRPr="00A5733E">
        <w:rPr>
          <w:lang w:val="es-ES"/>
        </w:rPr>
        <w:t>Habida cuenta de los resultados de las pruebas acústicas realizadas en febrero de 2026, las evaluaciones preliminares indican que algunas salas de reunión podrían utilizarse durante el periodo de construcción. La Secretaría está elaborando una correspondencia detallada de todas las reuniones afectadas para que pueda celebrarse en la UIT el mayor número posible de reuniones y determinar cuáles de ellas requieren un lugar externo. En este exhaustivo proceso de establecimiento de correspondencias se propondrán posibles lugares de celebración en Ginebra para las reuniones que no puedan celebrarse en la UIT, con una estimación de los costos de alquiler y los gastos conexos. Esto permitirá realizar una estimación más precisa del importe total necesario y de la idoneidad del fondo de continuidad de las actividades, que asciende a 3,1 millones CHF.</w:t>
      </w:r>
    </w:p>
    <w:p w14:paraId="596678D2" w14:textId="77777777" w:rsidR="00202E6A" w:rsidRPr="00A5733E" w:rsidRDefault="00202E6A" w:rsidP="00794E08">
      <w:pPr>
        <w:jc w:val="both"/>
        <w:rPr>
          <w:lang w:val="es-ES"/>
        </w:rPr>
      </w:pPr>
      <w:r w:rsidRPr="00A5733E">
        <w:rPr>
          <w:lang w:val="es-ES"/>
        </w:rPr>
        <w:t>En noviembre de 2026 se presentará a la Conferencia de Plenipotenciarios una visión general completa de la correspondencia entre las salas de reuniones y los costos conexos, incluidas las mejoras de infraestructura de las salas de reuniones de la UIT cuando así se requiera.</w:t>
      </w:r>
    </w:p>
    <w:p w14:paraId="4B35F7EA" w14:textId="4E7083FA" w:rsidR="00202E6A" w:rsidRPr="00A5733E" w:rsidRDefault="00202E6A" w:rsidP="00794E08">
      <w:pPr>
        <w:jc w:val="both"/>
        <w:rPr>
          <w:lang w:val="es-ES"/>
        </w:rPr>
      </w:pPr>
      <w:r w:rsidRPr="00A5733E">
        <w:rPr>
          <w:lang w:val="es-ES"/>
        </w:rPr>
        <w:t xml:space="preserve">Las medidas de continuidad de las actividades abarcarán todo el periodo de construcción (2028-2031) y se informa de ellas en los documentos relativos al proyecto de Sede (Documento </w:t>
      </w:r>
      <w:hyperlink r:id="rId36" w:history="1">
        <w:proofErr w:type="spellStart"/>
        <w:r w:rsidRPr="00A5733E">
          <w:rPr>
            <w:rStyle w:val="Hyperlink"/>
            <w:lang w:val="es-ES"/>
          </w:rPr>
          <w:t>C26</w:t>
        </w:r>
        <w:proofErr w:type="spellEnd"/>
        <w:r w:rsidRPr="00A5733E">
          <w:rPr>
            <w:rStyle w:val="Hyperlink"/>
            <w:lang w:val="es-ES"/>
          </w:rPr>
          <w:t>/7</w:t>
        </w:r>
      </w:hyperlink>
      <w:r w:rsidRPr="00A5733E">
        <w:rPr>
          <w:lang w:val="es-ES"/>
        </w:rPr>
        <w:t>).</w:t>
      </w:r>
    </w:p>
    <w:p w14:paraId="473ED9AA" w14:textId="7C0FE404" w:rsidR="00202E6A" w:rsidRPr="00A5733E" w:rsidRDefault="00202E6A" w:rsidP="00C31E0A">
      <w:pPr>
        <w:spacing w:before="720"/>
        <w:rPr>
          <w:b/>
          <w:sz w:val="28"/>
          <w:lang w:val="es-ES"/>
        </w:rPr>
      </w:pPr>
      <w:r w:rsidRPr="000314FC">
        <w:rPr>
          <w:b/>
          <w:bCs/>
          <w:lang w:val="es-ES"/>
        </w:rPr>
        <w:t>Anexos</w:t>
      </w:r>
      <w:r w:rsidRPr="00A5733E">
        <w:rPr>
          <w:lang w:val="es-ES"/>
        </w:rPr>
        <w:t>: 2</w:t>
      </w:r>
      <w:r w:rsidRPr="00A5733E">
        <w:rPr>
          <w:lang w:val="es-ES"/>
        </w:rPr>
        <w:br w:type="page"/>
      </w:r>
    </w:p>
    <w:p w14:paraId="51313BA1" w14:textId="77777777" w:rsidR="00202E6A" w:rsidRPr="00A5733E" w:rsidRDefault="00202E6A" w:rsidP="00202E6A">
      <w:pPr>
        <w:pStyle w:val="AnnexNo"/>
        <w:rPr>
          <w:lang w:val="es-ES"/>
        </w:rPr>
      </w:pPr>
      <w:r w:rsidRPr="00A5733E">
        <w:rPr>
          <w:lang w:val="es-ES"/>
        </w:rPr>
        <w:lastRenderedPageBreak/>
        <w:t>Anexo 1</w:t>
      </w:r>
    </w:p>
    <w:p w14:paraId="68C96667" w14:textId="77777777" w:rsidR="00202E6A" w:rsidRPr="00A5733E" w:rsidRDefault="00202E6A" w:rsidP="000314FC">
      <w:pPr>
        <w:pStyle w:val="Annextitle"/>
        <w:rPr>
          <w:lang w:val="es-ES"/>
        </w:rPr>
      </w:pPr>
      <w:r w:rsidRPr="00A5733E">
        <w:rPr>
          <w:lang w:val="es-ES"/>
        </w:rPr>
        <w:t xml:space="preserve">Lista de reuniones técnicas de la UIT previstas entre octubre de 2028 y agosto de </w:t>
      </w:r>
      <w:r w:rsidRPr="00553599">
        <w:rPr>
          <w:lang w:val="es-ES"/>
        </w:rPr>
        <w:t>2029</w:t>
      </w:r>
    </w:p>
    <w:tbl>
      <w:tblPr>
        <w:tblStyle w:val="TableGrid"/>
        <w:tblW w:w="10206" w:type="dxa"/>
        <w:jc w:val="center"/>
        <w:tblLayout w:type="fixed"/>
        <w:tblCellMar>
          <w:left w:w="28" w:type="dxa"/>
          <w:right w:w="28" w:type="dxa"/>
        </w:tblCellMar>
        <w:tblLook w:val="04A0" w:firstRow="1" w:lastRow="0" w:firstColumn="1" w:lastColumn="0" w:noHBand="0" w:noVBand="1"/>
      </w:tblPr>
      <w:tblGrid>
        <w:gridCol w:w="794"/>
        <w:gridCol w:w="3071"/>
        <w:gridCol w:w="1494"/>
        <w:gridCol w:w="1494"/>
        <w:gridCol w:w="1683"/>
        <w:gridCol w:w="1670"/>
      </w:tblGrid>
      <w:tr w:rsidR="00202E6A" w:rsidRPr="00A5733E" w14:paraId="758D4B6C" w14:textId="77777777" w:rsidTr="00201343">
        <w:trPr>
          <w:cantSplit/>
          <w:tblHeader/>
          <w:jc w:val="center"/>
        </w:trPr>
        <w:tc>
          <w:tcPr>
            <w:tcW w:w="776" w:type="dxa"/>
            <w:vMerge w:val="restart"/>
            <w:noWrap/>
          </w:tcPr>
          <w:p w14:paraId="116A723C" w14:textId="77777777" w:rsidR="00202E6A" w:rsidRPr="00A5733E" w:rsidRDefault="00202E6A" w:rsidP="00201343">
            <w:pPr>
              <w:pStyle w:val="Tablehead"/>
              <w:ind w:left="-57" w:right="-57"/>
              <w:rPr>
                <w:sz w:val="18"/>
                <w:szCs w:val="18"/>
                <w:lang w:val="es-ES"/>
              </w:rPr>
            </w:pPr>
            <w:r w:rsidRPr="00A5733E">
              <w:rPr>
                <w:bCs/>
                <w:color w:val="000000"/>
                <w:lang w:val="es-ES"/>
              </w:rPr>
              <w:t>Sector</w:t>
            </w:r>
          </w:p>
        </w:tc>
        <w:tc>
          <w:tcPr>
            <w:tcW w:w="3000" w:type="dxa"/>
            <w:vMerge w:val="restart"/>
            <w:noWrap/>
          </w:tcPr>
          <w:p w14:paraId="3BAD2217" w14:textId="77777777" w:rsidR="00202E6A" w:rsidRPr="00A5733E" w:rsidRDefault="00202E6A" w:rsidP="00201343">
            <w:pPr>
              <w:pStyle w:val="Tablehead"/>
              <w:rPr>
                <w:sz w:val="18"/>
                <w:szCs w:val="18"/>
                <w:lang w:val="es-ES"/>
              </w:rPr>
            </w:pPr>
            <w:r w:rsidRPr="00A5733E">
              <w:rPr>
                <w:bCs/>
                <w:color w:val="000000"/>
                <w:lang w:val="es-ES"/>
              </w:rPr>
              <w:t>Reunión</w:t>
            </w:r>
          </w:p>
        </w:tc>
        <w:tc>
          <w:tcPr>
            <w:tcW w:w="1459" w:type="dxa"/>
            <w:vMerge w:val="restart"/>
            <w:noWrap/>
          </w:tcPr>
          <w:p w14:paraId="7C01B254" w14:textId="77777777" w:rsidR="00202E6A" w:rsidRPr="00A5733E" w:rsidRDefault="00202E6A" w:rsidP="00201343">
            <w:pPr>
              <w:pStyle w:val="Tablehead"/>
              <w:rPr>
                <w:sz w:val="18"/>
                <w:szCs w:val="18"/>
                <w:lang w:val="es-ES"/>
              </w:rPr>
            </w:pPr>
            <w:r w:rsidRPr="00A5733E">
              <w:rPr>
                <w:bCs/>
                <w:color w:val="000000"/>
                <w:lang w:val="es-ES"/>
              </w:rPr>
              <w:t>Fecha de inicio</w:t>
            </w:r>
          </w:p>
        </w:tc>
        <w:tc>
          <w:tcPr>
            <w:tcW w:w="1459" w:type="dxa"/>
            <w:vMerge w:val="restart"/>
            <w:noWrap/>
          </w:tcPr>
          <w:p w14:paraId="682348E2" w14:textId="77777777" w:rsidR="00202E6A" w:rsidRPr="00A5733E" w:rsidRDefault="00202E6A" w:rsidP="00201343">
            <w:pPr>
              <w:pStyle w:val="Tablehead"/>
              <w:rPr>
                <w:sz w:val="18"/>
                <w:szCs w:val="18"/>
                <w:lang w:val="es-ES"/>
              </w:rPr>
            </w:pPr>
            <w:r w:rsidRPr="00A5733E">
              <w:rPr>
                <w:bCs/>
                <w:color w:val="000000"/>
                <w:lang w:val="es-ES"/>
              </w:rPr>
              <w:t>Fecha de finalización</w:t>
            </w:r>
          </w:p>
        </w:tc>
        <w:tc>
          <w:tcPr>
            <w:tcW w:w="3275" w:type="dxa"/>
            <w:gridSpan w:val="2"/>
          </w:tcPr>
          <w:p w14:paraId="2CAFF66C" w14:textId="77777777" w:rsidR="00202E6A" w:rsidRPr="00A5733E" w:rsidRDefault="00202E6A" w:rsidP="00201343">
            <w:pPr>
              <w:pStyle w:val="Tablehead"/>
              <w:rPr>
                <w:sz w:val="18"/>
                <w:szCs w:val="18"/>
                <w:lang w:val="es-ES"/>
              </w:rPr>
            </w:pPr>
            <w:r w:rsidRPr="00A5733E">
              <w:rPr>
                <w:bCs/>
                <w:color w:val="000000"/>
                <w:lang w:val="es-ES"/>
              </w:rPr>
              <w:t>Número de habitaciones</w:t>
            </w:r>
          </w:p>
        </w:tc>
      </w:tr>
      <w:tr w:rsidR="00202E6A" w:rsidRPr="004E6354" w14:paraId="4CA6813F" w14:textId="77777777" w:rsidTr="00201343">
        <w:trPr>
          <w:cantSplit/>
          <w:tblHeader/>
          <w:jc w:val="center"/>
        </w:trPr>
        <w:tc>
          <w:tcPr>
            <w:tcW w:w="776" w:type="dxa"/>
            <w:vMerge/>
            <w:noWrap/>
            <w:hideMark/>
          </w:tcPr>
          <w:p w14:paraId="4893654C" w14:textId="77777777" w:rsidR="00202E6A" w:rsidRPr="00A5733E" w:rsidRDefault="00202E6A" w:rsidP="00201343">
            <w:pPr>
              <w:pStyle w:val="Tablehead"/>
              <w:ind w:left="-57" w:right="-57"/>
              <w:rPr>
                <w:sz w:val="18"/>
                <w:szCs w:val="18"/>
                <w:lang w:val="es-ES" w:eastAsia="en-GB"/>
              </w:rPr>
            </w:pPr>
          </w:p>
        </w:tc>
        <w:tc>
          <w:tcPr>
            <w:tcW w:w="3000" w:type="dxa"/>
            <w:vMerge/>
            <w:noWrap/>
            <w:hideMark/>
          </w:tcPr>
          <w:p w14:paraId="59A1E036" w14:textId="77777777" w:rsidR="00202E6A" w:rsidRPr="00A5733E" w:rsidRDefault="00202E6A" w:rsidP="00201343">
            <w:pPr>
              <w:pStyle w:val="Tablehead"/>
              <w:rPr>
                <w:sz w:val="18"/>
                <w:szCs w:val="18"/>
                <w:lang w:val="es-ES" w:eastAsia="en-GB"/>
              </w:rPr>
            </w:pPr>
          </w:p>
        </w:tc>
        <w:tc>
          <w:tcPr>
            <w:tcW w:w="1459" w:type="dxa"/>
            <w:vMerge/>
            <w:noWrap/>
            <w:hideMark/>
          </w:tcPr>
          <w:p w14:paraId="32235C06" w14:textId="77777777" w:rsidR="00202E6A" w:rsidRPr="00A5733E" w:rsidRDefault="00202E6A" w:rsidP="00201343">
            <w:pPr>
              <w:pStyle w:val="Tablehead"/>
              <w:rPr>
                <w:sz w:val="18"/>
                <w:szCs w:val="18"/>
                <w:lang w:val="es-ES" w:eastAsia="en-GB"/>
              </w:rPr>
            </w:pPr>
          </w:p>
        </w:tc>
        <w:tc>
          <w:tcPr>
            <w:tcW w:w="1459" w:type="dxa"/>
            <w:vMerge/>
            <w:noWrap/>
            <w:hideMark/>
          </w:tcPr>
          <w:p w14:paraId="118E14F2" w14:textId="77777777" w:rsidR="00202E6A" w:rsidRPr="00A5733E" w:rsidRDefault="00202E6A" w:rsidP="00201343">
            <w:pPr>
              <w:pStyle w:val="Tablehead"/>
              <w:rPr>
                <w:sz w:val="18"/>
                <w:szCs w:val="18"/>
                <w:lang w:val="es-ES" w:eastAsia="en-GB"/>
              </w:rPr>
            </w:pPr>
          </w:p>
        </w:tc>
        <w:tc>
          <w:tcPr>
            <w:tcW w:w="1644" w:type="dxa"/>
            <w:hideMark/>
          </w:tcPr>
          <w:p w14:paraId="12C63553" w14:textId="77777777" w:rsidR="00202E6A" w:rsidRPr="00A5733E" w:rsidRDefault="00202E6A" w:rsidP="00201343">
            <w:pPr>
              <w:pStyle w:val="Tablehead"/>
              <w:rPr>
                <w:sz w:val="18"/>
                <w:szCs w:val="18"/>
                <w:lang w:val="es-ES"/>
              </w:rPr>
            </w:pPr>
            <w:r w:rsidRPr="00A5733E">
              <w:rPr>
                <w:bCs/>
                <w:color w:val="000000"/>
                <w:lang w:val="es-ES"/>
              </w:rPr>
              <w:t>Estilo de aula</w:t>
            </w:r>
          </w:p>
        </w:tc>
        <w:tc>
          <w:tcPr>
            <w:tcW w:w="1631" w:type="dxa"/>
            <w:hideMark/>
          </w:tcPr>
          <w:p w14:paraId="58F86779" w14:textId="77777777" w:rsidR="00202E6A" w:rsidRPr="00A5733E" w:rsidRDefault="00202E6A" w:rsidP="00201343">
            <w:pPr>
              <w:pStyle w:val="Tablehead"/>
              <w:rPr>
                <w:sz w:val="18"/>
                <w:szCs w:val="18"/>
                <w:lang w:val="es-ES"/>
              </w:rPr>
            </w:pPr>
            <w:r w:rsidRPr="00A5733E">
              <w:rPr>
                <w:bCs/>
                <w:color w:val="000000"/>
                <w:lang w:val="es-ES"/>
              </w:rPr>
              <w:t>Estilo de sala de juntas</w:t>
            </w:r>
          </w:p>
        </w:tc>
      </w:tr>
      <w:tr w:rsidR="00202E6A" w:rsidRPr="00A5733E" w14:paraId="0FED0200" w14:textId="77777777" w:rsidTr="00201343">
        <w:trPr>
          <w:cantSplit/>
          <w:trHeight w:val="293"/>
          <w:jc w:val="center"/>
        </w:trPr>
        <w:tc>
          <w:tcPr>
            <w:tcW w:w="776" w:type="dxa"/>
            <w:vMerge w:val="restart"/>
            <w:noWrap/>
            <w:hideMark/>
          </w:tcPr>
          <w:p w14:paraId="2AB92421"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BDT</w:t>
            </w:r>
          </w:p>
        </w:tc>
        <w:tc>
          <w:tcPr>
            <w:tcW w:w="3000" w:type="dxa"/>
            <w:vMerge w:val="restart"/>
            <w:noWrap/>
            <w:hideMark/>
          </w:tcPr>
          <w:p w14:paraId="1BABE274" w14:textId="77777777" w:rsidR="00202E6A" w:rsidRPr="00A5733E" w:rsidRDefault="00202E6A" w:rsidP="00201343">
            <w:pPr>
              <w:pStyle w:val="Tabletext"/>
              <w:ind w:right="-113"/>
              <w:rPr>
                <w:sz w:val="18"/>
                <w:szCs w:val="18"/>
                <w:lang w:val="es-ES"/>
              </w:rPr>
            </w:pPr>
            <w:r w:rsidRPr="00A5733E">
              <w:rPr>
                <w:color w:val="000000"/>
                <w:lang w:val="es-ES"/>
              </w:rPr>
              <w:t>Reunión de Grupo de Relator (RGR-1)</w:t>
            </w:r>
          </w:p>
        </w:tc>
        <w:tc>
          <w:tcPr>
            <w:tcW w:w="1459" w:type="dxa"/>
            <w:vMerge w:val="restart"/>
            <w:noWrap/>
            <w:hideMark/>
          </w:tcPr>
          <w:p w14:paraId="2C1B352A" w14:textId="77777777" w:rsidR="00202E6A" w:rsidRPr="00A5733E" w:rsidRDefault="00202E6A" w:rsidP="00201343">
            <w:pPr>
              <w:pStyle w:val="Tabletext"/>
              <w:jc w:val="center"/>
              <w:rPr>
                <w:color w:val="000000"/>
                <w:sz w:val="18"/>
                <w:szCs w:val="18"/>
                <w:lang w:val="es-ES"/>
              </w:rPr>
            </w:pPr>
            <w:r w:rsidRPr="00A5733E">
              <w:rPr>
                <w:color w:val="000000"/>
                <w:lang w:val="es-ES"/>
              </w:rPr>
              <w:t>02/10/2028</w:t>
            </w:r>
          </w:p>
        </w:tc>
        <w:tc>
          <w:tcPr>
            <w:tcW w:w="1459" w:type="dxa"/>
            <w:vMerge w:val="restart"/>
            <w:noWrap/>
            <w:hideMark/>
          </w:tcPr>
          <w:p w14:paraId="2AD34880" w14:textId="77777777" w:rsidR="00202E6A" w:rsidRPr="00A5733E" w:rsidRDefault="00202E6A" w:rsidP="00201343">
            <w:pPr>
              <w:pStyle w:val="Tabletext"/>
              <w:jc w:val="center"/>
              <w:rPr>
                <w:color w:val="000000"/>
                <w:sz w:val="18"/>
                <w:szCs w:val="18"/>
                <w:lang w:val="es-ES"/>
              </w:rPr>
            </w:pPr>
            <w:r w:rsidRPr="00A5733E">
              <w:rPr>
                <w:color w:val="000000"/>
                <w:lang w:val="es-ES"/>
              </w:rPr>
              <w:t>11/10/2028</w:t>
            </w:r>
          </w:p>
        </w:tc>
        <w:tc>
          <w:tcPr>
            <w:tcW w:w="1644" w:type="dxa"/>
            <w:vMerge w:val="restart"/>
            <w:noWrap/>
            <w:hideMark/>
          </w:tcPr>
          <w:p w14:paraId="069131D7" w14:textId="77777777" w:rsidR="00202E6A" w:rsidRPr="00A5733E" w:rsidRDefault="00202E6A" w:rsidP="00201343">
            <w:pPr>
              <w:pStyle w:val="Tabletext"/>
              <w:jc w:val="center"/>
              <w:rPr>
                <w:color w:val="000000"/>
                <w:sz w:val="18"/>
                <w:szCs w:val="18"/>
                <w:lang w:val="es-ES"/>
              </w:rPr>
            </w:pPr>
            <w:r w:rsidRPr="00A5733E">
              <w:rPr>
                <w:color w:val="000000"/>
                <w:lang w:val="es-ES"/>
              </w:rPr>
              <w:t>1×100</w:t>
            </w:r>
          </w:p>
        </w:tc>
        <w:tc>
          <w:tcPr>
            <w:tcW w:w="1631" w:type="dxa"/>
            <w:vMerge w:val="restart"/>
            <w:hideMark/>
          </w:tcPr>
          <w:p w14:paraId="0B31C8B2" w14:textId="77777777" w:rsidR="00202E6A" w:rsidRPr="00A5733E" w:rsidRDefault="00202E6A" w:rsidP="00201343">
            <w:pPr>
              <w:pStyle w:val="Tabletext"/>
              <w:jc w:val="center"/>
              <w:rPr>
                <w:color w:val="000000"/>
                <w:sz w:val="18"/>
                <w:szCs w:val="18"/>
                <w:lang w:val="es-ES"/>
              </w:rPr>
            </w:pPr>
            <w:r w:rsidRPr="00A5733E">
              <w:rPr>
                <w:color w:val="000000"/>
                <w:lang w:val="es-ES"/>
              </w:rPr>
              <w:t>1×15</w:t>
            </w:r>
          </w:p>
        </w:tc>
      </w:tr>
      <w:tr w:rsidR="00202E6A" w:rsidRPr="00A5733E" w14:paraId="18DF90AB" w14:textId="77777777" w:rsidTr="00201343">
        <w:trPr>
          <w:cantSplit/>
          <w:trHeight w:val="300"/>
          <w:jc w:val="center"/>
        </w:trPr>
        <w:tc>
          <w:tcPr>
            <w:tcW w:w="776" w:type="dxa"/>
            <w:vMerge/>
            <w:hideMark/>
          </w:tcPr>
          <w:p w14:paraId="1272695C" w14:textId="77777777" w:rsidR="00202E6A" w:rsidRPr="00A5733E" w:rsidRDefault="00202E6A" w:rsidP="00201343">
            <w:pPr>
              <w:pStyle w:val="Tabletext"/>
              <w:ind w:left="-57" w:right="-57"/>
              <w:jc w:val="center"/>
              <w:rPr>
                <w:color w:val="000000"/>
                <w:sz w:val="18"/>
                <w:szCs w:val="18"/>
                <w:lang w:val="es-ES" w:eastAsia="en-GB"/>
              </w:rPr>
            </w:pPr>
          </w:p>
        </w:tc>
        <w:tc>
          <w:tcPr>
            <w:tcW w:w="3000" w:type="dxa"/>
            <w:vMerge/>
            <w:hideMark/>
          </w:tcPr>
          <w:p w14:paraId="4A409A1B" w14:textId="77777777" w:rsidR="00202E6A" w:rsidRPr="00A5733E" w:rsidRDefault="00202E6A" w:rsidP="00201343">
            <w:pPr>
              <w:pStyle w:val="Tabletext"/>
              <w:rPr>
                <w:sz w:val="18"/>
                <w:szCs w:val="18"/>
                <w:lang w:val="es-ES" w:eastAsia="en-GB"/>
              </w:rPr>
            </w:pPr>
          </w:p>
        </w:tc>
        <w:tc>
          <w:tcPr>
            <w:tcW w:w="1459" w:type="dxa"/>
            <w:vMerge/>
            <w:hideMark/>
          </w:tcPr>
          <w:p w14:paraId="2B64D3AE" w14:textId="77777777" w:rsidR="00202E6A" w:rsidRPr="00A5733E" w:rsidRDefault="00202E6A" w:rsidP="00201343">
            <w:pPr>
              <w:pStyle w:val="Tabletext"/>
              <w:jc w:val="center"/>
              <w:rPr>
                <w:color w:val="000000"/>
                <w:sz w:val="18"/>
                <w:szCs w:val="18"/>
                <w:lang w:val="es-ES" w:eastAsia="en-GB"/>
              </w:rPr>
            </w:pPr>
          </w:p>
        </w:tc>
        <w:tc>
          <w:tcPr>
            <w:tcW w:w="1459" w:type="dxa"/>
            <w:vMerge/>
            <w:hideMark/>
          </w:tcPr>
          <w:p w14:paraId="561973D4" w14:textId="77777777" w:rsidR="00202E6A" w:rsidRPr="00A5733E" w:rsidRDefault="00202E6A" w:rsidP="00201343">
            <w:pPr>
              <w:pStyle w:val="Tabletext"/>
              <w:jc w:val="center"/>
              <w:rPr>
                <w:color w:val="000000"/>
                <w:sz w:val="18"/>
                <w:szCs w:val="18"/>
                <w:lang w:val="es-ES" w:eastAsia="en-GB"/>
              </w:rPr>
            </w:pPr>
          </w:p>
        </w:tc>
        <w:tc>
          <w:tcPr>
            <w:tcW w:w="1644" w:type="dxa"/>
            <w:vMerge/>
            <w:hideMark/>
          </w:tcPr>
          <w:p w14:paraId="297D8002" w14:textId="77777777" w:rsidR="00202E6A" w:rsidRPr="00A5733E" w:rsidRDefault="00202E6A" w:rsidP="00201343">
            <w:pPr>
              <w:pStyle w:val="Tabletext"/>
              <w:jc w:val="center"/>
              <w:rPr>
                <w:color w:val="000000"/>
                <w:sz w:val="18"/>
                <w:szCs w:val="18"/>
                <w:lang w:val="es-ES" w:eastAsia="en-GB"/>
              </w:rPr>
            </w:pPr>
          </w:p>
        </w:tc>
        <w:tc>
          <w:tcPr>
            <w:tcW w:w="1631" w:type="dxa"/>
            <w:vMerge/>
            <w:hideMark/>
          </w:tcPr>
          <w:p w14:paraId="4EA48718" w14:textId="77777777" w:rsidR="00202E6A" w:rsidRPr="00A5733E" w:rsidRDefault="00202E6A" w:rsidP="00201343">
            <w:pPr>
              <w:pStyle w:val="Tabletext"/>
              <w:jc w:val="center"/>
              <w:rPr>
                <w:color w:val="000000"/>
                <w:sz w:val="18"/>
                <w:szCs w:val="18"/>
                <w:lang w:val="es-ES" w:eastAsia="en-GB"/>
              </w:rPr>
            </w:pPr>
          </w:p>
        </w:tc>
      </w:tr>
      <w:tr w:rsidR="00202E6A" w:rsidRPr="00A5733E" w14:paraId="4F21DA87" w14:textId="77777777" w:rsidTr="00201343">
        <w:trPr>
          <w:cantSplit/>
          <w:jc w:val="center"/>
        </w:trPr>
        <w:tc>
          <w:tcPr>
            <w:tcW w:w="776" w:type="dxa"/>
            <w:noWrap/>
            <w:hideMark/>
          </w:tcPr>
          <w:p w14:paraId="53BDA7A4"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BR</w:t>
            </w:r>
          </w:p>
        </w:tc>
        <w:tc>
          <w:tcPr>
            <w:tcW w:w="3000" w:type="dxa"/>
            <w:noWrap/>
            <w:hideMark/>
          </w:tcPr>
          <w:p w14:paraId="2DD52F46" w14:textId="77777777" w:rsidR="00202E6A" w:rsidRPr="00A5733E" w:rsidRDefault="00202E6A" w:rsidP="00201343">
            <w:pPr>
              <w:pStyle w:val="Tabletext"/>
              <w:rPr>
                <w:sz w:val="18"/>
                <w:szCs w:val="18"/>
                <w:lang w:val="es-ES"/>
              </w:rPr>
            </w:pPr>
            <w:r w:rsidRPr="00A5733E">
              <w:rPr>
                <w:color w:val="000000"/>
                <w:lang w:val="es-ES"/>
              </w:rPr>
              <w:t>Foro de Sostenibilidad Espacial (FSS)</w:t>
            </w:r>
          </w:p>
        </w:tc>
        <w:tc>
          <w:tcPr>
            <w:tcW w:w="1459" w:type="dxa"/>
            <w:noWrap/>
            <w:hideMark/>
          </w:tcPr>
          <w:p w14:paraId="66834B19" w14:textId="77777777" w:rsidR="00202E6A" w:rsidRPr="00A5733E" w:rsidRDefault="00202E6A" w:rsidP="00201343">
            <w:pPr>
              <w:pStyle w:val="Tabletext"/>
              <w:jc w:val="center"/>
              <w:rPr>
                <w:color w:val="000000"/>
                <w:sz w:val="18"/>
                <w:szCs w:val="18"/>
                <w:lang w:val="es-ES"/>
              </w:rPr>
            </w:pPr>
            <w:r w:rsidRPr="00A5733E">
              <w:rPr>
                <w:color w:val="000000"/>
                <w:lang w:val="es-ES"/>
              </w:rPr>
              <w:t>04/10/2028</w:t>
            </w:r>
          </w:p>
        </w:tc>
        <w:tc>
          <w:tcPr>
            <w:tcW w:w="1459" w:type="dxa"/>
            <w:noWrap/>
            <w:hideMark/>
          </w:tcPr>
          <w:p w14:paraId="55E4E089" w14:textId="77777777" w:rsidR="00202E6A" w:rsidRPr="00A5733E" w:rsidRDefault="00202E6A" w:rsidP="00201343">
            <w:pPr>
              <w:pStyle w:val="Tabletext"/>
              <w:jc w:val="center"/>
              <w:rPr>
                <w:color w:val="000000"/>
                <w:sz w:val="18"/>
                <w:szCs w:val="18"/>
                <w:lang w:val="es-ES"/>
              </w:rPr>
            </w:pPr>
            <w:r w:rsidRPr="00A5733E">
              <w:rPr>
                <w:color w:val="000000"/>
                <w:lang w:val="es-ES"/>
              </w:rPr>
              <w:t>06/10/2028</w:t>
            </w:r>
          </w:p>
        </w:tc>
        <w:tc>
          <w:tcPr>
            <w:tcW w:w="1644" w:type="dxa"/>
            <w:noWrap/>
            <w:hideMark/>
          </w:tcPr>
          <w:p w14:paraId="4886DB89" w14:textId="77777777" w:rsidR="00202E6A" w:rsidRPr="00A5733E" w:rsidRDefault="00202E6A" w:rsidP="00201343">
            <w:pPr>
              <w:pStyle w:val="Tabletext"/>
              <w:jc w:val="center"/>
              <w:rPr>
                <w:color w:val="000000"/>
                <w:sz w:val="18"/>
                <w:szCs w:val="18"/>
                <w:lang w:val="es-ES"/>
              </w:rPr>
            </w:pPr>
            <w:r w:rsidRPr="00A5733E">
              <w:rPr>
                <w:color w:val="000000"/>
                <w:lang w:val="es-ES"/>
              </w:rPr>
              <w:t>1×250</w:t>
            </w:r>
          </w:p>
        </w:tc>
        <w:tc>
          <w:tcPr>
            <w:tcW w:w="1631" w:type="dxa"/>
            <w:hideMark/>
          </w:tcPr>
          <w:p w14:paraId="78A0E298" w14:textId="77777777" w:rsidR="00202E6A" w:rsidRPr="00A5733E" w:rsidRDefault="00202E6A" w:rsidP="00201343">
            <w:pPr>
              <w:pStyle w:val="Tabletext"/>
              <w:jc w:val="center"/>
              <w:rPr>
                <w:color w:val="000000"/>
                <w:sz w:val="18"/>
                <w:szCs w:val="18"/>
                <w:lang w:val="es-ES" w:eastAsia="en-GB"/>
              </w:rPr>
            </w:pPr>
          </w:p>
        </w:tc>
      </w:tr>
      <w:tr w:rsidR="00202E6A" w:rsidRPr="00A5733E" w14:paraId="4FBAB17F" w14:textId="77777777" w:rsidTr="00201343">
        <w:trPr>
          <w:cantSplit/>
          <w:jc w:val="center"/>
        </w:trPr>
        <w:tc>
          <w:tcPr>
            <w:tcW w:w="776" w:type="dxa"/>
            <w:noWrap/>
            <w:hideMark/>
          </w:tcPr>
          <w:p w14:paraId="60C949E1"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BR</w:t>
            </w:r>
          </w:p>
        </w:tc>
        <w:tc>
          <w:tcPr>
            <w:tcW w:w="3000" w:type="dxa"/>
            <w:noWrap/>
            <w:hideMark/>
          </w:tcPr>
          <w:p w14:paraId="2524189A" w14:textId="77777777" w:rsidR="00202E6A" w:rsidRPr="00A5733E" w:rsidRDefault="00202E6A" w:rsidP="00201343">
            <w:pPr>
              <w:pStyle w:val="Tabletext"/>
              <w:rPr>
                <w:sz w:val="18"/>
                <w:szCs w:val="18"/>
                <w:lang w:val="es-ES"/>
              </w:rPr>
            </w:pPr>
            <w:r w:rsidRPr="00A5733E">
              <w:rPr>
                <w:color w:val="000000"/>
                <w:lang w:val="es-ES"/>
              </w:rPr>
              <w:t>GT 4A-B-C</w:t>
            </w:r>
          </w:p>
        </w:tc>
        <w:tc>
          <w:tcPr>
            <w:tcW w:w="1459" w:type="dxa"/>
            <w:noWrap/>
            <w:hideMark/>
          </w:tcPr>
          <w:p w14:paraId="74D099F1" w14:textId="77777777" w:rsidR="00202E6A" w:rsidRPr="00A5733E" w:rsidRDefault="00202E6A" w:rsidP="00201343">
            <w:pPr>
              <w:pStyle w:val="Tabletext"/>
              <w:jc w:val="center"/>
              <w:rPr>
                <w:color w:val="000000"/>
                <w:sz w:val="18"/>
                <w:szCs w:val="18"/>
                <w:lang w:val="es-ES"/>
              </w:rPr>
            </w:pPr>
            <w:r w:rsidRPr="00A5733E">
              <w:rPr>
                <w:color w:val="000000"/>
                <w:lang w:val="es-ES"/>
              </w:rPr>
              <w:t>11/10/2028</w:t>
            </w:r>
          </w:p>
        </w:tc>
        <w:tc>
          <w:tcPr>
            <w:tcW w:w="1459" w:type="dxa"/>
            <w:noWrap/>
            <w:hideMark/>
          </w:tcPr>
          <w:p w14:paraId="01AEB621" w14:textId="77777777" w:rsidR="00202E6A" w:rsidRPr="00A5733E" w:rsidRDefault="00202E6A" w:rsidP="00201343">
            <w:pPr>
              <w:pStyle w:val="Tabletext"/>
              <w:jc w:val="center"/>
              <w:rPr>
                <w:color w:val="000000"/>
                <w:sz w:val="18"/>
                <w:szCs w:val="18"/>
                <w:lang w:val="es-ES"/>
              </w:rPr>
            </w:pPr>
            <w:r w:rsidRPr="00A5733E">
              <w:rPr>
                <w:color w:val="000000"/>
                <w:lang w:val="es-ES"/>
              </w:rPr>
              <w:t>26/10/2028</w:t>
            </w:r>
          </w:p>
        </w:tc>
        <w:tc>
          <w:tcPr>
            <w:tcW w:w="1644" w:type="dxa"/>
            <w:noWrap/>
            <w:hideMark/>
          </w:tcPr>
          <w:p w14:paraId="268DC1F8" w14:textId="77777777" w:rsidR="00202E6A" w:rsidRPr="00A5733E" w:rsidRDefault="00202E6A" w:rsidP="00201343">
            <w:pPr>
              <w:pStyle w:val="Tabletext"/>
              <w:jc w:val="center"/>
              <w:rPr>
                <w:color w:val="000000"/>
                <w:sz w:val="18"/>
                <w:szCs w:val="18"/>
                <w:lang w:val="es-ES"/>
              </w:rPr>
            </w:pPr>
            <w:r w:rsidRPr="00A5733E">
              <w:rPr>
                <w:color w:val="000000"/>
                <w:lang w:val="es-ES"/>
              </w:rPr>
              <w:t>1×250, 2×100</w:t>
            </w:r>
          </w:p>
        </w:tc>
        <w:tc>
          <w:tcPr>
            <w:tcW w:w="1631" w:type="dxa"/>
            <w:hideMark/>
          </w:tcPr>
          <w:p w14:paraId="2757007E" w14:textId="77777777" w:rsidR="00202E6A" w:rsidRPr="00A5733E" w:rsidRDefault="00202E6A" w:rsidP="00201343">
            <w:pPr>
              <w:pStyle w:val="Tabletext"/>
              <w:jc w:val="center"/>
              <w:rPr>
                <w:color w:val="000000"/>
                <w:sz w:val="18"/>
                <w:szCs w:val="18"/>
                <w:lang w:val="es-ES"/>
              </w:rPr>
            </w:pPr>
            <w:r w:rsidRPr="00A5733E">
              <w:rPr>
                <w:color w:val="000000"/>
                <w:lang w:val="es-ES"/>
              </w:rPr>
              <w:t>2×30</w:t>
            </w:r>
          </w:p>
        </w:tc>
      </w:tr>
      <w:tr w:rsidR="00202E6A" w:rsidRPr="00A5733E" w14:paraId="6262D3AB" w14:textId="77777777" w:rsidTr="00201343">
        <w:trPr>
          <w:cantSplit/>
          <w:trHeight w:val="293"/>
          <w:jc w:val="center"/>
        </w:trPr>
        <w:tc>
          <w:tcPr>
            <w:tcW w:w="776" w:type="dxa"/>
            <w:vMerge w:val="restart"/>
            <w:noWrap/>
            <w:hideMark/>
          </w:tcPr>
          <w:p w14:paraId="4838392A"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BDT</w:t>
            </w:r>
          </w:p>
        </w:tc>
        <w:tc>
          <w:tcPr>
            <w:tcW w:w="3000" w:type="dxa"/>
            <w:vMerge w:val="restart"/>
            <w:noWrap/>
            <w:hideMark/>
          </w:tcPr>
          <w:p w14:paraId="2FF5ECE8" w14:textId="77777777" w:rsidR="00202E6A" w:rsidRPr="00A5733E" w:rsidRDefault="00202E6A" w:rsidP="00201343">
            <w:pPr>
              <w:pStyle w:val="Tabletext"/>
              <w:ind w:right="-113"/>
              <w:rPr>
                <w:sz w:val="18"/>
                <w:szCs w:val="18"/>
                <w:lang w:val="es-ES"/>
              </w:rPr>
            </w:pPr>
            <w:r w:rsidRPr="00A5733E">
              <w:rPr>
                <w:color w:val="000000"/>
                <w:lang w:val="es-ES"/>
              </w:rPr>
              <w:t>Reunión de Grupo de Relator (RGR-2)</w:t>
            </w:r>
          </w:p>
        </w:tc>
        <w:tc>
          <w:tcPr>
            <w:tcW w:w="1459" w:type="dxa"/>
            <w:vMerge w:val="restart"/>
            <w:noWrap/>
            <w:hideMark/>
          </w:tcPr>
          <w:p w14:paraId="088E424C" w14:textId="77777777" w:rsidR="00202E6A" w:rsidRPr="00A5733E" w:rsidRDefault="00202E6A" w:rsidP="00201343">
            <w:pPr>
              <w:pStyle w:val="Tabletext"/>
              <w:jc w:val="center"/>
              <w:rPr>
                <w:color w:val="000000"/>
                <w:sz w:val="18"/>
                <w:szCs w:val="18"/>
                <w:lang w:val="es-ES"/>
              </w:rPr>
            </w:pPr>
            <w:r w:rsidRPr="00A5733E">
              <w:rPr>
                <w:color w:val="000000"/>
                <w:lang w:val="es-ES"/>
              </w:rPr>
              <w:t>11/10/2028</w:t>
            </w:r>
          </w:p>
        </w:tc>
        <w:tc>
          <w:tcPr>
            <w:tcW w:w="1459" w:type="dxa"/>
            <w:vMerge w:val="restart"/>
            <w:noWrap/>
            <w:hideMark/>
          </w:tcPr>
          <w:p w14:paraId="5492120F" w14:textId="77777777" w:rsidR="00202E6A" w:rsidRPr="00A5733E" w:rsidRDefault="00202E6A" w:rsidP="00201343">
            <w:pPr>
              <w:pStyle w:val="Tabletext"/>
              <w:jc w:val="center"/>
              <w:rPr>
                <w:color w:val="000000"/>
                <w:sz w:val="18"/>
                <w:szCs w:val="18"/>
                <w:lang w:val="es-ES"/>
              </w:rPr>
            </w:pPr>
            <w:r w:rsidRPr="00A5733E">
              <w:rPr>
                <w:color w:val="000000"/>
                <w:lang w:val="es-ES"/>
              </w:rPr>
              <w:t>20/10/2028</w:t>
            </w:r>
          </w:p>
        </w:tc>
        <w:tc>
          <w:tcPr>
            <w:tcW w:w="1644" w:type="dxa"/>
            <w:vMerge w:val="restart"/>
            <w:noWrap/>
            <w:hideMark/>
          </w:tcPr>
          <w:p w14:paraId="02CBA8FD" w14:textId="77777777" w:rsidR="00202E6A" w:rsidRPr="00A5733E" w:rsidRDefault="00202E6A" w:rsidP="00201343">
            <w:pPr>
              <w:pStyle w:val="Tabletext"/>
              <w:jc w:val="center"/>
              <w:rPr>
                <w:color w:val="000000"/>
                <w:sz w:val="18"/>
                <w:szCs w:val="18"/>
                <w:lang w:val="es-ES"/>
              </w:rPr>
            </w:pPr>
            <w:r w:rsidRPr="00A5733E">
              <w:rPr>
                <w:color w:val="000000"/>
                <w:lang w:val="es-ES"/>
              </w:rPr>
              <w:t>1×100</w:t>
            </w:r>
          </w:p>
        </w:tc>
        <w:tc>
          <w:tcPr>
            <w:tcW w:w="1631" w:type="dxa"/>
            <w:vMerge w:val="restart"/>
            <w:hideMark/>
          </w:tcPr>
          <w:p w14:paraId="5A1E95BA" w14:textId="77777777" w:rsidR="00202E6A" w:rsidRPr="00A5733E" w:rsidRDefault="00202E6A" w:rsidP="00201343">
            <w:pPr>
              <w:pStyle w:val="Tabletext"/>
              <w:jc w:val="center"/>
              <w:rPr>
                <w:color w:val="000000"/>
                <w:sz w:val="18"/>
                <w:szCs w:val="18"/>
                <w:lang w:val="es-ES"/>
              </w:rPr>
            </w:pPr>
            <w:r w:rsidRPr="00A5733E">
              <w:rPr>
                <w:color w:val="000000"/>
                <w:lang w:val="es-ES"/>
              </w:rPr>
              <w:t>1×15</w:t>
            </w:r>
          </w:p>
        </w:tc>
      </w:tr>
      <w:tr w:rsidR="00202E6A" w:rsidRPr="00A5733E" w14:paraId="2CC49BA8" w14:textId="77777777" w:rsidTr="00201343">
        <w:trPr>
          <w:cantSplit/>
          <w:trHeight w:val="300"/>
          <w:jc w:val="center"/>
        </w:trPr>
        <w:tc>
          <w:tcPr>
            <w:tcW w:w="776" w:type="dxa"/>
            <w:vMerge/>
            <w:hideMark/>
          </w:tcPr>
          <w:p w14:paraId="045F2276" w14:textId="77777777" w:rsidR="00202E6A" w:rsidRPr="00A5733E" w:rsidRDefault="00202E6A" w:rsidP="00201343">
            <w:pPr>
              <w:pStyle w:val="Tabletext"/>
              <w:ind w:left="-57" w:right="-57"/>
              <w:jc w:val="center"/>
              <w:rPr>
                <w:color w:val="000000"/>
                <w:sz w:val="18"/>
                <w:szCs w:val="18"/>
                <w:lang w:val="es-ES" w:eastAsia="en-GB"/>
              </w:rPr>
            </w:pPr>
          </w:p>
        </w:tc>
        <w:tc>
          <w:tcPr>
            <w:tcW w:w="3000" w:type="dxa"/>
            <w:vMerge/>
            <w:hideMark/>
          </w:tcPr>
          <w:p w14:paraId="50B9CC74" w14:textId="77777777" w:rsidR="00202E6A" w:rsidRPr="00A5733E" w:rsidRDefault="00202E6A" w:rsidP="00201343">
            <w:pPr>
              <w:pStyle w:val="Tabletext"/>
              <w:rPr>
                <w:sz w:val="18"/>
                <w:szCs w:val="18"/>
                <w:lang w:val="es-ES" w:eastAsia="en-GB"/>
              </w:rPr>
            </w:pPr>
          </w:p>
        </w:tc>
        <w:tc>
          <w:tcPr>
            <w:tcW w:w="1459" w:type="dxa"/>
            <w:vMerge/>
            <w:hideMark/>
          </w:tcPr>
          <w:p w14:paraId="02E551D7" w14:textId="77777777" w:rsidR="00202E6A" w:rsidRPr="00A5733E" w:rsidRDefault="00202E6A" w:rsidP="00201343">
            <w:pPr>
              <w:pStyle w:val="Tabletext"/>
              <w:jc w:val="center"/>
              <w:rPr>
                <w:color w:val="000000"/>
                <w:sz w:val="18"/>
                <w:szCs w:val="18"/>
                <w:lang w:val="es-ES" w:eastAsia="en-GB"/>
              </w:rPr>
            </w:pPr>
          </w:p>
        </w:tc>
        <w:tc>
          <w:tcPr>
            <w:tcW w:w="1459" w:type="dxa"/>
            <w:vMerge/>
            <w:hideMark/>
          </w:tcPr>
          <w:p w14:paraId="32815476" w14:textId="77777777" w:rsidR="00202E6A" w:rsidRPr="00A5733E" w:rsidRDefault="00202E6A" w:rsidP="00201343">
            <w:pPr>
              <w:pStyle w:val="Tabletext"/>
              <w:jc w:val="center"/>
              <w:rPr>
                <w:color w:val="000000"/>
                <w:sz w:val="18"/>
                <w:szCs w:val="18"/>
                <w:lang w:val="es-ES" w:eastAsia="en-GB"/>
              </w:rPr>
            </w:pPr>
          </w:p>
        </w:tc>
        <w:tc>
          <w:tcPr>
            <w:tcW w:w="1644" w:type="dxa"/>
            <w:vMerge/>
            <w:hideMark/>
          </w:tcPr>
          <w:p w14:paraId="269204EB" w14:textId="77777777" w:rsidR="00202E6A" w:rsidRPr="00A5733E" w:rsidRDefault="00202E6A" w:rsidP="00201343">
            <w:pPr>
              <w:pStyle w:val="Tabletext"/>
              <w:jc w:val="center"/>
              <w:rPr>
                <w:color w:val="000000"/>
                <w:sz w:val="18"/>
                <w:szCs w:val="18"/>
                <w:lang w:val="es-ES" w:eastAsia="en-GB"/>
              </w:rPr>
            </w:pPr>
          </w:p>
        </w:tc>
        <w:tc>
          <w:tcPr>
            <w:tcW w:w="1631" w:type="dxa"/>
            <w:vMerge/>
            <w:hideMark/>
          </w:tcPr>
          <w:p w14:paraId="4AD371E1" w14:textId="77777777" w:rsidR="00202E6A" w:rsidRPr="00A5733E" w:rsidRDefault="00202E6A" w:rsidP="00201343">
            <w:pPr>
              <w:pStyle w:val="Tabletext"/>
              <w:jc w:val="center"/>
              <w:rPr>
                <w:color w:val="000000"/>
                <w:sz w:val="18"/>
                <w:szCs w:val="18"/>
                <w:lang w:val="es-ES" w:eastAsia="en-GB"/>
              </w:rPr>
            </w:pPr>
          </w:p>
        </w:tc>
      </w:tr>
      <w:tr w:rsidR="00202E6A" w:rsidRPr="00A5733E" w14:paraId="419D838C" w14:textId="77777777" w:rsidTr="00201343">
        <w:trPr>
          <w:cantSplit/>
          <w:jc w:val="center"/>
        </w:trPr>
        <w:tc>
          <w:tcPr>
            <w:tcW w:w="776" w:type="dxa"/>
            <w:noWrap/>
            <w:hideMark/>
          </w:tcPr>
          <w:p w14:paraId="0D944A7C"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BR</w:t>
            </w:r>
          </w:p>
        </w:tc>
        <w:tc>
          <w:tcPr>
            <w:tcW w:w="3000" w:type="dxa"/>
            <w:noWrap/>
            <w:hideMark/>
          </w:tcPr>
          <w:p w14:paraId="0CFA3158" w14:textId="59F8FD71" w:rsidR="00202E6A" w:rsidRPr="00A5733E" w:rsidRDefault="00202E6A" w:rsidP="00201343">
            <w:pPr>
              <w:pStyle w:val="Tabletext"/>
              <w:rPr>
                <w:sz w:val="18"/>
                <w:szCs w:val="18"/>
                <w:lang w:val="es-ES"/>
              </w:rPr>
            </w:pPr>
            <w:r w:rsidRPr="00A5733E">
              <w:rPr>
                <w:color w:val="000000"/>
                <w:lang w:val="es-ES"/>
              </w:rPr>
              <w:t>CE</w:t>
            </w:r>
            <w:r w:rsidR="00693161" w:rsidRPr="00A5733E">
              <w:rPr>
                <w:color w:val="000000"/>
                <w:lang w:val="es-ES"/>
              </w:rPr>
              <w:t> </w:t>
            </w:r>
            <w:r w:rsidRPr="00A5733E">
              <w:rPr>
                <w:color w:val="000000"/>
                <w:lang w:val="es-ES"/>
              </w:rPr>
              <w:t>4</w:t>
            </w:r>
          </w:p>
        </w:tc>
        <w:tc>
          <w:tcPr>
            <w:tcW w:w="1459" w:type="dxa"/>
            <w:noWrap/>
            <w:hideMark/>
          </w:tcPr>
          <w:p w14:paraId="7543BC94" w14:textId="77777777" w:rsidR="00202E6A" w:rsidRPr="00A5733E" w:rsidRDefault="00202E6A" w:rsidP="00201343">
            <w:pPr>
              <w:pStyle w:val="Tabletext"/>
              <w:jc w:val="center"/>
              <w:rPr>
                <w:color w:val="000000"/>
                <w:sz w:val="18"/>
                <w:szCs w:val="18"/>
                <w:lang w:val="es-ES"/>
              </w:rPr>
            </w:pPr>
            <w:r w:rsidRPr="00A5733E">
              <w:rPr>
                <w:color w:val="000000"/>
                <w:lang w:val="es-ES"/>
              </w:rPr>
              <w:t>27/10/2028</w:t>
            </w:r>
          </w:p>
        </w:tc>
        <w:tc>
          <w:tcPr>
            <w:tcW w:w="1459" w:type="dxa"/>
            <w:noWrap/>
            <w:hideMark/>
          </w:tcPr>
          <w:p w14:paraId="42A68223" w14:textId="77777777" w:rsidR="00202E6A" w:rsidRPr="00A5733E" w:rsidRDefault="00202E6A" w:rsidP="00201343">
            <w:pPr>
              <w:pStyle w:val="Tabletext"/>
              <w:jc w:val="center"/>
              <w:rPr>
                <w:color w:val="000000"/>
                <w:sz w:val="18"/>
                <w:szCs w:val="18"/>
                <w:lang w:val="es-ES"/>
              </w:rPr>
            </w:pPr>
            <w:r w:rsidRPr="00A5733E">
              <w:rPr>
                <w:color w:val="000000"/>
                <w:lang w:val="es-ES"/>
              </w:rPr>
              <w:t>27/10/2028</w:t>
            </w:r>
          </w:p>
        </w:tc>
        <w:tc>
          <w:tcPr>
            <w:tcW w:w="1644" w:type="dxa"/>
            <w:noWrap/>
            <w:hideMark/>
          </w:tcPr>
          <w:p w14:paraId="08DB42AC" w14:textId="77777777" w:rsidR="00202E6A" w:rsidRPr="00A5733E" w:rsidRDefault="00202E6A" w:rsidP="00201343">
            <w:pPr>
              <w:pStyle w:val="Tabletext"/>
              <w:jc w:val="center"/>
              <w:rPr>
                <w:color w:val="000000"/>
                <w:sz w:val="18"/>
                <w:szCs w:val="18"/>
                <w:lang w:val="es-ES"/>
              </w:rPr>
            </w:pPr>
            <w:r w:rsidRPr="00A5733E">
              <w:rPr>
                <w:color w:val="000000"/>
                <w:lang w:val="es-ES"/>
              </w:rPr>
              <w:t>1×200</w:t>
            </w:r>
          </w:p>
        </w:tc>
        <w:tc>
          <w:tcPr>
            <w:tcW w:w="1631" w:type="dxa"/>
            <w:hideMark/>
          </w:tcPr>
          <w:p w14:paraId="5E997EAC" w14:textId="77777777" w:rsidR="00202E6A" w:rsidRPr="00A5733E" w:rsidRDefault="00202E6A" w:rsidP="00201343">
            <w:pPr>
              <w:pStyle w:val="Tabletext"/>
              <w:jc w:val="center"/>
              <w:rPr>
                <w:color w:val="000000"/>
                <w:sz w:val="18"/>
                <w:szCs w:val="18"/>
                <w:lang w:val="es-ES" w:eastAsia="en-GB"/>
              </w:rPr>
            </w:pPr>
          </w:p>
        </w:tc>
      </w:tr>
      <w:tr w:rsidR="00202E6A" w:rsidRPr="00A5733E" w14:paraId="1CCE9F3A" w14:textId="77777777" w:rsidTr="00201343">
        <w:trPr>
          <w:cantSplit/>
          <w:jc w:val="center"/>
        </w:trPr>
        <w:tc>
          <w:tcPr>
            <w:tcW w:w="776" w:type="dxa"/>
            <w:noWrap/>
            <w:hideMark/>
          </w:tcPr>
          <w:p w14:paraId="52CC5D63"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BR</w:t>
            </w:r>
          </w:p>
        </w:tc>
        <w:tc>
          <w:tcPr>
            <w:tcW w:w="3000" w:type="dxa"/>
            <w:noWrap/>
            <w:hideMark/>
          </w:tcPr>
          <w:p w14:paraId="05277C68" w14:textId="77777777" w:rsidR="00202E6A" w:rsidRPr="00A5733E" w:rsidRDefault="00202E6A" w:rsidP="00201343">
            <w:pPr>
              <w:pStyle w:val="Tabletext"/>
              <w:rPr>
                <w:sz w:val="18"/>
                <w:szCs w:val="18"/>
                <w:lang w:val="es-ES"/>
              </w:rPr>
            </w:pPr>
            <w:r w:rsidRPr="00A5733E">
              <w:rPr>
                <w:color w:val="000000"/>
                <w:lang w:val="es-ES"/>
              </w:rPr>
              <w:t xml:space="preserve">RRB28-3 </w:t>
            </w:r>
          </w:p>
        </w:tc>
        <w:tc>
          <w:tcPr>
            <w:tcW w:w="1459" w:type="dxa"/>
            <w:noWrap/>
            <w:hideMark/>
          </w:tcPr>
          <w:p w14:paraId="56DC424D" w14:textId="77777777" w:rsidR="00202E6A" w:rsidRPr="00A5733E" w:rsidRDefault="00202E6A" w:rsidP="00201343">
            <w:pPr>
              <w:pStyle w:val="Tabletext"/>
              <w:jc w:val="center"/>
              <w:rPr>
                <w:color w:val="000000"/>
                <w:sz w:val="18"/>
                <w:szCs w:val="18"/>
                <w:lang w:val="es-ES"/>
              </w:rPr>
            </w:pPr>
            <w:r w:rsidRPr="00A5733E">
              <w:rPr>
                <w:color w:val="000000"/>
                <w:lang w:val="es-ES"/>
              </w:rPr>
              <w:t>30/10/2028</w:t>
            </w:r>
          </w:p>
        </w:tc>
        <w:tc>
          <w:tcPr>
            <w:tcW w:w="1459" w:type="dxa"/>
            <w:noWrap/>
            <w:hideMark/>
          </w:tcPr>
          <w:p w14:paraId="5AE8575E" w14:textId="77777777" w:rsidR="00202E6A" w:rsidRPr="00A5733E" w:rsidRDefault="00202E6A" w:rsidP="00201343">
            <w:pPr>
              <w:pStyle w:val="Tabletext"/>
              <w:jc w:val="center"/>
              <w:rPr>
                <w:color w:val="000000"/>
                <w:sz w:val="18"/>
                <w:szCs w:val="18"/>
                <w:lang w:val="es-ES"/>
              </w:rPr>
            </w:pPr>
            <w:r w:rsidRPr="00A5733E">
              <w:rPr>
                <w:color w:val="000000"/>
                <w:lang w:val="es-ES"/>
              </w:rPr>
              <w:t>07/11/2028</w:t>
            </w:r>
          </w:p>
        </w:tc>
        <w:tc>
          <w:tcPr>
            <w:tcW w:w="1644" w:type="dxa"/>
            <w:noWrap/>
            <w:hideMark/>
          </w:tcPr>
          <w:p w14:paraId="1E6C915C" w14:textId="77777777" w:rsidR="00202E6A" w:rsidRPr="00A5733E" w:rsidRDefault="00202E6A" w:rsidP="00201343">
            <w:pPr>
              <w:pStyle w:val="Tabletext"/>
              <w:jc w:val="center"/>
              <w:rPr>
                <w:color w:val="000000"/>
                <w:sz w:val="18"/>
                <w:szCs w:val="18"/>
                <w:lang w:val="es-ES"/>
              </w:rPr>
            </w:pPr>
            <w:r w:rsidRPr="00A5733E">
              <w:rPr>
                <w:color w:val="000000"/>
                <w:lang w:val="es-ES"/>
              </w:rPr>
              <w:t>1×40</w:t>
            </w:r>
          </w:p>
        </w:tc>
        <w:tc>
          <w:tcPr>
            <w:tcW w:w="1631" w:type="dxa"/>
            <w:hideMark/>
          </w:tcPr>
          <w:p w14:paraId="46113297" w14:textId="77777777" w:rsidR="00202E6A" w:rsidRPr="00A5733E" w:rsidRDefault="00202E6A" w:rsidP="00201343">
            <w:pPr>
              <w:pStyle w:val="Tabletext"/>
              <w:jc w:val="center"/>
              <w:rPr>
                <w:color w:val="000000"/>
                <w:sz w:val="18"/>
                <w:szCs w:val="18"/>
                <w:lang w:val="es-ES" w:eastAsia="en-GB"/>
              </w:rPr>
            </w:pPr>
          </w:p>
        </w:tc>
      </w:tr>
      <w:tr w:rsidR="00202E6A" w:rsidRPr="00A5733E" w14:paraId="60D108B6" w14:textId="77777777" w:rsidTr="00201343">
        <w:trPr>
          <w:cantSplit/>
          <w:trHeight w:val="293"/>
          <w:jc w:val="center"/>
        </w:trPr>
        <w:tc>
          <w:tcPr>
            <w:tcW w:w="776" w:type="dxa"/>
            <w:vMerge w:val="restart"/>
            <w:noWrap/>
            <w:hideMark/>
          </w:tcPr>
          <w:p w14:paraId="3DBF3BC7"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BR</w:t>
            </w:r>
          </w:p>
        </w:tc>
        <w:tc>
          <w:tcPr>
            <w:tcW w:w="3000" w:type="dxa"/>
            <w:vMerge w:val="restart"/>
            <w:noWrap/>
            <w:hideMark/>
          </w:tcPr>
          <w:p w14:paraId="6C65149C" w14:textId="77777777" w:rsidR="00202E6A" w:rsidRPr="00A5733E" w:rsidRDefault="00202E6A" w:rsidP="00201343">
            <w:pPr>
              <w:pStyle w:val="Tabletext"/>
              <w:rPr>
                <w:sz w:val="18"/>
                <w:szCs w:val="18"/>
                <w:lang w:val="es-ES"/>
              </w:rPr>
            </w:pPr>
            <w:r w:rsidRPr="00A5733E">
              <w:rPr>
                <w:color w:val="000000"/>
                <w:lang w:val="es-ES"/>
              </w:rPr>
              <w:t>GT 1A-B-C</w:t>
            </w:r>
          </w:p>
        </w:tc>
        <w:tc>
          <w:tcPr>
            <w:tcW w:w="1459" w:type="dxa"/>
            <w:vMerge w:val="restart"/>
            <w:noWrap/>
            <w:hideMark/>
          </w:tcPr>
          <w:p w14:paraId="7CD4A445" w14:textId="77777777" w:rsidR="00202E6A" w:rsidRPr="00A5733E" w:rsidRDefault="00202E6A" w:rsidP="00201343">
            <w:pPr>
              <w:pStyle w:val="Tabletext"/>
              <w:jc w:val="center"/>
              <w:rPr>
                <w:color w:val="000000"/>
                <w:sz w:val="18"/>
                <w:szCs w:val="18"/>
                <w:lang w:val="es-ES"/>
              </w:rPr>
            </w:pPr>
            <w:r w:rsidRPr="00A5733E">
              <w:rPr>
                <w:color w:val="000000"/>
                <w:lang w:val="es-ES"/>
              </w:rPr>
              <w:t>01/11/2028</w:t>
            </w:r>
          </w:p>
        </w:tc>
        <w:tc>
          <w:tcPr>
            <w:tcW w:w="1459" w:type="dxa"/>
            <w:vMerge w:val="restart"/>
            <w:noWrap/>
            <w:hideMark/>
          </w:tcPr>
          <w:p w14:paraId="04AEF829" w14:textId="77777777" w:rsidR="00202E6A" w:rsidRPr="00A5733E" w:rsidRDefault="00202E6A" w:rsidP="00201343">
            <w:pPr>
              <w:pStyle w:val="Tabletext"/>
              <w:jc w:val="center"/>
              <w:rPr>
                <w:color w:val="000000"/>
                <w:sz w:val="18"/>
                <w:szCs w:val="18"/>
                <w:lang w:val="es-ES"/>
              </w:rPr>
            </w:pPr>
            <w:r w:rsidRPr="00A5733E">
              <w:rPr>
                <w:color w:val="000000"/>
                <w:lang w:val="es-ES"/>
              </w:rPr>
              <w:t>09/11/2028</w:t>
            </w:r>
          </w:p>
        </w:tc>
        <w:tc>
          <w:tcPr>
            <w:tcW w:w="1644" w:type="dxa"/>
            <w:vMerge w:val="restart"/>
            <w:noWrap/>
            <w:hideMark/>
          </w:tcPr>
          <w:p w14:paraId="4772F192" w14:textId="77777777" w:rsidR="00202E6A" w:rsidRPr="00A5733E" w:rsidRDefault="00202E6A" w:rsidP="00201343">
            <w:pPr>
              <w:pStyle w:val="Tabletext"/>
              <w:jc w:val="center"/>
              <w:rPr>
                <w:color w:val="000000"/>
                <w:sz w:val="18"/>
                <w:szCs w:val="18"/>
                <w:lang w:val="es-ES"/>
              </w:rPr>
            </w:pPr>
            <w:r w:rsidRPr="00A5733E">
              <w:rPr>
                <w:color w:val="000000"/>
                <w:lang w:val="es-ES"/>
              </w:rPr>
              <w:t>1×120, 2×80</w:t>
            </w:r>
          </w:p>
        </w:tc>
        <w:tc>
          <w:tcPr>
            <w:tcW w:w="1631" w:type="dxa"/>
            <w:vMerge w:val="restart"/>
            <w:hideMark/>
          </w:tcPr>
          <w:p w14:paraId="1FAA3C1E" w14:textId="77777777" w:rsidR="00202E6A" w:rsidRPr="00A5733E" w:rsidRDefault="00202E6A" w:rsidP="00201343">
            <w:pPr>
              <w:pStyle w:val="Tabletext"/>
              <w:jc w:val="center"/>
              <w:rPr>
                <w:color w:val="000000"/>
                <w:sz w:val="18"/>
                <w:szCs w:val="18"/>
                <w:lang w:val="es-ES"/>
              </w:rPr>
            </w:pPr>
            <w:r w:rsidRPr="00A5733E">
              <w:rPr>
                <w:color w:val="000000"/>
                <w:lang w:val="es-ES"/>
              </w:rPr>
              <w:t>1×30</w:t>
            </w:r>
          </w:p>
        </w:tc>
      </w:tr>
      <w:tr w:rsidR="00202E6A" w:rsidRPr="00A5733E" w14:paraId="3E4E4C8F" w14:textId="77777777" w:rsidTr="00201343">
        <w:trPr>
          <w:cantSplit/>
          <w:trHeight w:val="300"/>
          <w:jc w:val="center"/>
        </w:trPr>
        <w:tc>
          <w:tcPr>
            <w:tcW w:w="776" w:type="dxa"/>
            <w:vMerge/>
            <w:hideMark/>
          </w:tcPr>
          <w:p w14:paraId="4E4828B3" w14:textId="77777777" w:rsidR="00202E6A" w:rsidRPr="00A5733E" w:rsidRDefault="00202E6A" w:rsidP="00201343">
            <w:pPr>
              <w:pStyle w:val="Tabletext"/>
              <w:ind w:left="-57" w:right="-57"/>
              <w:jc w:val="center"/>
              <w:rPr>
                <w:color w:val="000000"/>
                <w:sz w:val="18"/>
                <w:szCs w:val="18"/>
                <w:lang w:val="es-ES" w:eastAsia="en-GB"/>
              </w:rPr>
            </w:pPr>
          </w:p>
        </w:tc>
        <w:tc>
          <w:tcPr>
            <w:tcW w:w="3000" w:type="dxa"/>
            <w:vMerge/>
            <w:hideMark/>
          </w:tcPr>
          <w:p w14:paraId="414E3B29" w14:textId="77777777" w:rsidR="00202E6A" w:rsidRPr="00A5733E" w:rsidRDefault="00202E6A" w:rsidP="00201343">
            <w:pPr>
              <w:pStyle w:val="Tabletext"/>
              <w:rPr>
                <w:sz w:val="18"/>
                <w:szCs w:val="18"/>
                <w:lang w:val="es-ES" w:eastAsia="en-GB"/>
              </w:rPr>
            </w:pPr>
          </w:p>
        </w:tc>
        <w:tc>
          <w:tcPr>
            <w:tcW w:w="1459" w:type="dxa"/>
            <w:vMerge/>
            <w:hideMark/>
          </w:tcPr>
          <w:p w14:paraId="71406F74" w14:textId="77777777" w:rsidR="00202E6A" w:rsidRPr="00A5733E" w:rsidRDefault="00202E6A" w:rsidP="00201343">
            <w:pPr>
              <w:pStyle w:val="Tabletext"/>
              <w:jc w:val="center"/>
              <w:rPr>
                <w:color w:val="000000"/>
                <w:sz w:val="18"/>
                <w:szCs w:val="18"/>
                <w:lang w:val="es-ES" w:eastAsia="en-GB"/>
              </w:rPr>
            </w:pPr>
          </w:p>
        </w:tc>
        <w:tc>
          <w:tcPr>
            <w:tcW w:w="1459" w:type="dxa"/>
            <w:vMerge/>
            <w:hideMark/>
          </w:tcPr>
          <w:p w14:paraId="5000B3FE" w14:textId="77777777" w:rsidR="00202E6A" w:rsidRPr="00A5733E" w:rsidRDefault="00202E6A" w:rsidP="00201343">
            <w:pPr>
              <w:pStyle w:val="Tabletext"/>
              <w:jc w:val="center"/>
              <w:rPr>
                <w:color w:val="000000"/>
                <w:sz w:val="18"/>
                <w:szCs w:val="18"/>
                <w:lang w:val="es-ES" w:eastAsia="en-GB"/>
              </w:rPr>
            </w:pPr>
          </w:p>
        </w:tc>
        <w:tc>
          <w:tcPr>
            <w:tcW w:w="1644" w:type="dxa"/>
            <w:vMerge/>
            <w:hideMark/>
          </w:tcPr>
          <w:p w14:paraId="4606050B" w14:textId="77777777" w:rsidR="00202E6A" w:rsidRPr="00A5733E" w:rsidRDefault="00202E6A" w:rsidP="00201343">
            <w:pPr>
              <w:pStyle w:val="Tabletext"/>
              <w:jc w:val="center"/>
              <w:rPr>
                <w:color w:val="000000"/>
                <w:sz w:val="18"/>
                <w:szCs w:val="18"/>
                <w:lang w:val="es-ES" w:eastAsia="en-GB"/>
              </w:rPr>
            </w:pPr>
          </w:p>
        </w:tc>
        <w:tc>
          <w:tcPr>
            <w:tcW w:w="1631" w:type="dxa"/>
            <w:vMerge/>
            <w:hideMark/>
          </w:tcPr>
          <w:p w14:paraId="6FFC54CE" w14:textId="77777777" w:rsidR="00202E6A" w:rsidRPr="00A5733E" w:rsidRDefault="00202E6A" w:rsidP="00201343">
            <w:pPr>
              <w:pStyle w:val="Tabletext"/>
              <w:jc w:val="center"/>
              <w:rPr>
                <w:color w:val="000000"/>
                <w:sz w:val="18"/>
                <w:szCs w:val="18"/>
                <w:lang w:val="es-ES" w:eastAsia="en-GB"/>
              </w:rPr>
            </w:pPr>
          </w:p>
        </w:tc>
      </w:tr>
      <w:tr w:rsidR="00202E6A" w:rsidRPr="00A5733E" w14:paraId="3C37388B" w14:textId="77777777" w:rsidTr="00201343">
        <w:trPr>
          <w:cantSplit/>
          <w:trHeight w:val="293"/>
          <w:jc w:val="center"/>
        </w:trPr>
        <w:tc>
          <w:tcPr>
            <w:tcW w:w="776" w:type="dxa"/>
            <w:vMerge w:val="restart"/>
            <w:noWrap/>
            <w:hideMark/>
          </w:tcPr>
          <w:p w14:paraId="5CDBEF2D"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BR</w:t>
            </w:r>
          </w:p>
        </w:tc>
        <w:tc>
          <w:tcPr>
            <w:tcW w:w="3000" w:type="dxa"/>
            <w:vMerge w:val="restart"/>
            <w:noWrap/>
            <w:hideMark/>
          </w:tcPr>
          <w:p w14:paraId="7C737A65" w14:textId="1DF4E71A" w:rsidR="00202E6A" w:rsidRPr="00A5733E" w:rsidRDefault="00202E6A" w:rsidP="00201343">
            <w:pPr>
              <w:pStyle w:val="Tabletext"/>
              <w:rPr>
                <w:sz w:val="18"/>
                <w:szCs w:val="18"/>
                <w:lang w:val="es-ES"/>
              </w:rPr>
            </w:pPr>
            <w:r w:rsidRPr="00A5733E">
              <w:rPr>
                <w:color w:val="000000"/>
                <w:lang w:val="es-ES"/>
              </w:rPr>
              <w:t>CE</w:t>
            </w:r>
            <w:r w:rsidR="00693161" w:rsidRPr="00A5733E">
              <w:rPr>
                <w:color w:val="000000"/>
                <w:lang w:val="es-ES"/>
              </w:rPr>
              <w:t> </w:t>
            </w:r>
            <w:r w:rsidRPr="00A5733E">
              <w:rPr>
                <w:color w:val="000000"/>
                <w:lang w:val="es-ES"/>
              </w:rPr>
              <w:t>1</w:t>
            </w:r>
          </w:p>
        </w:tc>
        <w:tc>
          <w:tcPr>
            <w:tcW w:w="1459" w:type="dxa"/>
            <w:vMerge w:val="restart"/>
            <w:noWrap/>
            <w:hideMark/>
          </w:tcPr>
          <w:p w14:paraId="752B67DA" w14:textId="77777777" w:rsidR="00202E6A" w:rsidRPr="00A5733E" w:rsidRDefault="00202E6A" w:rsidP="00201343">
            <w:pPr>
              <w:pStyle w:val="Tabletext"/>
              <w:jc w:val="center"/>
              <w:rPr>
                <w:color w:val="000000"/>
                <w:sz w:val="18"/>
                <w:szCs w:val="18"/>
                <w:lang w:val="es-ES"/>
              </w:rPr>
            </w:pPr>
            <w:r w:rsidRPr="00A5733E">
              <w:rPr>
                <w:color w:val="000000"/>
                <w:lang w:val="es-ES"/>
              </w:rPr>
              <w:t>10/11/2028</w:t>
            </w:r>
          </w:p>
        </w:tc>
        <w:tc>
          <w:tcPr>
            <w:tcW w:w="1459" w:type="dxa"/>
            <w:vMerge w:val="restart"/>
            <w:noWrap/>
            <w:hideMark/>
          </w:tcPr>
          <w:p w14:paraId="1D3C1D71" w14:textId="77777777" w:rsidR="00202E6A" w:rsidRPr="00A5733E" w:rsidRDefault="00202E6A" w:rsidP="00201343">
            <w:pPr>
              <w:pStyle w:val="Tabletext"/>
              <w:jc w:val="center"/>
              <w:rPr>
                <w:color w:val="000000"/>
                <w:sz w:val="18"/>
                <w:szCs w:val="18"/>
                <w:lang w:val="es-ES"/>
              </w:rPr>
            </w:pPr>
            <w:r w:rsidRPr="00A5733E">
              <w:rPr>
                <w:color w:val="000000"/>
                <w:lang w:val="es-ES"/>
              </w:rPr>
              <w:t>10/11/2028</w:t>
            </w:r>
          </w:p>
        </w:tc>
        <w:tc>
          <w:tcPr>
            <w:tcW w:w="1644" w:type="dxa"/>
            <w:vMerge w:val="restart"/>
            <w:noWrap/>
            <w:hideMark/>
          </w:tcPr>
          <w:p w14:paraId="26424CA6" w14:textId="77777777" w:rsidR="00202E6A" w:rsidRPr="00A5733E" w:rsidRDefault="00202E6A" w:rsidP="00201343">
            <w:pPr>
              <w:pStyle w:val="Tabletext"/>
              <w:jc w:val="center"/>
              <w:rPr>
                <w:color w:val="000000"/>
                <w:sz w:val="18"/>
                <w:szCs w:val="18"/>
                <w:lang w:val="es-ES"/>
              </w:rPr>
            </w:pPr>
            <w:r w:rsidRPr="00A5733E">
              <w:rPr>
                <w:color w:val="000000"/>
                <w:lang w:val="es-ES"/>
              </w:rPr>
              <w:t>1×150</w:t>
            </w:r>
          </w:p>
        </w:tc>
        <w:tc>
          <w:tcPr>
            <w:tcW w:w="1631" w:type="dxa"/>
            <w:vMerge w:val="restart"/>
            <w:hideMark/>
          </w:tcPr>
          <w:p w14:paraId="5883328D" w14:textId="77777777" w:rsidR="00202E6A" w:rsidRPr="00A5733E" w:rsidRDefault="00202E6A" w:rsidP="00201343">
            <w:pPr>
              <w:pStyle w:val="Tabletext"/>
              <w:jc w:val="center"/>
              <w:rPr>
                <w:color w:val="000000"/>
                <w:sz w:val="18"/>
                <w:szCs w:val="18"/>
                <w:lang w:val="es-ES" w:eastAsia="en-GB"/>
              </w:rPr>
            </w:pPr>
          </w:p>
        </w:tc>
      </w:tr>
      <w:tr w:rsidR="00202E6A" w:rsidRPr="00A5733E" w14:paraId="22D1C7BA" w14:textId="77777777" w:rsidTr="00201343">
        <w:trPr>
          <w:cantSplit/>
          <w:trHeight w:val="300"/>
          <w:jc w:val="center"/>
        </w:trPr>
        <w:tc>
          <w:tcPr>
            <w:tcW w:w="776" w:type="dxa"/>
            <w:vMerge/>
            <w:hideMark/>
          </w:tcPr>
          <w:p w14:paraId="2D8106DC" w14:textId="77777777" w:rsidR="00202E6A" w:rsidRPr="00A5733E" w:rsidRDefault="00202E6A" w:rsidP="00201343">
            <w:pPr>
              <w:pStyle w:val="Tabletext"/>
              <w:ind w:left="-57" w:right="-57"/>
              <w:jc w:val="center"/>
              <w:rPr>
                <w:color w:val="000000"/>
                <w:sz w:val="18"/>
                <w:szCs w:val="18"/>
                <w:lang w:val="es-ES" w:eastAsia="en-GB"/>
              </w:rPr>
            </w:pPr>
          </w:p>
        </w:tc>
        <w:tc>
          <w:tcPr>
            <w:tcW w:w="3000" w:type="dxa"/>
            <w:vMerge/>
            <w:hideMark/>
          </w:tcPr>
          <w:p w14:paraId="49F10202" w14:textId="77777777" w:rsidR="00202E6A" w:rsidRPr="00A5733E" w:rsidRDefault="00202E6A" w:rsidP="00201343">
            <w:pPr>
              <w:pStyle w:val="Tabletext"/>
              <w:rPr>
                <w:sz w:val="18"/>
                <w:szCs w:val="18"/>
                <w:lang w:val="es-ES" w:eastAsia="en-GB"/>
              </w:rPr>
            </w:pPr>
          </w:p>
        </w:tc>
        <w:tc>
          <w:tcPr>
            <w:tcW w:w="1459" w:type="dxa"/>
            <w:vMerge/>
            <w:hideMark/>
          </w:tcPr>
          <w:p w14:paraId="3DE6E9A2" w14:textId="77777777" w:rsidR="00202E6A" w:rsidRPr="00A5733E" w:rsidRDefault="00202E6A" w:rsidP="00201343">
            <w:pPr>
              <w:pStyle w:val="Tabletext"/>
              <w:jc w:val="center"/>
              <w:rPr>
                <w:color w:val="000000"/>
                <w:sz w:val="18"/>
                <w:szCs w:val="18"/>
                <w:lang w:val="es-ES" w:eastAsia="en-GB"/>
              </w:rPr>
            </w:pPr>
          </w:p>
        </w:tc>
        <w:tc>
          <w:tcPr>
            <w:tcW w:w="1459" w:type="dxa"/>
            <w:vMerge/>
            <w:hideMark/>
          </w:tcPr>
          <w:p w14:paraId="5E9DBCB3" w14:textId="77777777" w:rsidR="00202E6A" w:rsidRPr="00A5733E" w:rsidRDefault="00202E6A" w:rsidP="00201343">
            <w:pPr>
              <w:pStyle w:val="Tabletext"/>
              <w:jc w:val="center"/>
              <w:rPr>
                <w:color w:val="000000"/>
                <w:sz w:val="18"/>
                <w:szCs w:val="18"/>
                <w:lang w:val="es-ES" w:eastAsia="en-GB"/>
              </w:rPr>
            </w:pPr>
          </w:p>
        </w:tc>
        <w:tc>
          <w:tcPr>
            <w:tcW w:w="1644" w:type="dxa"/>
            <w:vMerge/>
            <w:hideMark/>
          </w:tcPr>
          <w:p w14:paraId="645CF87D" w14:textId="77777777" w:rsidR="00202E6A" w:rsidRPr="00A5733E" w:rsidRDefault="00202E6A" w:rsidP="00201343">
            <w:pPr>
              <w:pStyle w:val="Tabletext"/>
              <w:jc w:val="center"/>
              <w:rPr>
                <w:color w:val="000000"/>
                <w:sz w:val="18"/>
                <w:szCs w:val="18"/>
                <w:lang w:val="es-ES" w:eastAsia="en-GB"/>
              </w:rPr>
            </w:pPr>
          </w:p>
        </w:tc>
        <w:tc>
          <w:tcPr>
            <w:tcW w:w="1631" w:type="dxa"/>
            <w:vMerge/>
            <w:hideMark/>
          </w:tcPr>
          <w:p w14:paraId="5DB5CEF7" w14:textId="77777777" w:rsidR="00202E6A" w:rsidRPr="00A5733E" w:rsidRDefault="00202E6A" w:rsidP="00201343">
            <w:pPr>
              <w:pStyle w:val="Tabletext"/>
              <w:jc w:val="center"/>
              <w:rPr>
                <w:color w:val="000000"/>
                <w:sz w:val="18"/>
                <w:szCs w:val="18"/>
                <w:lang w:val="es-ES" w:eastAsia="en-GB"/>
              </w:rPr>
            </w:pPr>
          </w:p>
        </w:tc>
      </w:tr>
      <w:tr w:rsidR="00202E6A" w:rsidRPr="00A5733E" w14:paraId="7606AAB2" w14:textId="77777777" w:rsidTr="00201343">
        <w:trPr>
          <w:cantSplit/>
          <w:jc w:val="center"/>
        </w:trPr>
        <w:tc>
          <w:tcPr>
            <w:tcW w:w="776" w:type="dxa"/>
            <w:noWrap/>
            <w:hideMark/>
          </w:tcPr>
          <w:p w14:paraId="64E7F6EC"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BR</w:t>
            </w:r>
          </w:p>
        </w:tc>
        <w:tc>
          <w:tcPr>
            <w:tcW w:w="3000" w:type="dxa"/>
            <w:noWrap/>
            <w:hideMark/>
          </w:tcPr>
          <w:p w14:paraId="31F89919" w14:textId="77777777" w:rsidR="00202E6A" w:rsidRPr="00A5733E" w:rsidRDefault="00202E6A" w:rsidP="00201343">
            <w:pPr>
              <w:pStyle w:val="Tabletext"/>
              <w:rPr>
                <w:sz w:val="18"/>
                <w:szCs w:val="18"/>
                <w:lang w:val="es-ES"/>
              </w:rPr>
            </w:pPr>
            <w:r w:rsidRPr="00A5733E">
              <w:rPr>
                <w:color w:val="000000"/>
                <w:lang w:val="es-ES"/>
              </w:rPr>
              <w:t>GT 5A-B-C</w:t>
            </w:r>
          </w:p>
        </w:tc>
        <w:tc>
          <w:tcPr>
            <w:tcW w:w="1459" w:type="dxa"/>
            <w:noWrap/>
            <w:hideMark/>
          </w:tcPr>
          <w:p w14:paraId="291613FF" w14:textId="77777777" w:rsidR="00202E6A" w:rsidRPr="00A5733E" w:rsidRDefault="00202E6A" w:rsidP="00201343">
            <w:pPr>
              <w:pStyle w:val="Tabletext"/>
              <w:jc w:val="center"/>
              <w:rPr>
                <w:color w:val="000000"/>
                <w:sz w:val="18"/>
                <w:szCs w:val="18"/>
                <w:lang w:val="es-ES"/>
              </w:rPr>
            </w:pPr>
            <w:r w:rsidRPr="00A5733E">
              <w:rPr>
                <w:color w:val="000000"/>
                <w:lang w:val="es-ES"/>
              </w:rPr>
              <w:t>20/11/2028</w:t>
            </w:r>
          </w:p>
        </w:tc>
        <w:tc>
          <w:tcPr>
            <w:tcW w:w="1459" w:type="dxa"/>
            <w:noWrap/>
            <w:hideMark/>
          </w:tcPr>
          <w:p w14:paraId="4F09F527" w14:textId="77777777" w:rsidR="00202E6A" w:rsidRPr="00A5733E" w:rsidRDefault="00202E6A" w:rsidP="00201343">
            <w:pPr>
              <w:pStyle w:val="Tabletext"/>
              <w:jc w:val="center"/>
              <w:rPr>
                <w:color w:val="000000"/>
                <w:sz w:val="18"/>
                <w:szCs w:val="18"/>
                <w:lang w:val="es-ES"/>
              </w:rPr>
            </w:pPr>
            <w:r w:rsidRPr="00A5733E">
              <w:rPr>
                <w:color w:val="000000"/>
                <w:lang w:val="es-ES"/>
              </w:rPr>
              <w:t>29/11/2028</w:t>
            </w:r>
          </w:p>
        </w:tc>
        <w:tc>
          <w:tcPr>
            <w:tcW w:w="1644" w:type="dxa"/>
            <w:noWrap/>
            <w:hideMark/>
          </w:tcPr>
          <w:p w14:paraId="4C0EB900" w14:textId="77777777" w:rsidR="00202E6A" w:rsidRPr="00A5733E" w:rsidRDefault="00202E6A" w:rsidP="00201343">
            <w:pPr>
              <w:pStyle w:val="Tabletext"/>
              <w:jc w:val="center"/>
              <w:rPr>
                <w:color w:val="000000"/>
                <w:sz w:val="18"/>
                <w:szCs w:val="18"/>
                <w:lang w:val="es-ES"/>
              </w:rPr>
            </w:pPr>
            <w:r w:rsidRPr="00A5733E">
              <w:rPr>
                <w:color w:val="000000"/>
                <w:lang w:val="es-ES"/>
              </w:rPr>
              <w:t>1×200, 1×120, 1×80, 2×50</w:t>
            </w:r>
          </w:p>
        </w:tc>
        <w:tc>
          <w:tcPr>
            <w:tcW w:w="1631" w:type="dxa"/>
            <w:hideMark/>
          </w:tcPr>
          <w:p w14:paraId="6BDC1B0D" w14:textId="77777777" w:rsidR="00202E6A" w:rsidRPr="00A5733E" w:rsidRDefault="00202E6A" w:rsidP="00201343">
            <w:pPr>
              <w:pStyle w:val="Tabletext"/>
              <w:jc w:val="center"/>
              <w:rPr>
                <w:color w:val="000000"/>
                <w:sz w:val="18"/>
                <w:szCs w:val="18"/>
                <w:lang w:val="es-ES"/>
              </w:rPr>
            </w:pPr>
            <w:r w:rsidRPr="00A5733E">
              <w:rPr>
                <w:color w:val="000000"/>
                <w:lang w:val="es-ES"/>
              </w:rPr>
              <w:t>1×30</w:t>
            </w:r>
          </w:p>
        </w:tc>
      </w:tr>
      <w:tr w:rsidR="00202E6A" w:rsidRPr="00A5733E" w14:paraId="6EF6AD1D" w14:textId="77777777" w:rsidTr="00201343">
        <w:trPr>
          <w:cantSplit/>
          <w:jc w:val="center"/>
        </w:trPr>
        <w:tc>
          <w:tcPr>
            <w:tcW w:w="776" w:type="dxa"/>
            <w:noWrap/>
            <w:hideMark/>
          </w:tcPr>
          <w:p w14:paraId="78CF5AEF"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BR</w:t>
            </w:r>
          </w:p>
        </w:tc>
        <w:tc>
          <w:tcPr>
            <w:tcW w:w="3000" w:type="dxa"/>
            <w:noWrap/>
            <w:hideMark/>
          </w:tcPr>
          <w:p w14:paraId="45E06ECC" w14:textId="77777777" w:rsidR="00202E6A" w:rsidRPr="00A5733E" w:rsidRDefault="00202E6A" w:rsidP="00201343">
            <w:pPr>
              <w:pStyle w:val="Tabletext"/>
              <w:rPr>
                <w:sz w:val="18"/>
                <w:szCs w:val="18"/>
                <w:lang w:val="es-ES"/>
              </w:rPr>
            </w:pPr>
            <w:r w:rsidRPr="00A5733E">
              <w:rPr>
                <w:color w:val="000000"/>
                <w:lang w:val="es-ES"/>
              </w:rPr>
              <w:t xml:space="preserve">CE 5 </w:t>
            </w:r>
          </w:p>
        </w:tc>
        <w:tc>
          <w:tcPr>
            <w:tcW w:w="1459" w:type="dxa"/>
            <w:noWrap/>
            <w:hideMark/>
          </w:tcPr>
          <w:p w14:paraId="4E075835" w14:textId="77777777" w:rsidR="00202E6A" w:rsidRPr="00A5733E" w:rsidRDefault="00202E6A" w:rsidP="00201343">
            <w:pPr>
              <w:pStyle w:val="Tabletext"/>
              <w:jc w:val="center"/>
              <w:rPr>
                <w:color w:val="000000"/>
                <w:sz w:val="18"/>
                <w:szCs w:val="18"/>
                <w:lang w:val="es-ES"/>
              </w:rPr>
            </w:pPr>
            <w:r w:rsidRPr="00A5733E">
              <w:rPr>
                <w:color w:val="000000"/>
                <w:lang w:val="es-ES"/>
              </w:rPr>
              <w:t>30/11/2028</w:t>
            </w:r>
          </w:p>
        </w:tc>
        <w:tc>
          <w:tcPr>
            <w:tcW w:w="1459" w:type="dxa"/>
            <w:noWrap/>
            <w:hideMark/>
          </w:tcPr>
          <w:p w14:paraId="0ACFC9C4" w14:textId="77777777" w:rsidR="00202E6A" w:rsidRPr="00A5733E" w:rsidRDefault="00202E6A" w:rsidP="00201343">
            <w:pPr>
              <w:pStyle w:val="Tabletext"/>
              <w:jc w:val="center"/>
              <w:rPr>
                <w:color w:val="000000"/>
                <w:sz w:val="18"/>
                <w:szCs w:val="18"/>
                <w:lang w:val="es-ES"/>
              </w:rPr>
            </w:pPr>
            <w:r w:rsidRPr="00A5733E">
              <w:rPr>
                <w:color w:val="000000"/>
                <w:lang w:val="es-ES"/>
              </w:rPr>
              <w:t>01/12/2028</w:t>
            </w:r>
          </w:p>
        </w:tc>
        <w:tc>
          <w:tcPr>
            <w:tcW w:w="1644" w:type="dxa"/>
            <w:noWrap/>
            <w:hideMark/>
          </w:tcPr>
          <w:p w14:paraId="607C15E1" w14:textId="77777777" w:rsidR="00202E6A" w:rsidRPr="00A5733E" w:rsidRDefault="00202E6A" w:rsidP="00201343">
            <w:pPr>
              <w:pStyle w:val="Tabletext"/>
              <w:jc w:val="center"/>
              <w:rPr>
                <w:color w:val="000000"/>
                <w:sz w:val="18"/>
                <w:szCs w:val="18"/>
                <w:lang w:val="es-ES"/>
              </w:rPr>
            </w:pPr>
            <w:r w:rsidRPr="00A5733E">
              <w:rPr>
                <w:color w:val="000000"/>
                <w:lang w:val="es-ES"/>
              </w:rPr>
              <w:t>1×200</w:t>
            </w:r>
          </w:p>
        </w:tc>
        <w:tc>
          <w:tcPr>
            <w:tcW w:w="1631" w:type="dxa"/>
            <w:hideMark/>
          </w:tcPr>
          <w:p w14:paraId="136042FD" w14:textId="77777777" w:rsidR="00202E6A" w:rsidRPr="00A5733E" w:rsidRDefault="00202E6A" w:rsidP="00201343">
            <w:pPr>
              <w:pStyle w:val="Tabletext"/>
              <w:jc w:val="center"/>
              <w:rPr>
                <w:color w:val="000000"/>
                <w:sz w:val="18"/>
                <w:szCs w:val="18"/>
                <w:lang w:val="es-ES" w:eastAsia="en-GB"/>
              </w:rPr>
            </w:pPr>
          </w:p>
        </w:tc>
      </w:tr>
      <w:tr w:rsidR="00202E6A" w:rsidRPr="00A5733E" w14:paraId="2124093B" w14:textId="77777777" w:rsidTr="00201343">
        <w:trPr>
          <w:cantSplit/>
          <w:trHeight w:val="293"/>
          <w:jc w:val="center"/>
        </w:trPr>
        <w:tc>
          <w:tcPr>
            <w:tcW w:w="776" w:type="dxa"/>
            <w:vMerge w:val="restart"/>
            <w:noWrap/>
            <w:hideMark/>
          </w:tcPr>
          <w:p w14:paraId="085C1D23"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BR</w:t>
            </w:r>
          </w:p>
        </w:tc>
        <w:tc>
          <w:tcPr>
            <w:tcW w:w="3000" w:type="dxa"/>
            <w:vMerge w:val="restart"/>
            <w:noWrap/>
            <w:hideMark/>
          </w:tcPr>
          <w:p w14:paraId="50D674E5" w14:textId="77777777" w:rsidR="00202E6A" w:rsidRPr="00A5733E" w:rsidRDefault="00202E6A" w:rsidP="00201343">
            <w:pPr>
              <w:pStyle w:val="Tabletext"/>
              <w:rPr>
                <w:sz w:val="18"/>
                <w:szCs w:val="18"/>
                <w:lang w:val="es-ES"/>
              </w:rPr>
            </w:pPr>
            <w:r w:rsidRPr="00A5733E">
              <w:rPr>
                <w:color w:val="000000"/>
                <w:lang w:val="es-ES"/>
              </w:rPr>
              <w:t>SMR-28 – Plenaria</w:t>
            </w:r>
          </w:p>
        </w:tc>
        <w:tc>
          <w:tcPr>
            <w:tcW w:w="1459" w:type="dxa"/>
            <w:vMerge w:val="restart"/>
            <w:noWrap/>
            <w:hideMark/>
          </w:tcPr>
          <w:p w14:paraId="4E4F6356" w14:textId="77777777" w:rsidR="00202E6A" w:rsidRPr="00A5733E" w:rsidRDefault="00202E6A" w:rsidP="00201343">
            <w:pPr>
              <w:pStyle w:val="Tabletext"/>
              <w:jc w:val="center"/>
              <w:rPr>
                <w:color w:val="000000"/>
                <w:sz w:val="18"/>
                <w:szCs w:val="18"/>
                <w:lang w:val="es-ES"/>
              </w:rPr>
            </w:pPr>
            <w:r w:rsidRPr="00A5733E">
              <w:rPr>
                <w:color w:val="000000"/>
                <w:lang w:val="es-ES"/>
              </w:rPr>
              <w:t>04/12/2028</w:t>
            </w:r>
          </w:p>
        </w:tc>
        <w:tc>
          <w:tcPr>
            <w:tcW w:w="1459" w:type="dxa"/>
            <w:vMerge w:val="restart"/>
            <w:noWrap/>
            <w:hideMark/>
          </w:tcPr>
          <w:p w14:paraId="56A2B488" w14:textId="77777777" w:rsidR="00202E6A" w:rsidRPr="00A5733E" w:rsidRDefault="00202E6A" w:rsidP="00201343">
            <w:pPr>
              <w:pStyle w:val="Tabletext"/>
              <w:jc w:val="center"/>
              <w:rPr>
                <w:color w:val="000000"/>
                <w:sz w:val="18"/>
                <w:szCs w:val="18"/>
                <w:lang w:val="es-ES"/>
              </w:rPr>
            </w:pPr>
            <w:r w:rsidRPr="00A5733E">
              <w:rPr>
                <w:color w:val="000000"/>
                <w:lang w:val="es-ES"/>
              </w:rPr>
              <w:t>05/12/2028</w:t>
            </w:r>
          </w:p>
        </w:tc>
        <w:tc>
          <w:tcPr>
            <w:tcW w:w="1644" w:type="dxa"/>
            <w:vMerge w:val="restart"/>
            <w:noWrap/>
            <w:hideMark/>
          </w:tcPr>
          <w:p w14:paraId="3AF49A87" w14:textId="77777777" w:rsidR="00202E6A" w:rsidRPr="00A5733E" w:rsidRDefault="00202E6A" w:rsidP="00201343">
            <w:pPr>
              <w:pStyle w:val="Tabletext"/>
              <w:jc w:val="center"/>
              <w:rPr>
                <w:color w:val="000000"/>
                <w:sz w:val="18"/>
                <w:szCs w:val="18"/>
                <w:lang w:val="es-ES"/>
              </w:rPr>
            </w:pPr>
            <w:r w:rsidRPr="00A5733E">
              <w:rPr>
                <w:color w:val="000000"/>
                <w:lang w:val="es-ES"/>
              </w:rPr>
              <w:t>1×400</w:t>
            </w:r>
          </w:p>
        </w:tc>
        <w:tc>
          <w:tcPr>
            <w:tcW w:w="1631" w:type="dxa"/>
            <w:vMerge w:val="restart"/>
            <w:hideMark/>
          </w:tcPr>
          <w:p w14:paraId="54D8EDB5" w14:textId="77777777" w:rsidR="00202E6A" w:rsidRPr="00A5733E" w:rsidRDefault="00202E6A" w:rsidP="00201343">
            <w:pPr>
              <w:pStyle w:val="Tabletext"/>
              <w:jc w:val="center"/>
              <w:rPr>
                <w:color w:val="000000"/>
                <w:sz w:val="18"/>
                <w:szCs w:val="18"/>
                <w:lang w:val="es-ES" w:eastAsia="en-GB"/>
              </w:rPr>
            </w:pPr>
          </w:p>
        </w:tc>
      </w:tr>
      <w:tr w:rsidR="00202E6A" w:rsidRPr="00A5733E" w14:paraId="35FF490E" w14:textId="77777777" w:rsidTr="00201343">
        <w:trPr>
          <w:cantSplit/>
          <w:trHeight w:val="300"/>
          <w:jc w:val="center"/>
        </w:trPr>
        <w:tc>
          <w:tcPr>
            <w:tcW w:w="776" w:type="dxa"/>
            <w:vMerge/>
            <w:hideMark/>
          </w:tcPr>
          <w:p w14:paraId="7E82D30E" w14:textId="77777777" w:rsidR="00202E6A" w:rsidRPr="00A5733E" w:rsidRDefault="00202E6A" w:rsidP="00201343">
            <w:pPr>
              <w:pStyle w:val="Tabletext"/>
              <w:ind w:left="-57" w:right="-57"/>
              <w:jc w:val="center"/>
              <w:rPr>
                <w:color w:val="000000"/>
                <w:sz w:val="18"/>
                <w:szCs w:val="18"/>
                <w:lang w:val="es-ES" w:eastAsia="en-GB"/>
              </w:rPr>
            </w:pPr>
          </w:p>
        </w:tc>
        <w:tc>
          <w:tcPr>
            <w:tcW w:w="3000" w:type="dxa"/>
            <w:vMerge/>
            <w:hideMark/>
          </w:tcPr>
          <w:p w14:paraId="7BE7A9E2" w14:textId="77777777" w:rsidR="00202E6A" w:rsidRPr="00A5733E" w:rsidRDefault="00202E6A" w:rsidP="00201343">
            <w:pPr>
              <w:pStyle w:val="Tabletext"/>
              <w:rPr>
                <w:sz w:val="18"/>
                <w:szCs w:val="18"/>
                <w:lang w:val="es-ES" w:eastAsia="en-GB"/>
              </w:rPr>
            </w:pPr>
          </w:p>
        </w:tc>
        <w:tc>
          <w:tcPr>
            <w:tcW w:w="1459" w:type="dxa"/>
            <w:vMerge/>
            <w:hideMark/>
          </w:tcPr>
          <w:p w14:paraId="016D2F3A" w14:textId="77777777" w:rsidR="00202E6A" w:rsidRPr="00A5733E" w:rsidRDefault="00202E6A" w:rsidP="00201343">
            <w:pPr>
              <w:pStyle w:val="Tabletext"/>
              <w:jc w:val="center"/>
              <w:rPr>
                <w:color w:val="000000"/>
                <w:sz w:val="18"/>
                <w:szCs w:val="18"/>
                <w:lang w:val="es-ES" w:eastAsia="en-GB"/>
              </w:rPr>
            </w:pPr>
          </w:p>
        </w:tc>
        <w:tc>
          <w:tcPr>
            <w:tcW w:w="1459" w:type="dxa"/>
            <w:vMerge/>
            <w:hideMark/>
          </w:tcPr>
          <w:p w14:paraId="54B97BBE" w14:textId="77777777" w:rsidR="00202E6A" w:rsidRPr="00A5733E" w:rsidRDefault="00202E6A" w:rsidP="00201343">
            <w:pPr>
              <w:pStyle w:val="Tabletext"/>
              <w:jc w:val="center"/>
              <w:rPr>
                <w:color w:val="000000"/>
                <w:sz w:val="18"/>
                <w:szCs w:val="18"/>
                <w:lang w:val="es-ES" w:eastAsia="en-GB"/>
              </w:rPr>
            </w:pPr>
          </w:p>
        </w:tc>
        <w:tc>
          <w:tcPr>
            <w:tcW w:w="1644" w:type="dxa"/>
            <w:vMerge/>
            <w:hideMark/>
          </w:tcPr>
          <w:p w14:paraId="6ACD004A" w14:textId="77777777" w:rsidR="00202E6A" w:rsidRPr="00A5733E" w:rsidRDefault="00202E6A" w:rsidP="00201343">
            <w:pPr>
              <w:pStyle w:val="Tabletext"/>
              <w:jc w:val="center"/>
              <w:rPr>
                <w:color w:val="000000"/>
                <w:sz w:val="18"/>
                <w:szCs w:val="18"/>
                <w:lang w:val="es-ES" w:eastAsia="en-GB"/>
              </w:rPr>
            </w:pPr>
          </w:p>
        </w:tc>
        <w:tc>
          <w:tcPr>
            <w:tcW w:w="1631" w:type="dxa"/>
            <w:vMerge/>
            <w:hideMark/>
          </w:tcPr>
          <w:p w14:paraId="5590FB23" w14:textId="77777777" w:rsidR="00202E6A" w:rsidRPr="00A5733E" w:rsidRDefault="00202E6A" w:rsidP="00201343">
            <w:pPr>
              <w:pStyle w:val="Tabletext"/>
              <w:jc w:val="center"/>
              <w:rPr>
                <w:color w:val="000000"/>
                <w:sz w:val="18"/>
                <w:szCs w:val="18"/>
                <w:lang w:val="es-ES" w:eastAsia="en-GB"/>
              </w:rPr>
            </w:pPr>
          </w:p>
        </w:tc>
      </w:tr>
      <w:tr w:rsidR="00202E6A" w:rsidRPr="00A5733E" w14:paraId="71352041" w14:textId="77777777" w:rsidTr="00201343">
        <w:trPr>
          <w:cantSplit/>
          <w:jc w:val="center"/>
        </w:trPr>
        <w:tc>
          <w:tcPr>
            <w:tcW w:w="776" w:type="dxa"/>
            <w:noWrap/>
            <w:hideMark/>
          </w:tcPr>
          <w:p w14:paraId="1DA261AC"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BR</w:t>
            </w:r>
          </w:p>
        </w:tc>
        <w:tc>
          <w:tcPr>
            <w:tcW w:w="3000" w:type="dxa"/>
            <w:noWrap/>
            <w:hideMark/>
          </w:tcPr>
          <w:p w14:paraId="7989D72D" w14:textId="77777777" w:rsidR="00202E6A" w:rsidRPr="00A5733E" w:rsidRDefault="00202E6A" w:rsidP="00201343">
            <w:pPr>
              <w:pStyle w:val="Tabletext"/>
              <w:rPr>
                <w:sz w:val="18"/>
                <w:szCs w:val="18"/>
                <w:lang w:val="es-ES"/>
              </w:rPr>
            </w:pPr>
            <w:r w:rsidRPr="00A5733E">
              <w:rPr>
                <w:color w:val="000000"/>
                <w:lang w:val="es-ES"/>
              </w:rPr>
              <w:t>SMR-28 – Talleres</w:t>
            </w:r>
          </w:p>
        </w:tc>
        <w:tc>
          <w:tcPr>
            <w:tcW w:w="1459" w:type="dxa"/>
            <w:noWrap/>
            <w:hideMark/>
          </w:tcPr>
          <w:p w14:paraId="3810D56E" w14:textId="77777777" w:rsidR="00202E6A" w:rsidRPr="00A5733E" w:rsidRDefault="00202E6A" w:rsidP="00201343">
            <w:pPr>
              <w:pStyle w:val="Tabletext"/>
              <w:jc w:val="center"/>
              <w:rPr>
                <w:color w:val="000000"/>
                <w:sz w:val="18"/>
                <w:szCs w:val="18"/>
                <w:lang w:val="es-ES"/>
              </w:rPr>
            </w:pPr>
            <w:r w:rsidRPr="00A5733E">
              <w:rPr>
                <w:color w:val="000000"/>
                <w:lang w:val="es-ES"/>
              </w:rPr>
              <w:t>06/12/2028</w:t>
            </w:r>
          </w:p>
        </w:tc>
        <w:tc>
          <w:tcPr>
            <w:tcW w:w="1459" w:type="dxa"/>
            <w:noWrap/>
            <w:hideMark/>
          </w:tcPr>
          <w:p w14:paraId="78D8AF01" w14:textId="77777777" w:rsidR="00202E6A" w:rsidRPr="00A5733E" w:rsidRDefault="00202E6A" w:rsidP="00201343">
            <w:pPr>
              <w:pStyle w:val="Tabletext"/>
              <w:jc w:val="center"/>
              <w:rPr>
                <w:color w:val="000000"/>
                <w:sz w:val="18"/>
                <w:szCs w:val="18"/>
                <w:lang w:val="es-ES"/>
              </w:rPr>
            </w:pPr>
            <w:r w:rsidRPr="00A5733E">
              <w:rPr>
                <w:color w:val="000000"/>
                <w:lang w:val="es-ES"/>
              </w:rPr>
              <w:t>08/12/2028</w:t>
            </w:r>
          </w:p>
        </w:tc>
        <w:tc>
          <w:tcPr>
            <w:tcW w:w="1644" w:type="dxa"/>
            <w:noWrap/>
            <w:hideMark/>
          </w:tcPr>
          <w:p w14:paraId="2BBEB599" w14:textId="77777777" w:rsidR="00202E6A" w:rsidRPr="00A5733E" w:rsidRDefault="00202E6A" w:rsidP="00201343">
            <w:pPr>
              <w:pStyle w:val="Tabletext"/>
              <w:jc w:val="center"/>
              <w:rPr>
                <w:color w:val="000000"/>
                <w:sz w:val="18"/>
                <w:szCs w:val="18"/>
                <w:lang w:val="es-ES"/>
              </w:rPr>
            </w:pPr>
            <w:r w:rsidRPr="00A5733E">
              <w:rPr>
                <w:color w:val="000000"/>
                <w:lang w:val="es-ES"/>
              </w:rPr>
              <w:t>2×200, 2×100, 2×60</w:t>
            </w:r>
          </w:p>
        </w:tc>
        <w:tc>
          <w:tcPr>
            <w:tcW w:w="1631" w:type="dxa"/>
            <w:hideMark/>
          </w:tcPr>
          <w:p w14:paraId="4E49685A" w14:textId="77777777" w:rsidR="00202E6A" w:rsidRPr="00A5733E" w:rsidRDefault="00202E6A" w:rsidP="00201343">
            <w:pPr>
              <w:pStyle w:val="Tabletext"/>
              <w:jc w:val="center"/>
              <w:rPr>
                <w:color w:val="000000"/>
                <w:sz w:val="18"/>
                <w:szCs w:val="18"/>
                <w:lang w:val="es-ES"/>
              </w:rPr>
            </w:pPr>
            <w:r w:rsidRPr="00A5733E">
              <w:rPr>
                <w:color w:val="000000"/>
                <w:lang w:val="es-ES"/>
              </w:rPr>
              <w:t>1×30</w:t>
            </w:r>
          </w:p>
        </w:tc>
      </w:tr>
      <w:tr w:rsidR="00202E6A" w:rsidRPr="00A5733E" w14:paraId="324D2BAC" w14:textId="77777777" w:rsidTr="00201343">
        <w:trPr>
          <w:cantSplit/>
          <w:jc w:val="center"/>
        </w:trPr>
        <w:tc>
          <w:tcPr>
            <w:tcW w:w="776" w:type="dxa"/>
            <w:noWrap/>
            <w:hideMark/>
          </w:tcPr>
          <w:p w14:paraId="1E235C78"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BR</w:t>
            </w:r>
          </w:p>
        </w:tc>
        <w:tc>
          <w:tcPr>
            <w:tcW w:w="3000" w:type="dxa"/>
            <w:noWrap/>
            <w:hideMark/>
          </w:tcPr>
          <w:p w14:paraId="4D9F2F00" w14:textId="69CEFC32" w:rsidR="00202E6A" w:rsidRPr="00A5733E" w:rsidRDefault="00202E6A" w:rsidP="00201343">
            <w:pPr>
              <w:pStyle w:val="Tabletext"/>
              <w:ind w:right="-57"/>
              <w:rPr>
                <w:sz w:val="18"/>
                <w:szCs w:val="18"/>
                <w:lang w:val="es-ES"/>
              </w:rPr>
            </w:pPr>
            <w:r w:rsidRPr="00A5733E">
              <w:rPr>
                <w:color w:val="000000"/>
                <w:lang w:val="es-ES"/>
              </w:rPr>
              <w:t xml:space="preserve">Nuevo grupo tras la </w:t>
            </w:r>
            <w:r w:rsidR="00693161" w:rsidRPr="00A5733E">
              <w:rPr>
                <w:color w:val="000000"/>
                <w:lang w:val="es-ES"/>
              </w:rPr>
              <w:br/>
            </w:r>
            <w:r w:rsidRPr="00A5733E">
              <w:rPr>
                <w:color w:val="000000"/>
                <w:lang w:val="es-ES"/>
              </w:rPr>
              <w:t>AR-27/CMR-27</w:t>
            </w:r>
          </w:p>
        </w:tc>
        <w:tc>
          <w:tcPr>
            <w:tcW w:w="1459" w:type="dxa"/>
            <w:noWrap/>
            <w:hideMark/>
          </w:tcPr>
          <w:p w14:paraId="6EDAF0CF" w14:textId="77777777" w:rsidR="00202E6A" w:rsidRPr="00A5733E" w:rsidRDefault="00202E6A" w:rsidP="00201343">
            <w:pPr>
              <w:pStyle w:val="Tabletext"/>
              <w:jc w:val="center"/>
              <w:rPr>
                <w:color w:val="000000"/>
                <w:sz w:val="18"/>
                <w:szCs w:val="18"/>
                <w:lang w:val="es-ES"/>
              </w:rPr>
            </w:pPr>
            <w:r w:rsidRPr="00A5733E">
              <w:rPr>
                <w:color w:val="000000"/>
                <w:lang w:val="es-ES"/>
              </w:rPr>
              <w:t>11/12/2028</w:t>
            </w:r>
          </w:p>
        </w:tc>
        <w:tc>
          <w:tcPr>
            <w:tcW w:w="1459" w:type="dxa"/>
            <w:noWrap/>
            <w:hideMark/>
          </w:tcPr>
          <w:p w14:paraId="60551EEC" w14:textId="77777777" w:rsidR="00202E6A" w:rsidRPr="00A5733E" w:rsidRDefault="00202E6A" w:rsidP="00201343">
            <w:pPr>
              <w:pStyle w:val="Tabletext"/>
              <w:jc w:val="center"/>
              <w:rPr>
                <w:color w:val="000000"/>
                <w:sz w:val="18"/>
                <w:szCs w:val="18"/>
                <w:lang w:val="es-ES"/>
              </w:rPr>
            </w:pPr>
            <w:r w:rsidRPr="00A5733E">
              <w:rPr>
                <w:color w:val="000000"/>
                <w:lang w:val="es-ES"/>
              </w:rPr>
              <w:t>15/12/2028</w:t>
            </w:r>
          </w:p>
        </w:tc>
        <w:tc>
          <w:tcPr>
            <w:tcW w:w="1644" w:type="dxa"/>
            <w:noWrap/>
            <w:hideMark/>
          </w:tcPr>
          <w:p w14:paraId="3C9028F7" w14:textId="77777777" w:rsidR="00202E6A" w:rsidRPr="00A5733E" w:rsidRDefault="00202E6A" w:rsidP="00201343">
            <w:pPr>
              <w:pStyle w:val="Tabletext"/>
              <w:jc w:val="center"/>
              <w:rPr>
                <w:color w:val="000000"/>
                <w:sz w:val="18"/>
                <w:szCs w:val="18"/>
                <w:lang w:val="es-ES"/>
              </w:rPr>
            </w:pPr>
            <w:r w:rsidRPr="00A5733E">
              <w:rPr>
                <w:color w:val="000000"/>
                <w:lang w:val="es-ES"/>
              </w:rPr>
              <w:t>1×250</w:t>
            </w:r>
          </w:p>
        </w:tc>
        <w:tc>
          <w:tcPr>
            <w:tcW w:w="1631" w:type="dxa"/>
            <w:hideMark/>
          </w:tcPr>
          <w:p w14:paraId="01804E6C" w14:textId="77777777" w:rsidR="00202E6A" w:rsidRPr="00A5733E" w:rsidRDefault="00202E6A" w:rsidP="00201343">
            <w:pPr>
              <w:pStyle w:val="Tabletext"/>
              <w:jc w:val="center"/>
              <w:rPr>
                <w:color w:val="000000"/>
                <w:sz w:val="18"/>
                <w:szCs w:val="18"/>
                <w:lang w:val="es-ES"/>
              </w:rPr>
            </w:pPr>
            <w:r w:rsidRPr="00A5733E">
              <w:rPr>
                <w:color w:val="000000"/>
                <w:lang w:val="es-ES"/>
              </w:rPr>
              <w:t>1×30</w:t>
            </w:r>
          </w:p>
        </w:tc>
      </w:tr>
      <w:tr w:rsidR="00202E6A" w:rsidRPr="00A5733E" w14:paraId="37BFFF8A" w14:textId="77777777" w:rsidTr="00201343">
        <w:trPr>
          <w:cantSplit/>
          <w:jc w:val="center"/>
        </w:trPr>
        <w:tc>
          <w:tcPr>
            <w:tcW w:w="776" w:type="dxa"/>
            <w:noWrap/>
            <w:hideMark/>
          </w:tcPr>
          <w:p w14:paraId="5591464B"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TSB</w:t>
            </w:r>
          </w:p>
        </w:tc>
        <w:tc>
          <w:tcPr>
            <w:tcW w:w="3000" w:type="dxa"/>
            <w:noWrap/>
            <w:hideMark/>
          </w:tcPr>
          <w:p w14:paraId="4142844C" w14:textId="15FD2AFE" w:rsidR="00202E6A" w:rsidRPr="00A5733E" w:rsidRDefault="00202E6A" w:rsidP="00201343">
            <w:pPr>
              <w:pStyle w:val="Tabletext"/>
              <w:rPr>
                <w:sz w:val="18"/>
                <w:szCs w:val="18"/>
                <w:lang w:val="es-ES"/>
              </w:rPr>
            </w:pPr>
            <w:r w:rsidRPr="00A5733E">
              <w:rPr>
                <w:color w:val="000000"/>
                <w:lang w:val="es-ES"/>
              </w:rPr>
              <w:t>CE</w:t>
            </w:r>
            <w:r w:rsidR="00693161" w:rsidRPr="00A5733E">
              <w:rPr>
                <w:color w:val="000000"/>
                <w:lang w:val="es-ES"/>
              </w:rPr>
              <w:t> </w:t>
            </w:r>
            <w:r w:rsidRPr="00A5733E">
              <w:rPr>
                <w:color w:val="000000"/>
                <w:lang w:val="es-ES"/>
              </w:rPr>
              <w:t>12</w:t>
            </w:r>
          </w:p>
        </w:tc>
        <w:tc>
          <w:tcPr>
            <w:tcW w:w="1459" w:type="dxa"/>
            <w:noWrap/>
            <w:hideMark/>
          </w:tcPr>
          <w:p w14:paraId="2FDA4010" w14:textId="77777777" w:rsidR="00202E6A" w:rsidRPr="00A5733E" w:rsidRDefault="00202E6A" w:rsidP="00201343">
            <w:pPr>
              <w:pStyle w:val="Tabletext"/>
              <w:jc w:val="center"/>
              <w:rPr>
                <w:color w:val="000000"/>
                <w:sz w:val="18"/>
                <w:szCs w:val="18"/>
                <w:lang w:val="es-ES"/>
              </w:rPr>
            </w:pPr>
            <w:r w:rsidRPr="00A5733E">
              <w:rPr>
                <w:color w:val="000000"/>
                <w:lang w:val="es-ES"/>
              </w:rPr>
              <w:t>10/01/2029</w:t>
            </w:r>
          </w:p>
        </w:tc>
        <w:tc>
          <w:tcPr>
            <w:tcW w:w="1459" w:type="dxa"/>
            <w:noWrap/>
            <w:hideMark/>
          </w:tcPr>
          <w:p w14:paraId="62D8613B" w14:textId="77777777" w:rsidR="00202E6A" w:rsidRPr="00A5733E" w:rsidRDefault="00202E6A" w:rsidP="00201343">
            <w:pPr>
              <w:pStyle w:val="Tabletext"/>
              <w:jc w:val="center"/>
              <w:rPr>
                <w:color w:val="000000"/>
                <w:sz w:val="18"/>
                <w:szCs w:val="18"/>
                <w:lang w:val="es-ES"/>
              </w:rPr>
            </w:pPr>
            <w:r w:rsidRPr="00A5733E">
              <w:rPr>
                <w:color w:val="000000"/>
                <w:lang w:val="es-ES"/>
              </w:rPr>
              <w:t>18/01/2029</w:t>
            </w:r>
          </w:p>
        </w:tc>
        <w:tc>
          <w:tcPr>
            <w:tcW w:w="1644" w:type="dxa"/>
            <w:hideMark/>
          </w:tcPr>
          <w:p w14:paraId="2216EFD9" w14:textId="77777777" w:rsidR="00202E6A" w:rsidRPr="00A5733E" w:rsidRDefault="00202E6A" w:rsidP="00201343">
            <w:pPr>
              <w:pStyle w:val="Tabletext"/>
              <w:jc w:val="center"/>
              <w:rPr>
                <w:color w:val="000000"/>
                <w:sz w:val="18"/>
                <w:szCs w:val="18"/>
                <w:lang w:val="es-ES"/>
              </w:rPr>
            </w:pPr>
            <w:r w:rsidRPr="00A5733E">
              <w:rPr>
                <w:color w:val="000000"/>
                <w:lang w:val="es-ES"/>
              </w:rPr>
              <w:t>1×150 (apertura y cierre), 3×30, 2×15, 2×10</w:t>
            </w:r>
          </w:p>
        </w:tc>
        <w:tc>
          <w:tcPr>
            <w:tcW w:w="1631" w:type="dxa"/>
            <w:hideMark/>
          </w:tcPr>
          <w:p w14:paraId="64FC2262" w14:textId="77777777" w:rsidR="00202E6A" w:rsidRPr="00A5733E" w:rsidRDefault="00202E6A" w:rsidP="00201343">
            <w:pPr>
              <w:pStyle w:val="Tabletext"/>
              <w:jc w:val="center"/>
              <w:rPr>
                <w:color w:val="000000"/>
                <w:sz w:val="18"/>
                <w:szCs w:val="18"/>
                <w:lang w:val="es-ES" w:eastAsia="en-GB"/>
              </w:rPr>
            </w:pPr>
          </w:p>
        </w:tc>
      </w:tr>
      <w:tr w:rsidR="00202E6A" w:rsidRPr="00A5733E" w14:paraId="45E0D69F" w14:textId="77777777" w:rsidTr="00201343">
        <w:trPr>
          <w:cantSplit/>
          <w:jc w:val="center"/>
        </w:trPr>
        <w:tc>
          <w:tcPr>
            <w:tcW w:w="776" w:type="dxa"/>
            <w:noWrap/>
            <w:hideMark/>
          </w:tcPr>
          <w:p w14:paraId="5BBB2739"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TSB</w:t>
            </w:r>
          </w:p>
        </w:tc>
        <w:tc>
          <w:tcPr>
            <w:tcW w:w="3000" w:type="dxa"/>
            <w:noWrap/>
            <w:hideMark/>
          </w:tcPr>
          <w:p w14:paraId="35DCAA99" w14:textId="08909A33" w:rsidR="00202E6A" w:rsidRPr="00A5733E" w:rsidRDefault="00202E6A" w:rsidP="00201343">
            <w:pPr>
              <w:pStyle w:val="Tabletext"/>
              <w:rPr>
                <w:sz w:val="18"/>
                <w:szCs w:val="18"/>
                <w:lang w:val="es-ES"/>
              </w:rPr>
            </w:pPr>
            <w:r w:rsidRPr="00A5733E">
              <w:rPr>
                <w:color w:val="000000"/>
                <w:lang w:val="es-ES"/>
              </w:rPr>
              <w:t>CE</w:t>
            </w:r>
            <w:r w:rsidR="00693161" w:rsidRPr="00A5733E">
              <w:rPr>
                <w:color w:val="000000"/>
                <w:lang w:val="es-ES"/>
              </w:rPr>
              <w:t> </w:t>
            </w:r>
            <w:r w:rsidRPr="00A5733E">
              <w:rPr>
                <w:color w:val="000000"/>
                <w:lang w:val="es-ES"/>
              </w:rPr>
              <w:t>21</w:t>
            </w:r>
          </w:p>
        </w:tc>
        <w:tc>
          <w:tcPr>
            <w:tcW w:w="1459" w:type="dxa"/>
            <w:noWrap/>
            <w:hideMark/>
          </w:tcPr>
          <w:p w14:paraId="6D8970D8" w14:textId="77777777" w:rsidR="00202E6A" w:rsidRPr="00A5733E" w:rsidRDefault="00202E6A" w:rsidP="00201343">
            <w:pPr>
              <w:pStyle w:val="Tabletext"/>
              <w:jc w:val="center"/>
              <w:rPr>
                <w:color w:val="000000"/>
                <w:sz w:val="18"/>
                <w:szCs w:val="18"/>
                <w:lang w:val="es-ES"/>
              </w:rPr>
            </w:pPr>
            <w:r w:rsidRPr="00A5733E">
              <w:rPr>
                <w:color w:val="000000"/>
                <w:lang w:val="es-ES"/>
              </w:rPr>
              <w:t>22/01/2029</w:t>
            </w:r>
          </w:p>
        </w:tc>
        <w:tc>
          <w:tcPr>
            <w:tcW w:w="1459" w:type="dxa"/>
            <w:noWrap/>
            <w:hideMark/>
          </w:tcPr>
          <w:p w14:paraId="4CBAF053" w14:textId="77777777" w:rsidR="00202E6A" w:rsidRPr="00A5733E" w:rsidRDefault="00202E6A" w:rsidP="00201343">
            <w:pPr>
              <w:pStyle w:val="Tabletext"/>
              <w:jc w:val="center"/>
              <w:rPr>
                <w:color w:val="000000"/>
                <w:sz w:val="18"/>
                <w:szCs w:val="18"/>
                <w:lang w:val="es-ES"/>
              </w:rPr>
            </w:pPr>
            <w:r w:rsidRPr="00A5733E">
              <w:rPr>
                <w:color w:val="000000"/>
                <w:lang w:val="es-ES"/>
              </w:rPr>
              <w:t>02/02/2029</w:t>
            </w:r>
          </w:p>
        </w:tc>
        <w:tc>
          <w:tcPr>
            <w:tcW w:w="1644" w:type="dxa"/>
            <w:hideMark/>
          </w:tcPr>
          <w:p w14:paraId="3AA282AF" w14:textId="77777777" w:rsidR="00202E6A" w:rsidRPr="00A5733E" w:rsidRDefault="00202E6A" w:rsidP="00201343">
            <w:pPr>
              <w:pStyle w:val="Tabletext"/>
              <w:jc w:val="center"/>
              <w:rPr>
                <w:color w:val="000000"/>
                <w:sz w:val="18"/>
                <w:szCs w:val="18"/>
                <w:lang w:val="es-ES"/>
              </w:rPr>
            </w:pPr>
            <w:r w:rsidRPr="00A5733E">
              <w:rPr>
                <w:color w:val="000000"/>
                <w:lang w:val="es-ES"/>
              </w:rPr>
              <w:t>1×150, 1×30, 2×20, 2×15</w:t>
            </w:r>
          </w:p>
        </w:tc>
        <w:tc>
          <w:tcPr>
            <w:tcW w:w="1631" w:type="dxa"/>
            <w:hideMark/>
          </w:tcPr>
          <w:p w14:paraId="077C47F2" w14:textId="77777777" w:rsidR="00202E6A" w:rsidRPr="00A5733E" w:rsidRDefault="00202E6A" w:rsidP="00201343">
            <w:pPr>
              <w:pStyle w:val="Tabletext"/>
              <w:jc w:val="center"/>
              <w:rPr>
                <w:color w:val="000000"/>
                <w:sz w:val="18"/>
                <w:szCs w:val="18"/>
                <w:lang w:val="es-ES" w:eastAsia="en-GB"/>
              </w:rPr>
            </w:pPr>
          </w:p>
        </w:tc>
      </w:tr>
      <w:tr w:rsidR="00202E6A" w:rsidRPr="00A5733E" w14:paraId="5883BD11" w14:textId="77777777" w:rsidTr="00201343">
        <w:trPr>
          <w:cantSplit/>
          <w:jc w:val="center"/>
        </w:trPr>
        <w:tc>
          <w:tcPr>
            <w:tcW w:w="776" w:type="dxa"/>
            <w:noWrap/>
            <w:hideMark/>
          </w:tcPr>
          <w:p w14:paraId="5D966515"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TSB</w:t>
            </w:r>
          </w:p>
        </w:tc>
        <w:tc>
          <w:tcPr>
            <w:tcW w:w="3000" w:type="dxa"/>
            <w:noWrap/>
            <w:hideMark/>
          </w:tcPr>
          <w:p w14:paraId="6DB0AFDE" w14:textId="77777777" w:rsidR="00202E6A" w:rsidRPr="00A5733E" w:rsidRDefault="00202E6A" w:rsidP="00201343">
            <w:pPr>
              <w:pStyle w:val="Tabletext"/>
              <w:rPr>
                <w:sz w:val="18"/>
                <w:szCs w:val="18"/>
                <w:lang w:val="es-ES"/>
              </w:rPr>
            </w:pPr>
            <w:r w:rsidRPr="00A5733E">
              <w:rPr>
                <w:color w:val="000000"/>
                <w:lang w:val="es-ES"/>
              </w:rPr>
              <w:t>JVET</w:t>
            </w:r>
          </w:p>
        </w:tc>
        <w:tc>
          <w:tcPr>
            <w:tcW w:w="1459" w:type="dxa"/>
            <w:noWrap/>
            <w:hideMark/>
          </w:tcPr>
          <w:p w14:paraId="2E57BE4D" w14:textId="77777777" w:rsidR="00202E6A" w:rsidRPr="00A5733E" w:rsidRDefault="00202E6A" w:rsidP="00201343">
            <w:pPr>
              <w:pStyle w:val="Tabletext"/>
              <w:jc w:val="center"/>
              <w:rPr>
                <w:color w:val="000000"/>
                <w:sz w:val="18"/>
                <w:szCs w:val="18"/>
                <w:lang w:val="es-ES"/>
              </w:rPr>
            </w:pPr>
            <w:r w:rsidRPr="00A5733E">
              <w:rPr>
                <w:color w:val="000000"/>
                <w:lang w:val="es-ES"/>
              </w:rPr>
              <w:t>23/01/2029</w:t>
            </w:r>
          </w:p>
        </w:tc>
        <w:tc>
          <w:tcPr>
            <w:tcW w:w="1459" w:type="dxa"/>
            <w:noWrap/>
            <w:hideMark/>
          </w:tcPr>
          <w:p w14:paraId="772C641D" w14:textId="77777777" w:rsidR="00202E6A" w:rsidRPr="00A5733E" w:rsidRDefault="00202E6A" w:rsidP="00201343">
            <w:pPr>
              <w:pStyle w:val="Tabletext"/>
              <w:jc w:val="center"/>
              <w:rPr>
                <w:color w:val="000000"/>
                <w:sz w:val="18"/>
                <w:szCs w:val="18"/>
                <w:lang w:val="es-ES"/>
              </w:rPr>
            </w:pPr>
            <w:r w:rsidRPr="00A5733E">
              <w:rPr>
                <w:color w:val="000000"/>
                <w:lang w:val="es-ES"/>
              </w:rPr>
              <w:t>30/01/2029</w:t>
            </w:r>
          </w:p>
        </w:tc>
        <w:tc>
          <w:tcPr>
            <w:tcW w:w="1644" w:type="dxa"/>
            <w:hideMark/>
          </w:tcPr>
          <w:p w14:paraId="7D09AC0F" w14:textId="77777777" w:rsidR="00202E6A" w:rsidRPr="00A5733E" w:rsidRDefault="00202E6A" w:rsidP="00201343">
            <w:pPr>
              <w:pStyle w:val="Tabletext"/>
              <w:jc w:val="center"/>
              <w:rPr>
                <w:color w:val="000000"/>
                <w:sz w:val="18"/>
                <w:szCs w:val="18"/>
                <w:lang w:val="es-ES"/>
              </w:rPr>
            </w:pPr>
            <w:r w:rsidRPr="00A5733E">
              <w:rPr>
                <w:color w:val="000000"/>
                <w:lang w:val="es-ES"/>
              </w:rPr>
              <w:t>JVET 1×200, 1×100</w:t>
            </w:r>
          </w:p>
        </w:tc>
        <w:tc>
          <w:tcPr>
            <w:tcW w:w="1631" w:type="dxa"/>
            <w:hideMark/>
          </w:tcPr>
          <w:p w14:paraId="771AC1A5" w14:textId="77777777" w:rsidR="00202E6A" w:rsidRPr="00A5733E" w:rsidRDefault="00202E6A" w:rsidP="00201343">
            <w:pPr>
              <w:pStyle w:val="Tabletext"/>
              <w:jc w:val="center"/>
              <w:rPr>
                <w:color w:val="000000"/>
                <w:sz w:val="18"/>
                <w:szCs w:val="18"/>
                <w:lang w:val="es-ES" w:eastAsia="en-GB"/>
              </w:rPr>
            </w:pPr>
          </w:p>
        </w:tc>
      </w:tr>
      <w:tr w:rsidR="00202E6A" w:rsidRPr="00A5733E" w14:paraId="5CA4DB82" w14:textId="77777777" w:rsidTr="00201343">
        <w:trPr>
          <w:cantSplit/>
          <w:jc w:val="center"/>
        </w:trPr>
        <w:tc>
          <w:tcPr>
            <w:tcW w:w="776" w:type="dxa"/>
            <w:noWrap/>
            <w:hideMark/>
          </w:tcPr>
          <w:p w14:paraId="50F92531"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BR</w:t>
            </w:r>
          </w:p>
        </w:tc>
        <w:tc>
          <w:tcPr>
            <w:tcW w:w="3000" w:type="dxa"/>
            <w:noWrap/>
            <w:hideMark/>
          </w:tcPr>
          <w:p w14:paraId="0114B7D9" w14:textId="77777777" w:rsidR="00202E6A" w:rsidRPr="00A5733E" w:rsidRDefault="00202E6A" w:rsidP="00201343">
            <w:pPr>
              <w:pStyle w:val="Tabletext"/>
              <w:rPr>
                <w:sz w:val="18"/>
                <w:szCs w:val="18"/>
                <w:lang w:val="es-ES"/>
              </w:rPr>
            </w:pPr>
            <w:r w:rsidRPr="00A5733E">
              <w:rPr>
                <w:color w:val="000000"/>
                <w:lang w:val="es-ES"/>
              </w:rPr>
              <w:t>GT 5D</w:t>
            </w:r>
          </w:p>
        </w:tc>
        <w:tc>
          <w:tcPr>
            <w:tcW w:w="1459" w:type="dxa"/>
            <w:noWrap/>
            <w:hideMark/>
          </w:tcPr>
          <w:p w14:paraId="12DDBAA7" w14:textId="77777777" w:rsidR="00202E6A" w:rsidRPr="00A5733E" w:rsidRDefault="00202E6A" w:rsidP="00201343">
            <w:pPr>
              <w:pStyle w:val="Tabletext"/>
              <w:jc w:val="center"/>
              <w:rPr>
                <w:color w:val="000000"/>
                <w:sz w:val="18"/>
                <w:szCs w:val="18"/>
                <w:lang w:val="es-ES"/>
              </w:rPr>
            </w:pPr>
            <w:r w:rsidRPr="00A5733E">
              <w:rPr>
                <w:color w:val="000000"/>
                <w:lang w:val="es-ES"/>
              </w:rPr>
              <w:t>30/01/2029</w:t>
            </w:r>
          </w:p>
        </w:tc>
        <w:tc>
          <w:tcPr>
            <w:tcW w:w="1459" w:type="dxa"/>
            <w:noWrap/>
            <w:hideMark/>
          </w:tcPr>
          <w:p w14:paraId="5F4E62B2" w14:textId="77777777" w:rsidR="00202E6A" w:rsidRPr="00A5733E" w:rsidRDefault="00202E6A" w:rsidP="00201343">
            <w:pPr>
              <w:pStyle w:val="Tabletext"/>
              <w:jc w:val="center"/>
              <w:rPr>
                <w:color w:val="000000"/>
                <w:sz w:val="18"/>
                <w:szCs w:val="18"/>
                <w:lang w:val="es-ES"/>
              </w:rPr>
            </w:pPr>
            <w:r w:rsidRPr="00A5733E">
              <w:rPr>
                <w:color w:val="000000"/>
                <w:lang w:val="es-ES"/>
              </w:rPr>
              <w:t>08/02/2029</w:t>
            </w:r>
          </w:p>
        </w:tc>
        <w:tc>
          <w:tcPr>
            <w:tcW w:w="1644" w:type="dxa"/>
            <w:noWrap/>
            <w:hideMark/>
          </w:tcPr>
          <w:p w14:paraId="5D2D3DB0" w14:textId="77777777" w:rsidR="00202E6A" w:rsidRPr="00A5733E" w:rsidRDefault="00202E6A" w:rsidP="00201343">
            <w:pPr>
              <w:pStyle w:val="Tabletext"/>
              <w:jc w:val="center"/>
              <w:rPr>
                <w:color w:val="000000"/>
                <w:sz w:val="18"/>
                <w:szCs w:val="18"/>
                <w:lang w:val="es-ES"/>
              </w:rPr>
            </w:pPr>
            <w:r w:rsidRPr="00A5733E">
              <w:rPr>
                <w:color w:val="000000"/>
                <w:lang w:val="es-ES"/>
              </w:rPr>
              <w:t>1×250, 2×80</w:t>
            </w:r>
          </w:p>
        </w:tc>
        <w:tc>
          <w:tcPr>
            <w:tcW w:w="1631" w:type="dxa"/>
            <w:hideMark/>
          </w:tcPr>
          <w:p w14:paraId="2BA46434" w14:textId="77777777" w:rsidR="00202E6A" w:rsidRPr="00A5733E" w:rsidRDefault="00202E6A" w:rsidP="00201343">
            <w:pPr>
              <w:pStyle w:val="Tabletext"/>
              <w:jc w:val="center"/>
              <w:rPr>
                <w:color w:val="000000"/>
                <w:sz w:val="18"/>
                <w:szCs w:val="18"/>
                <w:lang w:val="es-ES"/>
              </w:rPr>
            </w:pPr>
            <w:r w:rsidRPr="00A5733E">
              <w:rPr>
                <w:color w:val="000000"/>
                <w:lang w:val="es-ES"/>
              </w:rPr>
              <w:t>2×30</w:t>
            </w:r>
          </w:p>
        </w:tc>
      </w:tr>
      <w:tr w:rsidR="00202E6A" w:rsidRPr="00A5733E" w14:paraId="52D8D9BC" w14:textId="77777777" w:rsidTr="00201343">
        <w:trPr>
          <w:cantSplit/>
          <w:trHeight w:val="293"/>
          <w:jc w:val="center"/>
        </w:trPr>
        <w:tc>
          <w:tcPr>
            <w:tcW w:w="776" w:type="dxa"/>
            <w:vMerge w:val="restart"/>
            <w:noWrap/>
            <w:hideMark/>
          </w:tcPr>
          <w:p w14:paraId="3B85E20B"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TSB</w:t>
            </w:r>
          </w:p>
        </w:tc>
        <w:tc>
          <w:tcPr>
            <w:tcW w:w="3000" w:type="dxa"/>
            <w:vMerge w:val="restart"/>
            <w:noWrap/>
            <w:hideMark/>
          </w:tcPr>
          <w:p w14:paraId="1A3D9558" w14:textId="58B8CEA7" w:rsidR="00202E6A" w:rsidRPr="00A5733E" w:rsidRDefault="00202E6A" w:rsidP="00201343">
            <w:pPr>
              <w:pStyle w:val="Tabletext"/>
              <w:rPr>
                <w:sz w:val="18"/>
                <w:szCs w:val="18"/>
                <w:lang w:val="es-ES"/>
              </w:rPr>
            </w:pPr>
            <w:r w:rsidRPr="00A5733E">
              <w:rPr>
                <w:color w:val="000000"/>
                <w:lang w:val="es-ES"/>
              </w:rPr>
              <w:t>CE</w:t>
            </w:r>
            <w:r w:rsidR="00693161" w:rsidRPr="00A5733E">
              <w:rPr>
                <w:color w:val="000000"/>
                <w:lang w:val="es-ES"/>
              </w:rPr>
              <w:t> </w:t>
            </w:r>
            <w:r w:rsidRPr="00A5733E">
              <w:rPr>
                <w:color w:val="000000"/>
                <w:lang w:val="es-ES"/>
              </w:rPr>
              <w:t>5</w:t>
            </w:r>
          </w:p>
        </w:tc>
        <w:tc>
          <w:tcPr>
            <w:tcW w:w="1459" w:type="dxa"/>
            <w:vMerge w:val="restart"/>
            <w:noWrap/>
            <w:hideMark/>
          </w:tcPr>
          <w:p w14:paraId="4797002C" w14:textId="77777777" w:rsidR="00202E6A" w:rsidRPr="00A5733E" w:rsidRDefault="00202E6A" w:rsidP="00201343">
            <w:pPr>
              <w:pStyle w:val="Tabletext"/>
              <w:jc w:val="center"/>
              <w:rPr>
                <w:color w:val="000000"/>
                <w:sz w:val="18"/>
                <w:szCs w:val="18"/>
                <w:lang w:val="es-ES"/>
              </w:rPr>
            </w:pPr>
            <w:r w:rsidRPr="00A5733E">
              <w:rPr>
                <w:color w:val="000000"/>
                <w:lang w:val="es-ES"/>
              </w:rPr>
              <w:t>05/02/2029</w:t>
            </w:r>
          </w:p>
        </w:tc>
        <w:tc>
          <w:tcPr>
            <w:tcW w:w="1459" w:type="dxa"/>
            <w:vMerge w:val="restart"/>
            <w:noWrap/>
            <w:hideMark/>
          </w:tcPr>
          <w:p w14:paraId="06EE8276" w14:textId="77777777" w:rsidR="00202E6A" w:rsidRPr="00A5733E" w:rsidRDefault="00202E6A" w:rsidP="00201343">
            <w:pPr>
              <w:pStyle w:val="Tabletext"/>
              <w:jc w:val="center"/>
              <w:rPr>
                <w:color w:val="000000"/>
                <w:sz w:val="18"/>
                <w:szCs w:val="18"/>
                <w:lang w:val="es-ES"/>
              </w:rPr>
            </w:pPr>
            <w:r w:rsidRPr="00A5733E">
              <w:rPr>
                <w:color w:val="000000"/>
                <w:lang w:val="es-ES"/>
              </w:rPr>
              <w:t>13/02/2029</w:t>
            </w:r>
          </w:p>
        </w:tc>
        <w:tc>
          <w:tcPr>
            <w:tcW w:w="1644" w:type="dxa"/>
            <w:vMerge w:val="restart"/>
            <w:noWrap/>
            <w:hideMark/>
          </w:tcPr>
          <w:p w14:paraId="070FA09E" w14:textId="77777777" w:rsidR="00202E6A" w:rsidRPr="00A5733E" w:rsidRDefault="00202E6A" w:rsidP="00201343">
            <w:pPr>
              <w:pStyle w:val="Tabletext"/>
              <w:jc w:val="center"/>
              <w:rPr>
                <w:color w:val="000000"/>
                <w:sz w:val="18"/>
                <w:szCs w:val="18"/>
                <w:lang w:val="es-ES"/>
              </w:rPr>
            </w:pPr>
            <w:r w:rsidRPr="00A5733E">
              <w:rPr>
                <w:color w:val="000000"/>
                <w:lang w:val="es-ES"/>
              </w:rPr>
              <w:t>1×150, 2×50, 3×30, 2×15</w:t>
            </w:r>
          </w:p>
        </w:tc>
        <w:tc>
          <w:tcPr>
            <w:tcW w:w="1631" w:type="dxa"/>
            <w:vMerge w:val="restart"/>
            <w:hideMark/>
          </w:tcPr>
          <w:p w14:paraId="7D918644" w14:textId="77777777" w:rsidR="00202E6A" w:rsidRPr="00A5733E" w:rsidRDefault="00202E6A" w:rsidP="00201343">
            <w:pPr>
              <w:pStyle w:val="Tabletext"/>
              <w:jc w:val="center"/>
              <w:rPr>
                <w:color w:val="000000"/>
                <w:sz w:val="18"/>
                <w:szCs w:val="18"/>
                <w:lang w:val="es-ES" w:eastAsia="en-GB"/>
              </w:rPr>
            </w:pPr>
          </w:p>
        </w:tc>
      </w:tr>
      <w:tr w:rsidR="00202E6A" w:rsidRPr="00A5733E" w14:paraId="6973F30D" w14:textId="77777777" w:rsidTr="00201343">
        <w:trPr>
          <w:cantSplit/>
          <w:trHeight w:val="300"/>
          <w:jc w:val="center"/>
        </w:trPr>
        <w:tc>
          <w:tcPr>
            <w:tcW w:w="776" w:type="dxa"/>
            <w:vMerge/>
            <w:hideMark/>
          </w:tcPr>
          <w:p w14:paraId="6425E506" w14:textId="77777777" w:rsidR="00202E6A" w:rsidRPr="00A5733E" w:rsidRDefault="00202E6A" w:rsidP="00201343">
            <w:pPr>
              <w:pStyle w:val="Tabletext"/>
              <w:ind w:left="-57" w:right="-57"/>
              <w:jc w:val="center"/>
              <w:rPr>
                <w:color w:val="000000"/>
                <w:sz w:val="18"/>
                <w:szCs w:val="18"/>
                <w:lang w:val="es-ES" w:eastAsia="en-GB"/>
              </w:rPr>
            </w:pPr>
          </w:p>
        </w:tc>
        <w:tc>
          <w:tcPr>
            <w:tcW w:w="3000" w:type="dxa"/>
            <w:vMerge/>
            <w:hideMark/>
          </w:tcPr>
          <w:p w14:paraId="1CD00E51" w14:textId="77777777" w:rsidR="00202E6A" w:rsidRPr="00A5733E" w:rsidRDefault="00202E6A" w:rsidP="00201343">
            <w:pPr>
              <w:pStyle w:val="Tabletext"/>
              <w:rPr>
                <w:sz w:val="18"/>
                <w:szCs w:val="18"/>
                <w:lang w:val="es-ES" w:eastAsia="en-GB"/>
              </w:rPr>
            </w:pPr>
          </w:p>
        </w:tc>
        <w:tc>
          <w:tcPr>
            <w:tcW w:w="1459" w:type="dxa"/>
            <w:vMerge/>
            <w:hideMark/>
          </w:tcPr>
          <w:p w14:paraId="74C20BEB" w14:textId="77777777" w:rsidR="00202E6A" w:rsidRPr="00A5733E" w:rsidRDefault="00202E6A" w:rsidP="00201343">
            <w:pPr>
              <w:pStyle w:val="Tabletext"/>
              <w:jc w:val="center"/>
              <w:rPr>
                <w:color w:val="000000"/>
                <w:sz w:val="18"/>
                <w:szCs w:val="18"/>
                <w:lang w:val="es-ES" w:eastAsia="en-GB"/>
              </w:rPr>
            </w:pPr>
          </w:p>
        </w:tc>
        <w:tc>
          <w:tcPr>
            <w:tcW w:w="1459" w:type="dxa"/>
            <w:vMerge/>
            <w:hideMark/>
          </w:tcPr>
          <w:p w14:paraId="5350360C" w14:textId="77777777" w:rsidR="00202E6A" w:rsidRPr="00A5733E" w:rsidRDefault="00202E6A" w:rsidP="00201343">
            <w:pPr>
              <w:pStyle w:val="Tabletext"/>
              <w:jc w:val="center"/>
              <w:rPr>
                <w:color w:val="000000"/>
                <w:sz w:val="18"/>
                <w:szCs w:val="18"/>
                <w:lang w:val="es-ES" w:eastAsia="en-GB"/>
              </w:rPr>
            </w:pPr>
          </w:p>
        </w:tc>
        <w:tc>
          <w:tcPr>
            <w:tcW w:w="1644" w:type="dxa"/>
            <w:vMerge/>
            <w:hideMark/>
          </w:tcPr>
          <w:p w14:paraId="473657FB" w14:textId="77777777" w:rsidR="00202E6A" w:rsidRPr="00A5733E" w:rsidRDefault="00202E6A" w:rsidP="00201343">
            <w:pPr>
              <w:pStyle w:val="Tabletext"/>
              <w:jc w:val="center"/>
              <w:rPr>
                <w:color w:val="000000"/>
                <w:sz w:val="18"/>
                <w:szCs w:val="18"/>
                <w:lang w:val="es-ES" w:eastAsia="en-GB"/>
              </w:rPr>
            </w:pPr>
          </w:p>
        </w:tc>
        <w:tc>
          <w:tcPr>
            <w:tcW w:w="1631" w:type="dxa"/>
            <w:vMerge/>
            <w:hideMark/>
          </w:tcPr>
          <w:p w14:paraId="0ADA0810" w14:textId="77777777" w:rsidR="00202E6A" w:rsidRPr="00A5733E" w:rsidRDefault="00202E6A" w:rsidP="00201343">
            <w:pPr>
              <w:pStyle w:val="Tabletext"/>
              <w:jc w:val="center"/>
              <w:rPr>
                <w:color w:val="000000"/>
                <w:sz w:val="18"/>
                <w:szCs w:val="18"/>
                <w:lang w:val="es-ES" w:eastAsia="en-GB"/>
              </w:rPr>
            </w:pPr>
          </w:p>
        </w:tc>
      </w:tr>
      <w:tr w:rsidR="00202E6A" w:rsidRPr="00A5733E" w14:paraId="1637C717" w14:textId="77777777" w:rsidTr="00201343">
        <w:trPr>
          <w:cantSplit/>
          <w:jc w:val="center"/>
        </w:trPr>
        <w:tc>
          <w:tcPr>
            <w:tcW w:w="776" w:type="dxa"/>
            <w:noWrap/>
            <w:hideMark/>
          </w:tcPr>
          <w:p w14:paraId="20401E21"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BR</w:t>
            </w:r>
          </w:p>
        </w:tc>
        <w:tc>
          <w:tcPr>
            <w:tcW w:w="3000" w:type="dxa"/>
            <w:noWrap/>
            <w:hideMark/>
          </w:tcPr>
          <w:p w14:paraId="56D09AC0" w14:textId="77777777" w:rsidR="00202E6A" w:rsidRPr="00A5733E" w:rsidRDefault="00202E6A" w:rsidP="00201343">
            <w:pPr>
              <w:pStyle w:val="Tabletext"/>
              <w:rPr>
                <w:sz w:val="18"/>
                <w:szCs w:val="18"/>
                <w:lang w:val="es-ES"/>
              </w:rPr>
            </w:pPr>
            <w:r w:rsidRPr="00A5733E">
              <w:rPr>
                <w:color w:val="000000"/>
                <w:lang w:val="es-ES"/>
              </w:rPr>
              <w:t>GT 3J-K-L-M</w:t>
            </w:r>
          </w:p>
        </w:tc>
        <w:tc>
          <w:tcPr>
            <w:tcW w:w="1459" w:type="dxa"/>
            <w:noWrap/>
            <w:hideMark/>
          </w:tcPr>
          <w:p w14:paraId="1BCD8B86" w14:textId="77777777" w:rsidR="00202E6A" w:rsidRPr="00A5733E" w:rsidRDefault="00202E6A" w:rsidP="00201343">
            <w:pPr>
              <w:pStyle w:val="Tabletext"/>
              <w:jc w:val="center"/>
              <w:rPr>
                <w:color w:val="000000"/>
                <w:sz w:val="18"/>
                <w:szCs w:val="18"/>
                <w:lang w:val="es-ES"/>
              </w:rPr>
            </w:pPr>
            <w:r w:rsidRPr="00A5733E">
              <w:rPr>
                <w:color w:val="000000"/>
                <w:lang w:val="es-ES"/>
              </w:rPr>
              <w:t>19/02/2029</w:t>
            </w:r>
          </w:p>
        </w:tc>
        <w:tc>
          <w:tcPr>
            <w:tcW w:w="1459" w:type="dxa"/>
            <w:noWrap/>
            <w:hideMark/>
          </w:tcPr>
          <w:p w14:paraId="376E4A01" w14:textId="77777777" w:rsidR="00202E6A" w:rsidRPr="00A5733E" w:rsidRDefault="00202E6A" w:rsidP="00201343">
            <w:pPr>
              <w:pStyle w:val="Tabletext"/>
              <w:jc w:val="center"/>
              <w:rPr>
                <w:color w:val="000000"/>
                <w:sz w:val="18"/>
                <w:szCs w:val="18"/>
                <w:lang w:val="es-ES"/>
              </w:rPr>
            </w:pPr>
            <w:r w:rsidRPr="00A5733E">
              <w:rPr>
                <w:color w:val="000000"/>
                <w:lang w:val="es-ES"/>
              </w:rPr>
              <w:t>23/02/2029</w:t>
            </w:r>
          </w:p>
        </w:tc>
        <w:tc>
          <w:tcPr>
            <w:tcW w:w="1644" w:type="dxa"/>
            <w:noWrap/>
            <w:hideMark/>
          </w:tcPr>
          <w:p w14:paraId="1D19D64B" w14:textId="77777777" w:rsidR="00202E6A" w:rsidRPr="00A5733E" w:rsidRDefault="00202E6A" w:rsidP="00201343">
            <w:pPr>
              <w:pStyle w:val="Tabletext"/>
              <w:jc w:val="center"/>
              <w:rPr>
                <w:color w:val="000000"/>
                <w:sz w:val="18"/>
                <w:szCs w:val="18"/>
                <w:lang w:val="es-ES"/>
              </w:rPr>
            </w:pPr>
            <w:r w:rsidRPr="00A5733E">
              <w:rPr>
                <w:color w:val="000000"/>
                <w:lang w:val="es-ES"/>
              </w:rPr>
              <w:t>1×100, 2×50</w:t>
            </w:r>
          </w:p>
        </w:tc>
        <w:tc>
          <w:tcPr>
            <w:tcW w:w="1631" w:type="dxa"/>
            <w:hideMark/>
          </w:tcPr>
          <w:p w14:paraId="033EAB21" w14:textId="77777777" w:rsidR="00202E6A" w:rsidRPr="00A5733E" w:rsidRDefault="00202E6A" w:rsidP="00201343">
            <w:pPr>
              <w:pStyle w:val="Tabletext"/>
              <w:jc w:val="center"/>
              <w:rPr>
                <w:color w:val="000000"/>
                <w:sz w:val="18"/>
                <w:szCs w:val="18"/>
                <w:lang w:val="es-ES"/>
              </w:rPr>
            </w:pPr>
            <w:r w:rsidRPr="00A5733E">
              <w:rPr>
                <w:color w:val="000000"/>
                <w:lang w:val="es-ES"/>
              </w:rPr>
              <w:t>2×30</w:t>
            </w:r>
          </w:p>
        </w:tc>
      </w:tr>
      <w:tr w:rsidR="00202E6A" w:rsidRPr="00A5733E" w14:paraId="4C580C66" w14:textId="77777777" w:rsidTr="00201343">
        <w:trPr>
          <w:cantSplit/>
          <w:trHeight w:val="293"/>
          <w:jc w:val="center"/>
        </w:trPr>
        <w:tc>
          <w:tcPr>
            <w:tcW w:w="776" w:type="dxa"/>
            <w:vMerge w:val="restart"/>
            <w:noWrap/>
            <w:hideMark/>
          </w:tcPr>
          <w:p w14:paraId="74DD7660"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CE</w:t>
            </w:r>
          </w:p>
        </w:tc>
        <w:tc>
          <w:tcPr>
            <w:tcW w:w="3000" w:type="dxa"/>
            <w:vMerge w:val="restart"/>
            <w:noWrap/>
            <w:hideMark/>
          </w:tcPr>
          <w:p w14:paraId="6F133A7B" w14:textId="77777777" w:rsidR="00202E6A" w:rsidRPr="00A5733E" w:rsidRDefault="00202E6A" w:rsidP="00201343">
            <w:pPr>
              <w:pStyle w:val="Tabletext"/>
              <w:rPr>
                <w:sz w:val="18"/>
                <w:szCs w:val="18"/>
                <w:lang w:val="es-ES"/>
              </w:rPr>
            </w:pPr>
            <w:r w:rsidRPr="00A5733E">
              <w:rPr>
                <w:color w:val="000000"/>
                <w:lang w:val="es-ES"/>
              </w:rPr>
              <w:t>GTC 29.1</w:t>
            </w:r>
          </w:p>
        </w:tc>
        <w:tc>
          <w:tcPr>
            <w:tcW w:w="1459" w:type="dxa"/>
            <w:vMerge w:val="restart"/>
            <w:noWrap/>
            <w:hideMark/>
          </w:tcPr>
          <w:p w14:paraId="4FB77964" w14:textId="77777777" w:rsidR="00202E6A" w:rsidRPr="00A5733E" w:rsidRDefault="00202E6A" w:rsidP="00201343">
            <w:pPr>
              <w:pStyle w:val="Tabletext"/>
              <w:jc w:val="center"/>
              <w:rPr>
                <w:color w:val="000000"/>
                <w:sz w:val="18"/>
                <w:szCs w:val="18"/>
                <w:lang w:val="es-ES"/>
              </w:rPr>
            </w:pPr>
            <w:r w:rsidRPr="00A5733E">
              <w:rPr>
                <w:color w:val="000000"/>
                <w:lang w:val="es-ES"/>
              </w:rPr>
              <w:t>19/02/2029</w:t>
            </w:r>
          </w:p>
        </w:tc>
        <w:tc>
          <w:tcPr>
            <w:tcW w:w="1459" w:type="dxa"/>
            <w:vMerge w:val="restart"/>
            <w:noWrap/>
            <w:hideMark/>
          </w:tcPr>
          <w:p w14:paraId="4CB8E325" w14:textId="77777777" w:rsidR="00202E6A" w:rsidRPr="00A5733E" w:rsidRDefault="00202E6A" w:rsidP="00201343">
            <w:pPr>
              <w:pStyle w:val="Tabletext"/>
              <w:jc w:val="center"/>
              <w:rPr>
                <w:color w:val="000000"/>
                <w:sz w:val="18"/>
                <w:szCs w:val="18"/>
                <w:lang w:val="es-ES"/>
              </w:rPr>
            </w:pPr>
            <w:r w:rsidRPr="00A5733E">
              <w:rPr>
                <w:color w:val="000000"/>
                <w:lang w:val="es-ES"/>
              </w:rPr>
              <w:t>02/03/2029</w:t>
            </w:r>
          </w:p>
        </w:tc>
        <w:tc>
          <w:tcPr>
            <w:tcW w:w="1644" w:type="dxa"/>
            <w:vMerge w:val="restart"/>
            <w:noWrap/>
            <w:hideMark/>
          </w:tcPr>
          <w:p w14:paraId="6BEED8E8" w14:textId="77777777" w:rsidR="00202E6A" w:rsidRPr="00A5733E" w:rsidRDefault="00202E6A" w:rsidP="00201343">
            <w:pPr>
              <w:pStyle w:val="Tabletext"/>
              <w:jc w:val="center"/>
              <w:rPr>
                <w:color w:val="444444"/>
                <w:sz w:val="18"/>
                <w:szCs w:val="18"/>
                <w:lang w:val="es-ES"/>
              </w:rPr>
            </w:pPr>
            <w:r w:rsidRPr="00A5733E">
              <w:rPr>
                <w:color w:val="000000"/>
                <w:lang w:val="es-ES"/>
              </w:rPr>
              <w:t>1×150, 1×80</w:t>
            </w:r>
          </w:p>
        </w:tc>
        <w:tc>
          <w:tcPr>
            <w:tcW w:w="1631" w:type="dxa"/>
            <w:vMerge w:val="restart"/>
            <w:noWrap/>
            <w:hideMark/>
          </w:tcPr>
          <w:p w14:paraId="45042DA6" w14:textId="77777777" w:rsidR="00202E6A" w:rsidRPr="00A5733E" w:rsidRDefault="00202E6A" w:rsidP="00201343">
            <w:pPr>
              <w:pStyle w:val="Tabletext"/>
              <w:jc w:val="center"/>
              <w:rPr>
                <w:color w:val="444444"/>
                <w:sz w:val="18"/>
                <w:szCs w:val="18"/>
                <w:lang w:val="es-ES" w:eastAsia="en-GB"/>
              </w:rPr>
            </w:pPr>
          </w:p>
        </w:tc>
      </w:tr>
      <w:tr w:rsidR="00202E6A" w:rsidRPr="00A5733E" w14:paraId="5558A91F" w14:textId="77777777" w:rsidTr="00201343">
        <w:trPr>
          <w:cantSplit/>
          <w:trHeight w:val="300"/>
          <w:jc w:val="center"/>
        </w:trPr>
        <w:tc>
          <w:tcPr>
            <w:tcW w:w="776" w:type="dxa"/>
            <w:vMerge/>
            <w:hideMark/>
          </w:tcPr>
          <w:p w14:paraId="68E08FC0" w14:textId="77777777" w:rsidR="00202E6A" w:rsidRPr="00A5733E" w:rsidRDefault="00202E6A" w:rsidP="00201343">
            <w:pPr>
              <w:pStyle w:val="Tabletext"/>
              <w:ind w:left="-57" w:right="-57"/>
              <w:jc w:val="center"/>
              <w:rPr>
                <w:color w:val="000000"/>
                <w:sz w:val="18"/>
                <w:szCs w:val="18"/>
                <w:lang w:val="es-ES" w:eastAsia="en-GB"/>
              </w:rPr>
            </w:pPr>
          </w:p>
        </w:tc>
        <w:tc>
          <w:tcPr>
            <w:tcW w:w="3000" w:type="dxa"/>
            <w:vMerge/>
            <w:hideMark/>
          </w:tcPr>
          <w:p w14:paraId="09F7ABC5" w14:textId="77777777" w:rsidR="00202E6A" w:rsidRPr="00A5733E" w:rsidRDefault="00202E6A" w:rsidP="00201343">
            <w:pPr>
              <w:pStyle w:val="Tabletext"/>
              <w:rPr>
                <w:sz w:val="18"/>
                <w:szCs w:val="18"/>
                <w:lang w:val="es-ES" w:eastAsia="en-GB"/>
              </w:rPr>
            </w:pPr>
          </w:p>
        </w:tc>
        <w:tc>
          <w:tcPr>
            <w:tcW w:w="1459" w:type="dxa"/>
            <w:vMerge/>
            <w:hideMark/>
          </w:tcPr>
          <w:p w14:paraId="7D855112" w14:textId="77777777" w:rsidR="00202E6A" w:rsidRPr="00A5733E" w:rsidRDefault="00202E6A" w:rsidP="00201343">
            <w:pPr>
              <w:pStyle w:val="Tabletext"/>
              <w:jc w:val="center"/>
              <w:rPr>
                <w:color w:val="000000"/>
                <w:sz w:val="18"/>
                <w:szCs w:val="18"/>
                <w:lang w:val="es-ES" w:eastAsia="en-GB"/>
              </w:rPr>
            </w:pPr>
          </w:p>
        </w:tc>
        <w:tc>
          <w:tcPr>
            <w:tcW w:w="1459" w:type="dxa"/>
            <w:vMerge/>
            <w:hideMark/>
          </w:tcPr>
          <w:p w14:paraId="7E841BB1" w14:textId="77777777" w:rsidR="00202E6A" w:rsidRPr="00A5733E" w:rsidRDefault="00202E6A" w:rsidP="00201343">
            <w:pPr>
              <w:pStyle w:val="Tabletext"/>
              <w:jc w:val="center"/>
              <w:rPr>
                <w:color w:val="000000"/>
                <w:sz w:val="18"/>
                <w:szCs w:val="18"/>
                <w:lang w:val="es-ES" w:eastAsia="en-GB"/>
              </w:rPr>
            </w:pPr>
          </w:p>
        </w:tc>
        <w:tc>
          <w:tcPr>
            <w:tcW w:w="1644" w:type="dxa"/>
            <w:vMerge/>
            <w:hideMark/>
          </w:tcPr>
          <w:p w14:paraId="2D2754C1" w14:textId="77777777" w:rsidR="00202E6A" w:rsidRPr="00A5733E" w:rsidRDefault="00202E6A" w:rsidP="00201343">
            <w:pPr>
              <w:pStyle w:val="Tabletext"/>
              <w:jc w:val="center"/>
              <w:rPr>
                <w:color w:val="444444"/>
                <w:sz w:val="18"/>
                <w:szCs w:val="18"/>
                <w:lang w:val="es-ES" w:eastAsia="en-GB"/>
              </w:rPr>
            </w:pPr>
          </w:p>
        </w:tc>
        <w:tc>
          <w:tcPr>
            <w:tcW w:w="1631" w:type="dxa"/>
            <w:vMerge/>
            <w:hideMark/>
          </w:tcPr>
          <w:p w14:paraId="58EB48E7" w14:textId="77777777" w:rsidR="00202E6A" w:rsidRPr="00A5733E" w:rsidRDefault="00202E6A" w:rsidP="00201343">
            <w:pPr>
              <w:pStyle w:val="Tabletext"/>
              <w:jc w:val="center"/>
              <w:rPr>
                <w:color w:val="444444"/>
                <w:sz w:val="18"/>
                <w:szCs w:val="18"/>
                <w:lang w:val="es-ES" w:eastAsia="en-GB"/>
              </w:rPr>
            </w:pPr>
          </w:p>
        </w:tc>
      </w:tr>
      <w:tr w:rsidR="00202E6A" w:rsidRPr="00A5733E" w14:paraId="4D2995B5" w14:textId="77777777" w:rsidTr="00201343">
        <w:trPr>
          <w:cantSplit/>
          <w:jc w:val="center"/>
        </w:trPr>
        <w:tc>
          <w:tcPr>
            <w:tcW w:w="776" w:type="dxa"/>
            <w:noWrap/>
            <w:hideMark/>
          </w:tcPr>
          <w:p w14:paraId="455CF6FC"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BR</w:t>
            </w:r>
          </w:p>
        </w:tc>
        <w:tc>
          <w:tcPr>
            <w:tcW w:w="3000" w:type="dxa"/>
            <w:noWrap/>
            <w:hideMark/>
          </w:tcPr>
          <w:p w14:paraId="1A7BEA88" w14:textId="77777777" w:rsidR="00202E6A" w:rsidRPr="00A5733E" w:rsidRDefault="00202E6A" w:rsidP="00201343">
            <w:pPr>
              <w:pStyle w:val="Tabletext"/>
              <w:rPr>
                <w:sz w:val="18"/>
                <w:szCs w:val="18"/>
                <w:lang w:val="es-ES"/>
              </w:rPr>
            </w:pPr>
            <w:r w:rsidRPr="00A5733E">
              <w:rPr>
                <w:color w:val="000000"/>
                <w:lang w:val="es-ES"/>
              </w:rPr>
              <w:t>GT 7A-B-C-D</w:t>
            </w:r>
          </w:p>
        </w:tc>
        <w:tc>
          <w:tcPr>
            <w:tcW w:w="1459" w:type="dxa"/>
            <w:noWrap/>
            <w:hideMark/>
          </w:tcPr>
          <w:p w14:paraId="1EE113BD" w14:textId="77777777" w:rsidR="00202E6A" w:rsidRPr="00A5733E" w:rsidRDefault="00202E6A" w:rsidP="00201343">
            <w:pPr>
              <w:pStyle w:val="Tabletext"/>
              <w:jc w:val="center"/>
              <w:rPr>
                <w:color w:val="000000"/>
                <w:sz w:val="18"/>
                <w:szCs w:val="18"/>
                <w:lang w:val="es-ES"/>
              </w:rPr>
            </w:pPr>
            <w:r w:rsidRPr="00A5733E">
              <w:rPr>
                <w:color w:val="000000"/>
                <w:lang w:val="es-ES"/>
              </w:rPr>
              <w:t>26/02/2029</w:t>
            </w:r>
          </w:p>
        </w:tc>
        <w:tc>
          <w:tcPr>
            <w:tcW w:w="1459" w:type="dxa"/>
            <w:noWrap/>
            <w:hideMark/>
          </w:tcPr>
          <w:p w14:paraId="3BBEF335" w14:textId="77777777" w:rsidR="00202E6A" w:rsidRPr="00A5733E" w:rsidRDefault="00202E6A" w:rsidP="00201343">
            <w:pPr>
              <w:pStyle w:val="Tabletext"/>
              <w:jc w:val="center"/>
              <w:rPr>
                <w:color w:val="000000"/>
                <w:sz w:val="18"/>
                <w:szCs w:val="18"/>
                <w:lang w:val="es-ES"/>
              </w:rPr>
            </w:pPr>
            <w:r w:rsidRPr="00A5733E">
              <w:rPr>
                <w:color w:val="000000"/>
                <w:lang w:val="es-ES"/>
              </w:rPr>
              <w:t>08/03/2029</w:t>
            </w:r>
          </w:p>
        </w:tc>
        <w:tc>
          <w:tcPr>
            <w:tcW w:w="1644" w:type="dxa"/>
            <w:noWrap/>
            <w:hideMark/>
          </w:tcPr>
          <w:p w14:paraId="2784FEEA" w14:textId="77777777" w:rsidR="00202E6A" w:rsidRPr="00A5733E" w:rsidRDefault="00202E6A" w:rsidP="00201343">
            <w:pPr>
              <w:pStyle w:val="Tabletext"/>
              <w:jc w:val="center"/>
              <w:rPr>
                <w:color w:val="000000"/>
                <w:sz w:val="18"/>
                <w:szCs w:val="18"/>
                <w:lang w:val="es-ES"/>
              </w:rPr>
            </w:pPr>
            <w:r w:rsidRPr="00A5733E">
              <w:rPr>
                <w:color w:val="000000"/>
                <w:lang w:val="es-ES"/>
              </w:rPr>
              <w:t>2×80, 2×40</w:t>
            </w:r>
          </w:p>
        </w:tc>
        <w:tc>
          <w:tcPr>
            <w:tcW w:w="1631" w:type="dxa"/>
            <w:hideMark/>
          </w:tcPr>
          <w:p w14:paraId="34341580" w14:textId="77777777" w:rsidR="00202E6A" w:rsidRPr="00A5733E" w:rsidRDefault="00202E6A" w:rsidP="00201343">
            <w:pPr>
              <w:pStyle w:val="Tabletext"/>
              <w:jc w:val="center"/>
              <w:rPr>
                <w:color w:val="000000"/>
                <w:sz w:val="18"/>
                <w:szCs w:val="18"/>
                <w:lang w:val="es-ES"/>
              </w:rPr>
            </w:pPr>
            <w:r w:rsidRPr="00A5733E">
              <w:rPr>
                <w:color w:val="000000"/>
                <w:lang w:val="es-ES"/>
              </w:rPr>
              <w:t>1×30</w:t>
            </w:r>
          </w:p>
        </w:tc>
      </w:tr>
      <w:tr w:rsidR="00202E6A" w:rsidRPr="00A5733E" w14:paraId="5211F0C3" w14:textId="77777777" w:rsidTr="00201343">
        <w:trPr>
          <w:cantSplit/>
          <w:jc w:val="center"/>
        </w:trPr>
        <w:tc>
          <w:tcPr>
            <w:tcW w:w="776" w:type="dxa"/>
            <w:noWrap/>
            <w:hideMark/>
          </w:tcPr>
          <w:p w14:paraId="4F612229"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lastRenderedPageBreak/>
              <w:t>TSB</w:t>
            </w:r>
          </w:p>
        </w:tc>
        <w:tc>
          <w:tcPr>
            <w:tcW w:w="3000" w:type="dxa"/>
            <w:noWrap/>
            <w:hideMark/>
          </w:tcPr>
          <w:p w14:paraId="5C685DD4" w14:textId="65660776" w:rsidR="00202E6A" w:rsidRPr="00A5733E" w:rsidRDefault="00202E6A" w:rsidP="00201343">
            <w:pPr>
              <w:pStyle w:val="Tabletext"/>
              <w:rPr>
                <w:sz w:val="18"/>
                <w:szCs w:val="18"/>
                <w:lang w:val="es-ES"/>
              </w:rPr>
            </w:pPr>
            <w:r w:rsidRPr="00A5733E">
              <w:rPr>
                <w:color w:val="000000"/>
                <w:lang w:val="es-ES"/>
              </w:rPr>
              <w:t>CE</w:t>
            </w:r>
            <w:r w:rsidR="00693161" w:rsidRPr="00A5733E">
              <w:rPr>
                <w:color w:val="000000"/>
                <w:lang w:val="es-ES"/>
              </w:rPr>
              <w:t> </w:t>
            </w:r>
            <w:r w:rsidRPr="00A5733E">
              <w:rPr>
                <w:color w:val="000000"/>
                <w:lang w:val="es-ES"/>
              </w:rPr>
              <w:t>20</w:t>
            </w:r>
          </w:p>
        </w:tc>
        <w:tc>
          <w:tcPr>
            <w:tcW w:w="1459" w:type="dxa"/>
            <w:noWrap/>
            <w:hideMark/>
          </w:tcPr>
          <w:p w14:paraId="2AE46D2D" w14:textId="77777777" w:rsidR="00202E6A" w:rsidRPr="00A5733E" w:rsidRDefault="00202E6A" w:rsidP="00201343">
            <w:pPr>
              <w:pStyle w:val="Tabletext"/>
              <w:jc w:val="center"/>
              <w:rPr>
                <w:color w:val="000000"/>
                <w:sz w:val="18"/>
                <w:szCs w:val="18"/>
                <w:lang w:val="es-ES"/>
              </w:rPr>
            </w:pPr>
            <w:r w:rsidRPr="00A5733E">
              <w:rPr>
                <w:color w:val="000000"/>
                <w:lang w:val="es-ES"/>
              </w:rPr>
              <w:t>28/02/2029</w:t>
            </w:r>
          </w:p>
        </w:tc>
        <w:tc>
          <w:tcPr>
            <w:tcW w:w="1459" w:type="dxa"/>
            <w:noWrap/>
            <w:hideMark/>
          </w:tcPr>
          <w:p w14:paraId="183D250D" w14:textId="77777777" w:rsidR="00202E6A" w:rsidRPr="00A5733E" w:rsidRDefault="00202E6A" w:rsidP="00201343">
            <w:pPr>
              <w:pStyle w:val="Tabletext"/>
              <w:jc w:val="center"/>
              <w:rPr>
                <w:color w:val="000000"/>
                <w:sz w:val="18"/>
                <w:szCs w:val="18"/>
                <w:lang w:val="es-ES"/>
              </w:rPr>
            </w:pPr>
            <w:r w:rsidRPr="00A5733E">
              <w:rPr>
                <w:color w:val="000000"/>
                <w:lang w:val="es-ES"/>
              </w:rPr>
              <w:t>08/03/2029</w:t>
            </w:r>
          </w:p>
        </w:tc>
        <w:tc>
          <w:tcPr>
            <w:tcW w:w="1644" w:type="dxa"/>
            <w:hideMark/>
          </w:tcPr>
          <w:p w14:paraId="7CC3250F" w14:textId="77777777" w:rsidR="00202E6A" w:rsidRPr="00A5733E" w:rsidRDefault="00202E6A" w:rsidP="00201343">
            <w:pPr>
              <w:pStyle w:val="Tabletext"/>
              <w:ind w:left="-57" w:right="-57"/>
              <w:jc w:val="center"/>
              <w:rPr>
                <w:sz w:val="18"/>
                <w:szCs w:val="18"/>
                <w:lang w:val="es-ES"/>
              </w:rPr>
            </w:pPr>
            <w:r w:rsidRPr="00A5733E">
              <w:rPr>
                <w:color w:val="000000"/>
                <w:lang w:val="es-ES"/>
              </w:rPr>
              <w:t>1×120 (apertura y cierre), 3×30, 2×15, 2×10</w:t>
            </w:r>
          </w:p>
        </w:tc>
        <w:tc>
          <w:tcPr>
            <w:tcW w:w="1631" w:type="dxa"/>
            <w:noWrap/>
            <w:hideMark/>
          </w:tcPr>
          <w:p w14:paraId="65719946" w14:textId="77777777" w:rsidR="00202E6A" w:rsidRPr="00A5733E" w:rsidRDefault="00202E6A" w:rsidP="00201343">
            <w:pPr>
              <w:pStyle w:val="Tabletext"/>
              <w:jc w:val="center"/>
              <w:rPr>
                <w:sz w:val="18"/>
                <w:szCs w:val="18"/>
                <w:lang w:val="es-ES" w:eastAsia="en-GB"/>
              </w:rPr>
            </w:pPr>
          </w:p>
        </w:tc>
      </w:tr>
      <w:tr w:rsidR="00202E6A" w:rsidRPr="00A5733E" w14:paraId="647E6173" w14:textId="77777777" w:rsidTr="00201343">
        <w:trPr>
          <w:cantSplit/>
          <w:jc w:val="center"/>
        </w:trPr>
        <w:tc>
          <w:tcPr>
            <w:tcW w:w="776" w:type="dxa"/>
            <w:noWrap/>
            <w:hideMark/>
          </w:tcPr>
          <w:p w14:paraId="154E5CFB"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BR</w:t>
            </w:r>
          </w:p>
        </w:tc>
        <w:tc>
          <w:tcPr>
            <w:tcW w:w="3000" w:type="dxa"/>
            <w:noWrap/>
            <w:hideMark/>
          </w:tcPr>
          <w:p w14:paraId="7A51D17C" w14:textId="29E633B3" w:rsidR="00202E6A" w:rsidRPr="00A5733E" w:rsidRDefault="00202E6A" w:rsidP="00201343">
            <w:pPr>
              <w:pStyle w:val="Tabletext"/>
              <w:rPr>
                <w:sz w:val="18"/>
                <w:szCs w:val="18"/>
                <w:lang w:val="es-ES"/>
              </w:rPr>
            </w:pPr>
            <w:r w:rsidRPr="00A5733E">
              <w:rPr>
                <w:color w:val="000000"/>
                <w:lang w:val="es-ES"/>
              </w:rPr>
              <w:t>CE</w:t>
            </w:r>
            <w:r w:rsidR="00693161" w:rsidRPr="00A5733E">
              <w:rPr>
                <w:color w:val="000000"/>
                <w:lang w:val="es-ES"/>
              </w:rPr>
              <w:t> </w:t>
            </w:r>
            <w:r w:rsidRPr="00A5733E">
              <w:rPr>
                <w:color w:val="000000"/>
                <w:lang w:val="es-ES"/>
              </w:rPr>
              <w:t>7</w:t>
            </w:r>
          </w:p>
        </w:tc>
        <w:tc>
          <w:tcPr>
            <w:tcW w:w="1459" w:type="dxa"/>
            <w:noWrap/>
            <w:hideMark/>
          </w:tcPr>
          <w:p w14:paraId="2FDE8D1D" w14:textId="77777777" w:rsidR="00202E6A" w:rsidRPr="00A5733E" w:rsidRDefault="00202E6A" w:rsidP="00201343">
            <w:pPr>
              <w:pStyle w:val="Tabletext"/>
              <w:jc w:val="center"/>
              <w:rPr>
                <w:color w:val="000000"/>
                <w:sz w:val="18"/>
                <w:szCs w:val="18"/>
                <w:lang w:val="es-ES"/>
              </w:rPr>
            </w:pPr>
            <w:r w:rsidRPr="00A5733E">
              <w:rPr>
                <w:color w:val="000000"/>
                <w:lang w:val="es-ES"/>
              </w:rPr>
              <w:t>09/03/2029</w:t>
            </w:r>
          </w:p>
        </w:tc>
        <w:tc>
          <w:tcPr>
            <w:tcW w:w="1459" w:type="dxa"/>
            <w:noWrap/>
            <w:hideMark/>
          </w:tcPr>
          <w:p w14:paraId="07D8702C" w14:textId="77777777" w:rsidR="00202E6A" w:rsidRPr="00A5733E" w:rsidRDefault="00202E6A" w:rsidP="00201343">
            <w:pPr>
              <w:pStyle w:val="Tabletext"/>
              <w:jc w:val="center"/>
              <w:rPr>
                <w:color w:val="000000"/>
                <w:sz w:val="18"/>
                <w:szCs w:val="18"/>
                <w:lang w:val="es-ES"/>
              </w:rPr>
            </w:pPr>
            <w:r w:rsidRPr="00A5733E">
              <w:rPr>
                <w:color w:val="000000"/>
                <w:lang w:val="es-ES"/>
              </w:rPr>
              <w:t>09/03/2029</w:t>
            </w:r>
          </w:p>
        </w:tc>
        <w:tc>
          <w:tcPr>
            <w:tcW w:w="1644" w:type="dxa"/>
            <w:noWrap/>
            <w:hideMark/>
          </w:tcPr>
          <w:p w14:paraId="15540B46" w14:textId="77777777" w:rsidR="00202E6A" w:rsidRPr="00A5733E" w:rsidRDefault="00202E6A" w:rsidP="00201343">
            <w:pPr>
              <w:pStyle w:val="Tabletext"/>
              <w:jc w:val="center"/>
              <w:rPr>
                <w:color w:val="000000"/>
                <w:sz w:val="18"/>
                <w:szCs w:val="18"/>
                <w:lang w:val="es-ES"/>
              </w:rPr>
            </w:pPr>
            <w:r w:rsidRPr="00A5733E">
              <w:rPr>
                <w:color w:val="000000"/>
                <w:lang w:val="es-ES"/>
              </w:rPr>
              <w:t>1×100</w:t>
            </w:r>
          </w:p>
        </w:tc>
        <w:tc>
          <w:tcPr>
            <w:tcW w:w="1631" w:type="dxa"/>
            <w:hideMark/>
          </w:tcPr>
          <w:p w14:paraId="54413440" w14:textId="77777777" w:rsidR="00202E6A" w:rsidRPr="00A5733E" w:rsidRDefault="00202E6A" w:rsidP="00201343">
            <w:pPr>
              <w:pStyle w:val="Tabletext"/>
              <w:jc w:val="center"/>
              <w:rPr>
                <w:color w:val="000000"/>
                <w:sz w:val="18"/>
                <w:szCs w:val="18"/>
                <w:lang w:val="es-ES" w:eastAsia="en-GB"/>
              </w:rPr>
            </w:pPr>
          </w:p>
        </w:tc>
      </w:tr>
      <w:tr w:rsidR="00202E6A" w:rsidRPr="00A5733E" w14:paraId="3029B59B" w14:textId="77777777" w:rsidTr="00201343">
        <w:trPr>
          <w:cantSplit/>
          <w:trHeight w:val="293"/>
          <w:jc w:val="center"/>
        </w:trPr>
        <w:tc>
          <w:tcPr>
            <w:tcW w:w="776" w:type="dxa"/>
            <w:vMerge w:val="restart"/>
            <w:noWrap/>
            <w:hideMark/>
          </w:tcPr>
          <w:p w14:paraId="5F6D6FB0"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BR</w:t>
            </w:r>
          </w:p>
        </w:tc>
        <w:tc>
          <w:tcPr>
            <w:tcW w:w="3000" w:type="dxa"/>
            <w:vMerge w:val="restart"/>
            <w:noWrap/>
            <w:hideMark/>
          </w:tcPr>
          <w:p w14:paraId="046296E5" w14:textId="77777777" w:rsidR="00202E6A" w:rsidRPr="00A5733E" w:rsidRDefault="00202E6A" w:rsidP="00201343">
            <w:pPr>
              <w:pStyle w:val="Tabletext"/>
              <w:rPr>
                <w:sz w:val="18"/>
                <w:szCs w:val="18"/>
                <w:lang w:val="es-ES"/>
              </w:rPr>
            </w:pPr>
            <w:r w:rsidRPr="00A5733E">
              <w:rPr>
                <w:color w:val="000000"/>
                <w:lang w:val="es-ES"/>
              </w:rPr>
              <w:t>GT 6A-B-C</w:t>
            </w:r>
          </w:p>
        </w:tc>
        <w:tc>
          <w:tcPr>
            <w:tcW w:w="1459" w:type="dxa"/>
            <w:vMerge w:val="restart"/>
            <w:noWrap/>
            <w:hideMark/>
          </w:tcPr>
          <w:p w14:paraId="55438E81" w14:textId="77777777" w:rsidR="00202E6A" w:rsidRPr="00A5733E" w:rsidRDefault="00202E6A" w:rsidP="00201343">
            <w:pPr>
              <w:pStyle w:val="Tabletext"/>
              <w:jc w:val="center"/>
              <w:rPr>
                <w:color w:val="000000"/>
                <w:sz w:val="18"/>
                <w:szCs w:val="18"/>
                <w:lang w:val="es-ES"/>
              </w:rPr>
            </w:pPr>
            <w:r w:rsidRPr="00A5733E">
              <w:rPr>
                <w:color w:val="000000"/>
                <w:lang w:val="es-ES"/>
              </w:rPr>
              <w:t>12/03/2029</w:t>
            </w:r>
          </w:p>
        </w:tc>
        <w:tc>
          <w:tcPr>
            <w:tcW w:w="1459" w:type="dxa"/>
            <w:vMerge w:val="restart"/>
            <w:noWrap/>
            <w:hideMark/>
          </w:tcPr>
          <w:p w14:paraId="1BBED75D" w14:textId="77777777" w:rsidR="00202E6A" w:rsidRPr="00A5733E" w:rsidRDefault="00202E6A" w:rsidP="00201343">
            <w:pPr>
              <w:pStyle w:val="Tabletext"/>
              <w:jc w:val="center"/>
              <w:rPr>
                <w:color w:val="000000"/>
                <w:sz w:val="18"/>
                <w:szCs w:val="18"/>
                <w:lang w:val="es-ES"/>
              </w:rPr>
            </w:pPr>
            <w:r w:rsidRPr="00A5733E">
              <w:rPr>
                <w:color w:val="000000"/>
                <w:lang w:val="es-ES"/>
              </w:rPr>
              <w:t>22/03/2029</w:t>
            </w:r>
          </w:p>
        </w:tc>
        <w:tc>
          <w:tcPr>
            <w:tcW w:w="1644" w:type="dxa"/>
            <w:vMerge w:val="restart"/>
            <w:noWrap/>
            <w:hideMark/>
          </w:tcPr>
          <w:p w14:paraId="0358BEDD" w14:textId="77777777" w:rsidR="00202E6A" w:rsidRPr="00A5733E" w:rsidRDefault="00202E6A" w:rsidP="00201343">
            <w:pPr>
              <w:pStyle w:val="Tabletext"/>
              <w:jc w:val="center"/>
              <w:rPr>
                <w:color w:val="000000"/>
                <w:sz w:val="18"/>
                <w:szCs w:val="18"/>
                <w:lang w:val="es-ES"/>
              </w:rPr>
            </w:pPr>
            <w:r w:rsidRPr="00A5733E">
              <w:rPr>
                <w:color w:val="000000"/>
                <w:lang w:val="es-ES"/>
              </w:rPr>
              <w:t>2×100, 1×60</w:t>
            </w:r>
          </w:p>
        </w:tc>
        <w:tc>
          <w:tcPr>
            <w:tcW w:w="1631" w:type="dxa"/>
            <w:vMerge w:val="restart"/>
            <w:hideMark/>
          </w:tcPr>
          <w:p w14:paraId="7E9EE0F9" w14:textId="77777777" w:rsidR="00202E6A" w:rsidRPr="00A5733E" w:rsidRDefault="00202E6A" w:rsidP="00201343">
            <w:pPr>
              <w:pStyle w:val="Tabletext"/>
              <w:jc w:val="center"/>
              <w:rPr>
                <w:color w:val="000000"/>
                <w:sz w:val="18"/>
                <w:szCs w:val="18"/>
                <w:lang w:val="es-ES"/>
              </w:rPr>
            </w:pPr>
            <w:r w:rsidRPr="00A5733E">
              <w:rPr>
                <w:color w:val="000000"/>
                <w:lang w:val="es-ES"/>
              </w:rPr>
              <w:t>2×30</w:t>
            </w:r>
          </w:p>
        </w:tc>
      </w:tr>
      <w:tr w:rsidR="00202E6A" w:rsidRPr="00A5733E" w14:paraId="68CB778D" w14:textId="77777777" w:rsidTr="00201343">
        <w:trPr>
          <w:cantSplit/>
          <w:trHeight w:val="300"/>
          <w:jc w:val="center"/>
        </w:trPr>
        <w:tc>
          <w:tcPr>
            <w:tcW w:w="776" w:type="dxa"/>
            <w:vMerge/>
            <w:hideMark/>
          </w:tcPr>
          <w:p w14:paraId="4B28CC9B" w14:textId="77777777" w:rsidR="00202E6A" w:rsidRPr="00A5733E" w:rsidRDefault="00202E6A" w:rsidP="00201343">
            <w:pPr>
              <w:pStyle w:val="Tabletext"/>
              <w:ind w:left="-57" w:right="-57"/>
              <w:jc w:val="center"/>
              <w:rPr>
                <w:color w:val="000000"/>
                <w:sz w:val="18"/>
                <w:szCs w:val="18"/>
                <w:lang w:val="es-ES" w:eastAsia="en-GB"/>
              </w:rPr>
            </w:pPr>
          </w:p>
        </w:tc>
        <w:tc>
          <w:tcPr>
            <w:tcW w:w="3000" w:type="dxa"/>
            <w:vMerge/>
            <w:hideMark/>
          </w:tcPr>
          <w:p w14:paraId="773E3337" w14:textId="77777777" w:rsidR="00202E6A" w:rsidRPr="00A5733E" w:rsidRDefault="00202E6A" w:rsidP="00201343">
            <w:pPr>
              <w:pStyle w:val="Tabletext"/>
              <w:rPr>
                <w:sz w:val="18"/>
                <w:szCs w:val="18"/>
                <w:lang w:val="es-ES" w:eastAsia="en-GB"/>
              </w:rPr>
            </w:pPr>
          </w:p>
        </w:tc>
        <w:tc>
          <w:tcPr>
            <w:tcW w:w="1459" w:type="dxa"/>
            <w:vMerge/>
            <w:hideMark/>
          </w:tcPr>
          <w:p w14:paraId="283FCE2D" w14:textId="77777777" w:rsidR="00202E6A" w:rsidRPr="00A5733E" w:rsidRDefault="00202E6A" w:rsidP="00201343">
            <w:pPr>
              <w:pStyle w:val="Tabletext"/>
              <w:jc w:val="center"/>
              <w:rPr>
                <w:color w:val="000000"/>
                <w:sz w:val="18"/>
                <w:szCs w:val="18"/>
                <w:lang w:val="es-ES" w:eastAsia="en-GB"/>
              </w:rPr>
            </w:pPr>
          </w:p>
        </w:tc>
        <w:tc>
          <w:tcPr>
            <w:tcW w:w="1459" w:type="dxa"/>
            <w:vMerge/>
            <w:hideMark/>
          </w:tcPr>
          <w:p w14:paraId="32D55E4E" w14:textId="77777777" w:rsidR="00202E6A" w:rsidRPr="00A5733E" w:rsidRDefault="00202E6A" w:rsidP="00201343">
            <w:pPr>
              <w:pStyle w:val="Tabletext"/>
              <w:jc w:val="center"/>
              <w:rPr>
                <w:color w:val="000000"/>
                <w:sz w:val="18"/>
                <w:szCs w:val="18"/>
                <w:lang w:val="es-ES" w:eastAsia="en-GB"/>
              </w:rPr>
            </w:pPr>
          </w:p>
        </w:tc>
        <w:tc>
          <w:tcPr>
            <w:tcW w:w="1644" w:type="dxa"/>
            <w:vMerge/>
            <w:hideMark/>
          </w:tcPr>
          <w:p w14:paraId="3E8F9487" w14:textId="77777777" w:rsidR="00202E6A" w:rsidRPr="00A5733E" w:rsidRDefault="00202E6A" w:rsidP="00201343">
            <w:pPr>
              <w:pStyle w:val="Tabletext"/>
              <w:jc w:val="center"/>
              <w:rPr>
                <w:color w:val="000000"/>
                <w:sz w:val="18"/>
                <w:szCs w:val="18"/>
                <w:lang w:val="es-ES" w:eastAsia="en-GB"/>
              </w:rPr>
            </w:pPr>
          </w:p>
        </w:tc>
        <w:tc>
          <w:tcPr>
            <w:tcW w:w="1631" w:type="dxa"/>
            <w:vMerge/>
            <w:hideMark/>
          </w:tcPr>
          <w:p w14:paraId="2541CFBE" w14:textId="77777777" w:rsidR="00202E6A" w:rsidRPr="00A5733E" w:rsidRDefault="00202E6A" w:rsidP="00201343">
            <w:pPr>
              <w:pStyle w:val="Tabletext"/>
              <w:jc w:val="center"/>
              <w:rPr>
                <w:color w:val="000000"/>
                <w:sz w:val="18"/>
                <w:szCs w:val="18"/>
                <w:lang w:val="es-ES" w:eastAsia="en-GB"/>
              </w:rPr>
            </w:pPr>
          </w:p>
        </w:tc>
      </w:tr>
      <w:tr w:rsidR="00202E6A" w:rsidRPr="00A5733E" w14:paraId="13BF62C4" w14:textId="77777777" w:rsidTr="00201343">
        <w:trPr>
          <w:cantSplit/>
          <w:jc w:val="center"/>
        </w:trPr>
        <w:tc>
          <w:tcPr>
            <w:tcW w:w="776" w:type="dxa"/>
            <w:noWrap/>
            <w:hideMark/>
          </w:tcPr>
          <w:p w14:paraId="60B639A8"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TSB</w:t>
            </w:r>
          </w:p>
        </w:tc>
        <w:tc>
          <w:tcPr>
            <w:tcW w:w="3000" w:type="dxa"/>
            <w:noWrap/>
            <w:hideMark/>
          </w:tcPr>
          <w:p w14:paraId="49CECF47" w14:textId="3F87FFB9" w:rsidR="00202E6A" w:rsidRPr="00A5733E" w:rsidRDefault="00202E6A" w:rsidP="00201343">
            <w:pPr>
              <w:pStyle w:val="Tabletext"/>
              <w:rPr>
                <w:sz w:val="18"/>
                <w:szCs w:val="18"/>
                <w:lang w:val="es-ES"/>
              </w:rPr>
            </w:pPr>
            <w:r w:rsidRPr="00A5733E">
              <w:rPr>
                <w:color w:val="000000"/>
                <w:lang w:val="es-ES"/>
              </w:rPr>
              <w:t>CE</w:t>
            </w:r>
            <w:r w:rsidR="00693161" w:rsidRPr="00A5733E">
              <w:rPr>
                <w:color w:val="000000"/>
                <w:lang w:val="es-ES"/>
              </w:rPr>
              <w:t> </w:t>
            </w:r>
            <w:r w:rsidRPr="00A5733E">
              <w:rPr>
                <w:color w:val="000000"/>
                <w:lang w:val="es-ES"/>
              </w:rPr>
              <w:t>2</w:t>
            </w:r>
          </w:p>
        </w:tc>
        <w:tc>
          <w:tcPr>
            <w:tcW w:w="1459" w:type="dxa"/>
            <w:noWrap/>
            <w:hideMark/>
          </w:tcPr>
          <w:p w14:paraId="1DF2AA31" w14:textId="77777777" w:rsidR="00202E6A" w:rsidRPr="00A5733E" w:rsidRDefault="00202E6A" w:rsidP="00201343">
            <w:pPr>
              <w:pStyle w:val="Tabletext"/>
              <w:jc w:val="center"/>
              <w:rPr>
                <w:color w:val="000000"/>
                <w:sz w:val="18"/>
                <w:szCs w:val="18"/>
                <w:lang w:val="es-ES"/>
              </w:rPr>
            </w:pPr>
            <w:r w:rsidRPr="00A5733E">
              <w:rPr>
                <w:color w:val="000000"/>
                <w:lang w:val="es-ES"/>
              </w:rPr>
              <w:t>12/03/2029</w:t>
            </w:r>
          </w:p>
        </w:tc>
        <w:tc>
          <w:tcPr>
            <w:tcW w:w="1459" w:type="dxa"/>
            <w:noWrap/>
            <w:hideMark/>
          </w:tcPr>
          <w:p w14:paraId="0177D3A6" w14:textId="77777777" w:rsidR="00202E6A" w:rsidRPr="00A5733E" w:rsidRDefault="00202E6A" w:rsidP="00201343">
            <w:pPr>
              <w:pStyle w:val="Tabletext"/>
              <w:jc w:val="center"/>
              <w:rPr>
                <w:color w:val="000000"/>
                <w:sz w:val="18"/>
                <w:szCs w:val="18"/>
                <w:lang w:val="es-ES"/>
              </w:rPr>
            </w:pPr>
            <w:r w:rsidRPr="00A5733E">
              <w:rPr>
                <w:color w:val="000000"/>
                <w:lang w:val="es-ES"/>
              </w:rPr>
              <w:t>20/03/2029</w:t>
            </w:r>
          </w:p>
        </w:tc>
        <w:tc>
          <w:tcPr>
            <w:tcW w:w="1644" w:type="dxa"/>
            <w:hideMark/>
          </w:tcPr>
          <w:p w14:paraId="6CFF4378" w14:textId="32AFF4EA" w:rsidR="00202E6A" w:rsidRPr="00A5733E" w:rsidRDefault="00202E6A" w:rsidP="00201343">
            <w:pPr>
              <w:pStyle w:val="Tabletext"/>
              <w:jc w:val="center"/>
              <w:rPr>
                <w:color w:val="000000"/>
                <w:sz w:val="18"/>
                <w:szCs w:val="18"/>
                <w:lang w:val="es-ES"/>
              </w:rPr>
            </w:pPr>
            <w:r w:rsidRPr="00A5733E">
              <w:rPr>
                <w:color w:val="000000"/>
                <w:lang w:val="es-ES"/>
              </w:rPr>
              <w:t>1×100,</w:t>
            </w:r>
            <w:r w:rsidR="00553599" w:rsidRPr="00A5733E">
              <w:rPr>
                <w:color w:val="000000"/>
                <w:lang w:val="es-ES"/>
              </w:rPr>
              <w:t xml:space="preserve"> (apertura y clausura)</w:t>
            </w:r>
            <w:r w:rsidRPr="00A5733E">
              <w:rPr>
                <w:color w:val="000000"/>
                <w:lang w:val="es-ES"/>
              </w:rPr>
              <w:t xml:space="preserve"> 2×50 </w:t>
            </w:r>
          </w:p>
        </w:tc>
        <w:tc>
          <w:tcPr>
            <w:tcW w:w="1631" w:type="dxa"/>
            <w:hideMark/>
          </w:tcPr>
          <w:p w14:paraId="17CC4D55" w14:textId="77777777" w:rsidR="00202E6A" w:rsidRPr="00A5733E" w:rsidRDefault="00202E6A" w:rsidP="00201343">
            <w:pPr>
              <w:pStyle w:val="Tabletext"/>
              <w:jc w:val="center"/>
              <w:rPr>
                <w:color w:val="000000"/>
                <w:sz w:val="18"/>
                <w:szCs w:val="18"/>
                <w:lang w:val="es-ES" w:eastAsia="en-GB"/>
              </w:rPr>
            </w:pPr>
          </w:p>
        </w:tc>
      </w:tr>
      <w:tr w:rsidR="00202E6A" w:rsidRPr="00A5733E" w14:paraId="7D4375A2" w14:textId="77777777" w:rsidTr="00201343">
        <w:trPr>
          <w:cantSplit/>
          <w:trHeight w:val="293"/>
          <w:jc w:val="center"/>
        </w:trPr>
        <w:tc>
          <w:tcPr>
            <w:tcW w:w="776" w:type="dxa"/>
            <w:vMerge w:val="restart"/>
            <w:noWrap/>
            <w:hideMark/>
          </w:tcPr>
          <w:p w14:paraId="303CA51D"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TSB</w:t>
            </w:r>
          </w:p>
        </w:tc>
        <w:tc>
          <w:tcPr>
            <w:tcW w:w="3000" w:type="dxa"/>
            <w:vMerge w:val="restart"/>
            <w:noWrap/>
            <w:hideMark/>
          </w:tcPr>
          <w:p w14:paraId="21970DF2" w14:textId="06245901" w:rsidR="00202E6A" w:rsidRPr="00A5733E" w:rsidRDefault="00202E6A" w:rsidP="00201343">
            <w:pPr>
              <w:pStyle w:val="Tabletext"/>
              <w:rPr>
                <w:sz w:val="18"/>
                <w:szCs w:val="18"/>
                <w:lang w:val="es-ES"/>
              </w:rPr>
            </w:pPr>
            <w:r w:rsidRPr="00A5733E">
              <w:rPr>
                <w:color w:val="000000"/>
                <w:lang w:val="es-ES"/>
              </w:rPr>
              <w:t>CE</w:t>
            </w:r>
            <w:r w:rsidR="00693161" w:rsidRPr="00A5733E">
              <w:rPr>
                <w:color w:val="000000"/>
                <w:lang w:val="es-ES"/>
              </w:rPr>
              <w:t> </w:t>
            </w:r>
            <w:r w:rsidRPr="00A5733E">
              <w:rPr>
                <w:color w:val="000000"/>
                <w:lang w:val="es-ES"/>
              </w:rPr>
              <w:t>11</w:t>
            </w:r>
          </w:p>
        </w:tc>
        <w:tc>
          <w:tcPr>
            <w:tcW w:w="1459" w:type="dxa"/>
            <w:vMerge w:val="restart"/>
            <w:noWrap/>
            <w:hideMark/>
          </w:tcPr>
          <w:p w14:paraId="3AFED089" w14:textId="77777777" w:rsidR="00202E6A" w:rsidRPr="00A5733E" w:rsidRDefault="00202E6A" w:rsidP="00201343">
            <w:pPr>
              <w:pStyle w:val="Tabletext"/>
              <w:jc w:val="center"/>
              <w:rPr>
                <w:color w:val="000000"/>
                <w:sz w:val="18"/>
                <w:szCs w:val="18"/>
                <w:lang w:val="es-ES"/>
              </w:rPr>
            </w:pPr>
            <w:r w:rsidRPr="00A5733E">
              <w:rPr>
                <w:color w:val="000000"/>
                <w:lang w:val="es-ES"/>
              </w:rPr>
              <w:t>12/03/2029</w:t>
            </w:r>
          </w:p>
        </w:tc>
        <w:tc>
          <w:tcPr>
            <w:tcW w:w="1459" w:type="dxa"/>
            <w:vMerge w:val="restart"/>
            <w:noWrap/>
            <w:hideMark/>
          </w:tcPr>
          <w:p w14:paraId="5C92E685" w14:textId="77777777" w:rsidR="00202E6A" w:rsidRPr="00A5733E" w:rsidRDefault="00202E6A" w:rsidP="00201343">
            <w:pPr>
              <w:pStyle w:val="Tabletext"/>
              <w:jc w:val="center"/>
              <w:rPr>
                <w:color w:val="000000"/>
                <w:sz w:val="18"/>
                <w:szCs w:val="18"/>
                <w:lang w:val="es-ES"/>
              </w:rPr>
            </w:pPr>
            <w:r w:rsidRPr="00A5733E">
              <w:rPr>
                <w:color w:val="000000"/>
                <w:lang w:val="es-ES"/>
              </w:rPr>
              <w:t>21/03/2029</w:t>
            </w:r>
          </w:p>
        </w:tc>
        <w:tc>
          <w:tcPr>
            <w:tcW w:w="1644" w:type="dxa"/>
            <w:vMerge w:val="restart"/>
            <w:noWrap/>
            <w:hideMark/>
          </w:tcPr>
          <w:p w14:paraId="0AA2527D" w14:textId="77777777" w:rsidR="00202E6A" w:rsidRPr="00A5733E" w:rsidRDefault="00202E6A" w:rsidP="00201343">
            <w:pPr>
              <w:pStyle w:val="Tabletext"/>
              <w:jc w:val="center"/>
              <w:rPr>
                <w:color w:val="000000"/>
                <w:sz w:val="18"/>
                <w:szCs w:val="18"/>
                <w:lang w:val="es-ES"/>
              </w:rPr>
            </w:pPr>
            <w:r w:rsidRPr="00A5733E">
              <w:rPr>
                <w:color w:val="000000"/>
                <w:lang w:val="es-ES"/>
              </w:rPr>
              <w:t>1×100, 1×30, 6×15</w:t>
            </w:r>
          </w:p>
        </w:tc>
        <w:tc>
          <w:tcPr>
            <w:tcW w:w="1631" w:type="dxa"/>
            <w:vMerge w:val="restart"/>
            <w:hideMark/>
          </w:tcPr>
          <w:p w14:paraId="1043348B" w14:textId="77777777" w:rsidR="00202E6A" w:rsidRPr="00A5733E" w:rsidRDefault="00202E6A" w:rsidP="00201343">
            <w:pPr>
              <w:pStyle w:val="Tabletext"/>
              <w:jc w:val="center"/>
              <w:rPr>
                <w:color w:val="000000"/>
                <w:sz w:val="18"/>
                <w:szCs w:val="18"/>
                <w:lang w:val="es-ES" w:eastAsia="en-GB"/>
              </w:rPr>
            </w:pPr>
          </w:p>
        </w:tc>
      </w:tr>
      <w:tr w:rsidR="00202E6A" w:rsidRPr="00A5733E" w14:paraId="6E2EE64C" w14:textId="77777777" w:rsidTr="00201343">
        <w:trPr>
          <w:cantSplit/>
          <w:trHeight w:val="300"/>
          <w:jc w:val="center"/>
        </w:trPr>
        <w:tc>
          <w:tcPr>
            <w:tcW w:w="776" w:type="dxa"/>
            <w:vMerge/>
            <w:hideMark/>
          </w:tcPr>
          <w:p w14:paraId="2004D073" w14:textId="77777777" w:rsidR="00202E6A" w:rsidRPr="00A5733E" w:rsidRDefault="00202E6A" w:rsidP="00201343">
            <w:pPr>
              <w:pStyle w:val="Tabletext"/>
              <w:ind w:left="-57" w:right="-57"/>
              <w:jc w:val="center"/>
              <w:rPr>
                <w:color w:val="000000"/>
                <w:sz w:val="18"/>
                <w:szCs w:val="18"/>
                <w:lang w:val="es-ES" w:eastAsia="en-GB"/>
              </w:rPr>
            </w:pPr>
          </w:p>
        </w:tc>
        <w:tc>
          <w:tcPr>
            <w:tcW w:w="3000" w:type="dxa"/>
            <w:vMerge/>
            <w:hideMark/>
          </w:tcPr>
          <w:p w14:paraId="73BD8458" w14:textId="77777777" w:rsidR="00202E6A" w:rsidRPr="00A5733E" w:rsidRDefault="00202E6A" w:rsidP="00201343">
            <w:pPr>
              <w:pStyle w:val="Tabletext"/>
              <w:rPr>
                <w:sz w:val="18"/>
                <w:szCs w:val="18"/>
                <w:lang w:val="es-ES" w:eastAsia="en-GB"/>
              </w:rPr>
            </w:pPr>
          </w:p>
        </w:tc>
        <w:tc>
          <w:tcPr>
            <w:tcW w:w="1459" w:type="dxa"/>
            <w:vMerge/>
            <w:hideMark/>
          </w:tcPr>
          <w:p w14:paraId="488B297E" w14:textId="77777777" w:rsidR="00202E6A" w:rsidRPr="00A5733E" w:rsidRDefault="00202E6A" w:rsidP="00201343">
            <w:pPr>
              <w:pStyle w:val="Tabletext"/>
              <w:jc w:val="center"/>
              <w:rPr>
                <w:color w:val="000000"/>
                <w:sz w:val="18"/>
                <w:szCs w:val="18"/>
                <w:lang w:val="es-ES" w:eastAsia="en-GB"/>
              </w:rPr>
            </w:pPr>
          </w:p>
        </w:tc>
        <w:tc>
          <w:tcPr>
            <w:tcW w:w="1459" w:type="dxa"/>
            <w:vMerge/>
            <w:hideMark/>
          </w:tcPr>
          <w:p w14:paraId="1DC394A0" w14:textId="77777777" w:rsidR="00202E6A" w:rsidRPr="00A5733E" w:rsidRDefault="00202E6A" w:rsidP="00201343">
            <w:pPr>
              <w:pStyle w:val="Tabletext"/>
              <w:jc w:val="center"/>
              <w:rPr>
                <w:color w:val="000000"/>
                <w:sz w:val="18"/>
                <w:szCs w:val="18"/>
                <w:lang w:val="es-ES" w:eastAsia="en-GB"/>
              </w:rPr>
            </w:pPr>
          </w:p>
        </w:tc>
        <w:tc>
          <w:tcPr>
            <w:tcW w:w="1644" w:type="dxa"/>
            <w:vMerge/>
            <w:hideMark/>
          </w:tcPr>
          <w:p w14:paraId="73298D65" w14:textId="77777777" w:rsidR="00202E6A" w:rsidRPr="00A5733E" w:rsidRDefault="00202E6A" w:rsidP="00201343">
            <w:pPr>
              <w:pStyle w:val="Tabletext"/>
              <w:jc w:val="center"/>
              <w:rPr>
                <w:color w:val="000000"/>
                <w:sz w:val="18"/>
                <w:szCs w:val="18"/>
                <w:lang w:val="es-ES" w:eastAsia="en-GB"/>
              </w:rPr>
            </w:pPr>
          </w:p>
        </w:tc>
        <w:tc>
          <w:tcPr>
            <w:tcW w:w="1631" w:type="dxa"/>
            <w:vMerge/>
            <w:hideMark/>
          </w:tcPr>
          <w:p w14:paraId="1C2262A4" w14:textId="77777777" w:rsidR="00202E6A" w:rsidRPr="00A5733E" w:rsidRDefault="00202E6A" w:rsidP="00201343">
            <w:pPr>
              <w:pStyle w:val="Tabletext"/>
              <w:jc w:val="center"/>
              <w:rPr>
                <w:color w:val="000000"/>
                <w:sz w:val="18"/>
                <w:szCs w:val="18"/>
                <w:lang w:val="es-ES" w:eastAsia="en-GB"/>
              </w:rPr>
            </w:pPr>
          </w:p>
        </w:tc>
      </w:tr>
      <w:tr w:rsidR="00202E6A" w:rsidRPr="00A5733E" w14:paraId="26853E2C" w14:textId="77777777" w:rsidTr="00201343">
        <w:trPr>
          <w:cantSplit/>
          <w:jc w:val="center"/>
        </w:trPr>
        <w:tc>
          <w:tcPr>
            <w:tcW w:w="776" w:type="dxa"/>
            <w:noWrap/>
            <w:hideMark/>
          </w:tcPr>
          <w:p w14:paraId="1845DEB5"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BDT</w:t>
            </w:r>
          </w:p>
        </w:tc>
        <w:tc>
          <w:tcPr>
            <w:tcW w:w="3000" w:type="dxa"/>
            <w:noWrap/>
            <w:hideMark/>
          </w:tcPr>
          <w:p w14:paraId="4B7D8B36" w14:textId="77777777" w:rsidR="00202E6A" w:rsidRPr="00A5733E" w:rsidRDefault="00202E6A" w:rsidP="00201343">
            <w:pPr>
              <w:pStyle w:val="Tabletext"/>
              <w:rPr>
                <w:sz w:val="18"/>
                <w:szCs w:val="18"/>
                <w:lang w:val="es-ES"/>
              </w:rPr>
            </w:pPr>
            <w:r w:rsidRPr="00A5733E">
              <w:rPr>
                <w:color w:val="000000"/>
                <w:lang w:val="es-ES"/>
              </w:rPr>
              <w:t>Comisión de Estudio 1</w:t>
            </w:r>
          </w:p>
        </w:tc>
        <w:tc>
          <w:tcPr>
            <w:tcW w:w="1459" w:type="dxa"/>
            <w:noWrap/>
            <w:hideMark/>
          </w:tcPr>
          <w:p w14:paraId="2A527F12" w14:textId="77777777" w:rsidR="00202E6A" w:rsidRPr="00A5733E" w:rsidRDefault="00202E6A" w:rsidP="00201343">
            <w:pPr>
              <w:pStyle w:val="Tabletext"/>
              <w:jc w:val="center"/>
              <w:rPr>
                <w:color w:val="000000"/>
                <w:sz w:val="18"/>
                <w:szCs w:val="18"/>
                <w:lang w:val="es-ES"/>
              </w:rPr>
            </w:pPr>
            <w:r w:rsidRPr="00A5733E">
              <w:rPr>
                <w:color w:val="000000"/>
                <w:lang w:val="es-ES"/>
              </w:rPr>
              <w:t>12/03/2029</w:t>
            </w:r>
          </w:p>
        </w:tc>
        <w:tc>
          <w:tcPr>
            <w:tcW w:w="1459" w:type="dxa"/>
            <w:noWrap/>
            <w:hideMark/>
          </w:tcPr>
          <w:p w14:paraId="39E190F5" w14:textId="77777777" w:rsidR="00202E6A" w:rsidRPr="00A5733E" w:rsidRDefault="00202E6A" w:rsidP="00201343">
            <w:pPr>
              <w:pStyle w:val="Tabletext"/>
              <w:jc w:val="center"/>
              <w:rPr>
                <w:color w:val="000000"/>
                <w:sz w:val="18"/>
                <w:szCs w:val="18"/>
                <w:lang w:val="es-ES"/>
              </w:rPr>
            </w:pPr>
            <w:r w:rsidRPr="00A5733E">
              <w:rPr>
                <w:color w:val="000000"/>
                <w:lang w:val="es-ES"/>
              </w:rPr>
              <w:t>16/03/2029</w:t>
            </w:r>
          </w:p>
        </w:tc>
        <w:tc>
          <w:tcPr>
            <w:tcW w:w="1644" w:type="dxa"/>
            <w:noWrap/>
            <w:hideMark/>
          </w:tcPr>
          <w:p w14:paraId="1D82E26B" w14:textId="77777777" w:rsidR="00202E6A" w:rsidRPr="00A5733E" w:rsidRDefault="00202E6A" w:rsidP="00201343">
            <w:pPr>
              <w:pStyle w:val="Tabletext"/>
              <w:jc w:val="center"/>
              <w:rPr>
                <w:color w:val="000000"/>
                <w:sz w:val="18"/>
                <w:szCs w:val="18"/>
                <w:lang w:val="es-ES"/>
              </w:rPr>
            </w:pPr>
            <w:r w:rsidRPr="00A5733E">
              <w:rPr>
                <w:color w:val="000000"/>
                <w:lang w:val="es-ES"/>
              </w:rPr>
              <w:t>1×150</w:t>
            </w:r>
          </w:p>
        </w:tc>
        <w:tc>
          <w:tcPr>
            <w:tcW w:w="1631" w:type="dxa"/>
            <w:noWrap/>
            <w:hideMark/>
          </w:tcPr>
          <w:p w14:paraId="4134ED6D" w14:textId="77777777" w:rsidR="00202E6A" w:rsidRPr="00A5733E" w:rsidRDefault="00202E6A" w:rsidP="00201343">
            <w:pPr>
              <w:pStyle w:val="Tabletext"/>
              <w:jc w:val="center"/>
              <w:rPr>
                <w:color w:val="000000"/>
                <w:sz w:val="18"/>
                <w:szCs w:val="18"/>
                <w:lang w:val="es-ES"/>
              </w:rPr>
            </w:pPr>
            <w:r w:rsidRPr="00A5733E">
              <w:rPr>
                <w:color w:val="000000"/>
                <w:lang w:val="es-ES"/>
              </w:rPr>
              <w:t>1×15</w:t>
            </w:r>
          </w:p>
        </w:tc>
      </w:tr>
      <w:tr w:rsidR="00202E6A" w:rsidRPr="00A5733E" w14:paraId="20D90400" w14:textId="77777777" w:rsidTr="00201343">
        <w:trPr>
          <w:cantSplit/>
          <w:jc w:val="center"/>
        </w:trPr>
        <w:tc>
          <w:tcPr>
            <w:tcW w:w="776" w:type="dxa"/>
            <w:noWrap/>
            <w:hideMark/>
          </w:tcPr>
          <w:p w14:paraId="60AEF413"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BR</w:t>
            </w:r>
          </w:p>
        </w:tc>
        <w:tc>
          <w:tcPr>
            <w:tcW w:w="3000" w:type="dxa"/>
            <w:noWrap/>
            <w:hideMark/>
          </w:tcPr>
          <w:p w14:paraId="32D671CB" w14:textId="77777777" w:rsidR="00202E6A" w:rsidRPr="00A5733E" w:rsidRDefault="00202E6A" w:rsidP="00201343">
            <w:pPr>
              <w:pStyle w:val="Tabletext"/>
              <w:rPr>
                <w:sz w:val="18"/>
                <w:szCs w:val="18"/>
                <w:lang w:val="es-ES"/>
              </w:rPr>
            </w:pPr>
            <w:r w:rsidRPr="00A5733E">
              <w:rPr>
                <w:color w:val="000000"/>
                <w:lang w:val="es-ES"/>
              </w:rPr>
              <w:t>RRB29-1</w:t>
            </w:r>
          </w:p>
        </w:tc>
        <w:tc>
          <w:tcPr>
            <w:tcW w:w="1459" w:type="dxa"/>
            <w:noWrap/>
            <w:hideMark/>
          </w:tcPr>
          <w:p w14:paraId="67D83A02" w14:textId="77777777" w:rsidR="00202E6A" w:rsidRPr="00A5733E" w:rsidRDefault="00202E6A" w:rsidP="00201343">
            <w:pPr>
              <w:pStyle w:val="Tabletext"/>
              <w:jc w:val="center"/>
              <w:rPr>
                <w:color w:val="000000"/>
                <w:sz w:val="18"/>
                <w:szCs w:val="18"/>
                <w:lang w:val="es-ES"/>
              </w:rPr>
            </w:pPr>
            <w:r w:rsidRPr="00A5733E">
              <w:rPr>
                <w:color w:val="000000"/>
                <w:lang w:val="es-ES"/>
              </w:rPr>
              <w:t>19/03/2029</w:t>
            </w:r>
          </w:p>
        </w:tc>
        <w:tc>
          <w:tcPr>
            <w:tcW w:w="1459" w:type="dxa"/>
            <w:noWrap/>
            <w:hideMark/>
          </w:tcPr>
          <w:p w14:paraId="6D364095" w14:textId="77777777" w:rsidR="00202E6A" w:rsidRPr="00A5733E" w:rsidRDefault="00202E6A" w:rsidP="00201343">
            <w:pPr>
              <w:pStyle w:val="Tabletext"/>
              <w:jc w:val="center"/>
              <w:rPr>
                <w:color w:val="000000"/>
                <w:sz w:val="18"/>
                <w:szCs w:val="18"/>
                <w:lang w:val="es-ES"/>
              </w:rPr>
            </w:pPr>
            <w:r w:rsidRPr="00A5733E">
              <w:rPr>
                <w:color w:val="000000"/>
                <w:lang w:val="es-ES"/>
              </w:rPr>
              <w:t>23/03/2029</w:t>
            </w:r>
          </w:p>
        </w:tc>
        <w:tc>
          <w:tcPr>
            <w:tcW w:w="1644" w:type="dxa"/>
            <w:noWrap/>
            <w:hideMark/>
          </w:tcPr>
          <w:p w14:paraId="55587682" w14:textId="77777777" w:rsidR="00202E6A" w:rsidRPr="00A5733E" w:rsidRDefault="00202E6A" w:rsidP="00201343">
            <w:pPr>
              <w:pStyle w:val="Tabletext"/>
              <w:jc w:val="center"/>
              <w:rPr>
                <w:color w:val="000000"/>
                <w:sz w:val="18"/>
                <w:szCs w:val="18"/>
                <w:lang w:val="es-ES"/>
              </w:rPr>
            </w:pPr>
            <w:r w:rsidRPr="00A5733E">
              <w:rPr>
                <w:color w:val="000000"/>
                <w:lang w:val="es-ES"/>
              </w:rPr>
              <w:t>1×40</w:t>
            </w:r>
          </w:p>
        </w:tc>
        <w:tc>
          <w:tcPr>
            <w:tcW w:w="1631" w:type="dxa"/>
            <w:hideMark/>
          </w:tcPr>
          <w:p w14:paraId="3DC74619" w14:textId="77777777" w:rsidR="00202E6A" w:rsidRPr="00A5733E" w:rsidRDefault="00202E6A" w:rsidP="00201343">
            <w:pPr>
              <w:pStyle w:val="Tabletext"/>
              <w:jc w:val="center"/>
              <w:rPr>
                <w:color w:val="000000"/>
                <w:sz w:val="18"/>
                <w:szCs w:val="18"/>
                <w:lang w:val="es-ES" w:eastAsia="en-GB"/>
              </w:rPr>
            </w:pPr>
          </w:p>
        </w:tc>
      </w:tr>
      <w:tr w:rsidR="00202E6A" w:rsidRPr="00A5733E" w14:paraId="577D3AC3" w14:textId="77777777" w:rsidTr="00201343">
        <w:trPr>
          <w:cantSplit/>
          <w:jc w:val="center"/>
        </w:trPr>
        <w:tc>
          <w:tcPr>
            <w:tcW w:w="776" w:type="dxa"/>
            <w:noWrap/>
            <w:hideMark/>
          </w:tcPr>
          <w:p w14:paraId="407B4273"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BDT</w:t>
            </w:r>
          </w:p>
        </w:tc>
        <w:tc>
          <w:tcPr>
            <w:tcW w:w="3000" w:type="dxa"/>
            <w:noWrap/>
            <w:hideMark/>
          </w:tcPr>
          <w:p w14:paraId="53B1166F" w14:textId="77777777" w:rsidR="00202E6A" w:rsidRPr="00A5733E" w:rsidRDefault="00202E6A" w:rsidP="00201343">
            <w:pPr>
              <w:pStyle w:val="Tabletext"/>
              <w:rPr>
                <w:sz w:val="18"/>
                <w:szCs w:val="18"/>
                <w:lang w:val="es-ES"/>
              </w:rPr>
            </w:pPr>
            <w:r w:rsidRPr="00A5733E">
              <w:rPr>
                <w:color w:val="000000"/>
                <w:lang w:val="es-ES"/>
              </w:rPr>
              <w:t>Comisión de Estudio 2</w:t>
            </w:r>
          </w:p>
        </w:tc>
        <w:tc>
          <w:tcPr>
            <w:tcW w:w="1459" w:type="dxa"/>
            <w:noWrap/>
            <w:hideMark/>
          </w:tcPr>
          <w:p w14:paraId="4BB6864D" w14:textId="77777777" w:rsidR="00202E6A" w:rsidRPr="00A5733E" w:rsidRDefault="00202E6A" w:rsidP="00201343">
            <w:pPr>
              <w:pStyle w:val="Tabletext"/>
              <w:jc w:val="center"/>
              <w:rPr>
                <w:color w:val="000000"/>
                <w:sz w:val="18"/>
                <w:szCs w:val="18"/>
                <w:lang w:val="es-ES"/>
              </w:rPr>
            </w:pPr>
            <w:r w:rsidRPr="00A5733E">
              <w:rPr>
                <w:color w:val="000000"/>
                <w:lang w:val="es-ES"/>
              </w:rPr>
              <w:t>19/03/2029</w:t>
            </w:r>
          </w:p>
        </w:tc>
        <w:tc>
          <w:tcPr>
            <w:tcW w:w="1459" w:type="dxa"/>
            <w:noWrap/>
            <w:hideMark/>
          </w:tcPr>
          <w:p w14:paraId="344B19FB" w14:textId="77777777" w:rsidR="00202E6A" w:rsidRPr="00A5733E" w:rsidRDefault="00202E6A" w:rsidP="00201343">
            <w:pPr>
              <w:pStyle w:val="Tabletext"/>
              <w:jc w:val="center"/>
              <w:rPr>
                <w:color w:val="000000"/>
                <w:sz w:val="18"/>
                <w:szCs w:val="18"/>
                <w:lang w:val="es-ES"/>
              </w:rPr>
            </w:pPr>
            <w:r w:rsidRPr="00A5733E">
              <w:rPr>
                <w:color w:val="000000"/>
                <w:lang w:val="es-ES"/>
              </w:rPr>
              <w:t>23/03/2029</w:t>
            </w:r>
          </w:p>
        </w:tc>
        <w:tc>
          <w:tcPr>
            <w:tcW w:w="1644" w:type="dxa"/>
            <w:noWrap/>
            <w:hideMark/>
          </w:tcPr>
          <w:p w14:paraId="40307C23" w14:textId="77777777" w:rsidR="00202E6A" w:rsidRPr="00A5733E" w:rsidRDefault="00202E6A" w:rsidP="00201343">
            <w:pPr>
              <w:pStyle w:val="Tabletext"/>
              <w:jc w:val="center"/>
              <w:rPr>
                <w:color w:val="000000"/>
                <w:sz w:val="18"/>
                <w:szCs w:val="18"/>
                <w:lang w:val="es-ES"/>
              </w:rPr>
            </w:pPr>
            <w:r w:rsidRPr="00A5733E">
              <w:rPr>
                <w:color w:val="000000"/>
                <w:lang w:val="es-ES"/>
              </w:rPr>
              <w:t>1×150</w:t>
            </w:r>
          </w:p>
        </w:tc>
        <w:tc>
          <w:tcPr>
            <w:tcW w:w="1631" w:type="dxa"/>
            <w:noWrap/>
            <w:hideMark/>
          </w:tcPr>
          <w:p w14:paraId="1F172F45" w14:textId="77777777" w:rsidR="00202E6A" w:rsidRPr="00A5733E" w:rsidRDefault="00202E6A" w:rsidP="00201343">
            <w:pPr>
              <w:pStyle w:val="Tabletext"/>
              <w:jc w:val="center"/>
              <w:rPr>
                <w:color w:val="000000"/>
                <w:sz w:val="18"/>
                <w:szCs w:val="18"/>
                <w:lang w:val="es-ES"/>
              </w:rPr>
            </w:pPr>
            <w:r w:rsidRPr="00A5733E">
              <w:rPr>
                <w:color w:val="000000"/>
                <w:lang w:val="es-ES"/>
              </w:rPr>
              <w:t>1×15</w:t>
            </w:r>
          </w:p>
        </w:tc>
      </w:tr>
      <w:tr w:rsidR="00202E6A" w:rsidRPr="00A5733E" w14:paraId="0C56A610" w14:textId="77777777" w:rsidTr="00201343">
        <w:trPr>
          <w:cantSplit/>
          <w:jc w:val="center"/>
        </w:trPr>
        <w:tc>
          <w:tcPr>
            <w:tcW w:w="776" w:type="dxa"/>
            <w:noWrap/>
            <w:hideMark/>
          </w:tcPr>
          <w:p w14:paraId="7A443CBA"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TSB</w:t>
            </w:r>
          </w:p>
        </w:tc>
        <w:tc>
          <w:tcPr>
            <w:tcW w:w="3000" w:type="dxa"/>
            <w:noWrap/>
            <w:hideMark/>
          </w:tcPr>
          <w:p w14:paraId="26DAAF5F" w14:textId="66977C6A" w:rsidR="00202E6A" w:rsidRPr="00A5733E" w:rsidRDefault="00202E6A" w:rsidP="00201343">
            <w:pPr>
              <w:pStyle w:val="Tabletext"/>
              <w:rPr>
                <w:sz w:val="18"/>
                <w:szCs w:val="18"/>
                <w:lang w:val="es-ES"/>
              </w:rPr>
            </w:pPr>
            <w:r w:rsidRPr="00A5733E">
              <w:rPr>
                <w:color w:val="000000"/>
                <w:lang w:val="es-ES"/>
              </w:rPr>
              <w:t>CE</w:t>
            </w:r>
            <w:r w:rsidR="00693161" w:rsidRPr="00A5733E">
              <w:rPr>
                <w:color w:val="000000"/>
                <w:lang w:val="es-ES"/>
              </w:rPr>
              <w:t> </w:t>
            </w:r>
            <w:r w:rsidRPr="00A5733E">
              <w:rPr>
                <w:color w:val="000000"/>
                <w:lang w:val="es-ES"/>
              </w:rPr>
              <w:t>13</w:t>
            </w:r>
          </w:p>
        </w:tc>
        <w:tc>
          <w:tcPr>
            <w:tcW w:w="1459" w:type="dxa"/>
            <w:noWrap/>
            <w:hideMark/>
          </w:tcPr>
          <w:p w14:paraId="2E869678" w14:textId="77777777" w:rsidR="00202E6A" w:rsidRPr="00A5733E" w:rsidRDefault="00202E6A" w:rsidP="00201343">
            <w:pPr>
              <w:pStyle w:val="Tabletext"/>
              <w:jc w:val="center"/>
              <w:rPr>
                <w:color w:val="000000"/>
                <w:sz w:val="18"/>
                <w:szCs w:val="18"/>
                <w:lang w:val="es-ES"/>
              </w:rPr>
            </w:pPr>
            <w:r w:rsidRPr="00A5733E">
              <w:rPr>
                <w:color w:val="000000"/>
                <w:lang w:val="es-ES"/>
              </w:rPr>
              <w:t>21/03/2029</w:t>
            </w:r>
          </w:p>
        </w:tc>
        <w:tc>
          <w:tcPr>
            <w:tcW w:w="1459" w:type="dxa"/>
            <w:noWrap/>
            <w:hideMark/>
          </w:tcPr>
          <w:p w14:paraId="7C4753F4" w14:textId="77777777" w:rsidR="00202E6A" w:rsidRPr="00A5733E" w:rsidRDefault="00202E6A" w:rsidP="00201343">
            <w:pPr>
              <w:pStyle w:val="Tabletext"/>
              <w:jc w:val="center"/>
              <w:rPr>
                <w:color w:val="000000"/>
                <w:sz w:val="18"/>
                <w:szCs w:val="18"/>
                <w:lang w:val="es-ES"/>
              </w:rPr>
            </w:pPr>
            <w:r w:rsidRPr="00A5733E">
              <w:rPr>
                <w:color w:val="000000"/>
                <w:lang w:val="es-ES"/>
              </w:rPr>
              <w:t>30/03/2029</w:t>
            </w:r>
          </w:p>
        </w:tc>
        <w:tc>
          <w:tcPr>
            <w:tcW w:w="1644" w:type="dxa"/>
            <w:noWrap/>
            <w:hideMark/>
          </w:tcPr>
          <w:p w14:paraId="576CBA17" w14:textId="77777777" w:rsidR="00202E6A" w:rsidRPr="00A5733E" w:rsidRDefault="00202E6A" w:rsidP="00201343">
            <w:pPr>
              <w:pStyle w:val="Tabletext"/>
              <w:jc w:val="center"/>
              <w:rPr>
                <w:color w:val="000000"/>
                <w:sz w:val="18"/>
                <w:szCs w:val="18"/>
                <w:lang w:val="es-ES"/>
              </w:rPr>
            </w:pPr>
            <w:r w:rsidRPr="00A5733E">
              <w:rPr>
                <w:color w:val="000000"/>
                <w:lang w:val="es-ES"/>
              </w:rPr>
              <w:t>1×150, 1×50, 3×20, 5×10</w:t>
            </w:r>
          </w:p>
        </w:tc>
        <w:tc>
          <w:tcPr>
            <w:tcW w:w="1631" w:type="dxa"/>
            <w:hideMark/>
          </w:tcPr>
          <w:p w14:paraId="012BE757" w14:textId="77777777" w:rsidR="00202E6A" w:rsidRPr="00A5733E" w:rsidRDefault="00202E6A" w:rsidP="00201343">
            <w:pPr>
              <w:pStyle w:val="Tabletext"/>
              <w:jc w:val="center"/>
              <w:rPr>
                <w:color w:val="000000"/>
                <w:sz w:val="18"/>
                <w:szCs w:val="18"/>
                <w:lang w:val="es-ES" w:eastAsia="en-GB"/>
              </w:rPr>
            </w:pPr>
          </w:p>
        </w:tc>
      </w:tr>
      <w:tr w:rsidR="00202E6A" w:rsidRPr="00A5733E" w14:paraId="0464D609" w14:textId="77777777" w:rsidTr="00201343">
        <w:trPr>
          <w:cantSplit/>
          <w:trHeight w:val="293"/>
          <w:jc w:val="center"/>
        </w:trPr>
        <w:tc>
          <w:tcPr>
            <w:tcW w:w="776" w:type="dxa"/>
            <w:vMerge w:val="restart"/>
            <w:noWrap/>
            <w:hideMark/>
          </w:tcPr>
          <w:p w14:paraId="732D62CA"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BR</w:t>
            </w:r>
          </w:p>
        </w:tc>
        <w:tc>
          <w:tcPr>
            <w:tcW w:w="3000" w:type="dxa"/>
            <w:vMerge w:val="restart"/>
            <w:noWrap/>
            <w:hideMark/>
          </w:tcPr>
          <w:p w14:paraId="2F33E6D1" w14:textId="77777777" w:rsidR="00202E6A" w:rsidRPr="00A5733E" w:rsidRDefault="00202E6A" w:rsidP="00201343">
            <w:pPr>
              <w:pStyle w:val="Tabletext"/>
              <w:rPr>
                <w:sz w:val="18"/>
                <w:szCs w:val="18"/>
                <w:lang w:val="es-ES"/>
              </w:rPr>
            </w:pPr>
            <w:r w:rsidRPr="00A5733E">
              <w:rPr>
                <w:color w:val="000000"/>
                <w:lang w:val="es-ES"/>
              </w:rPr>
              <w:t>CE 6</w:t>
            </w:r>
          </w:p>
        </w:tc>
        <w:tc>
          <w:tcPr>
            <w:tcW w:w="1459" w:type="dxa"/>
            <w:vMerge w:val="restart"/>
            <w:noWrap/>
            <w:hideMark/>
          </w:tcPr>
          <w:p w14:paraId="752AB2B8" w14:textId="77777777" w:rsidR="00202E6A" w:rsidRPr="00A5733E" w:rsidRDefault="00202E6A" w:rsidP="00201343">
            <w:pPr>
              <w:pStyle w:val="Tabletext"/>
              <w:jc w:val="center"/>
              <w:rPr>
                <w:color w:val="000000"/>
                <w:sz w:val="18"/>
                <w:szCs w:val="18"/>
                <w:lang w:val="es-ES"/>
              </w:rPr>
            </w:pPr>
            <w:r w:rsidRPr="00A5733E">
              <w:rPr>
                <w:color w:val="000000"/>
                <w:lang w:val="es-ES"/>
              </w:rPr>
              <w:t>23/03/2029</w:t>
            </w:r>
          </w:p>
        </w:tc>
        <w:tc>
          <w:tcPr>
            <w:tcW w:w="1459" w:type="dxa"/>
            <w:vMerge w:val="restart"/>
            <w:noWrap/>
            <w:hideMark/>
          </w:tcPr>
          <w:p w14:paraId="02173209" w14:textId="77777777" w:rsidR="00202E6A" w:rsidRPr="00A5733E" w:rsidRDefault="00202E6A" w:rsidP="00201343">
            <w:pPr>
              <w:pStyle w:val="Tabletext"/>
              <w:jc w:val="center"/>
              <w:rPr>
                <w:color w:val="000000"/>
                <w:sz w:val="18"/>
                <w:szCs w:val="18"/>
                <w:lang w:val="es-ES"/>
              </w:rPr>
            </w:pPr>
            <w:r w:rsidRPr="00A5733E">
              <w:rPr>
                <w:color w:val="000000"/>
                <w:lang w:val="es-ES"/>
              </w:rPr>
              <w:t>23/03/2029</w:t>
            </w:r>
          </w:p>
        </w:tc>
        <w:tc>
          <w:tcPr>
            <w:tcW w:w="1644" w:type="dxa"/>
            <w:vMerge w:val="restart"/>
            <w:noWrap/>
            <w:hideMark/>
          </w:tcPr>
          <w:p w14:paraId="4EE73A0B" w14:textId="77777777" w:rsidR="00202E6A" w:rsidRPr="00A5733E" w:rsidRDefault="00202E6A" w:rsidP="00201343">
            <w:pPr>
              <w:pStyle w:val="Tabletext"/>
              <w:jc w:val="center"/>
              <w:rPr>
                <w:color w:val="000000"/>
                <w:sz w:val="18"/>
                <w:szCs w:val="18"/>
                <w:lang w:val="es-ES"/>
              </w:rPr>
            </w:pPr>
            <w:r w:rsidRPr="00A5733E">
              <w:rPr>
                <w:color w:val="000000"/>
                <w:lang w:val="es-ES"/>
              </w:rPr>
              <w:t>1×100</w:t>
            </w:r>
          </w:p>
        </w:tc>
        <w:tc>
          <w:tcPr>
            <w:tcW w:w="1631" w:type="dxa"/>
            <w:vMerge w:val="restart"/>
            <w:hideMark/>
          </w:tcPr>
          <w:p w14:paraId="17AA8960" w14:textId="77777777" w:rsidR="00202E6A" w:rsidRPr="00A5733E" w:rsidRDefault="00202E6A" w:rsidP="00201343">
            <w:pPr>
              <w:pStyle w:val="Tabletext"/>
              <w:jc w:val="center"/>
              <w:rPr>
                <w:color w:val="000000"/>
                <w:sz w:val="18"/>
                <w:szCs w:val="18"/>
                <w:lang w:val="es-ES" w:eastAsia="en-GB"/>
              </w:rPr>
            </w:pPr>
          </w:p>
        </w:tc>
      </w:tr>
      <w:tr w:rsidR="00202E6A" w:rsidRPr="00A5733E" w14:paraId="1B90DC1F" w14:textId="77777777" w:rsidTr="00201343">
        <w:trPr>
          <w:cantSplit/>
          <w:trHeight w:val="300"/>
          <w:jc w:val="center"/>
        </w:trPr>
        <w:tc>
          <w:tcPr>
            <w:tcW w:w="776" w:type="dxa"/>
            <w:vMerge/>
            <w:hideMark/>
          </w:tcPr>
          <w:p w14:paraId="2B73C68D" w14:textId="77777777" w:rsidR="00202E6A" w:rsidRPr="00A5733E" w:rsidRDefault="00202E6A" w:rsidP="00201343">
            <w:pPr>
              <w:pStyle w:val="Tabletext"/>
              <w:ind w:left="-57" w:right="-57"/>
              <w:jc w:val="center"/>
              <w:rPr>
                <w:color w:val="000000"/>
                <w:sz w:val="18"/>
                <w:szCs w:val="18"/>
                <w:lang w:val="es-ES" w:eastAsia="en-GB"/>
              </w:rPr>
            </w:pPr>
          </w:p>
        </w:tc>
        <w:tc>
          <w:tcPr>
            <w:tcW w:w="3000" w:type="dxa"/>
            <w:vMerge/>
            <w:hideMark/>
          </w:tcPr>
          <w:p w14:paraId="1394DA4E" w14:textId="77777777" w:rsidR="00202E6A" w:rsidRPr="00A5733E" w:rsidRDefault="00202E6A" w:rsidP="00201343">
            <w:pPr>
              <w:pStyle w:val="Tabletext"/>
              <w:rPr>
                <w:sz w:val="18"/>
                <w:szCs w:val="18"/>
                <w:lang w:val="es-ES" w:eastAsia="en-GB"/>
              </w:rPr>
            </w:pPr>
          </w:p>
        </w:tc>
        <w:tc>
          <w:tcPr>
            <w:tcW w:w="1459" w:type="dxa"/>
            <w:vMerge/>
            <w:hideMark/>
          </w:tcPr>
          <w:p w14:paraId="508795F6" w14:textId="77777777" w:rsidR="00202E6A" w:rsidRPr="00A5733E" w:rsidRDefault="00202E6A" w:rsidP="00201343">
            <w:pPr>
              <w:pStyle w:val="Tabletext"/>
              <w:jc w:val="center"/>
              <w:rPr>
                <w:color w:val="000000"/>
                <w:sz w:val="18"/>
                <w:szCs w:val="18"/>
                <w:lang w:val="es-ES" w:eastAsia="en-GB"/>
              </w:rPr>
            </w:pPr>
          </w:p>
        </w:tc>
        <w:tc>
          <w:tcPr>
            <w:tcW w:w="1459" w:type="dxa"/>
            <w:vMerge/>
            <w:hideMark/>
          </w:tcPr>
          <w:p w14:paraId="7C90DDF9" w14:textId="77777777" w:rsidR="00202E6A" w:rsidRPr="00A5733E" w:rsidRDefault="00202E6A" w:rsidP="00201343">
            <w:pPr>
              <w:pStyle w:val="Tabletext"/>
              <w:jc w:val="center"/>
              <w:rPr>
                <w:color w:val="000000"/>
                <w:sz w:val="18"/>
                <w:szCs w:val="18"/>
                <w:lang w:val="es-ES" w:eastAsia="en-GB"/>
              </w:rPr>
            </w:pPr>
          </w:p>
        </w:tc>
        <w:tc>
          <w:tcPr>
            <w:tcW w:w="1644" w:type="dxa"/>
            <w:vMerge/>
            <w:hideMark/>
          </w:tcPr>
          <w:p w14:paraId="5CA090F7" w14:textId="77777777" w:rsidR="00202E6A" w:rsidRPr="00A5733E" w:rsidRDefault="00202E6A" w:rsidP="00201343">
            <w:pPr>
              <w:pStyle w:val="Tabletext"/>
              <w:jc w:val="center"/>
              <w:rPr>
                <w:color w:val="000000"/>
                <w:sz w:val="18"/>
                <w:szCs w:val="18"/>
                <w:lang w:val="es-ES" w:eastAsia="en-GB"/>
              </w:rPr>
            </w:pPr>
          </w:p>
        </w:tc>
        <w:tc>
          <w:tcPr>
            <w:tcW w:w="1631" w:type="dxa"/>
            <w:vMerge/>
            <w:hideMark/>
          </w:tcPr>
          <w:p w14:paraId="16E64925" w14:textId="77777777" w:rsidR="00202E6A" w:rsidRPr="00A5733E" w:rsidRDefault="00202E6A" w:rsidP="00201343">
            <w:pPr>
              <w:pStyle w:val="Tabletext"/>
              <w:jc w:val="center"/>
              <w:rPr>
                <w:color w:val="000000"/>
                <w:sz w:val="18"/>
                <w:szCs w:val="18"/>
                <w:lang w:val="es-ES" w:eastAsia="en-GB"/>
              </w:rPr>
            </w:pPr>
          </w:p>
        </w:tc>
      </w:tr>
      <w:tr w:rsidR="00202E6A" w:rsidRPr="00A5733E" w14:paraId="168CF2D9" w14:textId="77777777" w:rsidTr="00201343">
        <w:trPr>
          <w:cantSplit/>
          <w:jc w:val="center"/>
        </w:trPr>
        <w:tc>
          <w:tcPr>
            <w:tcW w:w="776" w:type="dxa"/>
            <w:noWrap/>
            <w:hideMark/>
          </w:tcPr>
          <w:p w14:paraId="1F595646"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BR</w:t>
            </w:r>
          </w:p>
        </w:tc>
        <w:tc>
          <w:tcPr>
            <w:tcW w:w="3000" w:type="dxa"/>
            <w:noWrap/>
            <w:hideMark/>
          </w:tcPr>
          <w:p w14:paraId="414F7A12" w14:textId="77777777" w:rsidR="00202E6A" w:rsidRPr="00A5733E" w:rsidRDefault="00202E6A" w:rsidP="00201343">
            <w:pPr>
              <w:pStyle w:val="Tabletext"/>
              <w:rPr>
                <w:sz w:val="18"/>
                <w:szCs w:val="18"/>
                <w:lang w:val="es-ES"/>
              </w:rPr>
            </w:pPr>
            <w:r w:rsidRPr="00A5733E">
              <w:rPr>
                <w:color w:val="000000"/>
                <w:lang w:val="es-ES"/>
              </w:rPr>
              <w:t>GAR</w:t>
            </w:r>
          </w:p>
        </w:tc>
        <w:tc>
          <w:tcPr>
            <w:tcW w:w="1459" w:type="dxa"/>
            <w:noWrap/>
            <w:hideMark/>
          </w:tcPr>
          <w:p w14:paraId="210AD8B0" w14:textId="77777777" w:rsidR="00202E6A" w:rsidRPr="00A5733E" w:rsidRDefault="00202E6A" w:rsidP="00201343">
            <w:pPr>
              <w:pStyle w:val="Tabletext"/>
              <w:jc w:val="center"/>
              <w:rPr>
                <w:color w:val="000000"/>
                <w:sz w:val="18"/>
                <w:szCs w:val="18"/>
                <w:lang w:val="es-ES"/>
              </w:rPr>
            </w:pPr>
            <w:r w:rsidRPr="00A5733E">
              <w:rPr>
                <w:color w:val="000000"/>
                <w:lang w:val="es-ES"/>
              </w:rPr>
              <w:t>26/03/2029</w:t>
            </w:r>
          </w:p>
        </w:tc>
        <w:tc>
          <w:tcPr>
            <w:tcW w:w="1459" w:type="dxa"/>
            <w:noWrap/>
            <w:hideMark/>
          </w:tcPr>
          <w:p w14:paraId="38278ABD" w14:textId="77777777" w:rsidR="00202E6A" w:rsidRPr="00A5733E" w:rsidRDefault="00202E6A" w:rsidP="00201343">
            <w:pPr>
              <w:pStyle w:val="Tabletext"/>
              <w:jc w:val="center"/>
              <w:rPr>
                <w:color w:val="000000"/>
                <w:sz w:val="18"/>
                <w:szCs w:val="18"/>
                <w:lang w:val="es-ES"/>
              </w:rPr>
            </w:pPr>
            <w:r w:rsidRPr="00A5733E">
              <w:rPr>
                <w:color w:val="000000"/>
                <w:lang w:val="es-ES"/>
              </w:rPr>
              <w:t>29/03/2029</w:t>
            </w:r>
          </w:p>
        </w:tc>
        <w:tc>
          <w:tcPr>
            <w:tcW w:w="1644" w:type="dxa"/>
            <w:noWrap/>
            <w:hideMark/>
          </w:tcPr>
          <w:p w14:paraId="60025458" w14:textId="77777777" w:rsidR="00202E6A" w:rsidRPr="00A5733E" w:rsidRDefault="00202E6A" w:rsidP="00201343">
            <w:pPr>
              <w:pStyle w:val="Tabletext"/>
              <w:jc w:val="center"/>
              <w:rPr>
                <w:color w:val="000000"/>
                <w:sz w:val="18"/>
                <w:szCs w:val="18"/>
                <w:lang w:val="es-ES"/>
              </w:rPr>
            </w:pPr>
            <w:r w:rsidRPr="00A5733E">
              <w:rPr>
                <w:color w:val="000000"/>
                <w:lang w:val="es-ES"/>
              </w:rPr>
              <w:t>1×100</w:t>
            </w:r>
          </w:p>
        </w:tc>
        <w:tc>
          <w:tcPr>
            <w:tcW w:w="1631" w:type="dxa"/>
            <w:hideMark/>
          </w:tcPr>
          <w:p w14:paraId="546A8C15" w14:textId="77777777" w:rsidR="00202E6A" w:rsidRPr="00A5733E" w:rsidRDefault="00202E6A" w:rsidP="00201343">
            <w:pPr>
              <w:pStyle w:val="Tabletext"/>
              <w:jc w:val="center"/>
              <w:rPr>
                <w:color w:val="000000"/>
                <w:sz w:val="18"/>
                <w:szCs w:val="18"/>
                <w:lang w:val="es-ES" w:eastAsia="en-GB"/>
              </w:rPr>
            </w:pPr>
          </w:p>
        </w:tc>
      </w:tr>
      <w:tr w:rsidR="00202E6A" w:rsidRPr="00A5733E" w14:paraId="1A52F643" w14:textId="77777777" w:rsidTr="00201343">
        <w:trPr>
          <w:cantSplit/>
          <w:jc w:val="center"/>
        </w:trPr>
        <w:tc>
          <w:tcPr>
            <w:tcW w:w="776" w:type="dxa"/>
            <w:noWrap/>
            <w:hideMark/>
          </w:tcPr>
          <w:p w14:paraId="384D33EB"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TSB</w:t>
            </w:r>
          </w:p>
        </w:tc>
        <w:tc>
          <w:tcPr>
            <w:tcW w:w="3000" w:type="dxa"/>
            <w:noWrap/>
            <w:hideMark/>
          </w:tcPr>
          <w:p w14:paraId="04CD83FC" w14:textId="210E4313" w:rsidR="00202E6A" w:rsidRPr="00A5733E" w:rsidRDefault="00202E6A" w:rsidP="00201343">
            <w:pPr>
              <w:pStyle w:val="Tabletext"/>
              <w:rPr>
                <w:sz w:val="18"/>
                <w:szCs w:val="18"/>
                <w:lang w:val="es-ES"/>
              </w:rPr>
            </w:pPr>
            <w:r w:rsidRPr="00A5733E">
              <w:rPr>
                <w:color w:val="000000"/>
                <w:lang w:val="es-ES"/>
              </w:rPr>
              <w:t>CE</w:t>
            </w:r>
            <w:r w:rsidR="00693161" w:rsidRPr="00A5733E">
              <w:rPr>
                <w:color w:val="000000"/>
                <w:lang w:val="es-ES"/>
              </w:rPr>
              <w:t> </w:t>
            </w:r>
            <w:r w:rsidRPr="00A5733E">
              <w:rPr>
                <w:color w:val="000000"/>
                <w:lang w:val="es-ES"/>
              </w:rPr>
              <w:t>17</w:t>
            </w:r>
          </w:p>
        </w:tc>
        <w:tc>
          <w:tcPr>
            <w:tcW w:w="1459" w:type="dxa"/>
            <w:noWrap/>
            <w:hideMark/>
          </w:tcPr>
          <w:p w14:paraId="5B4D0435" w14:textId="77777777" w:rsidR="00202E6A" w:rsidRPr="00A5733E" w:rsidRDefault="00202E6A" w:rsidP="00201343">
            <w:pPr>
              <w:pStyle w:val="Tabletext"/>
              <w:jc w:val="center"/>
              <w:rPr>
                <w:color w:val="000000"/>
                <w:sz w:val="18"/>
                <w:szCs w:val="18"/>
                <w:lang w:val="es-ES"/>
              </w:rPr>
            </w:pPr>
            <w:r w:rsidRPr="00A5733E">
              <w:rPr>
                <w:color w:val="000000"/>
                <w:lang w:val="es-ES"/>
              </w:rPr>
              <w:t>04/04/2029</w:t>
            </w:r>
          </w:p>
        </w:tc>
        <w:tc>
          <w:tcPr>
            <w:tcW w:w="1459" w:type="dxa"/>
            <w:noWrap/>
            <w:hideMark/>
          </w:tcPr>
          <w:p w14:paraId="34A73ECB" w14:textId="77777777" w:rsidR="00202E6A" w:rsidRPr="00A5733E" w:rsidRDefault="00202E6A" w:rsidP="00201343">
            <w:pPr>
              <w:pStyle w:val="Tabletext"/>
              <w:jc w:val="center"/>
              <w:rPr>
                <w:color w:val="000000"/>
                <w:sz w:val="18"/>
                <w:szCs w:val="18"/>
                <w:lang w:val="es-ES"/>
              </w:rPr>
            </w:pPr>
            <w:r w:rsidRPr="00A5733E">
              <w:rPr>
                <w:color w:val="000000"/>
                <w:lang w:val="es-ES"/>
              </w:rPr>
              <w:t>13/04/2029</w:t>
            </w:r>
          </w:p>
        </w:tc>
        <w:tc>
          <w:tcPr>
            <w:tcW w:w="1644" w:type="dxa"/>
            <w:hideMark/>
          </w:tcPr>
          <w:p w14:paraId="0F20CDE9" w14:textId="77777777" w:rsidR="00202E6A" w:rsidRPr="00A5733E" w:rsidRDefault="00202E6A" w:rsidP="00201343">
            <w:pPr>
              <w:pStyle w:val="Tabletext"/>
              <w:jc w:val="center"/>
              <w:rPr>
                <w:color w:val="000000"/>
                <w:sz w:val="18"/>
                <w:szCs w:val="18"/>
                <w:lang w:val="es-ES"/>
              </w:rPr>
            </w:pPr>
            <w:r w:rsidRPr="00A5733E">
              <w:rPr>
                <w:color w:val="000000"/>
                <w:lang w:val="es-ES"/>
              </w:rPr>
              <w:t>2×150, 2×20, 2×30, 4×50, 1×15, 1×10</w:t>
            </w:r>
          </w:p>
        </w:tc>
        <w:tc>
          <w:tcPr>
            <w:tcW w:w="1631" w:type="dxa"/>
            <w:hideMark/>
          </w:tcPr>
          <w:p w14:paraId="78882727" w14:textId="77777777" w:rsidR="00202E6A" w:rsidRPr="00A5733E" w:rsidRDefault="00202E6A" w:rsidP="00201343">
            <w:pPr>
              <w:pStyle w:val="Tabletext"/>
              <w:jc w:val="center"/>
              <w:rPr>
                <w:color w:val="000000"/>
                <w:sz w:val="18"/>
                <w:szCs w:val="18"/>
                <w:lang w:val="es-ES" w:eastAsia="en-GB"/>
              </w:rPr>
            </w:pPr>
          </w:p>
        </w:tc>
      </w:tr>
      <w:tr w:rsidR="00202E6A" w:rsidRPr="00A5733E" w14:paraId="44D71E57" w14:textId="77777777" w:rsidTr="00201343">
        <w:trPr>
          <w:cantSplit/>
          <w:jc w:val="center"/>
        </w:trPr>
        <w:tc>
          <w:tcPr>
            <w:tcW w:w="776" w:type="dxa"/>
            <w:noWrap/>
            <w:hideMark/>
          </w:tcPr>
          <w:p w14:paraId="7BBE1BD0"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BR</w:t>
            </w:r>
          </w:p>
        </w:tc>
        <w:tc>
          <w:tcPr>
            <w:tcW w:w="3000" w:type="dxa"/>
            <w:noWrap/>
            <w:hideMark/>
          </w:tcPr>
          <w:p w14:paraId="473DF299" w14:textId="77777777" w:rsidR="00202E6A" w:rsidRPr="00A5733E" w:rsidRDefault="00202E6A" w:rsidP="00201343">
            <w:pPr>
              <w:pStyle w:val="Tabletext"/>
              <w:rPr>
                <w:sz w:val="18"/>
                <w:szCs w:val="18"/>
                <w:lang w:val="es-ES"/>
              </w:rPr>
            </w:pPr>
            <w:r w:rsidRPr="00A5733E">
              <w:rPr>
                <w:color w:val="000000"/>
                <w:lang w:val="es-ES"/>
              </w:rPr>
              <w:t>GT 4A-B-C</w:t>
            </w:r>
          </w:p>
        </w:tc>
        <w:tc>
          <w:tcPr>
            <w:tcW w:w="1459" w:type="dxa"/>
            <w:noWrap/>
            <w:hideMark/>
          </w:tcPr>
          <w:p w14:paraId="2E90B11F" w14:textId="77777777" w:rsidR="00202E6A" w:rsidRPr="00A5733E" w:rsidRDefault="00202E6A" w:rsidP="00201343">
            <w:pPr>
              <w:pStyle w:val="Tabletext"/>
              <w:jc w:val="center"/>
              <w:rPr>
                <w:color w:val="000000"/>
                <w:sz w:val="18"/>
                <w:szCs w:val="18"/>
                <w:lang w:val="es-ES"/>
              </w:rPr>
            </w:pPr>
            <w:r w:rsidRPr="00A5733E">
              <w:rPr>
                <w:color w:val="000000"/>
                <w:lang w:val="es-ES"/>
              </w:rPr>
              <w:t>11/04/2029</w:t>
            </w:r>
          </w:p>
        </w:tc>
        <w:tc>
          <w:tcPr>
            <w:tcW w:w="1459" w:type="dxa"/>
            <w:noWrap/>
            <w:hideMark/>
          </w:tcPr>
          <w:p w14:paraId="7FE7CE6C" w14:textId="77777777" w:rsidR="00202E6A" w:rsidRPr="00A5733E" w:rsidRDefault="00202E6A" w:rsidP="00201343">
            <w:pPr>
              <w:pStyle w:val="Tabletext"/>
              <w:jc w:val="center"/>
              <w:rPr>
                <w:color w:val="000000"/>
                <w:sz w:val="18"/>
                <w:szCs w:val="18"/>
                <w:lang w:val="es-ES"/>
              </w:rPr>
            </w:pPr>
            <w:r w:rsidRPr="00A5733E">
              <w:rPr>
                <w:color w:val="000000"/>
                <w:lang w:val="es-ES"/>
              </w:rPr>
              <w:t>26/04/2029</w:t>
            </w:r>
          </w:p>
        </w:tc>
        <w:tc>
          <w:tcPr>
            <w:tcW w:w="1644" w:type="dxa"/>
            <w:noWrap/>
            <w:hideMark/>
          </w:tcPr>
          <w:p w14:paraId="7AE6EF1B" w14:textId="77777777" w:rsidR="00202E6A" w:rsidRPr="00A5733E" w:rsidRDefault="00202E6A" w:rsidP="00201343">
            <w:pPr>
              <w:pStyle w:val="Tabletext"/>
              <w:jc w:val="center"/>
              <w:rPr>
                <w:color w:val="000000"/>
                <w:sz w:val="18"/>
                <w:szCs w:val="18"/>
                <w:lang w:val="es-ES"/>
              </w:rPr>
            </w:pPr>
            <w:r w:rsidRPr="00A5733E">
              <w:rPr>
                <w:color w:val="000000"/>
                <w:lang w:val="es-ES"/>
              </w:rPr>
              <w:t>1×250, 2×100</w:t>
            </w:r>
          </w:p>
        </w:tc>
        <w:tc>
          <w:tcPr>
            <w:tcW w:w="1631" w:type="dxa"/>
            <w:hideMark/>
          </w:tcPr>
          <w:p w14:paraId="086FD1FA" w14:textId="77777777" w:rsidR="00202E6A" w:rsidRPr="00A5733E" w:rsidRDefault="00202E6A" w:rsidP="00201343">
            <w:pPr>
              <w:pStyle w:val="Tabletext"/>
              <w:jc w:val="center"/>
              <w:rPr>
                <w:color w:val="000000"/>
                <w:sz w:val="18"/>
                <w:szCs w:val="18"/>
                <w:lang w:val="es-ES" w:eastAsia="en-GB"/>
              </w:rPr>
            </w:pPr>
          </w:p>
        </w:tc>
      </w:tr>
      <w:tr w:rsidR="00202E6A" w:rsidRPr="00A5733E" w14:paraId="4187096A" w14:textId="77777777" w:rsidTr="00201343">
        <w:trPr>
          <w:cantSplit/>
          <w:jc w:val="center"/>
        </w:trPr>
        <w:tc>
          <w:tcPr>
            <w:tcW w:w="776" w:type="dxa"/>
            <w:noWrap/>
            <w:hideMark/>
          </w:tcPr>
          <w:p w14:paraId="0BB3C421"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TSB</w:t>
            </w:r>
          </w:p>
        </w:tc>
        <w:tc>
          <w:tcPr>
            <w:tcW w:w="3000" w:type="dxa"/>
            <w:noWrap/>
            <w:hideMark/>
          </w:tcPr>
          <w:p w14:paraId="0A77D546" w14:textId="389D019E" w:rsidR="00202E6A" w:rsidRPr="00A5733E" w:rsidRDefault="00202E6A" w:rsidP="00201343">
            <w:pPr>
              <w:pStyle w:val="Tabletext"/>
              <w:rPr>
                <w:sz w:val="18"/>
                <w:szCs w:val="18"/>
                <w:lang w:val="es-ES"/>
              </w:rPr>
            </w:pPr>
            <w:r w:rsidRPr="00A5733E">
              <w:rPr>
                <w:color w:val="000000"/>
                <w:lang w:val="es-ES"/>
              </w:rPr>
              <w:t>CE</w:t>
            </w:r>
            <w:r w:rsidR="00693161" w:rsidRPr="00A5733E">
              <w:rPr>
                <w:color w:val="000000"/>
                <w:lang w:val="es-ES"/>
              </w:rPr>
              <w:t> </w:t>
            </w:r>
            <w:r w:rsidRPr="00A5733E">
              <w:rPr>
                <w:color w:val="000000"/>
                <w:lang w:val="es-ES"/>
              </w:rPr>
              <w:t>15</w:t>
            </w:r>
          </w:p>
        </w:tc>
        <w:tc>
          <w:tcPr>
            <w:tcW w:w="1459" w:type="dxa"/>
            <w:noWrap/>
            <w:hideMark/>
          </w:tcPr>
          <w:p w14:paraId="323D8325" w14:textId="77777777" w:rsidR="00202E6A" w:rsidRPr="00A5733E" w:rsidRDefault="00202E6A" w:rsidP="00201343">
            <w:pPr>
              <w:pStyle w:val="Tabletext"/>
              <w:jc w:val="center"/>
              <w:rPr>
                <w:color w:val="000000"/>
                <w:sz w:val="18"/>
                <w:szCs w:val="18"/>
                <w:lang w:val="es-ES"/>
              </w:rPr>
            </w:pPr>
            <w:r w:rsidRPr="00A5733E">
              <w:rPr>
                <w:color w:val="000000"/>
                <w:lang w:val="es-ES"/>
              </w:rPr>
              <w:t>16/04/2029</w:t>
            </w:r>
          </w:p>
        </w:tc>
        <w:tc>
          <w:tcPr>
            <w:tcW w:w="1459" w:type="dxa"/>
            <w:noWrap/>
            <w:hideMark/>
          </w:tcPr>
          <w:p w14:paraId="7CDCFC6D" w14:textId="77777777" w:rsidR="00202E6A" w:rsidRPr="00A5733E" w:rsidRDefault="00202E6A" w:rsidP="00201343">
            <w:pPr>
              <w:pStyle w:val="Tabletext"/>
              <w:jc w:val="center"/>
              <w:rPr>
                <w:color w:val="000000"/>
                <w:sz w:val="18"/>
                <w:szCs w:val="18"/>
                <w:lang w:val="es-ES"/>
              </w:rPr>
            </w:pPr>
            <w:r w:rsidRPr="00A5733E">
              <w:rPr>
                <w:color w:val="000000"/>
                <w:lang w:val="es-ES"/>
              </w:rPr>
              <w:t>27/04/2029</w:t>
            </w:r>
          </w:p>
        </w:tc>
        <w:tc>
          <w:tcPr>
            <w:tcW w:w="1644" w:type="dxa"/>
            <w:hideMark/>
          </w:tcPr>
          <w:p w14:paraId="44CCE792" w14:textId="77777777" w:rsidR="00202E6A" w:rsidRPr="00A5733E" w:rsidRDefault="00202E6A" w:rsidP="00201343">
            <w:pPr>
              <w:pStyle w:val="Tabletext"/>
              <w:jc w:val="center"/>
              <w:rPr>
                <w:color w:val="000000"/>
                <w:sz w:val="18"/>
                <w:szCs w:val="18"/>
                <w:lang w:val="es-ES"/>
              </w:rPr>
            </w:pPr>
            <w:r w:rsidRPr="00A5733E">
              <w:rPr>
                <w:color w:val="000000"/>
                <w:lang w:val="es-ES"/>
              </w:rPr>
              <w:t>1×30, 2×20, 2×15, 1×200, 1×40, 2×100, 3×50, 3×30</w:t>
            </w:r>
          </w:p>
        </w:tc>
        <w:tc>
          <w:tcPr>
            <w:tcW w:w="1631" w:type="dxa"/>
            <w:hideMark/>
          </w:tcPr>
          <w:p w14:paraId="03DC9D31" w14:textId="77777777" w:rsidR="00202E6A" w:rsidRPr="00A5733E" w:rsidRDefault="00202E6A" w:rsidP="00201343">
            <w:pPr>
              <w:pStyle w:val="Tabletext"/>
              <w:jc w:val="center"/>
              <w:rPr>
                <w:color w:val="000000"/>
                <w:sz w:val="18"/>
                <w:szCs w:val="18"/>
                <w:lang w:val="es-ES" w:eastAsia="en-GB"/>
              </w:rPr>
            </w:pPr>
          </w:p>
        </w:tc>
      </w:tr>
      <w:tr w:rsidR="00202E6A" w:rsidRPr="00A5733E" w14:paraId="67E5CE61" w14:textId="77777777" w:rsidTr="00201343">
        <w:trPr>
          <w:cantSplit/>
          <w:jc w:val="center"/>
        </w:trPr>
        <w:tc>
          <w:tcPr>
            <w:tcW w:w="776" w:type="dxa"/>
            <w:noWrap/>
            <w:hideMark/>
          </w:tcPr>
          <w:p w14:paraId="7480EC37"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BDT</w:t>
            </w:r>
          </w:p>
        </w:tc>
        <w:tc>
          <w:tcPr>
            <w:tcW w:w="3000" w:type="dxa"/>
            <w:noWrap/>
            <w:hideMark/>
          </w:tcPr>
          <w:p w14:paraId="10F2E97A" w14:textId="77777777" w:rsidR="00202E6A" w:rsidRPr="00A5733E" w:rsidRDefault="00202E6A" w:rsidP="00201343">
            <w:pPr>
              <w:pStyle w:val="Tabletext"/>
              <w:rPr>
                <w:sz w:val="18"/>
                <w:szCs w:val="18"/>
                <w:lang w:val="es-ES"/>
              </w:rPr>
            </w:pPr>
            <w:r w:rsidRPr="00A5733E">
              <w:rPr>
                <w:color w:val="000000"/>
                <w:lang w:val="es-ES"/>
              </w:rPr>
              <w:t>GADT</w:t>
            </w:r>
          </w:p>
        </w:tc>
        <w:tc>
          <w:tcPr>
            <w:tcW w:w="1459" w:type="dxa"/>
            <w:noWrap/>
            <w:hideMark/>
          </w:tcPr>
          <w:p w14:paraId="51F3AB96" w14:textId="77777777" w:rsidR="00202E6A" w:rsidRPr="00A5733E" w:rsidRDefault="00202E6A" w:rsidP="00201343">
            <w:pPr>
              <w:pStyle w:val="Tabletext"/>
              <w:jc w:val="center"/>
              <w:rPr>
                <w:color w:val="000000"/>
                <w:sz w:val="18"/>
                <w:szCs w:val="18"/>
                <w:lang w:val="es-ES"/>
              </w:rPr>
            </w:pPr>
            <w:r w:rsidRPr="00A5733E">
              <w:rPr>
                <w:color w:val="000000"/>
                <w:lang w:val="es-ES"/>
              </w:rPr>
              <w:t>23/04/2029</w:t>
            </w:r>
          </w:p>
        </w:tc>
        <w:tc>
          <w:tcPr>
            <w:tcW w:w="1459" w:type="dxa"/>
            <w:noWrap/>
            <w:hideMark/>
          </w:tcPr>
          <w:p w14:paraId="0C0A7129" w14:textId="77777777" w:rsidR="00202E6A" w:rsidRPr="00A5733E" w:rsidRDefault="00202E6A" w:rsidP="00201343">
            <w:pPr>
              <w:pStyle w:val="Tabletext"/>
              <w:jc w:val="center"/>
              <w:rPr>
                <w:color w:val="000000"/>
                <w:sz w:val="18"/>
                <w:szCs w:val="18"/>
                <w:lang w:val="es-ES"/>
              </w:rPr>
            </w:pPr>
            <w:r w:rsidRPr="00A5733E">
              <w:rPr>
                <w:color w:val="000000"/>
                <w:lang w:val="es-ES"/>
              </w:rPr>
              <w:t>27/04/2029</w:t>
            </w:r>
          </w:p>
        </w:tc>
        <w:tc>
          <w:tcPr>
            <w:tcW w:w="1644" w:type="dxa"/>
            <w:noWrap/>
            <w:hideMark/>
          </w:tcPr>
          <w:p w14:paraId="07A3F94E" w14:textId="77777777" w:rsidR="00202E6A" w:rsidRPr="00A5733E" w:rsidRDefault="00202E6A" w:rsidP="00201343">
            <w:pPr>
              <w:pStyle w:val="Tabletext"/>
              <w:jc w:val="center"/>
              <w:rPr>
                <w:color w:val="000000"/>
                <w:sz w:val="18"/>
                <w:szCs w:val="18"/>
                <w:lang w:val="es-ES"/>
              </w:rPr>
            </w:pPr>
            <w:r w:rsidRPr="00A5733E">
              <w:rPr>
                <w:color w:val="000000"/>
                <w:lang w:val="es-ES"/>
              </w:rPr>
              <w:t>1×200</w:t>
            </w:r>
          </w:p>
        </w:tc>
        <w:tc>
          <w:tcPr>
            <w:tcW w:w="1631" w:type="dxa"/>
            <w:noWrap/>
            <w:hideMark/>
          </w:tcPr>
          <w:p w14:paraId="389FDCC9" w14:textId="77777777" w:rsidR="00202E6A" w:rsidRPr="00A5733E" w:rsidRDefault="00202E6A" w:rsidP="00201343">
            <w:pPr>
              <w:pStyle w:val="Tabletext"/>
              <w:jc w:val="center"/>
              <w:rPr>
                <w:color w:val="000000"/>
                <w:sz w:val="18"/>
                <w:szCs w:val="18"/>
                <w:lang w:val="es-ES"/>
              </w:rPr>
            </w:pPr>
            <w:r w:rsidRPr="00A5733E">
              <w:rPr>
                <w:color w:val="000000"/>
                <w:lang w:val="es-ES"/>
              </w:rPr>
              <w:t>1×30</w:t>
            </w:r>
          </w:p>
        </w:tc>
      </w:tr>
      <w:tr w:rsidR="00202E6A" w:rsidRPr="00A5733E" w14:paraId="0EFA5A19" w14:textId="77777777" w:rsidTr="00201343">
        <w:trPr>
          <w:cantSplit/>
          <w:jc w:val="center"/>
        </w:trPr>
        <w:tc>
          <w:tcPr>
            <w:tcW w:w="776" w:type="dxa"/>
            <w:noWrap/>
            <w:hideMark/>
          </w:tcPr>
          <w:p w14:paraId="762B4463"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BR</w:t>
            </w:r>
          </w:p>
        </w:tc>
        <w:tc>
          <w:tcPr>
            <w:tcW w:w="3000" w:type="dxa"/>
            <w:noWrap/>
            <w:hideMark/>
          </w:tcPr>
          <w:p w14:paraId="74EB9268" w14:textId="77777777" w:rsidR="00202E6A" w:rsidRPr="00A5733E" w:rsidRDefault="00202E6A" w:rsidP="00201343">
            <w:pPr>
              <w:pStyle w:val="Tabletext"/>
              <w:rPr>
                <w:sz w:val="18"/>
                <w:szCs w:val="18"/>
                <w:lang w:val="es-ES"/>
              </w:rPr>
            </w:pPr>
            <w:r w:rsidRPr="00A5733E">
              <w:rPr>
                <w:color w:val="000000"/>
                <w:lang w:val="es-ES"/>
              </w:rPr>
              <w:t>CE 4</w:t>
            </w:r>
          </w:p>
        </w:tc>
        <w:tc>
          <w:tcPr>
            <w:tcW w:w="1459" w:type="dxa"/>
            <w:noWrap/>
            <w:hideMark/>
          </w:tcPr>
          <w:p w14:paraId="0C5C9725" w14:textId="77777777" w:rsidR="00202E6A" w:rsidRPr="00A5733E" w:rsidRDefault="00202E6A" w:rsidP="00201343">
            <w:pPr>
              <w:pStyle w:val="Tabletext"/>
              <w:jc w:val="center"/>
              <w:rPr>
                <w:color w:val="000000"/>
                <w:sz w:val="18"/>
                <w:szCs w:val="18"/>
                <w:lang w:val="es-ES"/>
              </w:rPr>
            </w:pPr>
            <w:r w:rsidRPr="00A5733E">
              <w:rPr>
                <w:color w:val="000000"/>
                <w:lang w:val="es-ES"/>
              </w:rPr>
              <w:t>27/04/2029</w:t>
            </w:r>
          </w:p>
        </w:tc>
        <w:tc>
          <w:tcPr>
            <w:tcW w:w="1459" w:type="dxa"/>
            <w:noWrap/>
            <w:hideMark/>
          </w:tcPr>
          <w:p w14:paraId="571F278E" w14:textId="77777777" w:rsidR="00202E6A" w:rsidRPr="00A5733E" w:rsidRDefault="00202E6A" w:rsidP="00201343">
            <w:pPr>
              <w:pStyle w:val="Tabletext"/>
              <w:jc w:val="center"/>
              <w:rPr>
                <w:color w:val="000000"/>
                <w:sz w:val="18"/>
                <w:szCs w:val="18"/>
                <w:lang w:val="es-ES"/>
              </w:rPr>
            </w:pPr>
            <w:r w:rsidRPr="00A5733E">
              <w:rPr>
                <w:color w:val="000000"/>
                <w:lang w:val="es-ES"/>
              </w:rPr>
              <w:t>27/04/2029</w:t>
            </w:r>
          </w:p>
        </w:tc>
        <w:tc>
          <w:tcPr>
            <w:tcW w:w="1644" w:type="dxa"/>
            <w:noWrap/>
            <w:hideMark/>
          </w:tcPr>
          <w:p w14:paraId="613D4681" w14:textId="77777777" w:rsidR="00202E6A" w:rsidRPr="00A5733E" w:rsidRDefault="00202E6A" w:rsidP="00201343">
            <w:pPr>
              <w:pStyle w:val="Tabletext"/>
              <w:jc w:val="center"/>
              <w:rPr>
                <w:color w:val="000000"/>
                <w:sz w:val="18"/>
                <w:szCs w:val="18"/>
                <w:lang w:val="es-ES"/>
              </w:rPr>
            </w:pPr>
            <w:r w:rsidRPr="00A5733E">
              <w:rPr>
                <w:color w:val="000000"/>
                <w:lang w:val="es-ES"/>
              </w:rPr>
              <w:t>1×200</w:t>
            </w:r>
          </w:p>
        </w:tc>
        <w:tc>
          <w:tcPr>
            <w:tcW w:w="1631" w:type="dxa"/>
            <w:hideMark/>
          </w:tcPr>
          <w:p w14:paraId="06C6AD7D" w14:textId="77777777" w:rsidR="00202E6A" w:rsidRPr="00A5733E" w:rsidRDefault="00202E6A" w:rsidP="00201343">
            <w:pPr>
              <w:pStyle w:val="Tabletext"/>
              <w:jc w:val="center"/>
              <w:rPr>
                <w:color w:val="000000"/>
                <w:sz w:val="18"/>
                <w:szCs w:val="18"/>
                <w:lang w:val="es-ES" w:eastAsia="en-GB"/>
              </w:rPr>
            </w:pPr>
          </w:p>
        </w:tc>
      </w:tr>
      <w:tr w:rsidR="00202E6A" w:rsidRPr="00A5733E" w14:paraId="5D084457" w14:textId="77777777" w:rsidTr="00201343">
        <w:trPr>
          <w:cantSplit/>
          <w:jc w:val="center"/>
        </w:trPr>
        <w:tc>
          <w:tcPr>
            <w:tcW w:w="776" w:type="dxa"/>
            <w:noWrap/>
            <w:hideMark/>
          </w:tcPr>
          <w:p w14:paraId="355F21B6"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TSB</w:t>
            </w:r>
          </w:p>
        </w:tc>
        <w:tc>
          <w:tcPr>
            <w:tcW w:w="3000" w:type="dxa"/>
            <w:noWrap/>
            <w:hideMark/>
          </w:tcPr>
          <w:p w14:paraId="1D9D188A" w14:textId="7C42EE0A" w:rsidR="00202E6A" w:rsidRPr="00A5733E" w:rsidRDefault="00202E6A" w:rsidP="00201343">
            <w:pPr>
              <w:pStyle w:val="Tabletext"/>
              <w:rPr>
                <w:sz w:val="18"/>
                <w:szCs w:val="18"/>
                <w:lang w:val="es-ES"/>
              </w:rPr>
            </w:pPr>
            <w:r w:rsidRPr="00A5733E">
              <w:rPr>
                <w:color w:val="000000"/>
                <w:lang w:val="es-ES"/>
              </w:rPr>
              <w:t>CE</w:t>
            </w:r>
            <w:r w:rsidR="00693161" w:rsidRPr="00A5733E">
              <w:rPr>
                <w:color w:val="000000"/>
                <w:lang w:val="es-ES"/>
              </w:rPr>
              <w:t> </w:t>
            </w:r>
            <w:r w:rsidRPr="00A5733E">
              <w:rPr>
                <w:color w:val="000000"/>
                <w:lang w:val="es-ES"/>
              </w:rPr>
              <w:t>3</w:t>
            </w:r>
          </w:p>
        </w:tc>
        <w:tc>
          <w:tcPr>
            <w:tcW w:w="1459" w:type="dxa"/>
            <w:noWrap/>
            <w:hideMark/>
          </w:tcPr>
          <w:p w14:paraId="2EC31C4F" w14:textId="77777777" w:rsidR="00202E6A" w:rsidRPr="00A5733E" w:rsidRDefault="00202E6A" w:rsidP="00201343">
            <w:pPr>
              <w:pStyle w:val="Tabletext"/>
              <w:jc w:val="center"/>
              <w:rPr>
                <w:color w:val="000000"/>
                <w:sz w:val="18"/>
                <w:szCs w:val="18"/>
                <w:lang w:val="es-ES"/>
              </w:rPr>
            </w:pPr>
            <w:r w:rsidRPr="00A5733E">
              <w:rPr>
                <w:color w:val="000000"/>
                <w:lang w:val="es-ES"/>
              </w:rPr>
              <w:t>02/05/2029</w:t>
            </w:r>
          </w:p>
        </w:tc>
        <w:tc>
          <w:tcPr>
            <w:tcW w:w="1459" w:type="dxa"/>
            <w:noWrap/>
            <w:hideMark/>
          </w:tcPr>
          <w:p w14:paraId="0E21C2B1" w14:textId="77777777" w:rsidR="00202E6A" w:rsidRPr="00A5733E" w:rsidRDefault="00202E6A" w:rsidP="00201343">
            <w:pPr>
              <w:pStyle w:val="Tabletext"/>
              <w:jc w:val="center"/>
              <w:rPr>
                <w:color w:val="000000"/>
                <w:sz w:val="18"/>
                <w:szCs w:val="18"/>
                <w:lang w:val="es-ES"/>
              </w:rPr>
            </w:pPr>
            <w:r w:rsidRPr="00A5733E">
              <w:rPr>
                <w:color w:val="000000"/>
                <w:lang w:val="es-ES"/>
              </w:rPr>
              <w:t>11/05/2029</w:t>
            </w:r>
          </w:p>
        </w:tc>
        <w:tc>
          <w:tcPr>
            <w:tcW w:w="1644" w:type="dxa"/>
            <w:noWrap/>
            <w:hideMark/>
          </w:tcPr>
          <w:p w14:paraId="4036B86C" w14:textId="77777777" w:rsidR="00202E6A" w:rsidRPr="00A5733E" w:rsidRDefault="00202E6A" w:rsidP="00201343">
            <w:pPr>
              <w:pStyle w:val="Tabletext"/>
              <w:jc w:val="center"/>
              <w:rPr>
                <w:sz w:val="18"/>
                <w:szCs w:val="18"/>
                <w:lang w:val="es-ES"/>
              </w:rPr>
            </w:pPr>
            <w:r w:rsidRPr="00A5733E">
              <w:rPr>
                <w:color w:val="000000"/>
                <w:lang w:val="es-ES"/>
              </w:rPr>
              <w:t>1×150, 1×30</w:t>
            </w:r>
          </w:p>
        </w:tc>
        <w:tc>
          <w:tcPr>
            <w:tcW w:w="1631" w:type="dxa"/>
            <w:hideMark/>
          </w:tcPr>
          <w:p w14:paraId="0E4DE2F3" w14:textId="77777777" w:rsidR="00202E6A" w:rsidRPr="00A5733E" w:rsidRDefault="00202E6A" w:rsidP="00201343">
            <w:pPr>
              <w:pStyle w:val="Tabletext"/>
              <w:jc w:val="center"/>
              <w:rPr>
                <w:sz w:val="18"/>
                <w:szCs w:val="18"/>
                <w:lang w:val="es-ES" w:eastAsia="en-GB"/>
              </w:rPr>
            </w:pPr>
          </w:p>
        </w:tc>
      </w:tr>
      <w:tr w:rsidR="00202E6A" w:rsidRPr="00A5733E" w14:paraId="109ACA66" w14:textId="77777777" w:rsidTr="00201343">
        <w:trPr>
          <w:cantSplit/>
          <w:jc w:val="center"/>
        </w:trPr>
        <w:tc>
          <w:tcPr>
            <w:tcW w:w="776" w:type="dxa"/>
            <w:noWrap/>
            <w:hideMark/>
          </w:tcPr>
          <w:p w14:paraId="2132A310"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BR</w:t>
            </w:r>
          </w:p>
        </w:tc>
        <w:tc>
          <w:tcPr>
            <w:tcW w:w="3000" w:type="dxa"/>
            <w:noWrap/>
            <w:hideMark/>
          </w:tcPr>
          <w:p w14:paraId="2EA64E0B" w14:textId="7771F4F3" w:rsidR="00202E6A" w:rsidRPr="00A5733E" w:rsidRDefault="00202E6A" w:rsidP="00201343">
            <w:pPr>
              <w:pStyle w:val="Tabletext"/>
              <w:rPr>
                <w:sz w:val="18"/>
                <w:szCs w:val="18"/>
                <w:lang w:val="es-ES"/>
              </w:rPr>
            </w:pPr>
            <w:r w:rsidRPr="00A5733E">
              <w:rPr>
                <w:color w:val="000000"/>
                <w:lang w:val="es-ES"/>
              </w:rPr>
              <w:t xml:space="preserve">Nuevo grupo tras la </w:t>
            </w:r>
            <w:r w:rsidR="00693161" w:rsidRPr="00A5733E">
              <w:rPr>
                <w:color w:val="000000"/>
                <w:lang w:val="es-ES"/>
              </w:rPr>
              <w:br/>
            </w:r>
            <w:r w:rsidRPr="00A5733E">
              <w:rPr>
                <w:color w:val="000000"/>
                <w:lang w:val="es-ES"/>
              </w:rPr>
              <w:t>AR-27/CMR-27</w:t>
            </w:r>
          </w:p>
        </w:tc>
        <w:tc>
          <w:tcPr>
            <w:tcW w:w="1459" w:type="dxa"/>
            <w:noWrap/>
            <w:hideMark/>
          </w:tcPr>
          <w:p w14:paraId="3D0CBC6F" w14:textId="77777777" w:rsidR="00202E6A" w:rsidRPr="00A5733E" w:rsidRDefault="00202E6A" w:rsidP="00201343">
            <w:pPr>
              <w:pStyle w:val="Tabletext"/>
              <w:jc w:val="center"/>
              <w:rPr>
                <w:color w:val="000000"/>
                <w:sz w:val="18"/>
                <w:szCs w:val="18"/>
                <w:lang w:val="es-ES"/>
              </w:rPr>
            </w:pPr>
            <w:r w:rsidRPr="00A5733E">
              <w:rPr>
                <w:color w:val="000000"/>
                <w:lang w:val="es-ES"/>
              </w:rPr>
              <w:t>03/05/2029</w:t>
            </w:r>
          </w:p>
        </w:tc>
        <w:tc>
          <w:tcPr>
            <w:tcW w:w="1459" w:type="dxa"/>
            <w:noWrap/>
            <w:hideMark/>
          </w:tcPr>
          <w:p w14:paraId="2CA5D042" w14:textId="77777777" w:rsidR="00202E6A" w:rsidRPr="00A5733E" w:rsidRDefault="00202E6A" w:rsidP="00201343">
            <w:pPr>
              <w:pStyle w:val="Tabletext"/>
              <w:jc w:val="center"/>
              <w:rPr>
                <w:color w:val="000000"/>
                <w:sz w:val="18"/>
                <w:szCs w:val="18"/>
                <w:lang w:val="es-ES"/>
              </w:rPr>
            </w:pPr>
            <w:r w:rsidRPr="00A5733E">
              <w:rPr>
                <w:color w:val="000000"/>
                <w:lang w:val="es-ES"/>
              </w:rPr>
              <w:t>10/05/2029</w:t>
            </w:r>
          </w:p>
        </w:tc>
        <w:tc>
          <w:tcPr>
            <w:tcW w:w="1644" w:type="dxa"/>
            <w:noWrap/>
            <w:hideMark/>
          </w:tcPr>
          <w:p w14:paraId="703336F6" w14:textId="77777777" w:rsidR="00202E6A" w:rsidRPr="00A5733E" w:rsidRDefault="00202E6A" w:rsidP="00201343">
            <w:pPr>
              <w:pStyle w:val="Tabletext"/>
              <w:jc w:val="center"/>
              <w:rPr>
                <w:color w:val="000000"/>
                <w:sz w:val="18"/>
                <w:szCs w:val="18"/>
                <w:lang w:val="es-ES"/>
              </w:rPr>
            </w:pPr>
            <w:r w:rsidRPr="00A5733E">
              <w:rPr>
                <w:color w:val="000000"/>
                <w:lang w:val="es-ES"/>
              </w:rPr>
              <w:t>1×250</w:t>
            </w:r>
          </w:p>
        </w:tc>
        <w:tc>
          <w:tcPr>
            <w:tcW w:w="1631" w:type="dxa"/>
            <w:hideMark/>
          </w:tcPr>
          <w:p w14:paraId="77D0640A" w14:textId="77777777" w:rsidR="00202E6A" w:rsidRPr="00A5733E" w:rsidRDefault="00202E6A" w:rsidP="00201343">
            <w:pPr>
              <w:pStyle w:val="Tabletext"/>
              <w:jc w:val="center"/>
              <w:rPr>
                <w:color w:val="000000"/>
                <w:sz w:val="18"/>
                <w:szCs w:val="18"/>
                <w:lang w:val="es-ES"/>
              </w:rPr>
            </w:pPr>
            <w:r w:rsidRPr="00A5733E">
              <w:rPr>
                <w:color w:val="000000"/>
                <w:lang w:val="es-ES"/>
              </w:rPr>
              <w:t>1×30</w:t>
            </w:r>
          </w:p>
        </w:tc>
      </w:tr>
      <w:tr w:rsidR="00202E6A" w:rsidRPr="00A5733E" w14:paraId="38603BCE" w14:textId="77777777" w:rsidTr="00201343">
        <w:trPr>
          <w:cantSplit/>
          <w:jc w:val="center"/>
        </w:trPr>
        <w:tc>
          <w:tcPr>
            <w:tcW w:w="776" w:type="dxa"/>
            <w:noWrap/>
            <w:hideMark/>
          </w:tcPr>
          <w:p w14:paraId="1D535AC9"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BR</w:t>
            </w:r>
          </w:p>
        </w:tc>
        <w:tc>
          <w:tcPr>
            <w:tcW w:w="3000" w:type="dxa"/>
            <w:noWrap/>
            <w:hideMark/>
          </w:tcPr>
          <w:p w14:paraId="21CE9F8C" w14:textId="77777777" w:rsidR="00202E6A" w:rsidRPr="00A5733E" w:rsidRDefault="00202E6A" w:rsidP="00201343">
            <w:pPr>
              <w:pStyle w:val="Tabletext"/>
              <w:rPr>
                <w:sz w:val="18"/>
                <w:szCs w:val="18"/>
                <w:lang w:val="es-ES"/>
              </w:rPr>
            </w:pPr>
            <w:r w:rsidRPr="00A5733E">
              <w:rPr>
                <w:color w:val="000000"/>
                <w:lang w:val="es-ES"/>
              </w:rPr>
              <w:t>GT 5A-B-C</w:t>
            </w:r>
          </w:p>
        </w:tc>
        <w:tc>
          <w:tcPr>
            <w:tcW w:w="1459" w:type="dxa"/>
            <w:noWrap/>
            <w:hideMark/>
          </w:tcPr>
          <w:p w14:paraId="0ECB7F20" w14:textId="77777777" w:rsidR="00202E6A" w:rsidRPr="00A5733E" w:rsidRDefault="00202E6A" w:rsidP="00201343">
            <w:pPr>
              <w:pStyle w:val="Tabletext"/>
              <w:jc w:val="center"/>
              <w:rPr>
                <w:color w:val="000000"/>
                <w:sz w:val="18"/>
                <w:szCs w:val="18"/>
                <w:lang w:val="es-ES"/>
              </w:rPr>
            </w:pPr>
            <w:r w:rsidRPr="00A5733E">
              <w:rPr>
                <w:color w:val="000000"/>
                <w:lang w:val="es-ES"/>
              </w:rPr>
              <w:t>14/05/2029</w:t>
            </w:r>
          </w:p>
        </w:tc>
        <w:tc>
          <w:tcPr>
            <w:tcW w:w="1459" w:type="dxa"/>
            <w:noWrap/>
            <w:hideMark/>
          </w:tcPr>
          <w:p w14:paraId="2FD8AA1F" w14:textId="77777777" w:rsidR="00202E6A" w:rsidRPr="00A5733E" w:rsidRDefault="00202E6A" w:rsidP="00201343">
            <w:pPr>
              <w:pStyle w:val="Tabletext"/>
              <w:jc w:val="center"/>
              <w:rPr>
                <w:color w:val="000000"/>
                <w:sz w:val="18"/>
                <w:szCs w:val="18"/>
                <w:lang w:val="es-ES"/>
              </w:rPr>
            </w:pPr>
            <w:r w:rsidRPr="00A5733E">
              <w:rPr>
                <w:color w:val="000000"/>
                <w:lang w:val="es-ES"/>
              </w:rPr>
              <w:t>24/05/2029</w:t>
            </w:r>
          </w:p>
        </w:tc>
        <w:tc>
          <w:tcPr>
            <w:tcW w:w="1644" w:type="dxa"/>
            <w:noWrap/>
            <w:hideMark/>
          </w:tcPr>
          <w:p w14:paraId="26032348" w14:textId="77777777" w:rsidR="00202E6A" w:rsidRPr="00A5733E" w:rsidRDefault="00202E6A" w:rsidP="00201343">
            <w:pPr>
              <w:pStyle w:val="Tabletext"/>
              <w:jc w:val="center"/>
              <w:rPr>
                <w:color w:val="000000"/>
                <w:sz w:val="18"/>
                <w:szCs w:val="18"/>
                <w:lang w:val="es-ES"/>
              </w:rPr>
            </w:pPr>
            <w:r w:rsidRPr="00A5733E">
              <w:rPr>
                <w:color w:val="000000"/>
                <w:lang w:val="es-ES"/>
              </w:rPr>
              <w:t>1×200, 1×120, 1×80, 2×50</w:t>
            </w:r>
          </w:p>
        </w:tc>
        <w:tc>
          <w:tcPr>
            <w:tcW w:w="1631" w:type="dxa"/>
            <w:hideMark/>
          </w:tcPr>
          <w:p w14:paraId="616D4796" w14:textId="77777777" w:rsidR="00202E6A" w:rsidRPr="00A5733E" w:rsidRDefault="00202E6A" w:rsidP="00201343">
            <w:pPr>
              <w:pStyle w:val="Tabletext"/>
              <w:jc w:val="center"/>
              <w:rPr>
                <w:color w:val="000000"/>
                <w:sz w:val="18"/>
                <w:szCs w:val="18"/>
                <w:lang w:val="es-ES"/>
              </w:rPr>
            </w:pPr>
            <w:r w:rsidRPr="00A5733E">
              <w:rPr>
                <w:color w:val="000000"/>
                <w:lang w:val="es-ES"/>
              </w:rPr>
              <w:t>1×30</w:t>
            </w:r>
          </w:p>
        </w:tc>
      </w:tr>
      <w:tr w:rsidR="00202E6A" w:rsidRPr="00A5733E" w14:paraId="5642A93B" w14:textId="77777777" w:rsidTr="00201343">
        <w:trPr>
          <w:cantSplit/>
          <w:jc w:val="center"/>
        </w:trPr>
        <w:tc>
          <w:tcPr>
            <w:tcW w:w="776" w:type="dxa"/>
            <w:noWrap/>
            <w:hideMark/>
          </w:tcPr>
          <w:p w14:paraId="5EE32068"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TSB</w:t>
            </w:r>
          </w:p>
        </w:tc>
        <w:tc>
          <w:tcPr>
            <w:tcW w:w="3000" w:type="dxa"/>
            <w:noWrap/>
            <w:hideMark/>
          </w:tcPr>
          <w:p w14:paraId="4A5F1610" w14:textId="77777777" w:rsidR="00202E6A" w:rsidRPr="00A5733E" w:rsidRDefault="00202E6A" w:rsidP="00201343">
            <w:pPr>
              <w:pStyle w:val="Tabletext"/>
              <w:rPr>
                <w:sz w:val="18"/>
                <w:szCs w:val="18"/>
                <w:lang w:val="es-ES"/>
              </w:rPr>
            </w:pPr>
            <w:r w:rsidRPr="00A5733E">
              <w:rPr>
                <w:color w:val="000000"/>
                <w:lang w:val="es-ES"/>
              </w:rPr>
              <w:t xml:space="preserve">GANT </w:t>
            </w:r>
          </w:p>
        </w:tc>
        <w:tc>
          <w:tcPr>
            <w:tcW w:w="1459" w:type="dxa"/>
            <w:noWrap/>
            <w:hideMark/>
          </w:tcPr>
          <w:p w14:paraId="3CDE4D50" w14:textId="77777777" w:rsidR="00202E6A" w:rsidRPr="00A5733E" w:rsidRDefault="00202E6A" w:rsidP="00201343">
            <w:pPr>
              <w:pStyle w:val="Tabletext"/>
              <w:jc w:val="center"/>
              <w:rPr>
                <w:color w:val="000000"/>
                <w:sz w:val="18"/>
                <w:szCs w:val="18"/>
                <w:lang w:val="es-ES"/>
              </w:rPr>
            </w:pPr>
            <w:r w:rsidRPr="00A5733E">
              <w:rPr>
                <w:color w:val="000000"/>
                <w:lang w:val="es-ES"/>
              </w:rPr>
              <w:t>14/05/2029</w:t>
            </w:r>
          </w:p>
        </w:tc>
        <w:tc>
          <w:tcPr>
            <w:tcW w:w="1459" w:type="dxa"/>
            <w:noWrap/>
            <w:hideMark/>
          </w:tcPr>
          <w:p w14:paraId="3748C650" w14:textId="77777777" w:rsidR="00202E6A" w:rsidRPr="00A5733E" w:rsidRDefault="00202E6A" w:rsidP="00201343">
            <w:pPr>
              <w:pStyle w:val="Tabletext"/>
              <w:jc w:val="center"/>
              <w:rPr>
                <w:color w:val="000000"/>
                <w:sz w:val="18"/>
                <w:szCs w:val="18"/>
                <w:lang w:val="es-ES"/>
              </w:rPr>
            </w:pPr>
            <w:r w:rsidRPr="00A5733E">
              <w:rPr>
                <w:color w:val="000000"/>
                <w:lang w:val="es-ES"/>
              </w:rPr>
              <w:t>18/05/2029</w:t>
            </w:r>
          </w:p>
        </w:tc>
        <w:tc>
          <w:tcPr>
            <w:tcW w:w="1644" w:type="dxa"/>
            <w:noWrap/>
            <w:hideMark/>
          </w:tcPr>
          <w:p w14:paraId="7DECB324" w14:textId="77777777" w:rsidR="00202E6A" w:rsidRPr="00A5733E" w:rsidRDefault="00202E6A" w:rsidP="00201343">
            <w:pPr>
              <w:pStyle w:val="Tabletext"/>
              <w:jc w:val="center"/>
              <w:rPr>
                <w:color w:val="000000"/>
                <w:sz w:val="18"/>
                <w:szCs w:val="18"/>
                <w:lang w:val="es-ES"/>
              </w:rPr>
            </w:pPr>
            <w:r w:rsidRPr="00A5733E">
              <w:rPr>
                <w:color w:val="000000"/>
                <w:lang w:val="es-ES"/>
              </w:rPr>
              <w:t>1×200, 1×80</w:t>
            </w:r>
          </w:p>
        </w:tc>
        <w:tc>
          <w:tcPr>
            <w:tcW w:w="1631" w:type="dxa"/>
            <w:noWrap/>
            <w:hideMark/>
          </w:tcPr>
          <w:p w14:paraId="7CA1623D" w14:textId="77777777" w:rsidR="00202E6A" w:rsidRPr="00A5733E" w:rsidRDefault="00202E6A" w:rsidP="00201343">
            <w:pPr>
              <w:pStyle w:val="Tabletext"/>
              <w:jc w:val="center"/>
              <w:rPr>
                <w:color w:val="000000"/>
                <w:sz w:val="18"/>
                <w:szCs w:val="18"/>
                <w:lang w:val="es-ES" w:eastAsia="en-GB"/>
              </w:rPr>
            </w:pPr>
          </w:p>
        </w:tc>
      </w:tr>
      <w:tr w:rsidR="00202E6A" w:rsidRPr="00A5733E" w14:paraId="6578C1E0" w14:textId="77777777" w:rsidTr="00201343">
        <w:trPr>
          <w:cantSplit/>
          <w:jc w:val="center"/>
        </w:trPr>
        <w:tc>
          <w:tcPr>
            <w:tcW w:w="776" w:type="dxa"/>
            <w:noWrap/>
            <w:hideMark/>
          </w:tcPr>
          <w:p w14:paraId="56632C00"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TSB</w:t>
            </w:r>
          </w:p>
        </w:tc>
        <w:tc>
          <w:tcPr>
            <w:tcW w:w="3000" w:type="dxa"/>
            <w:noWrap/>
            <w:hideMark/>
          </w:tcPr>
          <w:p w14:paraId="359BE799" w14:textId="22F55FD6" w:rsidR="00202E6A" w:rsidRPr="00A5733E" w:rsidRDefault="00202E6A" w:rsidP="00201343">
            <w:pPr>
              <w:pStyle w:val="Tabletext"/>
              <w:rPr>
                <w:sz w:val="18"/>
                <w:szCs w:val="18"/>
                <w:lang w:val="es-ES"/>
              </w:rPr>
            </w:pPr>
            <w:r w:rsidRPr="00A5733E">
              <w:rPr>
                <w:color w:val="000000"/>
                <w:lang w:val="es-ES"/>
              </w:rPr>
              <w:t>CE</w:t>
            </w:r>
            <w:r w:rsidR="00693161" w:rsidRPr="00A5733E">
              <w:rPr>
                <w:color w:val="000000"/>
                <w:lang w:val="es-ES"/>
              </w:rPr>
              <w:t> </w:t>
            </w:r>
            <w:r w:rsidRPr="00A5733E">
              <w:rPr>
                <w:color w:val="000000"/>
                <w:lang w:val="es-ES"/>
              </w:rPr>
              <w:t>12</w:t>
            </w:r>
          </w:p>
        </w:tc>
        <w:tc>
          <w:tcPr>
            <w:tcW w:w="1459" w:type="dxa"/>
            <w:noWrap/>
            <w:hideMark/>
          </w:tcPr>
          <w:p w14:paraId="3910AC21" w14:textId="77777777" w:rsidR="00202E6A" w:rsidRPr="00A5733E" w:rsidRDefault="00202E6A" w:rsidP="00201343">
            <w:pPr>
              <w:pStyle w:val="Tabletext"/>
              <w:jc w:val="center"/>
              <w:rPr>
                <w:color w:val="000000"/>
                <w:sz w:val="18"/>
                <w:szCs w:val="18"/>
                <w:lang w:val="es-ES"/>
              </w:rPr>
            </w:pPr>
            <w:r w:rsidRPr="00A5733E">
              <w:rPr>
                <w:color w:val="000000"/>
                <w:lang w:val="es-ES"/>
              </w:rPr>
              <w:t>23/05/2029</w:t>
            </w:r>
          </w:p>
        </w:tc>
        <w:tc>
          <w:tcPr>
            <w:tcW w:w="1459" w:type="dxa"/>
            <w:noWrap/>
            <w:hideMark/>
          </w:tcPr>
          <w:p w14:paraId="4FA835C5" w14:textId="77777777" w:rsidR="00202E6A" w:rsidRPr="00A5733E" w:rsidRDefault="00202E6A" w:rsidP="00201343">
            <w:pPr>
              <w:pStyle w:val="Tabletext"/>
              <w:jc w:val="center"/>
              <w:rPr>
                <w:color w:val="000000"/>
                <w:sz w:val="18"/>
                <w:szCs w:val="18"/>
                <w:lang w:val="es-ES"/>
              </w:rPr>
            </w:pPr>
            <w:r w:rsidRPr="00A5733E">
              <w:rPr>
                <w:color w:val="000000"/>
                <w:lang w:val="es-ES"/>
              </w:rPr>
              <w:t>01/06/2029</w:t>
            </w:r>
          </w:p>
        </w:tc>
        <w:tc>
          <w:tcPr>
            <w:tcW w:w="1644" w:type="dxa"/>
            <w:hideMark/>
          </w:tcPr>
          <w:p w14:paraId="0323A0DC" w14:textId="77777777" w:rsidR="00202E6A" w:rsidRPr="00A5733E" w:rsidRDefault="00202E6A" w:rsidP="00201343">
            <w:pPr>
              <w:pStyle w:val="Tabletext"/>
              <w:jc w:val="center"/>
              <w:rPr>
                <w:color w:val="000000"/>
                <w:sz w:val="18"/>
                <w:szCs w:val="18"/>
                <w:lang w:val="es-ES"/>
              </w:rPr>
            </w:pPr>
            <w:r w:rsidRPr="00A5733E">
              <w:rPr>
                <w:color w:val="000000"/>
                <w:lang w:val="es-ES"/>
              </w:rPr>
              <w:t>1×150 (apertura y cierre), 3×30, 2×15, 2×10</w:t>
            </w:r>
          </w:p>
        </w:tc>
        <w:tc>
          <w:tcPr>
            <w:tcW w:w="1631" w:type="dxa"/>
            <w:hideMark/>
          </w:tcPr>
          <w:p w14:paraId="08DEC6AE" w14:textId="77777777" w:rsidR="00202E6A" w:rsidRPr="00A5733E" w:rsidRDefault="00202E6A" w:rsidP="00201343">
            <w:pPr>
              <w:pStyle w:val="Tabletext"/>
              <w:jc w:val="center"/>
              <w:rPr>
                <w:color w:val="000000"/>
                <w:sz w:val="18"/>
                <w:szCs w:val="18"/>
                <w:lang w:val="es-ES" w:eastAsia="en-GB"/>
              </w:rPr>
            </w:pPr>
          </w:p>
        </w:tc>
      </w:tr>
      <w:tr w:rsidR="00202E6A" w:rsidRPr="00A5733E" w14:paraId="5EBC907D" w14:textId="77777777" w:rsidTr="00201343">
        <w:trPr>
          <w:cantSplit/>
          <w:jc w:val="center"/>
        </w:trPr>
        <w:tc>
          <w:tcPr>
            <w:tcW w:w="776" w:type="dxa"/>
            <w:noWrap/>
            <w:hideMark/>
          </w:tcPr>
          <w:p w14:paraId="64B295D7"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BR</w:t>
            </w:r>
          </w:p>
        </w:tc>
        <w:tc>
          <w:tcPr>
            <w:tcW w:w="3000" w:type="dxa"/>
            <w:noWrap/>
            <w:hideMark/>
          </w:tcPr>
          <w:p w14:paraId="322B441B" w14:textId="77777777" w:rsidR="00202E6A" w:rsidRPr="00A5733E" w:rsidRDefault="00202E6A" w:rsidP="00201343">
            <w:pPr>
              <w:pStyle w:val="Tabletext"/>
              <w:rPr>
                <w:sz w:val="18"/>
                <w:szCs w:val="18"/>
                <w:lang w:val="es-ES"/>
              </w:rPr>
            </w:pPr>
            <w:r w:rsidRPr="00A5733E">
              <w:rPr>
                <w:color w:val="000000"/>
                <w:lang w:val="es-ES"/>
              </w:rPr>
              <w:t>CE 5</w:t>
            </w:r>
          </w:p>
        </w:tc>
        <w:tc>
          <w:tcPr>
            <w:tcW w:w="1459" w:type="dxa"/>
            <w:noWrap/>
            <w:hideMark/>
          </w:tcPr>
          <w:p w14:paraId="40E081F8" w14:textId="77777777" w:rsidR="00202E6A" w:rsidRPr="00A5733E" w:rsidRDefault="00202E6A" w:rsidP="00201343">
            <w:pPr>
              <w:pStyle w:val="Tabletext"/>
              <w:jc w:val="center"/>
              <w:rPr>
                <w:color w:val="000000"/>
                <w:sz w:val="18"/>
                <w:szCs w:val="18"/>
                <w:lang w:val="es-ES"/>
              </w:rPr>
            </w:pPr>
            <w:r w:rsidRPr="00A5733E">
              <w:rPr>
                <w:color w:val="000000"/>
                <w:lang w:val="es-ES"/>
              </w:rPr>
              <w:t>25/05/2029</w:t>
            </w:r>
          </w:p>
        </w:tc>
        <w:tc>
          <w:tcPr>
            <w:tcW w:w="1459" w:type="dxa"/>
            <w:noWrap/>
            <w:hideMark/>
          </w:tcPr>
          <w:p w14:paraId="7FE6EFD7" w14:textId="77777777" w:rsidR="00202E6A" w:rsidRPr="00A5733E" w:rsidRDefault="00202E6A" w:rsidP="00201343">
            <w:pPr>
              <w:pStyle w:val="Tabletext"/>
              <w:jc w:val="center"/>
              <w:rPr>
                <w:color w:val="000000"/>
                <w:sz w:val="18"/>
                <w:szCs w:val="18"/>
                <w:lang w:val="es-ES"/>
              </w:rPr>
            </w:pPr>
            <w:r w:rsidRPr="00A5733E">
              <w:rPr>
                <w:color w:val="000000"/>
                <w:lang w:val="es-ES"/>
              </w:rPr>
              <w:t>25/05/2029</w:t>
            </w:r>
          </w:p>
        </w:tc>
        <w:tc>
          <w:tcPr>
            <w:tcW w:w="1644" w:type="dxa"/>
            <w:noWrap/>
            <w:hideMark/>
          </w:tcPr>
          <w:p w14:paraId="598C08C2" w14:textId="77777777" w:rsidR="00202E6A" w:rsidRPr="00A5733E" w:rsidRDefault="00202E6A" w:rsidP="00201343">
            <w:pPr>
              <w:pStyle w:val="Tabletext"/>
              <w:jc w:val="center"/>
              <w:rPr>
                <w:color w:val="000000"/>
                <w:sz w:val="18"/>
                <w:szCs w:val="18"/>
                <w:lang w:val="es-ES"/>
              </w:rPr>
            </w:pPr>
            <w:r w:rsidRPr="00A5733E">
              <w:rPr>
                <w:color w:val="000000"/>
                <w:lang w:val="es-ES"/>
              </w:rPr>
              <w:t>1×200</w:t>
            </w:r>
          </w:p>
        </w:tc>
        <w:tc>
          <w:tcPr>
            <w:tcW w:w="1631" w:type="dxa"/>
            <w:noWrap/>
            <w:hideMark/>
          </w:tcPr>
          <w:p w14:paraId="6C38EBD7" w14:textId="77777777" w:rsidR="00202E6A" w:rsidRPr="00A5733E" w:rsidRDefault="00202E6A" w:rsidP="00201343">
            <w:pPr>
              <w:pStyle w:val="Tabletext"/>
              <w:jc w:val="center"/>
              <w:rPr>
                <w:color w:val="000000"/>
                <w:sz w:val="18"/>
                <w:szCs w:val="18"/>
                <w:lang w:val="es-ES" w:eastAsia="en-GB"/>
              </w:rPr>
            </w:pPr>
          </w:p>
        </w:tc>
      </w:tr>
      <w:tr w:rsidR="00202E6A" w:rsidRPr="00A5733E" w14:paraId="66916DDF" w14:textId="77777777" w:rsidTr="00201343">
        <w:trPr>
          <w:cantSplit/>
          <w:jc w:val="center"/>
        </w:trPr>
        <w:tc>
          <w:tcPr>
            <w:tcW w:w="776" w:type="dxa"/>
            <w:noWrap/>
            <w:hideMark/>
          </w:tcPr>
          <w:p w14:paraId="02FFEF25"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BR</w:t>
            </w:r>
          </w:p>
        </w:tc>
        <w:tc>
          <w:tcPr>
            <w:tcW w:w="3000" w:type="dxa"/>
            <w:noWrap/>
            <w:hideMark/>
          </w:tcPr>
          <w:p w14:paraId="2F8608DA" w14:textId="77777777" w:rsidR="00202E6A" w:rsidRPr="00A5733E" w:rsidRDefault="00202E6A" w:rsidP="00201343">
            <w:pPr>
              <w:pStyle w:val="Tabletext"/>
              <w:rPr>
                <w:sz w:val="18"/>
                <w:szCs w:val="18"/>
                <w:lang w:val="es-ES"/>
              </w:rPr>
            </w:pPr>
            <w:r w:rsidRPr="00A5733E">
              <w:rPr>
                <w:color w:val="000000"/>
                <w:lang w:val="es-ES"/>
              </w:rPr>
              <w:t>GT 3J-K-L-M</w:t>
            </w:r>
          </w:p>
        </w:tc>
        <w:tc>
          <w:tcPr>
            <w:tcW w:w="1459" w:type="dxa"/>
            <w:noWrap/>
            <w:hideMark/>
          </w:tcPr>
          <w:p w14:paraId="440E65B2" w14:textId="77777777" w:rsidR="00202E6A" w:rsidRPr="00A5733E" w:rsidRDefault="00202E6A" w:rsidP="00201343">
            <w:pPr>
              <w:pStyle w:val="Tabletext"/>
              <w:jc w:val="center"/>
              <w:rPr>
                <w:color w:val="000000"/>
                <w:sz w:val="18"/>
                <w:szCs w:val="18"/>
                <w:lang w:val="es-ES"/>
              </w:rPr>
            </w:pPr>
            <w:r w:rsidRPr="00A5733E">
              <w:rPr>
                <w:color w:val="000000"/>
                <w:lang w:val="es-ES"/>
              </w:rPr>
              <w:t>28/05/2029</w:t>
            </w:r>
          </w:p>
        </w:tc>
        <w:tc>
          <w:tcPr>
            <w:tcW w:w="1459" w:type="dxa"/>
            <w:noWrap/>
            <w:hideMark/>
          </w:tcPr>
          <w:p w14:paraId="7760279D" w14:textId="77777777" w:rsidR="00202E6A" w:rsidRPr="00A5733E" w:rsidRDefault="00202E6A" w:rsidP="00201343">
            <w:pPr>
              <w:pStyle w:val="Tabletext"/>
              <w:jc w:val="center"/>
              <w:rPr>
                <w:color w:val="000000"/>
                <w:sz w:val="18"/>
                <w:szCs w:val="18"/>
                <w:lang w:val="es-ES"/>
              </w:rPr>
            </w:pPr>
            <w:r w:rsidRPr="00A5733E">
              <w:rPr>
                <w:color w:val="000000"/>
                <w:lang w:val="es-ES"/>
              </w:rPr>
              <w:t>07/06/2029</w:t>
            </w:r>
          </w:p>
        </w:tc>
        <w:tc>
          <w:tcPr>
            <w:tcW w:w="1644" w:type="dxa"/>
            <w:noWrap/>
            <w:hideMark/>
          </w:tcPr>
          <w:p w14:paraId="3EDCBCF4" w14:textId="77777777" w:rsidR="00202E6A" w:rsidRPr="00A5733E" w:rsidRDefault="00202E6A" w:rsidP="00201343">
            <w:pPr>
              <w:pStyle w:val="Tabletext"/>
              <w:jc w:val="center"/>
              <w:rPr>
                <w:color w:val="000000"/>
                <w:sz w:val="18"/>
                <w:szCs w:val="18"/>
                <w:lang w:val="es-ES"/>
              </w:rPr>
            </w:pPr>
            <w:r w:rsidRPr="00A5733E">
              <w:rPr>
                <w:color w:val="000000"/>
                <w:lang w:val="es-ES"/>
              </w:rPr>
              <w:t>1×100, 2×50</w:t>
            </w:r>
          </w:p>
        </w:tc>
        <w:tc>
          <w:tcPr>
            <w:tcW w:w="1631" w:type="dxa"/>
            <w:noWrap/>
            <w:hideMark/>
          </w:tcPr>
          <w:p w14:paraId="3549AD7D" w14:textId="77777777" w:rsidR="00202E6A" w:rsidRPr="00A5733E" w:rsidRDefault="00202E6A" w:rsidP="00201343">
            <w:pPr>
              <w:pStyle w:val="Tabletext"/>
              <w:jc w:val="center"/>
              <w:rPr>
                <w:color w:val="000000"/>
                <w:sz w:val="18"/>
                <w:szCs w:val="18"/>
                <w:lang w:val="es-ES"/>
              </w:rPr>
            </w:pPr>
            <w:r w:rsidRPr="00A5733E">
              <w:rPr>
                <w:color w:val="000000"/>
                <w:lang w:val="es-ES"/>
              </w:rPr>
              <w:t>2×30</w:t>
            </w:r>
          </w:p>
        </w:tc>
      </w:tr>
      <w:tr w:rsidR="00202E6A" w:rsidRPr="00A5733E" w14:paraId="0D95980B" w14:textId="77777777" w:rsidTr="00201343">
        <w:trPr>
          <w:cantSplit/>
          <w:jc w:val="center"/>
        </w:trPr>
        <w:tc>
          <w:tcPr>
            <w:tcW w:w="776" w:type="dxa"/>
            <w:noWrap/>
            <w:hideMark/>
          </w:tcPr>
          <w:p w14:paraId="7430FF91"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TSB</w:t>
            </w:r>
          </w:p>
        </w:tc>
        <w:tc>
          <w:tcPr>
            <w:tcW w:w="3000" w:type="dxa"/>
            <w:noWrap/>
            <w:hideMark/>
          </w:tcPr>
          <w:p w14:paraId="16C94BAC" w14:textId="1C1EE9F9" w:rsidR="00202E6A" w:rsidRPr="00A5733E" w:rsidRDefault="00202E6A" w:rsidP="00201343">
            <w:pPr>
              <w:pStyle w:val="Tabletext"/>
              <w:rPr>
                <w:sz w:val="18"/>
                <w:szCs w:val="18"/>
                <w:lang w:val="es-ES"/>
              </w:rPr>
            </w:pPr>
            <w:r w:rsidRPr="00A5733E">
              <w:rPr>
                <w:color w:val="000000"/>
                <w:lang w:val="es-ES"/>
              </w:rPr>
              <w:t>CE</w:t>
            </w:r>
            <w:r w:rsidR="00693161" w:rsidRPr="00A5733E">
              <w:rPr>
                <w:color w:val="000000"/>
                <w:lang w:val="es-ES"/>
              </w:rPr>
              <w:t> </w:t>
            </w:r>
            <w:r w:rsidRPr="00A5733E">
              <w:rPr>
                <w:color w:val="000000"/>
                <w:lang w:val="es-ES"/>
              </w:rPr>
              <w:t>5</w:t>
            </w:r>
          </w:p>
        </w:tc>
        <w:tc>
          <w:tcPr>
            <w:tcW w:w="1459" w:type="dxa"/>
            <w:noWrap/>
            <w:hideMark/>
          </w:tcPr>
          <w:p w14:paraId="4368D1D6" w14:textId="77777777" w:rsidR="00202E6A" w:rsidRPr="00A5733E" w:rsidRDefault="00202E6A" w:rsidP="00201343">
            <w:pPr>
              <w:pStyle w:val="Tabletext"/>
              <w:jc w:val="center"/>
              <w:rPr>
                <w:color w:val="000000"/>
                <w:sz w:val="18"/>
                <w:szCs w:val="18"/>
                <w:lang w:val="es-ES"/>
              </w:rPr>
            </w:pPr>
            <w:r w:rsidRPr="00A5733E">
              <w:rPr>
                <w:color w:val="000000"/>
                <w:lang w:val="es-ES"/>
              </w:rPr>
              <w:t>04/06/2029</w:t>
            </w:r>
          </w:p>
        </w:tc>
        <w:tc>
          <w:tcPr>
            <w:tcW w:w="1459" w:type="dxa"/>
            <w:noWrap/>
            <w:hideMark/>
          </w:tcPr>
          <w:p w14:paraId="2746DC1B" w14:textId="77777777" w:rsidR="00202E6A" w:rsidRPr="00A5733E" w:rsidRDefault="00202E6A" w:rsidP="00201343">
            <w:pPr>
              <w:pStyle w:val="Tabletext"/>
              <w:jc w:val="center"/>
              <w:rPr>
                <w:color w:val="000000"/>
                <w:sz w:val="18"/>
                <w:szCs w:val="18"/>
                <w:lang w:val="es-ES"/>
              </w:rPr>
            </w:pPr>
            <w:r w:rsidRPr="00A5733E">
              <w:rPr>
                <w:color w:val="000000"/>
                <w:lang w:val="es-ES"/>
              </w:rPr>
              <w:t>13/06/2029</w:t>
            </w:r>
          </w:p>
        </w:tc>
        <w:tc>
          <w:tcPr>
            <w:tcW w:w="1644" w:type="dxa"/>
            <w:noWrap/>
            <w:hideMark/>
          </w:tcPr>
          <w:p w14:paraId="6476B7B8" w14:textId="77777777" w:rsidR="00202E6A" w:rsidRPr="00A5733E" w:rsidRDefault="00202E6A" w:rsidP="00201343">
            <w:pPr>
              <w:pStyle w:val="Tabletext"/>
              <w:jc w:val="center"/>
              <w:rPr>
                <w:color w:val="000000"/>
                <w:sz w:val="18"/>
                <w:szCs w:val="18"/>
                <w:lang w:val="es-ES"/>
              </w:rPr>
            </w:pPr>
            <w:r w:rsidRPr="00A5733E">
              <w:rPr>
                <w:color w:val="000000"/>
                <w:lang w:val="es-ES"/>
              </w:rPr>
              <w:t>1×150, 2×50, 3×30, 2×15</w:t>
            </w:r>
          </w:p>
        </w:tc>
        <w:tc>
          <w:tcPr>
            <w:tcW w:w="1631" w:type="dxa"/>
            <w:noWrap/>
            <w:hideMark/>
          </w:tcPr>
          <w:p w14:paraId="39730BB9" w14:textId="77777777" w:rsidR="00202E6A" w:rsidRPr="00A5733E" w:rsidRDefault="00202E6A" w:rsidP="00201343">
            <w:pPr>
              <w:pStyle w:val="Tabletext"/>
              <w:jc w:val="center"/>
              <w:rPr>
                <w:color w:val="000000"/>
                <w:sz w:val="18"/>
                <w:szCs w:val="18"/>
                <w:lang w:val="es-ES" w:eastAsia="en-GB"/>
              </w:rPr>
            </w:pPr>
          </w:p>
        </w:tc>
      </w:tr>
      <w:tr w:rsidR="00202E6A" w:rsidRPr="00A5733E" w14:paraId="74735020" w14:textId="77777777" w:rsidTr="00201343">
        <w:trPr>
          <w:cantSplit/>
          <w:jc w:val="center"/>
        </w:trPr>
        <w:tc>
          <w:tcPr>
            <w:tcW w:w="776" w:type="dxa"/>
            <w:noWrap/>
            <w:hideMark/>
          </w:tcPr>
          <w:p w14:paraId="3EF69DAF"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lastRenderedPageBreak/>
              <w:t>BR</w:t>
            </w:r>
          </w:p>
        </w:tc>
        <w:tc>
          <w:tcPr>
            <w:tcW w:w="3000" w:type="dxa"/>
            <w:noWrap/>
            <w:hideMark/>
          </w:tcPr>
          <w:p w14:paraId="160C2B8D" w14:textId="77777777" w:rsidR="00202E6A" w:rsidRPr="00A5733E" w:rsidRDefault="00202E6A" w:rsidP="00201343">
            <w:pPr>
              <w:pStyle w:val="Tabletext"/>
              <w:rPr>
                <w:sz w:val="18"/>
                <w:szCs w:val="18"/>
                <w:lang w:val="es-ES"/>
              </w:rPr>
            </w:pPr>
            <w:r w:rsidRPr="00A5733E">
              <w:rPr>
                <w:color w:val="000000"/>
                <w:lang w:val="es-ES"/>
              </w:rPr>
              <w:t>CE 3</w:t>
            </w:r>
          </w:p>
        </w:tc>
        <w:tc>
          <w:tcPr>
            <w:tcW w:w="1459" w:type="dxa"/>
            <w:noWrap/>
            <w:hideMark/>
          </w:tcPr>
          <w:p w14:paraId="6BEF860E" w14:textId="77777777" w:rsidR="00202E6A" w:rsidRPr="00A5733E" w:rsidRDefault="00202E6A" w:rsidP="00201343">
            <w:pPr>
              <w:pStyle w:val="Tabletext"/>
              <w:jc w:val="center"/>
              <w:rPr>
                <w:color w:val="000000"/>
                <w:sz w:val="18"/>
                <w:szCs w:val="18"/>
                <w:lang w:val="es-ES"/>
              </w:rPr>
            </w:pPr>
            <w:r w:rsidRPr="00A5733E">
              <w:rPr>
                <w:color w:val="000000"/>
                <w:lang w:val="es-ES"/>
              </w:rPr>
              <w:t>08/06/2029</w:t>
            </w:r>
          </w:p>
        </w:tc>
        <w:tc>
          <w:tcPr>
            <w:tcW w:w="1459" w:type="dxa"/>
            <w:noWrap/>
            <w:hideMark/>
          </w:tcPr>
          <w:p w14:paraId="5EF6AC03" w14:textId="77777777" w:rsidR="00202E6A" w:rsidRPr="00A5733E" w:rsidRDefault="00202E6A" w:rsidP="00201343">
            <w:pPr>
              <w:pStyle w:val="Tabletext"/>
              <w:jc w:val="center"/>
              <w:rPr>
                <w:color w:val="000000"/>
                <w:sz w:val="18"/>
                <w:szCs w:val="18"/>
                <w:lang w:val="es-ES"/>
              </w:rPr>
            </w:pPr>
            <w:r w:rsidRPr="00A5733E">
              <w:rPr>
                <w:color w:val="000000"/>
                <w:lang w:val="es-ES"/>
              </w:rPr>
              <w:t>08/06/2029</w:t>
            </w:r>
          </w:p>
        </w:tc>
        <w:tc>
          <w:tcPr>
            <w:tcW w:w="1644" w:type="dxa"/>
            <w:noWrap/>
            <w:hideMark/>
          </w:tcPr>
          <w:p w14:paraId="3831E2B4" w14:textId="77777777" w:rsidR="00202E6A" w:rsidRPr="00A5733E" w:rsidRDefault="00202E6A" w:rsidP="00201343">
            <w:pPr>
              <w:pStyle w:val="Tabletext"/>
              <w:jc w:val="center"/>
              <w:rPr>
                <w:color w:val="000000"/>
                <w:sz w:val="18"/>
                <w:szCs w:val="18"/>
                <w:lang w:val="es-ES"/>
              </w:rPr>
            </w:pPr>
            <w:r w:rsidRPr="00A5733E">
              <w:rPr>
                <w:color w:val="000000"/>
                <w:lang w:val="es-ES"/>
              </w:rPr>
              <w:t>1×100</w:t>
            </w:r>
          </w:p>
        </w:tc>
        <w:tc>
          <w:tcPr>
            <w:tcW w:w="1631" w:type="dxa"/>
            <w:noWrap/>
            <w:hideMark/>
          </w:tcPr>
          <w:p w14:paraId="6CD2F7A4" w14:textId="77777777" w:rsidR="00202E6A" w:rsidRPr="00A5733E" w:rsidRDefault="00202E6A" w:rsidP="00201343">
            <w:pPr>
              <w:pStyle w:val="Tabletext"/>
              <w:jc w:val="center"/>
              <w:rPr>
                <w:color w:val="000000"/>
                <w:sz w:val="18"/>
                <w:szCs w:val="18"/>
                <w:lang w:val="es-ES" w:eastAsia="en-GB"/>
              </w:rPr>
            </w:pPr>
          </w:p>
        </w:tc>
      </w:tr>
      <w:tr w:rsidR="00202E6A" w:rsidRPr="00A5733E" w14:paraId="7350473A" w14:textId="77777777" w:rsidTr="00201343">
        <w:trPr>
          <w:cantSplit/>
          <w:jc w:val="center"/>
        </w:trPr>
        <w:tc>
          <w:tcPr>
            <w:tcW w:w="776" w:type="dxa"/>
            <w:noWrap/>
            <w:hideMark/>
          </w:tcPr>
          <w:p w14:paraId="06D5DE14"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BR</w:t>
            </w:r>
          </w:p>
        </w:tc>
        <w:tc>
          <w:tcPr>
            <w:tcW w:w="3000" w:type="dxa"/>
            <w:noWrap/>
            <w:hideMark/>
          </w:tcPr>
          <w:p w14:paraId="55B561E2" w14:textId="77777777" w:rsidR="00202E6A" w:rsidRPr="00A5733E" w:rsidRDefault="00202E6A" w:rsidP="00201343">
            <w:pPr>
              <w:pStyle w:val="Tabletext"/>
              <w:rPr>
                <w:sz w:val="18"/>
                <w:szCs w:val="18"/>
                <w:lang w:val="es-ES"/>
              </w:rPr>
            </w:pPr>
            <w:r w:rsidRPr="00A5733E">
              <w:rPr>
                <w:color w:val="000000"/>
                <w:lang w:val="es-ES"/>
              </w:rPr>
              <w:t>GT 1A-B-C</w:t>
            </w:r>
          </w:p>
        </w:tc>
        <w:tc>
          <w:tcPr>
            <w:tcW w:w="1459" w:type="dxa"/>
            <w:noWrap/>
            <w:hideMark/>
          </w:tcPr>
          <w:p w14:paraId="2A78F2EB" w14:textId="77777777" w:rsidR="00202E6A" w:rsidRPr="00A5733E" w:rsidRDefault="00202E6A" w:rsidP="00201343">
            <w:pPr>
              <w:pStyle w:val="Tabletext"/>
              <w:jc w:val="center"/>
              <w:rPr>
                <w:color w:val="000000"/>
                <w:sz w:val="18"/>
                <w:szCs w:val="18"/>
                <w:lang w:val="es-ES"/>
              </w:rPr>
            </w:pPr>
            <w:r w:rsidRPr="00A5733E">
              <w:rPr>
                <w:color w:val="000000"/>
                <w:lang w:val="es-ES"/>
              </w:rPr>
              <w:t>11/06/2029</w:t>
            </w:r>
          </w:p>
        </w:tc>
        <w:tc>
          <w:tcPr>
            <w:tcW w:w="1459" w:type="dxa"/>
            <w:noWrap/>
            <w:hideMark/>
          </w:tcPr>
          <w:p w14:paraId="7D0BF6B6" w14:textId="77777777" w:rsidR="00202E6A" w:rsidRPr="00A5733E" w:rsidRDefault="00202E6A" w:rsidP="00201343">
            <w:pPr>
              <w:pStyle w:val="Tabletext"/>
              <w:jc w:val="center"/>
              <w:rPr>
                <w:color w:val="000000"/>
                <w:sz w:val="18"/>
                <w:szCs w:val="18"/>
                <w:lang w:val="es-ES"/>
              </w:rPr>
            </w:pPr>
            <w:r w:rsidRPr="00A5733E">
              <w:rPr>
                <w:color w:val="000000"/>
                <w:lang w:val="es-ES"/>
              </w:rPr>
              <w:t>22/06/2029</w:t>
            </w:r>
          </w:p>
        </w:tc>
        <w:tc>
          <w:tcPr>
            <w:tcW w:w="1644" w:type="dxa"/>
            <w:noWrap/>
            <w:hideMark/>
          </w:tcPr>
          <w:p w14:paraId="4F04A00C" w14:textId="77777777" w:rsidR="00202E6A" w:rsidRPr="00A5733E" w:rsidRDefault="00202E6A" w:rsidP="00201343">
            <w:pPr>
              <w:pStyle w:val="Tabletext"/>
              <w:jc w:val="center"/>
              <w:rPr>
                <w:color w:val="000000"/>
                <w:sz w:val="18"/>
                <w:szCs w:val="18"/>
                <w:lang w:val="es-ES"/>
              </w:rPr>
            </w:pPr>
            <w:r w:rsidRPr="00A5733E">
              <w:rPr>
                <w:color w:val="000000"/>
                <w:lang w:val="es-ES"/>
              </w:rPr>
              <w:t>1×120, 2×80</w:t>
            </w:r>
          </w:p>
        </w:tc>
        <w:tc>
          <w:tcPr>
            <w:tcW w:w="1631" w:type="dxa"/>
            <w:noWrap/>
            <w:hideMark/>
          </w:tcPr>
          <w:p w14:paraId="7F7CD6FB" w14:textId="77777777" w:rsidR="00202E6A" w:rsidRPr="00A5733E" w:rsidRDefault="00202E6A" w:rsidP="00201343">
            <w:pPr>
              <w:pStyle w:val="Tabletext"/>
              <w:jc w:val="center"/>
              <w:rPr>
                <w:color w:val="000000"/>
                <w:sz w:val="18"/>
                <w:szCs w:val="18"/>
                <w:lang w:val="es-ES"/>
              </w:rPr>
            </w:pPr>
            <w:r w:rsidRPr="00A5733E">
              <w:rPr>
                <w:color w:val="000000"/>
                <w:lang w:val="es-ES"/>
              </w:rPr>
              <w:t>1×30</w:t>
            </w:r>
          </w:p>
        </w:tc>
      </w:tr>
      <w:tr w:rsidR="00202E6A" w:rsidRPr="00A5733E" w14:paraId="0DF0A894" w14:textId="77777777" w:rsidTr="00201343">
        <w:trPr>
          <w:cantSplit/>
          <w:jc w:val="center"/>
        </w:trPr>
        <w:tc>
          <w:tcPr>
            <w:tcW w:w="776" w:type="dxa"/>
            <w:noWrap/>
            <w:hideMark/>
          </w:tcPr>
          <w:p w14:paraId="69C97993"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TSB</w:t>
            </w:r>
          </w:p>
        </w:tc>
        <w:tc>
          <w:tcPr>
            <w:tcW w:w="3000" w:type="dxa"/>
            <w:noWrap/>
            <w:hideMark/>
          </w:tcPr>
          <w:p w14:paraId="7149DFD4" w14:textId="2808F420" w:rsidR="00202E6A" w:rsidRPr="00A5733E" w:rsidRDefault="00202E6A" w:rsidP="00201343">
            <w:pPr>
              <w:pStyle w:val="Tabletext"/>
              <w:rPr>
                <w:sz w:val="18"/>
                <w:szCs w:val="18"/>
                <w:lang w:val="es-ES"/>
              </w:rPr>
            </w:pPr>
            <w:r w:rsidRPr="00A5733E">
              <w:rPr>
                <w:color w:val="000000"/>
                <w:lang w:val="es-ES"/>
              </w:rPr>
              <w:t>CE</w:t>
            </w:r>
            <w:r w:rsidR="00693161" w:rsidRPr="00A5733E">
              <w:rPr>
                <w:color w:val="000000"/>
                <w:lang w:val="es-ES"/>
              </w:rPr>
              <w:t> </w:t>
            </w:r>
            <w:r w:rsidRPr="00A5733E">
              <w:rPr>
                <w:color w:val="000000"/>
                <w:lang w:val="es-ES"/>
              </w:rPr>
              <w:t>21</w:t>
            </w:r>
          </w:p>
        </w:tc>
        <w:tc>
          <w:tcPr>
            <w:tcW w:w="1459" w:type="dxa"/>
            <w:noWrap/>
            <w:hideMark/>
          </w:tcPr>
          <w:p w14:paraId="3A1CC9A4" w14:textId="77777777" w:rsidR="00202E6A" w:rsidRPr="00A5733E" w:rsidRDefault="00202E6A" w:rsidP="00201343">
            <w:pPr>
              <w:pStyle w:val="Tabletext"/>
              <w:jc w:val="center"/>
              <w:rPr>
                <w:color w:val="000000"/>
                <w:sz w:val="18"/>
                <w:szCs w:val="18"/>
                <w:lang w:val="es-ES"/>
              </w:rPr>
            </w:pPr>
            <w:r w:rsidRPr="00A5733E">
              <w:rPr>
                <w:color w:val="000000"/>
                <w:lang w:val="es-ES"/>
              </w:rPr>
              <w:t>18/06/2029</w:t>
            </w:r>
          </w:p>
        </w:tc>
        <w:tc>
          <w:tcPr>
            <w:tcW w:w="1459" w:type="dxa"/>
            <w:noWrap/>
            <w:hideMark/>
          </w:tcPr>
          <w:p w14:paraId="7D707BB4" w14:textId="77777777" w:rsidR="00202E6A" w:rsidRPr="00A5733E" w:rsidRDefault="00202E6A" w:rsidP="00201343">
            <w:pPr>
              <w:pStyle w:val="Tabletext"/>
              <w:jc w:val="center"/>
              <w:rPr>
                <w:color w:val="000000"/>
                <w:sz w:val="18"/>
                <w:szCs w:val="18"/>
                <w:lang w:val="es-ES"/>
              </w:rPr>
            </w:pPr>
            <w:r w:rsidRPr="00A5733E">
              <w:rPr>
                <w:color w:val="000000"/>
                <w:lang w:val="es-ES"/>
              </w:rPr>
              <w:t>29/06/2029</w:t>
            </w:r>
          </w:p>
        </w:tc>
        <w:tc>
          <w:tcPr>
            <w:tcW w:w="1644" w:type="dxa"/>
            <w:hideMark/>
          </w:tcPr>
          <w:p w14:paraId="5F46B481" w14:textId="77777777" w:rsidR="00202E6A" w:rsidRPr="00A5733E" w:rsidRDefault="00202E6A" w:rsidP="00201343">
            <w:pPr>
              <w:pStyle w:val="Tabletext"/>
              <w:jc w:val="center"/>
              <w:rPr>
                <w:color w:val="000000"/>
                <w:sz w:val="18"/>
                <w:szCs w:val="18"/>
                <w:lang w:val="es-ES"/>
              </w:rPr>
            </w:pPr>
            <w:r w:rsidRPr="00A5733E">
              <w:rPr>
                <w:color w:val="000000"/>
                <w:lang w:val="es-ES"/>
              </w:rPr>
              <w:t>1×150, 1×30, 2×20, 2×15</w:t>
            </w:r>
          </w:p>
        </w:tc>
        <w:tc>
          <w:tcPr>
            <w:tcW w:w="1631" w:type="dxa"/>
            <w:noWrap/>
            <w:hideMark/>
          </w:tcPr>
          <w:p w14:paraId="3687AC7B" w14:textId="77777777" w:rsidR="00202E6A" w:rsidRPr="00A5733E" w:rsidRDefault="00202E6A" w:rsidP="00201343">
            <w:pPr>
              <w:pStyle w:val="Tabletext"/>
              <w:jc w:val="center"/>
              <w:rPr>
                <w:color w:val="000000"/>
                <w:sz w:val="18"/>
                <w:szCs w:val="18"/>
                <w:lang w:val="es-ES" w:eastAsia="en-GB"/>
              </w:rPr>
            </w:pPr>
          </w:p>
        </w:tc>
      </w:tr>
      <w:tr w:rsidR="00202E6A" w:rsidRPr="00A5733E" w14:paraId="267EB215" w14:textId="77777777" w:rsidTr="00201343">
        <w:trPr>
          <w:cantSplit/>
          <w:jc w:val="center"/>
        </w:trPr>
        <w:tc>
          <w:tcPr>
            <w:tcW w:w="776" w:type="dxa"/>
            <w:noWrap/>
            <w:hideMark/>
          </w:tcPr>
          <w:p w14:paraId="647FEA97"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TSB</w:t>
            </w:r>
          </w:p>
        </w:tc>
        <w:tc>
          <w:tcPr>
            <w:tcW w:w="3000" w:type="dxa"/>
            <w:noWrap/>
            <w:hideMark/>
          </w:tcPr>
          <w:p w14:paraId="1A577EDF" w14:textId="77777777" w:rsidR="00202E6A" w:rsidRPr="00A5733E" w:rsidRDefault="00202E6A" w:rsidP="00201343">
            <w:pPr>
              <w:pStyle w:val="Tabletext"/>
              <w:rPr>
                <w:sz w:val="18"/>
                <w:szCs w:val="18"/>
                <w:lang w:val="es-ES"/>
              </w:rPr>
            </w:pPr>
            <w:r w:rsidRPr="00A5733E">
              <w:rPr>
                <w:color w:val="000000"/>
                <w:lang w:val="es-ES"/>
              </w:rPr>
              <w:t>JVET</w:t>
            </w:r>
          </w:p>
        </w:tc>
        <w:tc>
          <w:tcPr>
            <w:tcW w:w="1459" w:type="dxa"/>
            <w:noWrap/>
            <w:hideMark/>
          </w:tcPr>
          <w:p w14:paraId="29AAE696" w14:textId="77777777" w:rsidR="00202E6A" w:rsidRPr="00A5733E" w:rsidRDefault="00202E6A" w:rsidP="00201343">
            <w:pPr>
              <w:pStyle w:val="Tabletext"/>
              <w:jc w:val="center"/>
              <w:rPr>
                <w:color w:val="000000"/>
                <w:sz w:val="18"/>
                <w:szCs w:val="18"/>
                <w:lang w:val="es-ES"/>
              </w:rPr>
            </w:pPr>
            <w:r w:rsidRPr="00A5733E">
              <w:rPr>
                <w:color w:val="000000"/>
                <w:lang w:val="es-ES"/>
              </w:rPr>
              <w:t>19/06/2029</w:t>
            </w:r>
          </w:p>
        </w:tc>
        <w:tc>
          <w:tcPr>
            <w:tcW w:w="1459" w:type="dxa"/>
            <w:noWrap/>
            <w:hideMark/>
          </w:tcPr>
          <w:p w14:paraId="1C5CDD77" w14:textId="77777777" w:rsidR="00202E6A" w:rsidRPr="00A5733E" w:rsidRDefault="00202E6A" w:rsidP="00201343">
            <w:pPr>
              <w:pStyle w:val="Tabletext"/>
              <w:jc w:val="center"/>
              <w:rPr>
                <w:color w:val="000000"/>
                <w:sz w:val="18"/>
                <w:szCs w:val="18"/>
                <w:lang w:val="es-ES"/>
              </w:rPr>
            </w:pPr>
            <w:r w:rsidRPr="00A5733E">
              <w:rPr>
                <w:color w:val="000000"/>
                <w:lang w:val="es-ES"/>
              </w:rPr>
              <w:t>26/06/2029</w:t>
            </w:r>
          </w:p>
        </w:tc>
        <w:tc>
          <w:tcPr>
            <w:tcW w:w="1644" w:type="dxa"/>
            <w:hideMark/>
          </w:tcPr>
          <w:p w14:paraId="31A8D0F5" w14:textId="77777777" w:rsidR="00202E6A" w:rsidRPr="00A5733E" w:rsidRDefault="00202E6A" w:rsidP="00201343">
            <w:pPr>
              <w:pStyle w:val="Tabletext"/>
              <w:jc w:val="center"/>
              <w:rPr>
                <w:color w:val="000000"/>
                <w:sz w:val="18"/>
                <w:szCs w:val="18"/>
                <w:lang w:val="es-ES"/>
              </w:rPr>
            </w:pPr>
            <w:r w:rsidRPr="00A5733E">
              <w:rPr>
                <w:color w:val="000000"/>
                <w:lang w:val="es-ES"/>
              </w:rPr>
              <w:t>1×200, 1×100</w:t>
            </w:r>
          </w:p>
        </w:tc>
        <w:tc>
          <w:tcPr>
            <w:tcW w:w="1631" w:type="dxa"/>
            <w:noWrap/>
            <w:hideMark/>
          </w:tcPr>
          <w:p w14:paraId="34651FB8" w14:textId="77777777" w:rsidR="00202E6A" w:rsidRPr="00A5733E" w:rsidRDefault="00202E6A" w:rsidP="00201343">
            <w:pPr>
              <w:pStyle w:val="Tabletext"/>
              <w:jc w:val="center"/>
              <w:rPr>
                <w:color w:val="000000"/>
                <w:sz w:val="18"/>
                <w:szCs w:val="18"/>
                <w:lang w:val="es-ES" w:eastAsia="en-GB"/>
              </w:rPr>
            </w:pPr>
          </w:p>
        </w:tc>
      </w:tr>
      <w:tr w:rsidR="00202E6A" w:rsidRPr="00A5733E" w14:paraId="49479F57" w14:textId="77777777" w:rsidTr="00201343">
        <w:trPr>
          <w:cantSplit/>
          <w:jc w:val="center"/>
        </w:trPr>
        <w:tc>
          <w:tcPr>
            <w:tcW w:w="776" w:type="dxa"/>
            <w:noWrap/>
            <w:hideMark/>
          </w:tcPr>
          <w:p w14:paraId="65829A1B"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BR</w:t>
            </w:r>
          </w:p>
        </w:tc>
        <w:tc>
          <w:tcPr>
            <w:tcW w:w="3000" w:type="dxa"/>
            <w:noWrap/>
            <w:hideMark/>
          </w:tcPr>
          <w:p w14:paraId="5E5EECC7" w14:textId="77777777" w:rsidR="00202E6A" w:rsidRPr="00A5733E" w:rsidRDefault="00202E6A" w:rsidP="00201343">
            <w:pPr>
              <w:pStyle w:val="Tabletext"/>
              <w:rPr>
                <w:sz w:val="18"/>
                <w:szCs w:val="18"/>
                <w:lang w:val="es-ES"/>
              </w:rPr>
            </w:pPr>
            <w:r w:rsidRPr="00A5733E">
              <w:rPr>
                <w:color w:val="000000"/>
                <w:lang w:val="es-ES"/>
              </w:rPr>
              <w:t>CE 1</w:t>
            </w:r>
          </w:p>
        </w:tc>
        <w:tc>
          <w:tcPr>
            <w:tcW w:w="1459" w:type="dxa"/>
            <w:noWrap/>
            <w:hideMark/>
          </w:tcPr>
          <w:p w14:paraId="7AAE6881" w14:textId="77777777" w:rsidR="00202E6A" w:rsidRPr="00A5733E" w:rsidRDefault="00202E6A" w:rsidP="00201343">
            <w:pPr>
              <w:pStyle w:val="Tabletext"/>
              <w:jc w:val="center"/>
              <w:rPr>
                <w:color w:val="000000"/>
                <w:sz w:val="18"/>
                <w:szCs w:val="18"/>
                <w:lang w:val="es-ES"/>
              </w:rPr>
            </w:pPr>
            <w:r w:rsidRPr="00A5733E">
              <w:rPr>
                <w:color w:val="000000"/>
                <w:lang w:val="es-ES"/>
              </w:rPr>
              <w:t>22/06/2029</w:t>
            </w:r>
          </w:p>
        </w:tc>
        <w:tc>
          <w:tcPr>
            <w:tcW w:w="1459" w:type="dxa"/>
            <w:noWrap/>
            <w:hideMark/>
          </w:tcPr>
          <w:p w14:paraId="0FEC1161" w14:textId="77777777" w:rsidR="00202E6A" w:rsidRPr="00A5733E" w:rsidRDefault="00202E6A" w:rsidP="00201343">
            <w:pPr>
              <w:pStyle w:val="Tabletext"/>
              <w:jc w:val="center"/>
              <w:rPr>
                <w:color w:val="000000"/>
                <w:sz w:val="18"/>
                <w:szCs w:val="18"/>
                <w:lang w:val="es-ES"/>
              </w:rPr>
            </w:pPr>
            <w:r w:rsidRPr="00A5733E">
              <w:rPr>
                <w:color w:val="000000"/>
                <w:lang w:val="es-ES"/>
              </w:rPr>
              <w:t>22/06/2029</w:t>
            </w:r>
          </w:p>
        </w:tc>
        <w:tc>
          <w:tcPr>
            <w:tcW w:w="1644" w:type="dxa"/>
            <w:noWrap/>
            <w:hideMark/>
          </w:tcPr>
          <w:p w14:paraId="6E637B18" w14:textId="77777777" w:rsidR="00202E6A" w:rsidRPr="00A5733E" w:rsidRDefault="00202E6A" w:rsidP="00201343">
            <w:pPr>
              <w:pStyle w:val="Tabletext"/>
              <w:jc w:val="center"/>
              <w:rPr>
                <w:color w:val="000000"/>
                <w:sz w:val="18"/>
                <w:szCs w:val="18"/>
                <w:lang w:val="es-ES"/>
              </w:rPr>
            </w:pPr>
            <w:r w:rsidRPr="00A5733E">
              <w:rPr>
                <w:color w:val="000000"/>
                <w:lang w:val="es-ES"/>
              </w:rPr>
              <w:t>1×150</w:t>
            </w:r>
          </w:p>
        </w:tc>
        <w:tc>
          <w:tcPr>
            <w:tcW w:w="1631" w:type="dxa"/>
            <w:noWrap/>
            <w:hideMark/>
          </w:tcPr>
          <w:p w14:paraId="79764525" w14:textId="77777777" w:rsidR="00202E6A" w:rsidRPr="00A5733E" w:rsidRDefault="00202E6A" w:rsidP="00201343">
            <w:pPr>
              <w:pStyle w:val="Tabletext"/>
              <w:jc w:val="center"/>
              <w:rPr>
                <w:color w:val="000000"/>
                <w:sz w:val="18"/>
                <w:szCs w:val="18"/>
                <w:lang w:val="es-ES" w:eastAsia="en-GB"/>
              </w:rPr>
            </w:pPr>
          </w:p>
        </w:tc>
      </w:tr>
      <w:tr w:rsidR="00202E6A" w:rsidRPr="00A5733E" w14:paraId="3EF00354" w14:textId="77777777" w:rsidTr="00201343">
        <w:trPr>
          <w:cantSplit/>
          <w:jc w:val="center"/>
        </w:trPr>
        <w:tc>
          <w:tcPr>
            <w:tcW w:w="776" w:type="dxa"/>
            <w:noWrap/>
            <w:hideMark/>
          </w:tcPr>
          <w:p w14:paraId="5BB8B308"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BR</w:t>
            </w:r>
          </w:p>
        </w:tc>
        <w:tc>
          <w:tcPr>
            <w:tcW w:w="3000" w:type="dxa"/>
            <w:noWrap/>
            <w:hideMark/>
          </w:tcPr>
          <w:p w14:paraId="57B91F5C" w14:textId="77777777" w:rsidR="00202E6A" w:rsidRPr="00A5733E" w:rsidRDefault="00202E6A" w:rsidP="00201343">
            <w:pPr>
              <w:pStyle w:val="Tabletext"/>
              <w:rPr>
                <w:sz w:val="18"/>
                <w:szCs w:val="18"/>
                <w:lang w:val="es-ES"/>
              </w:rPr>
            </w:pPr>
            <w:r w:rsidRPr="00A5733E">
              <w:rPr>
                <w:color w:val="000000"/>
                <w:lang w:val="es-ES"/>
              </w:rPr>
              <w:t>GT 5D</w:t>
            </w:r>
          </w:p>
        </w:tc>
        <w:tc>
          <w:tcPr>
            <w:tcW w:w="1459" w:type="dxa"/>
            <w:noWrap/>
            <w:hideMark/>
          </w:tcPr>
          <w:p w14:paraId="73F4E403" w14:textId="77777777" w:rsidR="00202E6A" w:rsidRPr="00A5733E" w:rsidRDefault="00202E6A" w:rsidP="00201343">
            <w:pPr>
              <w:pStyle w:val="Tabletext"/>
              <w:jc w:val="center"/>
              <w:rPr>
                <w:color w:val="000000"/>
                <w:sz w:val="18"/>
                <w:szCs w:val="18"/>
                <w:lang w:val="es-ES"/>
              </w:rPr>
            </w:pPr>
            <w:r w:rsidRPr="00A5733E">
              <w:rPr>
                <w:color w:val="000000"/>
                <w:lang w:val="es-ES"/>
              </w:rPr>
              <w:t>27/06/2029</w:t>
            </w:r>
          </w:p>
        </w:tc>
        <w:tc>
          <w:tcPr>
            <w:tcW w:w="1459" w:type="dxa"/>
            <w:noWrap/>
            <w:hideMark/>
          </w:tcPr>
          <w:p w14:paraId="14DC2DE5" w14:textId="77777777" w:rsidR="00202E6A" w:rsidRPr="00A5733E" w:rsidRDefault="00202E6A" w:rsidP="00201343">
            <w:pPr>
              <w:pStyle w:val="Tabletext"/>
              <w:jc w:val="center"/>
              <w:rPr>
                <w:color w:val="000000"/>
                <w:sz w:val="18"/>
                <w:szCs w:val="18"/>
                <w:lang w:val="es-ES"/>
              </w:rPr>
            </w:pPr>
            <w:r w:rsidRPr="00A5733E">
              <w:rPr>
                <w:color w:val="000000"/>
                <w:lang w:val="es-ES"/>
              </w:rPr>
              <w:t>05/07/2029</w:t>
            </w:r>
          </w:p>
        </w:tc>
        <w:tc>
          <w:tcPr>
            <w:tcW w:w="1644" w:type="dxa"/>
            <w:noWrap/>
            <w:hideMark/>
          </w:tcPr>
          <w:p w14:paraId="5DD965C2" w14:textId="77777777" w:rsidR="00202E6A" w:rsidRPr="00A5733E" w:rsidRDefault="00202E6A" w:rsidP="00201343">
            <w:pPr>
              <w:pStyle w:val="Tabletext"/>
              <w:jc w:val="center"/>
              <w:rPr>
                <w:color w:val="000000"/>
                <w:sz w:val="18"/>
                <w:szCs w:val="18"/>
                <w:lang w:val="es-ES"/>
              </w:rPr>
            </w:pPr>
            <w:r w:rsidRPr="00A5733E">
              <w:rPr>
                <w:color w:val="000000"/>
                <w:lang w:val="es-ES"/>
              </w:rPr>
              <w:t>1×250, 2×80</w:t>
            </w:r>
          </w:p>
        </w:tc>
        <w:tc>
          <w:tcPr>
            <w:tcW w:w="1631" w:type="dxa"/>
            <w:noWrap/>
            <w:hideMark/>
          </w:tcPr>
          <w:p w14:paraId="7821ACD3" w14:textId="77777777" w:rsidR="00202E6A" w:rsidRPr="00A5733E" w:rsidRDefault="00202E6A" w:rsidP="00201343">
            <w:pPr>
              <w:pStyle w:val="Tabletext"/>
              <w:jc w:val="center"/>
              <w:rPr>
                <w:color w:val="000000"/>
                <w:sz w:val="18"/>
                <w:szCs w:val="18"/>
                <w:lang w:val="es-ES"/>
              </w:rPr>
            </w:pPr>
            <w:r w:rsidRPr="00A5733E">
              <w:rPr>
                <w:color w:val="000000"/>
                <w:lang w:val="es-ES"/>
              </w:rPr>
              <w:t>2×30</w:t>
            </w:r>
          </w:p>
        </w:tc>
      </w:tr>
      <w:tr w:rsidR="00202E6A" w:rsidRPr="00A5733E" w14:paraId="62D37073" w14:textId="77777777" w:rsidTr="00201343">
        <w:trPr>
          <w:cantSplit/>
          <w:jc w:val="center"/>
        </w:trPr>
        <w:tc>
          <w:tcPr>
            <w:tcW w:w="776" w:type="dxa"/>
            <w:noWrap/>
            <w:hideMark/>
          </w:tcPr>
          <w:p w14:paraId="18BC7DEB"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BR</w:t>
            </w:r>
          </w:p>
        </w:tc>
        <w:tc>
          <w:tcPr>
            <w:tcW w:w="3000" w:type="dxa"/>
            <w:noWrap/>
            <w:hideMark/>
          </w:tcPr>
          <w:p w14:paraId="12375007" w14:textId="77777777" w:rsidR="00202E6A" w:rsidRPr="00A5733E" w:rsidRDefault="00202E6A" w:rsidP="00201343">
            <w:pPr>
              <w:pStyle w:val="Tabletext"/>
              <w:rPr>
                <w:sz w:val="18"/>
                <w:szCs w:val="18"/>
                <w:lang w:val="es-ES"/>
              </w:rPr>
            </w:pPr>
            <w:r w:rsidRPr="00A5733E">
              <w:rPr>
                <w:color w:val="000000"/>
                <w:lang w:val="es-ES"/>
              </w:rPr>
              <w:t>RRB29-2</w:t>
            </w:r>
          </w:p>
        </w:tc>
        <w:tc>
          <w:tcPr>
            <w:tcW w:w="1459" w:type="dxa"/>
            <w:noWrap/>
            <w:hideMark/>
          </w:tcPr>
          <w:p w14:paraId="6F05E419" w14:textId="77777777" w:rsidR="00202E6A" w:rsidRPr="00A5733E" w:rsidRDefault="00202E6A" w:rsidP="00201343">
            <w:pPr>
              <w:pStyle w:val="Tabletext"/>
              <w:jc w:val="center"/>
              <w:rPr>
                <w:color w:val="000000"/>
                <w:sz w:val="18"/>
                <w:szCs w:val="18"/>
                <w:lang w:val="es-ES"/>
              </w:rPr>
            </w:pPr>
            <w:r w:rsidRPr="00A5733E">
              <w:rPr>
                <w:color w:val="000000"/>
                <w:lang w:val="es-ES"/>
              </w:rPr>
              <w:t>02/07/2029</w:t>
            </w:r>
          </w:p>
        </w:tc>
        <w:tc>
          <w:tcPr>
            <w:tcW w:w="1459" w:type="dxa"/>
            <w:noWrap/>
            <w:hideMark/>
          </w:tcPr>
          <w:p w14:paraId="500C7ED4" w14:textId="77777777" w:rsidR="00202E6A" w:rsidRPr="00A5733E" w:rsidRDefault="00202E6A" w:rsidP="00201343">
            <w:pPr>
              <w:pStyle w:val="Tabletext"/>
              <w:jc w:val="center"/>
              <w:rPr>
                <w:color w:val="000000"/>
                <w:sz w:val="18"/>
                <w:szCs w:val="18"/>
                <w:lang w:val="es-ES"/>
              </w:rPr>
            </w:pPr>
            <w:r w:rsidRPr="00A5733E">
              <w:rPr>
                <w:color w:val="000000"/>
                <w:lang w:val="es-ES"/>
              </w:rPr>
              <w:t>06/07/2029</w:t>
            </w:r>
          </w:p>
        </w:tc>
        <w:tc>
          <w:tcPr>
            <w:tcW w:w="1644" w:type="dxa"/>
            <w:noWrap/>
            <w:hideMark/>
          </w:tcPr>
          <w:p w14:paraId="0A6A6CA7" w14:textId="77777777" w:rsidR="00202E6A" w:rsidRPr="00A5733E" w:rsidRDefault="00202E6A" w:rsidP="00201343">
            <w:pPr>
              <w:pStyle w:val="Tabletext"/>
              <w:jc w:val="center"/>
              <w:rPr>
                <w:color w:val="000000"/>
                <w:sz w:val="18"/>
                <w:szCs w:val="18"/>
                <w:lang w:val="es-ES"/>
              </w:rPr>
            </w:pPr>
            <w:r w:rsidRPr="00A5733E">
              <w:rPr>
                <w:color w:val="000000"/>
                <w:lang w:val="es-ES"/>
              </w:rPr>
              <w:t>1×40</w:t>
            </w:r>
          </w:p>
        </w:tc>
        <w:tc>
          <w:tcPr>
            <w:tcW w:w="1631" w:type="dxa"/>
            <w:noWrap/>
            <w:hideMark/>
          </w:tcPr>
          <w:p w14:paraId="2FD6E9C8" w14:textId="77777777" w:rsidR="00202E6A" w:rsidRPr="00A5733E" w:rsidRDefault="00202E6A" w:rsidP="00201343">
            <w:pPr>
              <w:pStyle w:val="Tabletext"/>
              <w:jc w:val="center"/>
              <w:rPr>
                <w:color w:val="000000"/>
                <w:sz w:val="18"/>
                <w:szCs w:val="18"/>
                <w:lang w:val="es-ES" w:eastAsia="en-GB"/>
              </w:rPr>
            </w:pPr>
          </w:p>
        </w:tc>
      </w:tr>
      <w:tr w:rsidR="00202E6A" w:rsidRPr="00A5733E" w14:paraId="3DE7AD0D" w14:textId="77777777" w:rsidTr="00201343">
        <w:trPr>
          <w:cantSplit/>
          <w:jc w:val="center"/>
        </w:trPr>
        <w:tc>
          <w:tcPr>
            <w:tcW w:w="776" w:type="dxa"/>
            <w:noWrap/>
            <w:hideMark/>
          </w:tcPr>
          <w:p w14:paraId="648DE0F7"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TSB</w:t>
            </w:r>
          </w:p>
        </w:tc>
        <w:tc>
          <w:tcPr>
            <w:tcW w:w="3000" w:type="dxa"/>
            <w:noWrap/>
            <w:hideMark/>
          </w:tcPr>
          <w:p w14:paraId="31FC40DE" w14:textId="22C47359" w:rsidR="00202E6A" w:rsidRPr="00A5733E" w:rsidRDefault="00202E6A" w:rsidP="00201343">
            <w:pPr>
              <w:pStyle w:val="Tabletext"/>
              <w:rPr>
                <w:sz w:val="18"/>
                <w:szCs w:val="18"/>
                <w:lang w:val="es-ES"/>
              </w:rPr>
            </w:pPr>
            <w:r w:rsidRPr="00A5733E">
              <w:rPr>
                <w:color w:val="000000"/>
                <w:lang w:val="es-ES"/>
              </w:rPr>
              <w:t>CE</w:t>
            </w:r>
            <w:r w:rsidR="00693161" w:rsidRPr="00A5733E">
              <w:rPr>
                <w:color w:val="000000"/>
                <w:lang w:val="es-ES"/>
              </w:rPr>
              <w:t> </w:t>
            </w:r>
            <w:r w:rsidRPr="00A5733E">
              <w:rPr>
                <w:color w:val="000000"/>
                <w:lang w:val="es-ES"/>
              </w:rPr>
              <w:t>20</w:t>
            </w:r>
          </w:p>
        </w:tc>
        <w:tc>
          <w:tcPr>
            <w:tcW w:w="1459" w:type="dxa"/>
            <w:noWrap/>
            <w:hideMark/>
          </w:tcPr>
          <w:p w14:paraId="35515606" w14:textId="77777777" w:rsidR="00202E6A" w:rsidRPr="00A5733E" w:rsidRDefault="00202E6A" w:rsidP="00201343">
            <w:pPr>
              <w:pStyle w:val="Tabletext"/>
              <w:jc w:val="center"/>
              <w:rPr>
                <w:color w:val="000000"/>
                <w:sz w:val="18"/>
                <w:szCs w:val="18"/>
                <w:lang w:val="es-ES"/>
              </w:rPr>
            </w:pPr>
            <w:r w:rsidRPr="00A5733E">
              <w:rPr>
                <w:color w:val="000000"/>
                <w:lang w:val="es-ES"/>
              </w:rPr>
              <w:t>16/07/2029</w:t>
            </w:r>
          </w:p>
        </w:tc>
        <w:tc>
          <w:tcPr>
            <w:tcW w:w="1459" w:type="dxa"/>
            <w:noWrap/>
            <w:hideMark/>
          </w:tcPr>
          <w:p w14:paraId="0C5DE1B3" w14:textId="77777777" w:rsidR="00202E6A" w:rsidRPr="00A5733E" w:rsidRDefault="00202E6A" w:rsidP="00201343">
            <w:pPr>
              <w:pStyle w:val="Tabletext"/>
              <w:jc w:val="center"/>
              <w:rPr>
                <w:color w:val="000000"/>
                <w:sz w:val="18"/>
                <w:szCs w:val="18"/>
                <w:lang w:val="es-ES"/>
              </w:rPr>
            </w:pPr>
            <w:r w:rsidRPr="00A5733E">
              <w:rPr>
                <w:color w:val="000000"/>
                <w:lang w:val="es-ES"/>
              </w:rPr>
              <w:t>25/07/2029</w:t>
            </w:r>
          </w:p>
        </w:tc>
        <w:tc>
          <w:tcPr>
            <w:tcW w:w="1644" w:type="dxa"/>
            <w:hideMark/>
          </w:tcPr>
          <w:p w14:paraId="08A84861" w14:textId="77777777" w:rsidR="00202E6A" w:rsidRPr="00A5733E" w:rsidRDefault="00202E6A" w:rsidP="00201343">
            <w:pPr>
              <w:pStyle w:val="Tabletext"/>
              <w:jc w:val="center"/>
              <w:rPr>
                <w:color w:val="000000"/>
                <w:sz w:val="18"/>
                <w:szCs w:val="18"/>
                <w:lang w:val="es-ES"/>
              </w:rPr>
            </w:pPr>
            <w:r w:rsidRPr="00A5733E">
              <w:rPr>
                <w:color w:val="000000"/>
                <w:lang w:val="es-ES"/>
              </w:rPr>
              <w:t>1×120 (apertura y cierre), 3×30, 2×15, 2×10</w:t>
            </w:r>
          </w:p>
        </w:tc>
        <w:tc>
          <w:tcPr>
            <w:tcW w:w="1631" w:type="dxa"/>
            <w:noWrap/>
            <w:hideMark/>
          </w:tcPr>
          <w:p w14:paraId="3AED5521" w14:textId="77777777" w:rsidR="00202E6A" w:rsidRPr="00A5733E" w:rsidRDefault="00202E6A" w:rsidP="00201343">
            <w:pPr>
              <w:pStyle w:val="Tabletext"/>
              <w:jc w:val="center"/>
              <w:rPr>
                <w:color w:val="000000"/>
                <w:sz w:val="18"/>
                <w:szCs w:val="18"/>
                <w:lang w:val="es-ES" w:eastAsia="en-GB"/>
              </w:rPr>
            </w:pPr>
          </w:p>
        </w:tc>
      </w:tr>
      <w:tr w:rsidR="00202E6A" w:rsidRPr="00A5733E" w14:paraId="0802A180" w14:textId="77777777" w:rsidTr="00201343">
        <w:trPr>
          <w:cantSplit/>
          <w:jc w:val="center"/>
        </w:trPr>
        <w:tc>
          <w:tcPr>
            <w:tcW w:w="776" w:type="dxa"/>
            <w:noWrap/>
            <w:hideMark/>
          </w:tcPr>
          <w:p w14:paraId="7BE6B24C" w14:textId="77777777" w:rsidR="00202E6A" w:rsidRPr="00A5733E" w:rsidRDefault="00202E6A" w:rsidP="00201343">
            <w:pPr>
              <w:pStyle w:val="Tabletext"/>
              <w:ind w:left="-57" w:right="-57"/>
              <w:jc w:val="center"/>
              <w:rPr>
                <w:color w:val="000000"/>
                <w:sz w:val="18"/>
                <w:szCs w:val="18"/>
                <w:lang w:val="es-ES"/>
              </w:rPr>
            </w:pPr>
            <w:r w:rsidRPr="00A5733E">
              <w:rPr>
                <w:color w:val="000000"/>
                <w:lang w:val="es-ES"/>
              </w:rPr>
              <w:t>BR</w:t>
            </w:r>
          </w:p>
        </w:tc>
        <w:tc>
          <w:tcPr>
            <w:tcW w:w="3000" w:type="dxa"/>
            <w:noWrap/>
            <w:hideMark/>
          </w:tcPr>
          <w:p w14:paraId="5C5300FF" w14:textId="6589EDBA" w:rsidR="00202E6A" w:rsidRPr="00A5733E" w:rsidRDefault="00202E6A" w:rsidP="00201343">
            <w:pPr>
              <w:pStyle w:val="Tabletext"/>
              <w:rPr>
                <w:sz w:val="18"/>
                <w:szCs w:val="18"/>
                <w:lang w:val="es-ES"/>
              </w:rPr>
            </w:pPr>
            <w:r w:rsidRPr="00A5733E">
              <w:rPr>
                <w:color w:val="000000"/>
                <w:lang w:val="es-ES"/>
              </w:rPr>
              <w:t xml:space="preserve">Nuevo grupo tras la </w:t>
            </w:r>
            <w:r w:rsidR="00693161" w:rsidRPr="00A5733E">
              <w:rPr>
                <w:color w:val="000000"/>
                <w:lang w:val="es-ES"/>
              </w:rPr>
              <w:br/>
            </w:r>
            <w:r w:rsidRPr="00A5733E">
              <w:rPr>
                <w:color w:val="000000"/>
                <w:lang w:val="es-ES"/>
              </w:rPr>
              <w:t>AR-27/CMR-27</w:t>
            </w:r>
          </w:p>
        </w:tc>
        <w:tc>
          <w:tcPr>
            <w:tcW w:w="1459" w:type="dxa"/>
            <w:noWrap/>
            <w:hideMark/>
          </w:tcPr>
          <w:p w14:paraId="775A2C59" w14:textId="77777777" w:rsidR="00202E6A" w:rsidRPr="00A5733E" w:rsidRDefault="00202E6A" w:rsidP="00201343">
            <w:pPr>
              <w:pStyle w:val="Tabletext"/>
              <w:jc w:val="center"/>
              <w:rPr>
                <w:color w:val="000000"/>
                <w:sz w:val="18"/>
                <w:szCs w:val="18"/>
                <w:lang w:val="es-ES"/>
              </w:rPr>
            </w:pPr>
            <w:r w:rsidRPr="00A5733E">
              <w:rPr>
                <w:color w:val="000000"/>
                <w:lang w:val="es-ES"/>
              </w:rPr>
              <w:t>23/07/2029</w:t>
            </w:r>
          </w:p>
        </w:tc>
        <w:tc>
          <w:tcPr>
            <w:tcW w:w="1459" w:type="dxa"/>
            <w:noWrap/>
            <w:hideMark/>
          </w:tcPr>
          <w:p w14:paraId="596439E2" w14:textId="77777777" w:rsidR="00202E6A" w:rsidRPr="00A5733E" w:rsidRDefault="00202E6A" w:rsidP="00201343">
            <w:pPr>
              <w:pStyle w:val="Tabletext"/>
              <w:jc w:val="center"/>
              <w:rPr>
                <w:color w:val="000000"/>
                <w:sz w:val="18"/>
                <w:szCs w:val="18"/>
                <w:lang w:val="es-ES"/>
              </w:rPr>
            </w:pPr>
            <w:r w:rsidRPr="00A5733E">
              <w:rPr>
                <w:color w:val="000000"/>
                <w:lang w:val="es-ES"/>
              </w:rPr>
              <w:t>27/07/2029</w:t>
            </w:r>
          </w:p>
        </w:tc>
        <w:tc>
          <w:tcPr>
            <w:tcW w:w="1644" w:type="dxa"/>
            <w:noWrap/>
            <w:hideMark/>
          </w:tcPr>
          <w:p w14:paraId="750D6E23" w14:textId="77777777" w:rsidR="00202E6A" w:rsidRPr="00A5733E" w:rsidRDefault="00202E6A" w:rsidP="00201343">
            <w:pPr>
              <w:pStyle w:val="Tabletext"/>
              <w:jc w:val="center"/>
              <w:rPr>
                <w:color w:val="000000"/>
                <w:sz w:val="18"/>
                <w:szCs w:val="18"/>
                <w:lang w:val="es-ES"/>
              </w:rPr>
            </w:pPr>
            <w:r w:rsidRPr="00A5733E">
              <w:rPr>
                <w:color w:val="000000"/>
                <w:lang w:val="es-ES"/>
              </w:rPr>
              <w:t>1×250</w:t>
            </w:r>
          </w:p>
        </w:tc>
        <w:tc>
          <w:tcPr>
            <w:tcW w:w="1631" w:type="dxa"/>
            <w:noWrap/>
            <w:hideMark/>
          </w:tcPr>
          <w:p w14:paraId="1F472928" w14:textId="77777777" w:rsidR="00202E6A" w:rsidRPr="00A5733E" w:rsidRDefault="00202E6A" w:rsidP="00201343">
            <w:pPr>
              <w:pStyle w:val="Tabletext"/>
              <w:jc w:val="center"/>
              <w:rPr>
                <w:color w:val="000000"/>
                <w:sz w:val="18"/>
                <w:szCs w:val="18"/>
                <w:lang w:val="es-ES"/>
              </w:rPr>
            </w:pPr>
            <w:r w:rsidRPr="00A5733E">
              <w:rPr>
                <w:color w:val="000000"/>
                <w:lang w:val="es-ES"/>
              </w:rPr>
              <w:t>1×30</w:t>
            </w:r>
          </w:p>
        </w:tc>
      </w:tr>
    </w:tbl>
    <w:p w14:paraId="67FA674A" w14:textId="77777777" w:rsidR="00202E6A" w:rsidRPr="00A5733E" w:rsidRDefault="00202E6A" w:rsidP="00202E6A">
      <w:pPr>
        <w:pStyle w:val="Tablefin"/>
        <w:rPr>
          <w:lang w:val="es-ES"/>
        </w:rPr>
      </w:pPr>
    </w:p>
    <w:p w14:paraId="0C598024" w14:textId="77777777" w:rsidR="00202E6A" w:rsidRPr="00A5733E" w:rsidRDefault="00202E6A" w:rsidP="00202E6A">
      <w:pPr>
        <w:rPr>
          <w:lang w:val="es-ES"/>
        </w:rPr>
      </w:pPr>
      <w:r w:rsidRPr="00A5733E">
        <w:rPr>
          <w:lang w:val="es-ES"/>
        </w:rPr>
        <w:br w:type="page"/>
      </w:r>
    </w:p>
    <w:p w14:paraId="60959B06" w14:textId="77777777" w:rsidR="00202E6A" w:rsidRPr="00A5733E" w:rsidRDefault="00202E6A" w:rsidP="00202E6A">
      <w:pPr>
        <w:pStyle w:val="AnnexNo"/>
        <w:rPr>
          <w:lang w:val="es-ES"/>
        </w:rPr>
      </w:pPr>
      <w:r w:rsidRPr="00A5733E">
        <w:rPr>
          <w:lang w:val="es-ES"/>
        </w:rPr>
        <w:lastRenderedPageBreak/>
        <w:t>Anexo 2</w:t>
      </w:r>
    </w:p>
    <w:p w14:paraId="66692CFD" w14:textId="77777777" w:rsidR="00202E6A" w:rsidRPr="00A5733E" w:rsidRDefault="00202E6A" w:rsidP="000314FC">
      <w:pPr>
        <w:pStyle w:val="Annextitle"/>
        <w:rPr>
          <w:lang w:val="es-ES"/>
        </w:rPr>
      </w:pPr>
      <w:r w:rsidRPr="00A5733E">
        <w:rPr>
          <w:lang w:val="es-ES"/>
        </w:rPr>
        <w:t xml:space="preserve">Coste de la </w:t>
      </w:r>
      <w:r w:rsidRPr="00553599">
        <w:rPr>
          <w:lang w:val="es-ES"/>
        </w:rPr>
        <w:t>celebración</w:t>
      </w:r>
      <w:r w:rsidRPr="00A5733E">
        <w:rPr>
          <w:lang w:val="es-ES"/>
        </w:rPr>
        <w:t xml:space="preserve"> de reuniones en la UIT</w:t>
      </w:r>
    </w:p>
    <w:p w14:paraId="6BEFD0C1" w14:textId="77777777" w:rsidR="00202E6A" w:rsidRPr="00A5733E" w:rsidRDefault="00202E6A" w:rsidP="00C31E0A">
      <w:pPr>
        <w:pStyle w:val="Normalaftertitle"/>
        <w:spacing w:after="120"/>
        <w:jc w:val="both"/>
        <w:rPr>
          <w:lang w:val="es-ES"/>
        </w:rPr>
      </w:pPr>
      <w:r w:rsidRPr="00A5733E">
        <w:rPr>
          <w:lang w:val="es-ES"/>
        </w:rPr>
        <w:t>El costo de la celebración de reuniones en la UIT en las condiciones actuales se proporciona a petición de la 22.ª reunión del GTC-RHF y como estimación indicativa basada en el modelo comercial actual. La metodología utilizada para calcular estos costos es muy similar a la utilizada por otros organismos del sistema de las Naciones Unidas en Ginebra cuando se establecen tarifas de alquiler sobre la base de la recuperación de costos. Con todo, las metodologías no están totalmente armonizadas, y estos costos reflejan el uso interno real en lugar de un modelo de alquiler en esta etapa. Para desarrollar un modelo de alquiler de la UIT en el futuro, en particular en el contexto del Campus de la UIT, puede ser necesario perfeccionar la metodología con el FRMD, realizar ejercicios de análisis comparativo y una mayor coordinación en el marco de la colaboración propuesta con los organismos de las Naciones Unidas.</w:t>
      </w:r>
    </w:p>
    <w:tbl>
      <w:tblPr>
        <w:tblStyle w:val="TableGrid"/>
        <w:tblW w:w="5000" w:type="pct"/>
        <w:tblLayout w:type="fixed"/>
        <w:tblLook w:val="0420" w:firstRow="1" w:lastRow="0" w:firstColumn="0" w:lastColumn="0" w:noHBand="0" w:noVBand="1"/>
      </w:tblPr>
      <w:tblGrid>
        <w:gridCol w:w="1613"/>
        <w:gridCol w:w="973"/>
        <w:gridCol w:w="1941"/>
        <w:gridCol w:w="2912"/>
        <w:gridCol w:w="1622"/>
      </w:tblGrid>
      <w:tr w:rsidR="00202E6A" w:rsidRPr="004E6354" w14:paraId="4ACFFC6D" w14:textId="77777777" w:rsidTr="00201343">
        <w:trPr>
          <w:trHeight w:val="300"/>
          <w:tblHeader/>
        </w:trPr>
        <w:tc>
          <w:tcPr>
            <w:tcW w:w="890" w:type="pct"/>
          </w:tcPr>
          <w:p w14:paraId="2E52BFE1" w14:textId="77777777" w:rsidR="00202E6A" w:rsidRPr="00A5733E" w:rsidRDefault="00202E6A" w:rsidP="00201343">
            <w:pPr>
              <w:pStyle w:val="Tablehead"/>
              <w:rPr>
                <w:sz w:val="18"/>
                <w:szCs w:val="18"/>
                <w:lang w:val="es-ES"/>
              </w:rPr>
            </w:pPr>
            <w:r w:rsidRPr="00A5733E">
              <w:rPr>
                <w:bCs/>
                <w:color w:val="000000"/>
                <w:lang w:val="es-ES"/>
              </w:rPr>
              <w:t>Reunión</w:t>
            </w:r>
          </w:p>
        </w:tc>
        <w:tc>
          <w:tcPr>
            <w:tcW w:w="537" w:type="pct"/>
          </w:tcPr>
          <w:p w14:paraId="3797F840" w14:textId="77777777" w:rsidR="00202E6A" w:rsidRPr="00A5733E" w:rsidRDefault="00202E6A" w:rsidP="00201343">
            <w:pPr>
              <w:pStyle w:val="Tablehead"/>
              <w:rPr>
                <w:sz w:val="18"/>
                <w:szCs w:val="18"/>
                <w:lang w:val="es-ES"/>
              </w:rPr>
            </w:pPr>
            <w:r w:rsidRPr="00A5733E">
              <w:rPr>
                <w:bCs/>
                <w:color w:val="000000"/>
                <w:lang w:val="es-ES"/>
              </w:rPr>
              <w:t>Días</w:t>
            </w:r>
          </w:p>
        </w:tc>
        <w:tc>
          <w:tcPr>
            <w:tcW w:w="1071" w:type="pct"/>
          </w:tcPr>
          <w:p w14:paraId="5C1B7D19" w14:textId="77777777" w:rsidR="00202E6A" w:rsidRPr="00A5733E" w:rsidRDefault="00202E6A" w:rsidP="00201343">
            <w:pPr>
              <w:pStyle w:val="Tablehead"/>
              <w:rPr>
                <w:sz w:val="18"/>
                <w:szCs w:val="18"/>
                <w:lang w:val="es-ES"/>
              </w:rPr>
            </w:pPr>
            <w:r w:rsidRPr="00A5733E">
              <w:rPr>
                <w:bCs/>
                <w:color w:val="000000"/>
                <w:lang w:val="es-ES"/>
              </w:rPr>
              <w:t>Salas/aforo</w:t>
            </w:r>
          </w:p>
        </w:tc>
        <w:tc>
          <w:tcPr>
            <w:tcW w:w="2502" w:type="pct"/>
            <w:gridSpan w:val="2"/>
          </w:tcPr>
          <w:p w14:paraId="259B1DB9" w14:textId="77777777" w:rsidR="00202E6A" w:rsidRPr="00A5733E" w:rsidRDefault="00202E6A" w:rsidP="00201343">
            <w:pPr>
              <w:pStyle w:val="Tablehead"/>
              <w:rPr>
                <w:sz w:val="18"/>
                <w:szCs w:val="18"/>
                <w:lang w:val="es-ES"/>
              </w:rPr>
            </w:pPr>
            <w:r w:rsidRPr="00A5733E">
              <w:rPr>
                <w:bCs/>
                <w:color w:val="000000"/>
                <w:lang w:val="es-ES"/>
              </w:rPr>
              <w:t>Costo estimado de las reuniones en la Sede de la UIT (CHF)</w:t>
            </w:r>
          </w:p>
        </w:tc>
      </w:tr>
      <w:tr w:rsidR="00202E6A" w:rsidRPr="00A5733E" w14:paraId="4EF6C43C" w14:textId="77777777" w:rsidTr="00693161">
        <w:trPr>
          <w:trHeight w:val="300"/>
        </w:trPr>
        <w:tc>
          <w:tcPr>
            <w:tcW w:w="890" w:type="pct"/>
            <w:vMerge w:val="restart"/>
            <w:vAlign w:val="center"/>
          </w:tcPr>
          <w:p w14:paraId="2813C09C" w14:textId="77777777" w:rsidR="00202E6A" w:rsidRPr="00A5733E" w:rsidRDefault="00202E6A" w:rsidP="00201343">
            <w:pPr>
              <w:pStyle w:val="Tabletext"/>
              <w:rPr>
                <w:b/>
                <w:bCs/>
                <w:sz w:val="18"/>
                <w:szCs w:val="18"/>
                <w:lang w:val="es-ES"/>
              </w:rPr>
            </w:pPr>
            <w:r w:rsidRPr="00A5733E">
              <w:rPr>
                <w:b/>
                <w:bCs/>
                <w:color w:val="000000"/>
                <w:lang w:val="es-ES"/>
              </w:rPr>
              <w:t>Consejo</w:t>
            </w:r>
          </w:p>
        </w:tc>
        <w:tc>
          <w:tcPr>
            <w:tcW w:w="537" w:type="pct"/>
            <w:vMerge w:val="restart"/>
            <w:vAlign w:val="center"/>
          </w:tcPr>
          <w:p w14:paraId="18D0E070" w14:textId="77777777" w:rsidR="00202E6A" w:rsidRPr="00A5733E" w:rsidRDefault="00202E6A" w:rsidP="00201343">
            <w:pPr>
              <w:pStyle w:val="Tabletext"/>
              <w:jc w:val="center"/>
              <w:rPr>
                <w:sz w:val="18"/>
                <w:szCs w:val="18"/>
                <w:lang w:val="es-ES"/>
              </w:rPr>
            </w:pPr>
            <w:r w:rsidRPr="00A5733E">
              <w:rPr>
                <w:color w:val="000000"/>
                <w:lang w:val="es-ES"/>
              </w:rPr>
              <w:t>10</w:t>
            </w:r>
          </w:p>
        </w:tc>
        <w:tc>
          <w:tcPr>
            <w:tcW w:w="1071" w:type="pct"/>
            <w:vMerge w:val="restart"/>
            <w:vAlign w:val="center"/>
          </w:tcPr>
          <w:p w14:paraId="203EF245" w14:textId="7439D759" w:rsidR="00202E6A" w:rsidRPr="00A5733E" w:rsidRDefault="00202E6A" w:rsidP="00201343">
            <w:pPr>
              <w:pStyle w:val="Tabletext"/>
              <w:jc w:val="center"/>
              <w:rPr>
                <w:sz w:val="18"/>
                <w:szCs w:val="18"/>
                <w:lang w:val="es-ES"/>
              </w:rPr>
            </w:pPr>
            <w:r w:rsidRPr="00A5733E">
              <w:rPr>
                <w:color w:val="000000"/>
                <w:lang w:val="es-ES"/>
              </w:rPr>
              <w:t>1×350, 1×150, 1×80,</w:t>
            </w:r>
            <w:r w:rsidR="00A5733E" w:rsidRPr="00A5733E">
              <w:rPr>
                <w:color w:val="000000"/>
                <w:lang w:val="es-ES"/>
              </w:rPr>
              <w:t xml:space="preserve"> </w:t>
            </w:r>
            <w:r w:rsidRPr="00A5733E">
              <w:rPr>
                <w:color w:val="000000"/>
                <w:lang w:val="es-ES"/>
              </w:rPr>
              <w:t>2×30, 1×20</w:t>
            </w:r>
          </w:p>
        </w:tc>
        <w:tc>
          <w:tcPr>
            <w:tcW w:w="1607" w:type="pct"/>
          </w:tcPr>
          <w:p w14:paraId="29E102C8" w14:textId="77777777" w:rsidR="00202E6A" w:rsidRPr="00A5733E" w:rsidRDefault="00202E6A" w:rsidP="00201343">
            <w:pPr>
              <w:pStyle w:val="Tabletext"/>
              <w:rPr>
                <w:sz w:val="18"/>
                <w:szCs w:val="18"/>
                <w:lang w:val="es-ES"/>
              </w:rPr>
            </w:pPr>
            <w:r w:rsidRPr="00A5733E">
              <w:rPr>
                <w:color w:val="000000"/>
                <w:lang w:val="es-ES"/>
              </w:rPr>
              <w:t>Gestión de salas</w:t>
            </w:r>
          </w:p>
        </w:tc>
        <w:tc>
          <w:tcPr>
            <w:tcW w:w="895" w:type="pct"/>
          </w:tcPr>
          <w:p w14:paraId="38347199" w14:textId="77777777" w:rsidR="00202E6A" w:rsidRPr="00A5733E" w:rsidRDefault="00202E6A" w:rsidP="00201343">
            <w:pPr>
              <w:pStyle w:val="Tabletext"/>
              <w:jc w:val="right"/>
              <w:rPr>
                <w:color w:val="000000" w:themeColor="text1"/>
                <w:sz w:val="18"/>
                <w:szCs w:val="18"/>
                <w:lang w:val="es-ES"/>
              </w:rPr>
            </w:pPr>
            <w:r w:rsidRPr="00A5733E">
              <w:rPr>
                <w:color w:val="000000"/>
                <w:lang w:val="es-ES"/>
              </w:rPr>
              <w:t>27 630</w:t>
            </w:r>
          </w:p>
        </w:tc>
      </w:tr>
      <w:tr w:rsidR="00202E6A" w:rsidRPr="00A5733E" w14:paraId="046BB5A3" w14:textId="77777777" w:rsidTr="00693161">
        <w:trPr>
          <w:trHeight w:val="300"/>
        </w:trPr>
        <w:tc>
          <w:tcPr>
            <w:tcW w:w="890" w:type="pct"/>
            <w:vMerge/>
            <w:vAlign w:val="center"/>
          </w:tcPr>
          <w:p w14:paraId="6BD320D7" w14:textId="77777777" w:rsidR="00202E6A" w:rsidRPr="00A5733E" w:rsidRDefault="00202E6A" w:rsidP="00201343">
            <w:pPr>
              <w:rPr>
                <w:lang w:val="es-ES"/>
              </w:rPr>
            </w:pPr>
          </w:p>
        </w:tc>
        <w:tc>
          <w:tcPr>
            <w:tcW w:w="537" w:type="pct"/>
            <w:vMerge/>
            <w:vAlign w:val="center"/>
          </w:tcPr>
          <w:p w14:paraId="1D9FB94A" w14:textId="77777777" w:rsidR="00202E6A" w:rsidRPr="00A5733E" w:rsidRDefault="00202E6A" w:rsidP="00201343">
            <w:pPr>
              <w:jc w:val="center"/>
              <w:rPr>
                <w:lang w:val="es-ES"/>
              </w:rPr>
            </w:pPr>
          </w:p>
        </w:tc>
        <w:tc>
          <w:tcPr>
            <w:tcW w:w="1071" w:type="pct"/>
            <w:vMerge/>
            <w:vAlign w:val="center"/>
          </w:tcPr>
          <w:p w14:paraId="139415FD" w14:textId="77777777" w:rsidR="00202E6A" w:rsidRPr="00A5733E" w:rsidRDefault="00202E6A" w:rsidP="00201343">
            <w:pPr>
              <w:jc w:val="center"/>
              <w:rPr>
                <w:lang w:val="es-ES"/>
              </w:rPr>
            </w:pPr>
          </w:p>
        </w:tc>
        <w:tc>
          <w:tcPr>
            <w:tcW w:w="1607" w:type="pct"/>
          </w:tcPr>
          <w:p w14:paraId="331C570A" w14:textId="77777777" w:rsidR="00202E6A" w:rsidRPr="00A5733E" w:rsidRDefault="00202E6A" w:rsidP="00201343">
            <w:pPr>
              <w:pStyle w:val="Tabletext"/>
              <w:rPr>
                <w:color w:val="000000" w:themeColor="text1"/>
                <w:sz w:val="18"/>
                <w:szCs w:val="18"/>
                <w:lang w:val="es-ES"/>
              </w:rPr>
            </w:pPr>
            <w:r w:rsidRPr="00A5733E">
              <w:rPr>
                <w:color w:val="000000"/>
                <w:lang w:val="es-ES"/>
              </w:rPr>
              <w:t>Gestión de instalaciones</w:t>
            </w:r>
          </w:p>
        </w:tc>
        <w:tc>
          <w:tcPr>
            <w:tcW w:w="895" w:type="pct"/>
          </w:tcPr>
          <w:p w14:paraId="6143E316" w14:textId="77777777" w:rsidR="00202E6A" w:rsidRPr="00A5733E" w:rsidRDefault="00202E6A" w:rsidP="00201343">
            <w:pPr>
              <w:pStyle w:val="Tabletext"/>
              <w:jc w:val="right"/>
              <w:rPr>
                <w:color w:val="000000" w:themeColor="text1"/>
                <w:sz w:val="18"/>
                <w:szCs w:val="18"/>
                <w:lang w:val="es-ES"/>
              </w:rPr>
            </w:pPr>
            <w:r w:rsidRPr="00A5733E">
              <w:rPr>
                <w:color w:val="000000"/>
                <w:lang w:val="es-ES"/>
              </w:rPr>
              <w:t>7 436</w:t>
            </w:r>
          </w:p>
        </w:tc>
      </w:tr>
      <w:tr w:rsidR="00202E6A" w:rsidRPr="00A5733E" w14:paraId="67B2267B" w14:textId="77777777" w:rsidTr="00693161">
        <w:trPr>
          <w:trHeight w:val="300"/>
        </w:trPr>
        <w:tc>
          <w:tcPr>
            <w:tcW w:w="890" w:type="pct"/>
            <w:vMerge/>
            <w:vAlign w:val="center"/>
          </w:tcPr>
          <w:p w14:paraId="3323DE3F" w14:textId="77777777" w:rsidR="00202E6A" w:rsidRPr="00A5733E" w:rsidRDefault="00202E6A" w:rsidP="00201343">
            <w:pPr>
              <w:rPr>
                <w:lang w:val="es-ES"/>
              </w:rPr>
            </w:pPr>
          </w:p>
        </w:tc>
        <w:tc>
          <w:tcPr>
            <w:tcW w:w="537" w:type="pct"/>
            <w:vMerge/>
            <w:vAlign w:val="center"/>
          </w:tcPr>
          <w:p w14:paraId="0211DAED" w14:textId="77777777" w:rsidR="00202E6A" w:rsidRPr="00A5733E" w:rsidRDefault="00202E6A" w:rsidP="00201343">
            <w:pPr>
              <w:jc w:val="center"/>
              <w:rPr>
                <w:lang w:val="es-ES"/>
              </w:rPr>
            </w:pPr>
          </w:p>
        </w:tc>
        <w:tc>
          <w:tcPr>
            <w:tcW w:w="1071" w:type="pct"/>
            <w:vMerge/>
            <w:vAlign w:val="center"/>
          </w:tcPr>
          <w:p w14:paraId="020866E1" w14:textId="77777777" w:rsidR="00202E6A" w:rsidRPr="00A5733E" w:rsidRDefault="00202E6A" w:rsidP="00201343">
            <w:pPr>
              <w:jc w:val="center"/>
              <w:rPr>
                <w:lang w:val="es-ES"/>
              </w:rPr>
            </w:pPr>
          </w:p>
        </w:tc>
        <w:tc>
          <w:tcPr>
            <w:tcW w:w="1607" w:type="pct"/>
          </w:tcPr>
          <w:p w14:paraId="175F82BC" w14:textId="77777777" w:rsidR="00202E6A" w:rsidRPr="00A5733E" w:rsidRDefault="00202E6A" w:rsidP="00201343">
            <w:pPr>
              <w:pStyle w:val="Tabletext"/>
              <w:rPr>
                <w:color w:val="000000" w:themeColor="text1"/>
                <w:sz w:val="18"/>
                <w:szCs w:val="18"/>
                <w:lang w:val="es-ES"/>
              </w:rPr>
            </w:pPr>
            <w:r w:rsidRPr="00A5733E">
              <w:rPr>
                <w:color w:val="000000"/>
                <w:lang w:val="es-ES"/>
              </w:rPr>
              <w:t>Seguridad</w:t>
            </w:r>
          </w:p>
        </w:tc>
        <w:tc>
          <w:tcPr>
            <w:tcW w:w="895" w:type="pct"/>
          </w:tcPr>
          <w:p w14:paraId="46272B3A" w14:textId="77777777" w:rsidR="00202E6A" w:rsidRPr="00A5733E" w:rsidRDefault="00202E6A" w:rsidP="00201343">
            <w:pPr>
              <w:pStyle w:val="Tabletext"/>
              <w:jc w:val="right"/>
              <w:rPr>
                <w:color w:val="000000" w:themeColor="text1"/>
                <w:sz w:val="18"/>
                <w:szCs w:val="18"/>
                <w:lang w:val="es-ES"/>
              </w:rPr>
            </w:pPr>
            <w:r w:rsidRPr="00A5733E">
              <w:rPr>
                <w:color w:val="000000"/>
                <w:lang w:val="es-ES"/>
              </w:rPr>
              <w:t>10 871</w:t>
            </w:r>
          </w:p>
        </w:tc>
      </w:tr>
      <w:tr w:rsidR="00202E6A" w:rsidRPr="00A5733E" w14:paraId="2F448848" w14:textId="77777777" w:rsidTr="00693161">
        <w:trPr>
          <w:trHeight w:val="300"/>
        </w:trPr>
        <w:tc>
          <w:tcPr>
            <w:tcW w:w="890" w:type="pct"/>
            <w:vMerge/>
            <w:vAlign w:val="center"/>
          </w:tcPr>
          <w:p w14:paraId="387B1F37" w14:textId="77777777" w:rsidR="00202E6A" w:rsidRPr="00A5733E" w:rsidRDefault="00202E6A" w:rsidP="00201343">
            <w:pPr>
              <w:rPr>
                <w:lang w:val="es-ES"/>
              </w:rPr>
            </w:pPr>
          </w:p>
        </w:tc>
        <w:tc>
          <w:tcPr>
            <w:tcW w:w="537" w:type="pct"/>
            <w:vMerge/>
            <w:vAlign w:val="center"/>
          </w:tcPr>
          <w:p w14:paraId="66695559" w14:textId="77777777" w:rsidR="00202E6A" w:rsidRPr="00A5733E" w:rsidRDefault="00202E6A" w:rsidP="00201343">
            <w:pPr>
              <w:jc w:val="center"/>
              <w:rPr>
                <w:lang w:val="es-ES"/>
              </w:rPr>
            </w:pPr>
          </w:p>
        </w:tc>
        <w:tc>
          <w:tcPr>
            <w:tcW w:w="1071" w:type="pct"/>
            <w:vMerge/>
            <w:vAlign w:val="center"/>
          </w:tcPr>
          <w:p w14:paraId="71FC2566" w14:textId="77777777" w:rsidR="00202E6A" w:rsidRPr="00A5733E" w:rsidRDefault="00202E6A" w:rsidP="00201343">
            <w:pPr>
              <w:jc w:val="center"/>
              <w:rPr>
                <w:lang w:val="es-ES"/>
              </w:rPr>
            </w:pPr>
          </w:p>
        </w:tc>
        <w:tc>
          <w:tcPr>
            <w:tcW w:w="1607" w:type="pct"/>
          </w:tcPr>
          <w:p w14:paraId="7133B3BC" w14:textId="77777777" w:rsidR="00202E6A" w:rsidRPr="00A5733E" w:rsidRDefault="00202E6A" w:rsidP="00201343">
            <w:pPr>
              <w:pStyle w:val="Tabletext"/>
              <w:rPr>
                <w:color w:val="000000" w:themeColor="text1"/>
                <w:sz w:val="18"/>
                <w:szCs w:val="18"/>
                <w:lang w:val="es-ES"/>
              </w:rPr>
            </w:pPr>
            <w:r w:rsidRPr="00A5733E">
              <w:rPr>
                <w:color w:val="000000"/>
                <w:lang w:val="es-ES"/>
              </w:rPr>
              <w:t>Servicio técnico</w:t>
            </w:r>
          </w:p>
        </w:tc>
        <w:tc>
          <w:tcPr>
            <w:tcW w:w="895" w:type="pct"/>
          </w:tcPr>
          <w:p w14:paraId="678332E6" w14:textId="77777777" w:rsidR="00202E6A" w:rsidRPr="00A5733E" w:rsidRDefault="00202E6A" w:rsidP="00201343">
            <w:pPr>
              <w:pStyle w:val="Tabletext"/>
              <w:jc w:val="right"/>
              <w:rPr>
                <w:color w:val="000000" w:themeColor="text1"/>
                <w:sz w:val="18"/>
                <w:szCs w:val="18"/>
                <w:lang w:val="es-ES"/>
              </w:rPr>
            </w:pPr>
            <w:r w:rsidRPr="00A5733E">
              <w:rPr>
                <w:color w:val="000000"/>
                <w:lang w:val="es-ES"/>
              </w:rPr>
              <w:t>33 850</w:t>
            </w:r>
          </w:p>
        </w:tc>
      </w:tr>
      <w:tr w:rsidR="00202E6A" w:rsidRPr="00A5733E" w14:paraId="3A7B8FE1" w14:textId="77777777" w:rsidTr="00693161">
        <w:trPr>
          <w:trHeight w:val="300"/>
        </w:trPr>
        <w:tc>
          <w:tcPr>
            <w:tcW w:w="890" w:type="pct"/>
            <w:vMerge/>
            <w:vAlign w:val="center"/>
          </w:tcPr>
          <w:p w14:paraId="732D0D1E" w14:textId="77777777" w:rsidR="00202E6A" w:rsidRPr="00A5733E" w:rsidRDefault="00202E6A" w:rsidP="00201343">
            <w:pPr>
              <w:rPr>
                <w:lang w:val="es-ES"/>
              </w:rPr>
            </w:pPr>
          </w:p>
        </w:tc>
        <w:tc>
          <w:tcPr>
            <w:tcW w:w="537" w:type="pct"/>
            <w:vMerge/>
            <w:vAlign w:val="center"/>
          </w:tcPr>
          <w:p w14:paraId="225D255F" w14:textId="77777777" w:rsidR="00202E6A" w:rsidRPr="00A5733E" w:rsidRDefault="00202E6A" w:rsidP="00201343">
            <w:pPr>
              <w:jc w:val="center"/>
              <w:rPr>
                <w:lang w:val="es-ES"/>
              </w:rPr>
            </w:pPr>
          </w:p>
        </w:tc>
        <w:tc>
          <w:tcPr>
            <w:tcW w:w="1071" w:type="pct"/>
            <w:vMerge/>
            <w:vAlign w:val="center"/>
          </w:tcPr>
          <w:p w14:paraId="6A6F6F85" w14:textId="77777777" w:rsidR="00202E6A" w:rsidRPr="00A5733E" w:rsidRDefault="00202E6A" w:rsidP="00201343">
            <w:pPr>
              <w:jc w:val="center"/>
              <w:rPr>
                <w:lang w:val="es-ES"/>
              </w:rPr>
            </w:pPr>
          </w:p>
        </w:tc>
        <w:tc>
          <w:tcPr>
            <w:tcW w:w="1607" w:type="pct"/>
          </w:tcPr>
          <w:p w14:paraId="5016427E" w14:textId="77777777" w:rsidR="00202E6A" w:rsidRPr="00A5733E" w:rsidRDefault="00202E6A" w:rsidP="00693161">
            <w:pPr>
              <w:pStyle w:val="Tabletext"/>
              <w:spacing w:after="0"/>
              <w:jc w:val="right"/>
              <w:rPr>
                <w:b/>
                <w:bCs/>
                <w:color w:val="000000" w:themeColor="text1"/>
                <w:sz w:val="18"/>
                <w:szCs w:val="18"/>
                <w:lang w:val="es-ES"/>
              </w:rPr>
            </w:pPr>
            <w:r w:rsidRPr="00A5733E">
              <w:rPr>
                <w:b/>
                <w:bCs/>
                <w:color w:val="000000"/>
                <w:lang w:val="es-ES"/>
              </w:rPr>
              <w:t>Total:</w:t>
            </w:r>
          </w:p>
        </w:tc>
        <w:tc>
          <w:tcPr>
            <w:tcW w:w="895" w:type="pct"/>
          </w:tcPr>
          <w:p w14:paraId="0101BB50" w14:textId="77777777" w:rsidR="00202E6A" w:rsidRPr="00A5733E" w:rsidRDefault="00202E6A" w:rsidP="00693161">
            <w:pPr>
              <w:pStyle w:val="Tabletext"/>
              <w:spacing w:after="0"/>
              <w:jc w:val="right"/>
              <w:rPr>
                <w:b/>
                <w:bCs/>
                <w:color w:val="000000" w:themeColor="text1"/>
                <w:sz w:val="18"/>
                <w:szCs w:val="18"/>
                <w:lang w:val="es-ES"/>
              </w:rPr>
            </w:pPr>
            <w:r w:rsidRPr="00A5733E">
              <w:rPr>
                <w:b/>
                <w:bCs/>
                <w:color w:val="000000"/>
                <w:lang w:val="es-ES"/>
              </w:rPr>
              <w:t>79 787</w:t>
            </w:r>
          </w:p>
        </w:tc>
      </w:tr>
      <w:tr w:rsidR="00202E6A" w:rsidRPr="00A5733E" w14:paraId="286793E6" w14:textId="77777777" w:rsidTr="00693161">
        <w:trPr>
          <w:trHeight w:val="300"/>
        </w:trPr>
        <w:tc>
          <w:tcPr>
            <w:tcW w:w="890" w:type="pct"/>
            <w:vMerge w:val="restart"/>
            <w:vAlign w:val="center"/>
          </w:tcPr>
          <w:p w14:paraId="314B7DD6" w14:textId="77777777" w:rsidR="00202E6A" w:rsidRPr="00A5733E" w:rsidRDefault="00202E6A" w:rsidP="00201343">
            <w:pPr>
              <w:pStyle w:val="Tabletext"/>
              <w:rPr>
                <w:b/>
                <w:bCs/>
                <w:sz w:val="18"/>
                <w:szCs w:val="18"/>
                <w:lang w:val="es-ES"/>
              </w:rPr>
            </w:pPr>
            <w:r w:rsidRPr="00A5733E">
              <w:rPr>
                <w:b/>
                <w:bCs/>
                <w:color w:val="000000"/>
                <w:lang w:val="es-ES"/>
              </w:rPr>
              <w:t>GTC</w:t>
            </w:r>
          </w:p>
        </w:tc>
        <w:tc>
          <w:tcPr>
            <w:tcW w:w="537" w:type="pct"/>
            <w:vMerge w:val="restart"/>
            <w:vAlign w:val="center"/>
          </w:tcPr>
          <w:p w14:paraId="38274A8B" w14:textId="77777777" w:rsidR="00202E6A" w:rsidRPr="00A5733E" w:rsidRDefault="00202E6A" w:rsidP="00201343">
            <w:pPr>
              <w:pStyle w:val="Tabletext"/>
              <w:jc w:val="center"/>
              <w:rPr>
                <w:sz w:val="18"/>
                <w:szCs w:val="18"/>
                <w:lang w:val="es-ES"/>
              </w:rPr>
            </w:pPr>
            <w:r w:rsidRPr="00A5733E">
              <w:rPr>
                <w:color w:val="000000"/>
                <w:lang w:val="es-ES"/>
              </w:rPr>
              <w:t>10</w:t>
            </w:r>
          </w:p>
        </w:tc>
        <w:tc>
          <w:tcPr>
            <w:tcW w:w="1071" w:type="pct"/>
            <w:vMerge w:val="restart"/>
            <w:vAlign w:val="center"/>
          </w:tcPr>
          <w:p w14:paraId="56637B21" w14:textId="77777777" w:rsidR="00202E6A" w:rsidRPr="00A5733E" w:rsidRDefault="00202E6A" w:rsidP="00201343">
            <w:pPr>
              <w:pStyle w:val="Tabletext"/>
              <w:jc w:val="center"/>
              <w:rPr>
                <w:color w:val="000000" w:themeColor="text1"/>
                <w:sz w:val="18"/>
                <w:szCs w:val="18"/>
                <w:lang w:val="es-ES"/>
              </w:rPr>
            </w:pPr>
            <w:r w:rsidRPr="00A5733E">
              <w:rPr>
                <w:color w:val="000000"/>
                <w:lang w:val="es-ES"/>
              </w:rPr>
              <w:t>1×150, 1×80</w:t>
            </w:r>
          </w:p>
        </w:tc>
        <w:tc>
          <w:tcPr>
            <w:tcW w:w="1607" w:type="pct"/>
          </w:tcPr>
          <w:p w14:paraId="41778983" w14:textId="77777777" w:rsidR="00202E6A" w:rsidRPr="00A5733E" w:rsidRDefault="00202E6A" w:rsidP="00201343">
            <w:pPr>
              <w:pStyle w:val="Tabletext"/>
              <w:rPr>
                <w:sz w:val="18"/>
                <w:szCs w:val="18"/>
                <w:lang w:val="es-ES"/>
              </w:rPr>
            </w:pPr>
            <w:r w:rsidRPr="00A5733E">
              <w:rPr>
                <w:color w:val="000000"/>
                <w:lang w:val="es-ES"/>
              </w:rPr>
              <w:t>Gestión de salas</w:t>
            </w:r>
          </w:p>
        </w:tc>
        <w:tc>
          <w:tcPr>
            <w:tcW w:w="895" w:type="pct"/>
          </w:tcPr>
          <w:p w14:paraId="21E34F57" w14:textId="77777777" w:rsidR="00202E6A" w:rsidRPr="00A5733E" w:rsidRDefault="00202E6A" w:rsidP="00201343">
            <w:pPr>
              <w:pStyle w:val="Tabletext"/>
              <w:jc w:val="right"/>
              <w:rPr>
                <w:color w:val="000000" w:themeColor="text1"/>
                <w:sz w:val="18"/>
                <w:szCs w:val="18"/>
                <w:lang w:val="es-ES"/>
              </w:rPr>
            </w:pPr>
            <w:r w:rsidRPr="00A5733E">
              <w:rPr>
                <w:color w:val="000000"/>
                <w:lang w:val="es-ES"/>
              </w:rPr>
              <w:t>15 970</w:t>
            </w:r>
          </w:p>
        </w:tc>
      </w:tr>
      <w:tr w:rsidR="00202E6A" w:rsidRPr="00A5733E" w14:paraId="70A8B3FF" w14:textId="77777777" w:rsidTr="00693161">
        <w:trPr>
          <w:trHeight w:val="300"/>
        </w:trPr>
        <w:tc>
          <w:tcPr>
            <w:tcW w:w="890" w:type="pct"/>
            <w:vMerge/>
            <w:vAlign w:val="center"/>
          </w:tcPr>
          <w:p w14:paraId="28A1A97C" w14:textId="77777777" w:rsidR="00202E6A" w:rsidRPr="00A5733E" w:rsidRDefault="00202E6A" w:rsidP="00201343">
            <w:pPr>
              <w:rPr>
                <w:lang w:val="es-ES"/>
              </w:rPr>
            </w:pPr>
          </w:p>
        </w:tc>
        <w:tc>
          <w:tcPr>
            <w:tcW w:w="537" w:type="pct"/>
            <w:vMerge/>
            <w:vAlign w:val="center"/>
          </w:tcPr>
          <w:p w14:paraId="5CEFC619" w14:textId="77777777" w:rsidR="00202E6A" w:rsidRPr="00A5733E" w:rsidRDefault="00202E6A" w:rsidP="00201343">
            <w:pPr>
              <w:jc w:val="center"/>
              <w:rPr>
                <w:lang w:val="es-ES"/>
              </w:rPr>
            </w:pPr>
          </w:p>
        </w:tc>
        <w:tc>
          <w:tcPr>
            <w:tcW w:w="1071" w:type="pct"/>
            <w:vMerge/>
            <w:vAlign w:val="center"/>
          </w:tcPr>
          <w:p w14:paraId="758F94EE" w14:textId="77777777" w:rsidR="00202E6A" w:rsidRPr="00A5733E" w:rsidRDefault="00202E6A" w:rsidP="00201343">
            <w:pPr>
              <w:jc w:val="center"/>
              <w:rPr>
                <w:lang w:val="es-ES"/>
              </w:rPr>
            </w:pPr>
          </w:p>
        </w:tc>
        <w:tc>
          <w:tcPr>
            <w:tcW w:w="1607" w:type="pct"/>
          </w:tcPr>
          <w:p w14:paraId="20516539" w14:textId="77777777" w:rsidR="00202E6A" w:rsidRPr="00A5733E" w:rsidRDefault="00202E6A" w:rsidP="00201343">
            <w:pPr>
              <w:pStyle w:val="Tabletext"/>
              <w:rPr>
                <w:sz w:val="18"/>
                <w:szCs w:val="18"/>
                <w:lang w:val="es-ES"/>
              </w:rPr>
            </w:pPr>
            <w:r w:rsidRPr="00A5733E">
              <w:rPr>
                <w:color w:val="000000"/>
                <w:lang w:val="es-ES"/>
              </w:rPr>
              <w:t>Gestión de instalaciones</w:t>
            </w:r>
          </w:p>
        </w:tc>
        <w:tc>
          <w:tcPr>
            <w:tcW w:w="895" w:type="pct"/>
          </w:tcPr>
          <w:p w14:paraId="6DA511CC" w14:textId="77777777" w:rsidR="00202E6A" w:rsidRPr="00A5733E" w:rsidRDefault="00202E6A" w:rsidP="00201343">
            <w:pPr>
              <w:pStyle w:val="Tabletext"/>
              <w:jc w:val="right"/>
              <w:rPr>
                <w:color w:val="000000" w:themeColor="text1"/>
                <w:sz w:val="18"/>
                <w:szCs w:val="18"/>
                <w:lang w:val="es-ES"/>
              </w:rPr>
            </w:pPr>
            <w:r w:rsidRPr="00A5733E">
              <w:rPr>
                <w:color w:val="000000"/>
                <w:lang w:val="es-ES"/>
              </w:rPr>
              <w:t>4 977</w:t>
            </w:r>
          </w:p>
        </w:tc>
      </w:tr>
      <w:tr w:rsidR="00202E6A" w:rsidRPr="00A5733E" w14:paraId="59B2371A" w14:textId="77777777" w:rsidTr="00693161">
        <w:trPr>
          <w:trHeight w:val="300"/>
        </w:trPr>
        <w:tc>
          <w:tcPr>
            <w:tcW w:w="890" w:type="pct"/>
            <w:vMerge/>
            <w:vAlign w:val="center"/>
          </w:tcPr>
          <w:p w14:paraId="130E2544" w14:textId="77777777" w:rsidR="00202E6A" w:rsidRPr="00A5733E" w:rsidRDefault="00202E6A" w:rsidP="00201343">
            <w:pPr>
              <w:rPr>
                <w:lang w:val="es-ES"/>
              </w:rPr>
            </w:pPr>
          </w:p>
        </w:tc>
        <w:tc>
          <w:tcPr>
            <w:tcW w:w="537" w:type="pct"/>
            <w:vMerge/>
            <w:vAlign w:val="center"/>
          </w:tcPr>
          <w:p w14:paraId="20B85D46" w14:textId="77777777" w:rsidR="00202E6A" w:rsidRPr="00A5733E" w:rsidRDefault="00202E6A" w:rsidP="00201343">
            <w:pPr>
              <w:jc w:val="center"/>
              <w:rPr>
                <w:lang w:val="es-ES"/>
              </w:rPr>
            </w:pPr>
          </w:p>
        </w:tc>
        <w:tc>
          <w:tcPr>
            <w:tcW w:w="1071" w:type="pct"/>
            <w:vMerge/>
            <w:vAlign w:val="center"/>
          </w:tcPr>
          <w:p w14:paraId="5BDF096A" w14:textId="77777777" w:rsidR="00202E6A" w:rsidRPr="00A5733E" w:rsidRDefault="00202E6A" w:rsidP="00201343">
            <w:pPr>
              <w:jc w:val="center"/>
              <w:rPr>
                <w:lang w:val="es-ES"/>
              </w:rPr>
            </w:pPr>
          </w:p>
        </w:tc>
        <w:tc>
          <w:tcPr>
            <w:tcW w:w="1607" w:type="pct"/>
          </w:tcPr>
          <w:p w14:paraId="1679102F" w14:textId="77777777" w:rsidR="00202E6A" w:rsidRPr="00A5733E" w:rsidRDefault="00202E6A" w:rsidP="00201343">
            <w:pPr>
              <w:pStyle w:val="Tabletext"/>
              <w:rPr>
                <w:color w:val="000000" w:themeColor="text1"/>
                <w:sz w:val="18"/>
                <w:szCs w:val="18"/>
                <w:lang w:val="es-ES"/>
              </w:rPr>
            </w:pPr>
            <w:r w:rsidRPr="00A5733E">
              <w:rPr>
                <w:color w:val="000000"/>
                <w:lang w:val="es-ES"/>
              </w:rPr>
              <w:t>Seguridad</w:t>
            </w:r>
          </w:p>
        </w:tc>
        <w:tc>
          <w:tcPr>
            <w:tcW w:w="895" w:type="pct"/>
          </w:tcPr>
          <w:p w14:paraId="3D6EAB66" w14:textId="77777777" w:rsidR="00202E6A" w:rsidRPr="00A5733E" w:rsidRDefault="00202E6A" w:rsidP="00201343">
            <w:pPr>
              <w:pStyle w:val="Tabletext"/>
              <w:jc w:val="right"/>
              <w:rPr>
                <w:color w:val="000000" w:themeColor="text1"/>
                <w:sz w:val="18"/>
                <w:szCs w:val="18"/>
                <w:lang w:val="es-ES"/>
              </w:rPr>
            </w:pPr>
            <w:r w:rsidRPr="00A5733E">
              <w:rPr>
                <w:color w:val="000000"/>
                <w:lang w:val="es-ES"/>
              </w:rPr>
              <w:t>0</w:t>
            </w:r>
          </w:p>
        </w:tc>
      </w:tr>
      <w:tr w:rsidR="00202E6A" w:rsidRPr="00A5733E" w14:paraId="4012715E" w14:textId="77777777" w:rsidTr="00693161">
        <w:trPr>
          <w:trHeight w:val="300"/>
        </w:trPr>
        <w:tc>
          <w:tcPr>
            <w:tcW w:w="890" w:type="pct"/>
            <w:vMerge/>
            <w:vAlign w:val="center"/>
          </w:tcPr>
          <w:p w14:paraId="24F8D27D" w14:textId="77777777" w:rsidR="00202E6A" w:rsidRPr="00A5733E" w:rsidRDefault="00202E6A" w:rsidP="00201343">
            <w:pPr>
              <w:rPr>
                <w:lang w:val="es-ES"/>
              </w:rPr>
            </w:pPr>
          </w:p>
        </w:tc>
        <w:tc>
          <w:tcPr>
            <w:tcW w:w="537" w:type="pct"/>
            <w:vMerge/>
            <w:vAlign w:val="center"/>
          </w:tcPr>
          <w:p w14:paraId="78AFCA6A" w14:textId="77777777" w:rsidR="00202E6A" w:rsidRPr="00A5733E" w:rsidRDefault="00202E6A" w:rsidP="00201343">
            <w:pPr>
              <w:jc w:val="center"/>
              <w:rPr>
                <w:lang w:val="es-ES"/>
              </w:rPr>
            </w:pPr>
          </w:p>
        </w:tc>
        <w:tc>
          <w:tcPr>
            <w:tcW w:w="1071" w:type="pct"/>
            <w:vMerge/>
            <w:vAlign w:val="center"/>
          </w:tcPr>
          <w:p w14:paraId="0AF54FE1" w14:textId="77777777" w:rsidR="00202E6A" w:rsidRPr="00A5733E" w:rsidRDefault="00202E6A" w:rsidP="00201343">
            <w:pPr>
              <w:jc w:val="center"/>
              <w:rPr>
                <w:lang w:val="es-ES"/>
              </w:rPr>
            </w:pPr>
          </w:p>
        </w:tc>
        <w:tc>
          <w:tcPr>
            <w:tcW w:w="1607" w:type="pct"/>
          </w:tcPr>
          <w:p w14:paraId="00061886" w14:textId="77777777" w:rsidR="00202E6A" w:rsidRPr="00A5733E" w:rsidRDefault="00202E6A" w:rsidP="00201343">
            <w:pPr>
              <w:pStyle w:val="Tabletext"/>
              <w:rPr>
                <w:color w:val="000000" w:themeColor="text1"/>
                <w:sz w:val="18"/>
                <w:szCs w:val="18"/>
                <w:lang w:val="es-ES"/>
              </w:rPr>
            </w:pPr>
            <w:r w:rsidRPr="00A5733E">
              <w:rPr>
                <w:color w:val="000000"/>
                <w:lang w:val="es-ES"/>
              </w:rPr>
              <w:t>Servicio técnico</w:t>
            </w:r>
          </w:p>
        </w:tc>
        <w:tc>
          <w:tcPr>
            <w:tcW w:w="895" w:type="pct"/>
          </w:tcPr>
          <w:p w14:paraId="04E77F7C" w14:textId="77777777" w:rsidR="00202E6A" w:rsidRPr="00A5733E" w:rsidRDefault="00202E6A" w:rsidP="00201343">
            <w:pPr>
              <w:pStyle w:val="Tabletext"/>
              <w:jc w:val="right"/>
              <w:rPr>
                <w:color w:val="000000" w:themeColor="text1"/>
                <w:sz w:val="18"/>
                <w:szCs w:val="18"/>
                <w:lang w:val="es-ES"/>
              </w:rPr>
            </w:pPr>
            <w:r w:rsidRPr="00A5733E">
              <w:rPr>
                <w:color w:val="000000"/>
                <w:lang w:val="es-ES"/>
              </w:rPr>
              <w:t>25 810</w:t>
            </w:r>
          </w:p>
        </w:tc>
      </w:tr>
      <w:tr w:rsidR="00202E6A" w:rsidRPr="00A5733E" w14:paraId="1311E050" w14:textId="77777777" w:rsidTr="00693161">
        <w:trPr>
          <w:trHeight w:val="300"/>
        </w:trPr>
        <w:tc>
          <w:tcPr>
            <w:tcW w:w="890" w:type="pct"/>
            <w:vMerge/>
            <w:vAlign w:val="center"/>
          </w:tcPr>
          <w:p w14:paraId="1E9408EC" w14:textId="77777777" w:rsidR="00202E6A" w:rsidRPr="00A5733E" w:rsidRDefault="00202E6A" w:rsidP="00201343">
            <w:pPr>
              <w:rPr>
                <w:lang w:val="es-ES"/>
              </w:rPr>
            </w:pPr>
          </w:p>
        </w:tc>
        <w:tc>
          <w:tcPr>
            <w:tcW w:w="537" w:type="pct"/>
            <w:vMerge/>
            <w:vAlign w:val="center"/>
          </w:tcPr>
          <w:p w14:paraId="30270AF8" w14:textId="77777777" w:rsidR="00202E6A" w:rsidRPr="00A5733E" w:rsidRDefault="00202E6A" w:rsidP="00201343">
            <w:pPr>
              <w:jc w:val="center"/>
              <w:rPr>
                <w:lang w:val="es-ES"/>
              </w:rPr>
            </w:pPr>
          </w:p>
        </w:tc>
        <w:tc>
          <w:tcPr>
            <w:tcW w:w="1071" w:type="pct"/>
            <w:vMerge/>
            <w:vAlign w:val="center"/>
          </w:tcPr>
          <w:p w14:paraId="64DC9FA3" w14:textId="77777777" w:rsidR="00202E6A" w:rsidRPr="00A5733E" w:rsidRDefault="00202E6A" w:rsidP="00201343">
            <w:pPr>
              <w:jc w:val="center"/>
              <w:rPr>
                <w:lang w:val="es-ES"/>
              </w:rPr>
            </w:pPr>
          </w:p>
        </w:tc>
        <w:tc>
          <w:tcPr>
            <w:tcW w:w="1607" w:type="pct"/>
          </w:tcPr>
          <w:p w14:paraId="7EE51E5B" w14:textId="77777777" w:rsidR="00202E6A" w:rsidRPr="00A5733E" w:rsidRDefault="00202E6A" w:rsidP="00693161">
            <w:pPr>
              <w:pStyle w:val="Tabletext"/>
              <w:spacing w:after="0"/>
              <w:jc w:val="right"/>
              <w:rPr>
                <w:b/>
                <w:bCs/>
                <w:color w:val="000000" w:themeColor="text1"/>
                <w:sz w:val="18"/>
                <w:szCs w:val="18"/>
                <w:lang w:val="es-ES"/>
              </w:rPr>
            </w:pPr>
            <w:r w:rsidRPr="00A5733E">
              <w:rPr>
                <w:b/>
                <w:bCs/>
                <w:color w:val="000000"/>
                <w:lang w:val="es-ES"/>
              </w:rPr>
              <w:t>Total:</w:t>
            </w:r>
          </w:p>
        </w:tc>
        <w:tc>
          <w:tcPr>
            <w:tcW w:w="895" w:type="pct"/>
          </w:tcPr>
          <w:p w14:paraId="36CA89B6" w14:textId="77777777" w:rsidR="00202E6A" w:rsidRPr="00A5733E" w:rsidRDefault="00202E6A" w:rsidP="00693161">
            <w:pPr>
              <w:pStyle w:val="Tabletext"/>
              <w:spacing w:after="0"/>
              <w:jc w:val="right"/>
              <w:rPr>
                <w:b/>
                <w:bCs/>
                <w:color w:val="000000" w:themeColor="text1"/>
                <w:sz w:val="18"/>
                <w:szCs w:val="18"/>
                <w:lang w:val="es-ES"/>
              </w:rPr>
            </w:pPr>
            <w:r w:rsidRPr="00A5733E">
              <w:rPr>
                <w:b/>
                <w:bCs/>
                <w:color w:val="000000"/>
                <w:lang w:val="es-ES"/>
              </w:rPr>
              <w:t>46 757</w:t>
            </w:r>
          </w:p>
        </w:tc>
      </w:tr>
      <w:tr w:rsidR="00202E6A" w:rsidRPr="00A5733E" w14:paraId="4F68BE60" w14:textId="77777777" w:rsidTr="00693161">
        <w:trPr>
          <w:trHeight w:val="300"/>
        </w:trPr>
        <w:tc>
          <w:tcPr>
            <w:tcW w:w="890" w:type="pct"/>
            <w:vMerge w:val="restart"/>
            <w:vAlign w:val="center"/>
          </w:tcPr>
          <w:p w14:paraId="2FD724B2" w14:textId="77777777" w:rsidR="00202E6A" w:rsidRPr="00A5733E" w:rsidRDefault="00202E6A" w:rsidP="00201343">
            <w:pPr>
              <w:pStyle w:val="Tabletext"/>
              <w:rPr>
                <w:b/>
                <w:bCs/>
                <w:sz w:val="18"/>
                <w:szCs w:val="18"/>
                <w:lang w:val="es-ES"/>
              </w:rPr>
            </w:pPr>
            <w:r w:rsidRPr="00A5733E">
              <w:rPr>
                <w:b/>
                <w:bCs/>
                <w:color w:val="000000"/>
                <w:lang w:val="es-ES"/>
              </w:rPr>
              <w:t>GANT</w:t>
            </w:r>
          </w:p>
        </w:tc>
        <w:tc>
          <w:tcPr>
            <w:tcW w:w="537" w:type="pct"/>
            <w:vMerge w:val="restart"/>
            <w:vAlign w:val="center"/>
          </w:tcPr>
          <w:p w14:paraId="6BA78D03" w14:textId="77777777" w:rsidR="00202E6A" w:rsidRPr="00A5733E" w:rsidRDefault="00202E6A" w:rsidP="00201343">
            <w:pPr>
              <w:pStyle w:val="Tabletext"/>
              <w:jc w:val="center"/>
              <w:rPr>
                <w:sz w:val="18"/>
                <w:szCs w:val="18"/>
                <w:lang w:val="es-ES"/>
              </w:rPr>
            </w:pPr>
            <w:r w:rsidRPr="00A5733E">
              <w:rPr>
                <w:color w:val="000000"/>
                <w:lang w:val="es-ES"/>
              </w:rPr>
              <w:t>5</w:t>
            </w:r>
          </w:p>
        </w:tc>
        <w:tc>
          <w:tcPr>
            <w:tcW w:w="1071" w:type="pct"/>
            <w:vMerge w:val="restart"/>
            <w:vAlign w:val="center"/>
          </w:tcPr>
          <w:p w14:paraId="15D9AFD1" w14:textId="3B114124" w:rsidR="00202E6A" w:rsidRPr="00A5733E" w:rsidRDefault="00202E6A" w:rsidP="00201343">
            <w:pPr>
              <w:pStyle w:val="Tabletext"/>
              <w:jc w:val="center"/>
              <w:rPr>
                <w:color w:val="000000" w:themeColor="text1"/>
                <w:sz w:val="18"/>
                <w:szCs w:val="18"/>
                <w:lang w:val="es-ES"/>
              </w:rPr>
            </w:pPr>
            <w:r w:rsidRPr="00A5733E">
              <w:rPr>
                <w:color w:val="000000"/>
                <w:lang w:val="es-ES"/>
              </w:rPr>
              <w:t>1×200, 1×50,</w:t>
            </w:r>
            <w:r w:rsidR="00A5733E" w:rsidRPr="00A5733E">
              <w:rPr>
                <w:color w:val="000000"/>
                <w:lang w:val="es-ES"/>
              </w:rPr>
              <w:t xml:space="preserve"> </w:t>
            </w:r>
            <w:r w:rsidRPr="00A5733E">
              <w:rPr>
                <w:color w:val="000000"/>
                <w:lang w:val="es-ES"/>
              </w:rPr>
              <w:t>1×30, 1×20</w:t>
            </w:r>
          </w:p>
        </w:tc>
        <w:tc>
          <w:tcPr>
            <w:tcW w:w="1607" w:type="pct"/>
          </w:tcPr>
          <w:p w14:paraId="5B3AA4FD" w14:textId="77777777" w:rsidR="00202E6A" w:rsidRPr="00A5733E" w:rsidRDefault="00202E6A" w:rsidP="00201343">
            <w:pPr>
              <w:pStyle w:val="Tabletext"/>
              <w:rPr>
                <w:sz w:val="18"/>
                <w:szCs w:val="18"/>
                <w:lang w:val="es-ES"/>
              </w:rPr>
            </w:pPr>
            <w:r w:rsidRPr="00A5733E">
              <w:rPr>
                <w:color w:val="000000"/>
                <w:lang w:val="es-ES"/>
              </w:rPr>
              <w:t>Gestión de salas</w:t>
            </w:r>
          </w:p>
        </w:tc>
        <w:tc>
          <w:tcPr>
            <w:tcW w:w="895" w:type="pct"/>
          </w:tcPr>
          <w:p w14:paraId="73D8635C" w14:textId="77777777" w:rsidR="00202E6A" w:rsidRPr="00A5733E" w:rsidRDefault="00202E6A" w:rsidP="00201343">
            <w:pPr>
              <w:pStyle w:val="Tabletext"/>
              <w:jc w:val="right"/>
              <w:rPr>
                <w:color w:val="000000" w:themeColor="text1"/>
                <w:sz w:val="18"/>
                <w:szCs w:val="18"/>
                <w:lang w:val="es-ES"/>
              </w:rPr>
            </w:pPr>
            <w:r w:rsidRPr="00A5733E">
              <w:rPr>
                <w:color w:val="000000"/>
                <w:lang w:val="es-ES"/>
              </w:rPr>
              <w:t>5 800</w:t>
            </w:r>
          </w:p>
        </w:tc>
      </w:tr>
      <w:tr w:rsidR="00202E6A" w:rsidRPr="00A5733E" w14:paraId="1BBD6B0B" w14:textId="77777777" w:rsidTr="00693161">
        <w:trPr>
          <w:trHeight w:val="300"/>
        </w:trPr>
        <w:tc>
          <w:tcPr>
            <w:tcW w:w="890" w:type="pct"/>
            <w:vMerge/>
            <w:vAlign w:val="center"/>
          </w:tcPr>
          <w:p w14:paraId="005C4FC1" w14:textId="77777777" w:rsidR="00202E6A" w:rsidRPr="00A5733E" w:rsidRDefault="00202E6A" w:rsidP="00201343">
            <w:pPr>
              <w:rPr>
                <w:lang w:val="es-ES"/>
              </w:rPr>
            </w:pPr>
          </w:p>
        </w:tc>
        <w:tc>
          <w:tcPr>
            <w:tcW w:w="537" w:type="pct"/>
            <w:vMerge/>
            <w:vAlign w:val="center"/>
          </w:tcPr>
          <w:p w14:paraId="706C61A6" w14:textId="77777777" w:rsidR="00202E6A" w:rsidRPr="00A5733E" w:rsidRDefault="00202E6A" w:rsidP="00201343">
            <w:pPr>
              <w:jc w:val="center"/>
              <w:rPr>
                <w:lang w:val="es-ES"/>
              </w:rPr>
            </w:pPr>
          </w:p>
        </w:tc>
        <w:tc>
          <w:tcPr>
            <w:tcW w:w="1071" w:type="pct"/>
            <w:vMerge/>
            <w:vAlign w:val="center"/>
          </w:tcPr>
          <w:p w14:paraId="08EB028A" w14:textId="77777777" w:rsidR="00202E6A" w:rsidRPr="00A5733E" w:rsidRDefault="00202E6A" w:rsidP="00201343">
            <w:pPr>
              <w:jc w:val="center"/>
              <w:rPr>
                <w:lang w:val="es-ES"/>
              </w:rPr>
            </w:pPr>
          </w:p>
        </w:tc>
        <w:tc>
          <w:tcPr>
            <w:tcW w:w="1607" w:type="pct"/>
          </w:tcPr>
          <w:p w14:paraId="3ACD12EB" w14:textId="77777777" w:rsidR="00202E6A" w:rsidRPr="00A5733E" w:rsidRDefault="00202E6A" w:rsidP="00201343">
            <w:pPr>
              <w:pStyle w:val="Tabletext"/>
              <w:rPr>
                <w:sz w:val="18"/>
                <w:szCs w:val="18"/>
                <w:lang w:val="es-ES"/>
              </w:rPr>
            </w:pPr>
            <w:r w:rsidRPr="00A5733E">
              <w:rPr>
                <w:color w:val="000000"/>
                <w:lang w:val="es-ES"/>
              </w:rPr>
              <w:t>Gestión de instalaciones</w:t>
            </w:r>
          </w:p>
        </w:tc>
        <w:tc>
          <w:tcPr>
            <w:tcW w:w="895" w:type="pct"/>
          </w:tcPr>
          <w:p w14:paraId="685B9058" w14:textId="77777777" w:rsidR="00202E6A" w:rsidRPr="00A5733E" w:rsidRDefault="00202E6A" w:rsidP="00201343">
            <w:pPr>
              <w:pStyle w:val="Tabletext"/>
              <w:jc w:val="right"/>
              <w:rPr>
                <w:color w:val="000000" w:themeColor="text1"/>
                <w:sz w:val="18"/>
                <w:szCs w:val="18"/>
                <w:lang w:val="es-ES"/>
              </w:rPr>
            </w:pPr>
            <w:r w:rsidRPr="00A5733E">
              <w:rPr>
                <w:color w:val="000000"/>
                <w:lang w:val="es-ES"/>
              </w:rPr>
              <w:t>3 602</w:t>
            </w:r>
          </w:p>
        </w:tc>
      </w:tr>
      <w:tr w:rsidR="00202E6A" w:rsidRPr="00A5733E" w14:paraId="6B7B80EE" w14:textId="77777777" w:rsidTr="00693161">
        <w:trPr>
          <w:trHeight w:val="300"/>
        </w:trPr>
        <w:tc>
          <w:tcPr>
            <w:tcW w:w="890" w:type="pct"/>
            <w:vMerge/>
            <w:vAlign w:val="center"/>
          </w:tcPr>
          <w:p w14:paraId="4CC04E20" w14:textId="77777777" w:rsidR="00202E6A" w:rsidRPr="00A5733E" w:rsidRDefault="00202E6A" w:rsidP="00201343">
            <w:pPr>
              <w:rPr>
                <w:lang w:val="es-ES"/>
              </w:rPr>
            </w:pPr>
          </w:p>
        </w:tc>
        <w:tc>
          <w:tcPr>
            <w:tcW w:w="537" w:type="pct"/>
            <w:vMerge/>
            <w:vAlign w:val="center"/>
          </w:tcPr>
          <w:p w14:paraId="08820642" w14:textId="77777777" w:rsidR="00202E6A" w:rsidRPr="00A5733E" w:rsidRDefault="00202E6A" w:rsidP="00201343">
            <w:pPr>
              <w:jc w:val="center"/>
              <w:rPr>
                <w:lang w:val="es-ES"/>
              </w:rPr>
            </w:pPr>
          </w:p>
        </w:tc>
        <w:tc>
          <w:tcPr>
            <w:tcW w:w="1071" w:type="pct"/>
            <w:vMerge/>
            <w:vAlign w:val="center"/>
          </w:tcPr>
          <w:p w14:paraId="7F36C347" w14:textId="77777777" w:rsidR="00202E6A" w:rsidRPr="00A5733E" w:rsidRDefault="00202E6A" w:rsidP="00201343">
            <w:pPr>
              <w:jc w:val="center"/>
              <w:rPr>
                <w:lang w:val="es-ES"/>
              </w:rPr>
            </w:pPr>
          </w:p>
        </w:tc>
        <w:tc>
          <w:tcPr>
            <w:tcW w:w="1607" w:type="pct"/>
          </w:tcPr>
          <w:p w14:paraId="72EE688F" w14:textId="77777777" w:rsidR="00202E6A" w:rsidRPr="00A5733E" w:rsidRDefault="00202E6A" w:rsidP="00201343">
            <w:pPr>
              <w:pStyle w:val="Tabletext"/>
              <w:rPr>
                <w:color w:val="000000" w:themeColor="text1"/>
                <w:sz w:val="18"/>
                <w:szCs w:val="18"/>
                <w:lang w:val="es-ES"/>
              </w:rPr>
            </w:pPr>
            <w:r w:rsidRPr="00A5733E">
              <w:rPr>
                <w:color w:val="000000"/>
                <w:lang w:val="es-ES"/>
              </w:rPr>
              <w:t>Seguridad</w:t>
            </w:r>
          </w:p>
        </w:tc>
        <w:tc>
          <w:tcPr>
            <w:tcW w:w="895" w:type="pct"/>
          </w:tcPr>
          <w:p w14:paraId="3F2E3A33" w14:textId="77777777" w:rsidR="00202E6A" w:rsidRPr="00A5733E" w:rsidRDefault="00202E6A" w:rsidP="00201343">
            <w:pPr>
              <w:pStyle w:val="Tabletext"/>
              <w:jc w:val="right"/>
              <w:rPr>
                <w:color w:val="000000" w:themeColor="text1"/>
                <w:sz w:val="18"/>
                <w:szCs w:val="18"/>
                <w:lang w:val="es-ES"/>
              </w:rPr>
            </w:pPr>
            <w:r w:rsidRPr="00A5733E">
              <w:rPr>
                <w:color w:val="000000"/>
                <w:lang w:val="es-ES"/>
              </w:rPr>
              <w:t>0</w:t>
            </w:r>
          </w:p>
        </w:tc>
      </w:tr>
      <w:tr w:rsidR="00202E6A" w:rsidRPr="00A5733E" w14:paraId="71A031CF" w14:textId="77777777" w:rsidTr="00693161">
        <w:trPr>
          <w:trHeight w:val="300"/>
        </w:trPr>
        <w:tc>
          <w:tcPr>
            <w:tcW w:w="890" w:type="pct"/>
            <w:vMerge/>
            <w:vAlign w:val="center"/>
          </w:tcPr>
          <w:p w14:paraId="7C0E1275" w14:textId="77777777" w:rsidR="00202E6A" w:rsidRPr="00A5733E" w:rsidRDefault="00202E6A" w:rsidP="00201343">
            <w:pPr>
              <w:rPr>
                <w:lang w:val="es-ES"/>
              </w:rPr>
            </w:pPr>
          </w:p>
        </w:tc>
        <w:tc>
          <w:tcPr>
            <w:tcW w:w="537" w:type="pct"/>
            <w:vMerge/>
            <w:vAlign w:val="center"/>
          </w:tcPr>
          <w:p w14:paraId="42E71734" w14:textId="77777777" w:rsidR="00202E6A" w:rsidRPr="00A5733E" w:rsidRDefault="00202E6A" w:rsidP="00201343">
            <w:pPr>
              <w:jc w:val="center"/>
              <w:rPr>
                <w:lang w:val="es-ES"/>
              </w:rPr>
            </w:pPr>
          </w:p>
        </w:tc>
        <w:tc>
          <w:tcPr>
            <w:tcW w:w="1071" w:type="pct"/>
            <w:vMerge/>
            <w:vAlign w:val="center"/>
          </w:tcPr>
          <w:p w14:paraId="3671F3BE" w14:textId="77777777" w:rsidR="00202E6A" w:rsidRPr="00A5733E" w:rsidRDefault="00202E6A" w:rsidP="00201343">
            <w:pPr>
              <w:jc w:val="center"/>
              <w:rPr>
                <w:lang w:val="es-ES"/>
              </w:rPr>
            </w:pPr>
          </w:p>
        </w:tc>
        <w:tc>
          <w:tcPr>
            <w:tcW w:w="1607" w:type="pct"/>
          </w:tcPr>
          <w:p w14:paraId="4CA08F4C" w14:textId="77777777" w:rsidR="00202E6A" w:rsidRPr="00A5733E" w:rsidRDefault="00202E6A" w:rsidP="00201343">
            <w:pPr>
              <w:pStyle w:val="Tabletext"/>
              <w:rPr>
                <w:color w:val="000000" w:themeColor="text1"/>
                <w:sz w:val="18"/>
                <w:szCs w:val="18"/>
                <w:lang w:val="es-ES"/>
              </w:rPr>
            </w:pPr>
            <w:r w:rsidRPr="00A5733E">
              <w:rPr>
                <w:color w:val="000000"/>
                <w:lang w:val="es-ES"/>
              </w:rPr>
              <w:t>Servicio técnico</w:t>
            </w:r>
          </w:p>
        </w:tc>
        <w:tc>
          <w:tcPr>
            <w:tcW w:w="895" w:type="pct"/>
          </w:tcPr>
          <w:p w14:paraId="46A63731" w14:textId="77777777" w:rsidR="00202E6A" w:rsidRPr="00A5733E" w:rsidRDefault="00202E6A" w:rsidP="00201343">
            <w:pPr>
              <w:pStyle w:val="Tabletext"/>
              <w:jc w:val="right"/>
              <w:rPr>
                <w:color w:val="000000" w:themeColor="text1"/>
                <w:sz w:val="18"/>
                <w:szCs w:val="18"/>
                <w:lang w:val="es-ES"/>
              </w:rPr>
            </w:pPr>
            <w:r w:rsidRPr="00A5733E">
              <w:rPr>
                <w:color w:val="000000"/>
                <w:lang w:val="es-ES"/>
              </w:rPr>
              <w:t>16 301</w:t>
            </w:r>
          </w:p>
        </w:tc>
      </w:tr>
      <w:tr w:rsidR="00202E6A" w:rsidRPr="00A5733E" w14:paraId="7D294649" w14:textId="77777777" w:rsidTr="00693161">
        <w:trPr>
          <w:trHeight w:val="300"/>
        </w:trPr>
        <w:tc>
          <w:tcPr>
            <w:tcW w:w="890" w:type="pct"/>
            <w:vMerge/>
            <w:vAlign w:val="center"/>
          </w:tcPr>
          <w:p w14:paraId="29A3B854" w14:textId="77777777" w:rsidR="00202E6A" w:rsidRPr="00A5733E" w:rsidRDefault="00202E6A" w:rsidP="00201343">
            <w:pPr>
              <w:rPr>
                <w:lang w:val="es-ES"/>
              </w:rPr>
            </w:pPr>
          </w:p>
        </w:tc>
        <w:tc>
          <w:tcPr>
            <w:tcW w:w="537" w:type="pct"/>
            <w:vMerge/>
            <w:vAlign w:val="center"/>
          </w:tcPr>
          <w:p w14:paraId="08E3382C" w14:textId="77777777" w:rsidR="00202E6A" w:rsidRPr="00A5733E" w:rsidRDefault="00202E6A" w:rsidP="00201343">
            <w:pPr>
              <w:jc w:val="center"/>
              <w:rPr>
                <w:lang w:val="es-ES"/>
              </w:rPr>
            </w:pPr>
          </w:p>
        </w:tc>
        <w:tc>
          <w:tcPr>
            <w:tcW w:w="1071" w:type="pct"/>
            <w:vMerge/>
            <w:vAlign w:val="center"/>
          </w:tcPr>
          <w:p w14:paraId="0FEEB8AB" w14:textId="77777777" w:rsidR="00202E6A" w:rsidRPr="00A5733E" w:rsidRDefault="00202E6A" w:rsidP="00201343">
            <w:pPr>
              <w:jc w:val="center"/>
              <w:rPr>
                <w:lang w:val="es-ES"/>
              </w:rPr>
            </w:pPr>
          </w:p>
        </w:tc>
        <w:tc>
          <w:tcPr>
            <w:tcW w:w="1607" w:type="pct"/>
          </w:tcPr>
          <w:p w14:paraId="542F32F0" w14:textId="77777777" w:rsidR="00202E6A" w:rsidRPr="00A5733E" w:rsidRDefault="00202E6A" w:rsidP="00693161">
            <w:pPr>
              <w:pStyle w:val="Tabletext"/>
              <w:spacing w:after="0"/>
              <w:jc w:val="right"/>
              <w:rPr>
                <w:b/>
                <w:bCs/>
                <w:color w:val="000000" w:themeColor="text1"/>
                <w:sz w:val="18"/>
                <w:szCs w:val="18"/>
                <w:lang w:val="es-ES"/>
              </w:rPr>
            </w:pPr>
            <w:r w:rsidRPr="00A5733E">
              <w:rPr>
                <w:b/>
                <w:bCs/>
                <w:color w:val="000000"/>
                <w:lang w:val="es-ES"/>
              </w:rPr>
              <w:t>Total:</w:t>
            </w:r>
          </w:p>
        </w:tc>
        <w:tc>
          <w:tcPr>
            <w:tcW w:w="895" w:type="pct"/>
          </w:tcPr>
          <w:p w14:paraId="31C21195" w14:textId="77777777" w:rsidR="00202E6A" w:rsidRPr="00A5733E" w:rsidRDefault="00202E6A" w:rsidP="00693161">
            <w:pPr>
              <w:pStyle w:val="Tabletext"/>
              <w:spacing w:after="0"/>
              <w:jc w:val="right"/>
              <w:rPr>
                <w:b/>
                <w:bCs/>
                <w:color w:val="000000" w:themeColor="text1"/>
                <w:sz w:val="18"/>
                <w:szCs w:val="18"/>
                <w:lang w:val="es-ES"/>
              </w:rPr>
            </w:pPr>
            <w:r w:rsidRPr="00A5733E">
              <w:rPr>
                <w:b/>
                <w:bCs/>
                <w:color w:val="000000"/>
                <w:lang w:val="es-ES"/>
              </w:rPr>
              <w:t>25 703</w:t>
            </w:r>
          </w:p>
        </w:tc>
      </w:tr>
      <w:tr w:rsidR="00202E6A" w:rsidRPr="00A5733E" w14:paraId="190DC25B" w14:textId="77777777" w:rsidTr="00693161">
        <w:trPr>
          <w:trHeight w:val="300"/>
        </w:trPr>
        <w:tc>
          <w:tcPr>
            <w:tcW w:w="890" w:type="pct"/>
            <w:vMerge w:val="restart"/>
            <w:vAlign w:val="center"/>
          </w:tcPr>
          <w:p w14:paraId="337A5176" w14:textId="77777777" w:rsidR="00202E6A" w:rsidRPr="00A5733E" w:rsidRDefault="00202E6A" w:rsidP="00201343">
            <w:pPr>
              <w:pStyle w:val="Tabletext"/>
              <w:rPr>
                <w:b/>
                <w:bCs/>
                <w:sz w:val="18"/>
                <w:szCs w:val="18"/>
                <w:lang w:val="es-ES"/>
              </w:rPr>
            </w:pPr>
            <w:r w:rsidRPr="00A5733E">
              <w:rPr>
                <w:b/>
                <w:bCs/>
                <w:color w:val="000000"/>
                <w:lang w:val="es-ES"/>
              </w:rPr>
              <w:t>GT 5A-B-C BR</w:t>
            </w:r>
          </w:p>
        </w:tc>
        <w:tc>
          <w:tcPr>
            <w:tcW w:w="537" w:type="pct"/>
            <w:vMerge w:val="restart"/>
            <w:vAlign w:val="center"/>
          </w:tcPr>
          <w:p w14:paraId="7693E7EB" w14:textId="77777777" w:rsidR="00202E6A" w:rsidRPr="00A5733E" w:rsidRDefault="00202E6A" w:rsidP="00201343">
            <w:pPr>
              <w:pStyle w:val="Tabletext"/>
              <w:jc w:val="center"/>
              <w:rPr>
                <w:sz w:val="18"/>
                <w:szCs w:val="18"/>
                <w:lang w:val="es-ES"/>
              </w:rPr>
            </w:pPr>
            <w:r w:rsidRPr="00A5733E">
              <w:rPr>
                <w:color w:val="000000"/>
                <w:lang w:val="es-ES"/>
              </w:rPr>
              <w:t>10</w:t>
            </w:r>
          </w:p>
        </w:tc>
        <w:tc>
          <w:tcPr>
            <w:tcW w:w="1071" w:type="pct"/>
            <w:vMerge w:val="restart"/>
            <w:vAlign w:val="center"/>
          </w:tcPr>
          <w:p w14:paraId="23350A39" w14:textId="77777777" w:rsidR="00202E6A" w:rsidRPr="00A5733E" w:rsidRDefault="00202E6A" w:rsidP="00201343">
            <w:pPr>
              <w:pStyle w:val="Tabletext"/>
              <w:jc w:val="center"/>
              <w:rPr>
                <w:color w:val="000000" w:themeColor="text1"/>
                <w:sz w:val="18"/>
                <w:szCs w:val="18"/>
                <w:lang w:val="es-ES"/>
              </w:rPr>
            </w:pPr>
            <w:r w:rsidRPr="00A5733E">
              <w:rPr>
                <w:color w:val="000000"/>
                <w:lang w:val="es-ES"/>
              </w:rPr>
              <w:t>1×200, 1×120, 1×80, 1×50, 1×30</w:t>
            </w:r>
          </w:p>
        </w:tc>
        <w:tc>
          <w:tcPr>
            <w:tcW w:w="1607" w:type="pct"/>
          </w:tcPr>
          <w:p w14:paraId="44D5FD41" w14:textId="77777777" w:rsidR="00202E6A" w:rsidRPr="00A5733E" w:rsidRDefault="00202E6A" w:rsidP="00201343">
            <w:pPr>
              <w:pStyle w:val="Tabletext"/>
              <w:rPr>
                <w:sz w:val="18"/>
                <w:szCs w:val="18"/>
                <w:lang w:val="es-ES"/>
              </w:rPr>
            </w:pPr>
            <w:r w:rsidRPr="00A5733E">
              <w:rPr>
                <w:color w:val="000000"/>
                <w:lang w:val="es-ES"/>
              </w:rPr>
              <w:t>Gestión de salas</w:t>
            </w:r>
          </w:p>
        </w:tc>
        <w:tc>
          <w:tcPr>
            <w:tcW w:w="895" w:type="pct"/>
          </w:tcPr>
          <w:p w14:paraId="60618A91" w14:textId="77777777" w:rsidR="00202E6A" w:rsidRPr="00A5733E" w:rsidRDefault="00202E6A" w:rsidP="00201343">
            <w:pPr>
              <w:pStyle w:val="Tabletext"/>
              <w:jc w:val="right"/>
              <w:rPr>
                <w:color w:val="000000" w:themeColor="text1"/>
                <w:sz w:val="18"/>
                <w:szCs w:val="18"/>
                <w:lang w:val="es-ES"/>
              </w:rPr>
            </w:pPr>
            <w:r w:rsidRPr="00A5733E">
              <w:rPr>
                <w:color w:val="000000"/>
                <w:lang w:val="es-ES"/>
              </w:rPr>
              <w:t>10 850</w:t>
            </w:r>
          </w:p>
        </w:tc>
      </w:tr>
      <w:tr w:rsidR="00202E6A" w:rsidRPr="00A5733E" w14:paraId="18648753" w14:textId="77777777" w:rsidTr="00693161">
        <w:trPr>
          <w:trHeight w:val="300"/>
        </w:trPr>
        <w:tc>
          <w:tcPr>
            <w:tcW w:w="890" w:type="pct"/>
            <w:vMerge/>
            <w:vAlign w:val="center"/>
          </w:tcPr>
          <w:p w14:paraId="3FE5E331" w14:textId="77777777" w:rsidR="00202E6A" w:rsidRPr="00A5733E" w:rsidRDefault="00202E6A" w:rsidP="00201343">
            <w:pPr>
              <w:rPr>
                <w:lang w:val="es-ES"/>
              </w:rPr>
            </w:pPr>
          </w:p>
        </w:tc>
        <w:tc>
          <w:tcPr>
            <w:tcW w:w="537" w:type="pct"/>
            <w:vMerge/>
            <w:vAlign w:val="center"/>
          </w:tcPr>
          <w:p w14:paraId="7149A93D" w14:textId="77777777" w:rsidR="00202E6A" w:rsidRPr="00A5733E" w:rsidRDefault="00202E6A" w:rsidP="00201343">
            <w:pPr>
              <w:jc w:val="center"/>
              <w:rPr>
                <w:lang w:val="es-ES"/>
              </w:rPr>
            </w:pPr>
          </w:p>
        </w:tc>
        <w:tc>
          <w:tcPr>
            <w:tcW w:w="1071" w:type="pct"/>
            <w:vMerge/>
            <w:vAlign w:val="center"/>
          </w:tcPr>
          <w:p w14:paraId="31EE6C37" w14:textId="77777777" w:rsidR="00202E6A" w:rsidRPr="00A5733E" w:rsidRDefault="00202E6A" w:rsidP="00201343">
            <w:pPr>
              <w:jc w:val="center"/>
              <w:rPr>
                <w:lang w:val="es-ES"/>
              </w:rPr>
            </w:pPr>
          </w:p>
        </w:tc>
        <w:tc>
          <w:tcPr>
            <w:tcW w:w="1607" w:type="pct"/>
          </w:tcPr>
          <w:p w14:paraId="22BA58EB" w14:textId="77777777" w:rsidR="00202E6A" w:rsidRPr="00A5733E" w:rsidRDefault="00202E6A" w:rsidP="00201343">
            <w:pPr>
              <w:pStyle w:val="Tabletext"/>
              <w:rPr>
                <w:sz w:val="18"/>
                <w:szCs w:val="18"/>
                <w:lang w:val="es-ES"/>
              </w:rPr>
            </w:pPr>
            <w:r w:rsidRPr="00A5733E">
              <w:rPr>
                <w:color w:val="000000"/>
                <w:lang w:val="es-ES"/>
              </w:rPr>
              <w:t>Gestión de instalaciones</w:t>
            </w:r>
          </w:p>
        </w:tc>
        <w:tc>
          <w:tcPr>
            <w:tcW w:w="895" w:type="pct"/>
          </w:tcPr>
          <w:p w14:paraId="61F1E82A" w14:textId="77777777" w:rsidR="00202E6A" w:rsidRPr="00A5733E" w:rsidRDefault="00202E6A" w:rsidP="00201343">
            <w:pPr>
              <w:pStyle w:val="Tabletext"/>
              <w:jc w:val="right"/>
              <w:rPr>
                <w:color w:val="000000" w:themeColor="text1"/>
                <w:sz w:val="18"/>
                <w:szCs w:val="18"/>
                <w:lang w:val="es-ES"/>
              </w:rPr>
            </w:pPr>
            <w:r w:rsidRPr="00A5733E">
              <w:rPr>
                <w:color w:val="000000"/>
                <w:lang w:val="es-ES"/>
              </w:rPr>
              <w:t>11 154</w:t>
            </w:r>
          </w:p>
        </w:tc>
      </w:tr>
      <w:tr w:rsidR="00202E6A" w:rsidRPr="00A5733E" w14:paraId="06A1B5C0" w14:textId="77777777" w:rsidTr="00693161">
        <w:trPr>
          <w:trHeight w:val="300"/>
        </w:trPr>
        <w:tc>
          <w:tcPr>
            <w:tcW w:w="890" w:type="pct"/>
            <w:vMerge/>
            <w:vAlign w:val="center"/>
          </w:tcPr>
          <w:p w14:paraId="63A83C7D" w14:textId="77777777" w:rsidR="00202E6A" w:rsidRPr="00A5733E" w:rsidRDefault="00202E6A" w:rsidP="00201343">
            <w:pPr>
              <w:rPr>
                <w:lang w:val="es-ES"/>
              </w:rPr>
            </w:pPr>
          </w:p>
        </w:tc>
        <w:tc>
          <w:tcPr>
            <w:tcW w:w="537" w:type="pct"/>
            <w:vMerge/>
            <w:vAlign w:val="center"/>
          </w:tcPr>
          <w:p w14:paraId="4825703C" w14:textId="77777777" w:rsidR="00202E6A" w:rsidRPr="00A5733E" w:rsidRDefault="00202E6A" w:rsidP="00201343">
            <w:pPr>
              <w:jc w:val="center"/>
              <w:rPr>
                <w:lang w:val="es-ES"/>
              </w:rPr>
            </w:pPr>
          </w:p>
        </w:tc>
        <w:tc>
          <w:tcPr>
            <w:tcW w:w="1071" w:type="pct"/>
            <w:vMerge/>
            <w:vAlign w:val="center"/>
          </w:tcPr>
          <w:p w14:paraId="5F4F8C0E" w14:textId="77777777" w:rsidR="00202E6A" w:rsidRPr="00A5733E" w:rsidRDefault="00202E6A" w:rsidP="00201343">
            <w:pPr>
              <w:jc w:val="center"/>
              <w:rPr>
                <w:lang w:val="es-ES"/>
              </w:rPr>
            </w:pPr>
          </w:p>
        </w:tc>
        <w:tc>
          <w:tcPr>
            <w:tcW w:w="1607" w:type="pct"/>
          </w:tcPr>
          <w:p w14:paraId="09BCE243" w14:textId="77777777" w:rsidR="00202E6A" w:rsidRPr="00A5733E" w:rsidRDefault="00202E6A" w:rsidP="00201343">
            <w:pPr>
              <w:pStyle w:val="Tabletext"/>
              <w:rPr>
                <w:color w:val="000000" w:themeColor="text1"/>
                <w:sz w:val="18"/>
                <w:szCs w:val="18"/>
                <w:lang w:val="es-ES"/>
              </w:rPr>
            </w:pPr>
            <w:r w:rsidRPr="00A5733E">
              <w:rPr>
                <w:color w:val="000000"/>
                <w:lang w:val="es-ES"/>
              </w:rPr>
              <w:t>Seguridad</w:t>
            </w:r>
          </w:p>
        </w:tc>
        <w:tc>
          <w:tcPr>
            <w:tcW w:w="895" w:type="pct"/>
          </w:tcPr>
          <w:p w14:paraId="2E40CA68" w14:textId="77777777" w:rsidR="00202E6A" w:rsidRPr="00A5733E" w:rsidRDefault="00202E6A" w:rsidP="00201343">
            <w:pPr>
              <w:pStyle w:val="Tabletext"/>
              <w:jc w:val="right"/>
              <w:rPr>
                <w:color w:val="000000" w:themeColor="text1"/>
                <w:sz w:val="18"/>
                <w:szCs w:val="18"/>
                <w:lang w:val="es-ES"/>
              </w:rPr>
            </w:pPr>
            <w:r w:rsidRPr="00A5733E">
              <w:rPr>
                <w:color w:val="000000"/>
                <w:lang w:val="es-ES"/>
              </w:rPr>
              <w:t>0</w:t>
            </w:r>
          </w:p>
        </w:tc>
      </w:tr>
      <w:tr w:rsidR="00202E6A" w:rsidRPr="00A5733E" w14:paraId="0D657778" w14:textId="77777777" w:rsidTr="00693161">
        <w:trPr>
          <w:trHeight w:val="300"/>
        </w:trPr>
        <w:tc>
          <w:tcPr>
            <w:tcW w:w="890" w:type="pct"/>
            <w:vMerge/>
            <w:vAlign w:val="center"/>
          </w:tcPr>
          <w:p w14:paraId="04C6428C" w14:textId="77777777" w:rsidR="00202E6A" w:rsidRPr="00A5733E" w:rsidRDefault="00202E6A" w:rsidP="00201343">
            <w:pPr>
              <w:rPr>
                <w:lang w:val="es-ES"/>
              </w:rPr>
            </w:pPr>
          </w:p>
        </w:tc>
        <w:tc>
          <w:tcPr>
            <w:tcW w:w="537" w:type="pct"/>
            <w:vMerge/>
            <w:vAlign w:val="center"/>
          </w:tcPr>
          <w:p w14:paraId="44F3A663" w14:textId="77777777" w:rsidR="00202E6A" w:rsidRPr="00A5733E" w:rsidRDefault="00202E6A" w:rsidP="00201343">
            <w:pPr>
              <w:jc w:val="center"/>
              <w:rPr>
                <w:lang w:val="es-ES"/>
              </w:rPr>
            </w:pPr>
          </w:p>
        </w:tc>
        <w:tc>
          <w:tcPr>
            <w:tcW w:w="1071" w:type="pct"/>
            <w:vMerge/>
            <w:vAlign w:val="center"/>
          </w:tcPr>
          <w:p w14:paraId="52430047" w14:textId="77777777" w:rsidR="00202E6A" w:rsidRPr="00A5733E" w:rsidRDefault="00202E6A" w:rsidP="00201343">
            <w:pPr>
              <w:jc w:val="center"/>
              <w:rPr>
                <w:lang w:val="es-ES"/>
              </w:rPr>
            </w:pPr>
          </w:p>
        </w:tc>
        <w:tc>
          <w:tcPr>
            <w:tcW w:w="1607" w:type="pct"/>
          </w:tcPr>
          <w:p w14:paraId="6F6E753D" w14:textId="77777777" w:rsidR="00202E6A" w:rsidRPr="00A5733E" w:rsidRDefault="00202E6A" w:rsidP="00201343">
            <w:pPr>
              <w:pStyle w:val="Tabletext"/>
              <w:rPr>
                <w:color w:val="000000" w:themeColor="text1"/>
                <w:sz w:val="18"/>
                <w:szCs w:val="18"/>
                <w:lang w:val="es-ES"/>
              </w:rPr>
            </w:pPr>
            <w:r w:rsidRPr="00A5733E">
              <w:rPr>
                <w:color w:val="000000"/>
                <w:lang w:val="es-ES"/>
              </w:rPr>
              <w:t>Servicio técnico</w:t>
            </w:r>
          </w:p>
        </w:tc>
        <w:tc>
          <w:tcPr>
            <w:tcW w:w="895" w:type="pct"/>
          </w:tcPr>
          <w:p w14:paraId="7B949001" w14:textId="77777777" w:rsidR="00202E6A" w:rsidRPr="00A5733E" w:rsidRDefault="00202E6A" w:rsidP="00201343">
            <w:pPr>
              <w:pStyle w:val="Tabletext"/>
              <w:jc w:val="right"/>
              <w:rPr>
                <w:color w:val="000000" w:themeColor="text1"/>
                <w:sz w:val="18"/>
                <w:szCs w:val="18"/>
                <w:lang w:val="es-ES"/>
              </w:rPr>
            </w:pPr>
            <w:r w:rsidRPr="00A5733E">
              <w:rPr>
                <w:color w:val="000000"/>
                <w:lang w:val="es-ES"/>
              </w:rPr>
              <w:t>24 978</w:t>
            </w:r>
          </w:p>
        </w:tc>
      </w:tr>
      <w:tr w:rsidR="00202E6A" w:rsidRPr="00A5733E" w14:paraId="1DC5B12B" w14:textId="77777777" w:rsidTr="00693161">
        <w:trPr>
          <w:trHeight w:val="300"/>
        </w:trPr>
        <w:tc>
          <w:tcPr>
            <w:tcW w:w="890" w:type="pct"/>
            <w:vMerge/>
            <w:vAlign w:val="center"/>
          </w:tcPr>
          <w:p w14:paraId="08A4E8E0" w14:textId="77777777" w:rsidR="00202E6A" w:rsidRPr="00A5733E" w:rsidRDefault="00202E6A" w:rsidP="00201343">
            <w:pPr>
              <w:rPr>
                <w:lang w:val="es-ES"/>
              </w:rPr>
            </w:pPr>
          </w:p>
        </w:tc>
        <w:tc>
          <w:tcPr>
            <w:tcW w:w="537" w:type="pct"/>
            <w:vMerge/>
            <w:vAlign w:val="center"/>
          </w:tcPr>
          <w:p w14:paraId="39868848" w14:textId="77777777" w:rsidR="00202E6A" w:rsidRPr="00A5733E" w:rsidRDefault="00202E6A" w:rsidP="00201343">
            <w:pPr>
              <w:jc w:val="center"/>
              <w:rPr>
                <w:lang w:val="es-ES"/>
              </w:rPr>
            </w:pPr>
          </w:p>
        </w:tc>
        <w:tc>
          <w:tcPr>
            <w:tcW w:w="1071" w:type="pct"/>
            <w:vMerge/>
            <w:vAlign w:val="center"/>
          </w:tcPr>
          <w:p w14:paraId="792700C1" w14:textId="77777777" w:rsidR="00202E6A" w:rsidRPr="00A5733E" w:rsidRDefault="00202E6A" w:rsidP="00201343">
            <w:pPr>
              <w:jc w:val="center"/>
              <w:rPr>
                <w:lang w:val="es-ES"/>
              </w:rPr>
            </w:pPr>
          </w:p>
        </w:tc>
        <w:tc>
          <w:tcPr>
            <w:tcW w:w="1607" w:type="pct"/>
          </w:tcPr>
          <w:p w14:paraId="6854DAB5" w14:textId="77777777" w:rsidR="00202E6A" w:rsidRPr="00A5733E" w:rsidRDefault="00202E6A" w:rsidP="00693161">
            <w:pPr>
              <w:pStyle w:val="Tabletext"/>
              <w:spacing w:after="0"/>
              <w:rPr>
                <w:color w:val="000000" w:themeColor="text1"/>
                <w:sz w:val="18"/>
                <w:szCs w:val="18"/>
                <w:lang w:val="es-ES"/>
              </w:rPr>
            </w:pPr>
            <w:r w:rsidRPr="00A5733E">
              <w:rPr>
                <w:b/>
                <w:bCs/>
                <w:color w:val="000000"/>
                <w:lang w:val="es-ES"/>
              </w:rPr>
              <w:t>Total:</w:t>
            </w:r>
          </w:p>
        </w:tc>
        <w:tc>
          <w:tcPr>
            <w:tcW w:w="895" w:type="pct"/>
          </w:tcPr>
          <w:p w14:paraId="1A572F7E" w14:textId="77777777" w:rsidR="00202E6A" w:rsidRPr="00A5733E" w:rsidRDefault="00202E6A" w:rsidP="00693161">
            <w:pPr>
              <w:pStyle w:val="Tabletext"/>
              <w:spacing w:after="0"/>
              <w:jc w:val="right"/>
              <w:rPr>
                <w:b/>
                <w:bCs/>
                <w:color w:val="000000" w:themeColor="text1"/>
                <w:sz w:val="18"/>
                <w:szCs w:val="18"/>
                <w:lang w:val="es-ES"/>
              </w:rPr>
            </w:pPr>
            <w:r w:rsidRPr="00A5733E">
              <w:rPr>
                <w:b/>
                <w:bCs/>
                <w:color w:val="000000"/>
                <w:lang w:val="es-ES"/>
              </w:rPr>
              <w:t>46 982</w:t>
            </w:r>
          </w:p>
        </w:tc>
      </w:tr>
      <w:tr w:rsidR="00202E6A" w:rsidRPr="00A5733E" w14:paraId="4CB9C8E0" w14:textId="77777777" w:rsidTr="00693161">
        <w:trPr>
          <w:trHeight w:val="300"/>
        </w:trPr>
        <w:tc>
          <w:tcPr>
            <w:tcW w:w="890" w:type="pct"/>
            <w:vMerge w:val="restart"/>
            <w:vAlign w:val="center"/>
          </w:tcPr>
          <w:p w14:paraId="442A8188" w14:textId="77777777" w:rsidR="00202E6A" w:rsidRPr="00A5733E" w:rsidRDefault="00202E6A" w:rsidP="00201343">
            <w:pPr>
              <w:pStyle w:val="Tabletext"/>
              <w:rPr>
                <w:b/>
                <w:bCs/>
                <w:sz w:val="18"/>
                <w:szCs w:val="18"/>
                <w:lang w:val="es-ES"/>
              </w:rPr>
            </w:pPr>
            <w:r w:rsidRPr="00A5733E">
              <w:rPr>
                <w:b/>
                <w:bCs/>
                <w:color w:val="000000"/>
                <w:lang w:val="es-ES"/>
              </w:rPr>
              <w:t>CE 17 TSB</w:t>
            </w:r>
          </w:p>
        </w:tc>
        <w:tc>
          <w:tcPr>
            <w:tcW w:w="537" w:type="pct"/>
            <w:vMerge w:val="restart"/>
            <w:vAlign w:val="center"/>
          </w:tcPr>
          <w:p w14:paraId="2DB8201D" w14:textId="77777777" w:rsidR="00202E6A" w:rsidRPr="00A5733E" w:rsidRDefault="00202E6A" w:rsidP="00201343">
            <w:pPr>
              <w:pStyle w:val="Tabletext"/>
              <w:jc w:val="center"/>
              <w:rPr>
                <w:sz w:val="18"/>
                <w:szCs w:val="18"/>
                <w:lang w:val="es-ES"/>
              </w:rPr>
            </w:pPr>
            <w:r w:rsidRPr="00A5733E">
              <w:rPr>
                <w:color w:val="000000"/>
                <w:lang w:val="es-ES"/>
              </w:rPr>
              <w:t>10</w:t>
            </w:r>
          </w:p>
        </w:tc>
        <w:tc>
          <w:tcPr>
            <w:tcW w:w="1071" w:type="pct"/>
            <w:vMerge w:val="restart"/>
            <w:vAlign w:val="center"/>
          </w:tcPr>
          <w:p w14:paraId="0BB4CCFC" w14:textId="77777777" w:rsidR="00202E6A" w:rsidRPr="00A5733E" w:rsidRDefault="00202E6A" w:rsidP="00201343">
            <w:pPr>
              <w:pStyle w:val="Tabletext"/>
              <w:jc w:val="center"/>
              <w:rPr>
                <w:color w:val="000000" w:themeColor="text1"/>
                <w:sz w:val="18"/>
                <w:szCs w:val="18"/>
                <w:lang w:val="es-ES"/>
              </w:rPr>
            </w:pPr>
            <w:r w:rsidRPr="00A5733E">
              <w:rPr>
                <w:color w:val="000000"/>
                <w:lang w:val="es-ES"/>
              </w:rPr>
              <w:t>1×200, 2×50, 1×30, 3×20, 3×15</w:t>
            </w:r>
          </w:p>
        </w:tc>
        <w:tc>
          <w:tcPr>
            <w:tcW w:w="1607" w:type="pct"/>
          </w:tcPr>
          <w:p w14:paraId="322887DC" w14:textId="77777777" w:rsidR="00202E6A" w:rsidRPr="00A5733E" w:rsidRDefault="00202E6A" w:rsidP="00201343">
            <w:pPr>
              <w:pStyle w:val="Tabletext"/>
              <w:rPr>
                <w:sz w:val="18"/>
                <w:szCs w:val="18"/>
                <w:lang w:val="es-ES"/>
              </w:rPr>
            </w:pPr>
            <w:r w:rsidRPr="00A5733E">
              <w:rPr>
                <w:color w:val="000000"/>
                <w:lang w:val="es-ES"/>
              </w:rPr>
              <w:t>Gestión de salas</w:t>
            </w:r>
          </w:p>
        </w:tc>
        <w:tc>
          <w:tcPr>
            <w:tcW w:w="895" w:type="pct"/>
          </w:tcPr>
          <w:p w14:paraId="57F0D21F" w14:textId="77777777" w:rsidR="00202E6A" w:rsidRPr="00A5733E" w:rsidRDefault="00202E6A" w:rsidP="00201343">
            <w:pPr>
              <w:pStyle w:val="Tabletext"/>
              <w:jc w:val="right"/>
              <w:rPr>
                <w:color w:val="000000" w:themeColor="text1"/>
                <w:sz w:val="18"/>
                <w:szCs w:val="18"/>
                <w:lang w:val="es-ES"/>
              </w:rPr>
            </w:pPr>
            <w:r w:rsidRPr="00A5733E">
              <w:rPr>
                <w:color w:val="000000"/>
                <w:lang w:val="es-ES"/>
              </w:rPr>
              <w:t>3 930</w:t>
            </w:r>
          </w:p>
        </w:tc>
      </w:tr>
      <w:tr w:rsidR="00202E6A" w:rsidRPr="00A5733E" w14:paraId="4CE6F536" w14:textId="77777777" w:rsidTr="00693161">
        <w:trPr>
          <w:trHeight w:val="300"/>
        </w:trPr>
        <w:tc>
          <w:tcPr>
            <w:tcW w:w="890" w:type="pct"/>
            <w:vMerge/>
            <w:vAlign w:val="center"/>
          </w:tcPr>
          <w:p w14:paraId="0E5C1C82" w14:textId="77777777" w:rsidR="00202E6A" w:rsidRPr="00A5733E" w:rsidRDefault="00202E6A" w:rsidP="00201343">
            <w:pPr>
              <w:rPr>
                <w:lang w:val="es-ES"/>
              </w:rPr>
            </w:pPr>
          </w:p>
        </w:tc>
        <w:tc>
          <w:tcPr>
            <w:tcW w:w="537" w:type="pct"/>
            <w:vMerge/>
            <w:vAlign w:val="center"/>
          </w:tcPr>
          <w:p w14:paraId="7EBE669D" w14:textId="77777777" w:rsidR="00202E6A" w:rsidRPr="00A5733E" w:rsidRDefault="00202E6A" w:rsidP="00201343">
            <w:pPr>
              <w:jc w:val="center"/>
              <w:rPr>
                <w:lang w:val="es-ES"/>
              </w:rPr>
            </w:pPr>
          </w:p>
        </w:tc>
        <w:tc>
          <w:tcPr>
            <w:tcW w:w="1071" w:type="pct"/>
            <w:vMerge/>
            <w:vAlign w:val="center"/>
          </w:tcPr>
          <w:p w14:paraId="6973887F" w14:textId="77777777" w:rsidR="00202E6A" w:rsidRPr="00A5733E" w:rsidRDefault="00202E6A" w:rsidP="00201343">
            <w:pPr>
              <w:jc w:val="center"/>
              <w:rPr>
                <w:lang w:val="es-ES"/>
              </w:rPr>
            </w:pPr>
          </w:p>
        </w:tc>
        <w:tc>
          <w:tcPr>
            <w:tcW w:w="1607" w:type="pct"/>
          </w:tcPr>
          <w:p w14:paraId="10486CE5" w14:textId="77777777" w:rsidR="00202E6A" w:rsidRPr="00A5733E" w:rsidRDefault="00202E6A" w:rsidP="00201343">
            <w:pPr>
              <w:pStyle w:val="Tabletext"/>
              <w:rPr>
                <w:sz w:val="18"/>
                <w:szCs w:val="18"/>
                <w:lang w:val="es-ES"/>
              </w:rPr>
            </w:pPr>
            <w:r w:rsidRPr="00A5733E">
              <w:rPr>
                <w:color w:val="000000"/>
                <w:lang w:val="es-ES"/>
              </w:rPr>
              <w:t>Gestión de instalaciones</w:t>
            </w:r>
          </w:p>
        </w:tc>
        <w:tc>
          <w:tcPr>
            <w:tcW w:w="895" w:type="pct"/>
          </w:tcPr>
          <w:p w14:paraId="4586513A" w14:textId="77777777" w:rsidR="00202E6A" w:rsidRPr="00A5733E" w:rsidRDefault="00202E6A" w:rsidP="00201343">
            <w:pPr>
              <w:pStyle w:val="Tabletext"/>
              <w:jc w:val="right"/>
              <w:rPr>
                <w:color w:val="000000" w:themeColor="text1"/>
                <w:sz w:val="18"/>
                <w:szCs w:val="18"/>
                <w:lang w:val="es-ES"/>
              </w:rPr>
            </w:pPr>
            <w:r w:rsidRPr="00A5733E">
              <w:rPr>
                <w:color w:val="000000"/>
                <w:lang w:val="es-ES"/>
              </w:rPr>
              <w:t>13 278</w:t>
            </w:r>
          </w:p>
        </w:tc>
      </w:tr>
      <w:tr w:rsidR="00202E6A" w:rsidRPr="00A5733E" w14:paraId="00F08871" w14:textId="77777777" w:rsidTr="00693161">
        <w:trPr>
          <w:trHeight w:val="300"/>
        </w:trPr>
        <w:tc>
          <w:tcPr>
            <w:tcW w:w="890" w:type="pct"/>
            <w:vMerge/>
            <w:vAlign w:val="center"/>
          </w:tcPr>
          <w:p w14:paraId="5359FBF9" w14:textId="77777777" w:rsidR="00202E6A" w:rsidRPr="00A5733E" w:rsidRDefault="00202E6A" w:rsidP="00201343">
            <w:pPr>
              <w:rPr>
                <w:lang w:val="es-ES"/>
              </w:rPr>
            </w:pPr>
          </w:p>
        </w:tc>
        <w:tc>
          <w:tcPr>
            <w:tcW w:w="537" w:type="pct"/>
            <w:vMerge/>
            <w:vAlign w:val="center"/>
          </w:tcPr>
          <w:p w14:paraId="3E2453C0" w14:textId="77777777" w:rsidR="00202E6A" w:rsidRPr="00A5733E" w:rsidRDefault="00202E6A" w:rsidP="00201343">
            <w:pPr>
              <w:jc w:val="center"/>
              <w:rPr>
                <w:lang w:val="es-ES"/>
              </w:rPr>
            </w:pPr>
          </w:p>
        </w:tc>
        <w:tc>
          <w:tcPr>
            <w:tcW w:w="1071" w:type="pct"/>
            <w:vMerge/>
            <w:vAlign w:val="center"/>
          </w:tcPr>
          <w:p w14:paraId="12ADD3DB" w14:textId="77777777" w:rsidR="00202E6A" w:rsidRPr="00A5733E" w:rsidRDefault="00202E6A" w:rsidP="00201343">
            <w:pPr>
              <w:jc w:val="center"/>
              <w:rPr>
                <w:lang w:val="es-ES"/>
              </w:rPr>
            </w:pPr>
          </w:p>
        </w:tc>
        <w:tc>
          <w:tcPr>
            <w:tcW w:w="1607" w:type="pct"/>
          </w:tcPr>
          <w:p w14:paraId="31A529A3" w14:textId="77777777" w:rsidR="00202E6A" w:rsidRPr="00A5733E" w:rsidRDefault="00202E6A" w:rsidP="00201343">
            <w:pPr>
              <w:pStyle w:val="Tabletext"/>
              <w:rPr>
                <w:color w:val="000000" w:themeColor="text1"/>
                <w:sz w:val="18"/>
                <w:szCs w:val="18"/>
                <w:lang w:val="es-ES"/>
              </w:rPr>
            </w:pPr>
            <w:r w:rsidRPr="00A5733E">
              <w:rPr>
                <w:color w:val="000000"/>
                <w:lang w:val="es-ES"/>
              </w:rPr>
              <w:t>Seguridad</w:t>
            </w:r>
          </w:p>
        </w:tc>
        <w:tc>
          <w:tcPr>
            <w:tcW w:w="895" w:type="pct"/>
          </w:tcPr>
          <w:p w14:paraId="283B2B15" w14:textId="77777777" w:rsidR="00202E6A" w:rsidRPr="00A5733E" w:rsidRDefault="00202E6A" w:rsidP="00201343">
            <w:pPr>
              <w:pStyle w:val="Tabletext"/>
              <w:jc w:val="right"/>
              <w:rPr>
                <w:color w:val="000000" w:themeColor="text1"/>
                <w:sz w:val="18"/>
                <w:szCs w:val="18"/>
                <w:lang w:val="es-ES"/>
              </w:rPr>
            </w:pPr>
            <w:r w:rsidRPr="00A5733E">
              <w:rPr>
                <w:color w:val="000000"/>
                <w:lang w:val="es-ES"/>
              </w:rPr>
              <w:t>0</w:t>
            </w:r>
          </w:p>
        </w:tc>
      </w:tr>
      <w:tr w:rsidR="00202E6A" w:rsidRPr="00A5733E" w14:paraId="18DADB9E" w14:textId="77777777" w:rsidTr="00693161">
        <w:trPr>
          <w:trHeight w:val="300"/>
        </w:trPr>
        <w:tc>
          <w:tcPr>
            <w:tcW w:w="890" w:type="pct"/>
            <w:vMerge/>
            <w:vAlign w:val="center"/>
          </w:tcPr>
          <w:p w14:paraId="26AF194A" w14:textId="77777777" w:rsidR="00202E6A" w:rsidRPr="00A5733E" w:rsidRDefault="00202E6A" w:rsidP="00201343">
            <w:pPr>
              <w:rPr>
                <w:lang w:val="es-ES"/>
              </w:rPr>
            </w:pPr>
          </w:p>
        </w:tc>
        <w:tc>
          <w:tcPr>
            <w:tcW w:w="537" w:type="pct"/>
            <w:vMerge/>
            <w:vAlign w:val="center"/>
          </w:tcPr>
          <w:p w14:paraId="2669F53E" w14:textId="77777777" w:rsidR="00202E6A" w:rsidRPr="00A5733E" w:rsidRDefault="00202E6A" w:rsidP="00201343">
            <w:pPr>
              <w:jc w:val="center"/>
              <w:rPr>
                <w:lang w:val="es-ES"/>
              </w:rPr>
            </w:pPr>
          </w:p>
        </w:tc>
        <w:tc>
          <w:tcPr>
            <w:tcW w:w="1071" w:type="pct"/>
            <w:vMerge/>
            <w:vAlign w:val="center"/>
          </w:tcPr>
          <w:p w14:paraId="49F203D5" w14:textId="77777777" w:rsidR="00202E6A" w:rsidRPr="00A5733E" w:rsidRDefault="00202E6A" w:rsidP="00201343">
            <w:pPr>
              <w:jc w:val="center"/>
              <w:rPr>
                <w:lang w:val="es-ES"/>
              </w:rPr>
            </w:pPr>
          </w:p>
        </w:tc>
        <w:tc>
          <w:tcPr>
            <w:tcW w:w="1607" w:type="pct"/>
          </w:tcPr>
          <w:p w14:paraId="6489DC54" w14:textId="77777777" w:rsidR="00202E6A" w:rsidRPr="00A5733E" w:rsidRDefault="00202E6A" w:rsidP="00201343">
            <w:pPr>
              <w:pStyle w:val="Tabletext"/>
              <w:rPr>
                <w:color w:val="000000" w:themeColor="text1"/>
                <w:sz w:val="18"/>
                <w:szCs w:val="18"/>
                <w:lang w:val="es-ES"/>
              </w:rPr>
            </w:pPr>
            <w:r w:rsidRPr="00A5733E">
              <w:rPr>
                <w:color w:val="000000"/>
                <w:lang w:val="es-ES"/>
              </w:rPr>
              <w:t>Servicio técnico</w:t>
            </w:r>
          </w:p>
        </w:tc>
        <w:tc>
          <w:tcPr>
            <w:tcW w:w="895" w:type="pct"/>
          </w:tcPr>
          <w:p w14:paraId="17D671DD" w14:textId="77777777" w:rsidR="00202E6A" w:rsidRPr="00A5733E" w:rsidRDefault="00202E6A" w:rsidP="00201343">
            <w:pPr>
              <w:pStyle w:val="Tabletext"/>
              <w:jc w:val="right"/>
              <w:rPr>
                <w:color w:val="000000" w:themeColor="text1"/>
                <w:sz w:val="18"/>
                <w:szCs w:val="18"/>
                <w:lang w:val="es-ES"/>
              </w:rPr>
            </w:pPr>
            <w:r w:rsidRPr="00A5733E">
              <w:rPr>
                <w:color w:val="000000"/>
                <w:lang w:val="es-ES"/>
              </w:rPr>
              <w:t>26 850</w:t>
            </w:r>
          </w:p>
        </w:tc>
      </w:tr>
      <w:tr w:rsidR="00202E6A" w:rsidRPr="00A5733E" w14:paraId="5C18B2CD" w14:textId="77777777" w:rsidTr="00693161">
        <w:trPr>
          <w:trHeight w:val="300"/>
        </w:trPr>
        <w:tc>
          <w:tcPr>
            <w:tcW w:w="890" w:type="pct"/>
            <w:vMerge/>
            <w:vAlign w:val="center"/>
          </w:tcPr>
          <w:p w14:paraId="1F27F5F2" w14:textId="77777777" w:rsidR="00202E6A" w:rsidRPr="00A5733E" w:rsidRDefault="00202E6A" w:rsidP="00201343">
            <w:pPr>
              <w:rPr>
                <w:lang w:val="es-ES"/>
              </w:rPr>
            </w:pPr>
          </w:p>
        </w:tc>
        <w:tc>
          <w:tcPr>
            <w:tcW w:w="537" w:type="pct"/>
            <w:vMerge/>
            <w:vAlign w:val="center"/>
          </w:tcPr>
          <w:p w14:paraId="5B130B92" w14:textId="77777777" w:rsidR="00202E6A" w:rsidRPr="00A5733E" w:rsidRDefault="00202E6A" w:rsidP="00201343">
            <w:pPr>
              <w:jc w:val="center"/>
              <w:rPr>
                <w:lang w:val="es-ES"/>
              </w:rPr>
            </w:pPr>
          </w:p>
        </w:tc>
        <w:tc>
          <w:tcPr>
            <w:tcW w:w="1071" w:type="pct"/>
            <w:vMerge/>
            <w:vAlign w:val="center"/>
          </w:tcPr>
          <w:p w14:paraId="04AFC4E6" w14:textId="77777777" w:rsidR="00202E6A" w:rsidRPr="00A5733E" w:rsidRDefault="00202E6A" w:rsidP="00201343">
            <w:pPr>
              <w:jc w:val="center"/>
              <w:rPr>
                <w:lang w:val="es-ES"/>
              </w:rPr>
            </w:pPr>
          </w:p>
        </w:tc>
        <w:tc>
          <w:tcPr>
            <w:tcW w:w="1607" w:type="pct"/>
          </w:tcPr>
          <w:p w14:paraId="66214B66" w14:textId="77777777" w:rsidR="00202E6A" w:rsidRPr="00A5733E" w:rsidRDefault="00202E6A" w:rsidP="00693161">
            <w:pPr>
              <w:pStyle w:val="Tabletext"/>
              <w:spacing w:after="0"/>
              <w:jc w:val="right"/>
              <w:rPr>
                <w:b/>
                <w:bCs/>
                <w:color w:val="000000" w:themeColor="text1"/>
                <w:sz w:val="18"/>
                <w:szCs w:val="18"/>
                <w:lang w:val="es-ES"/>
              </w:rPr>
            </w:pPr>
            <w:r w:rsidRPr="00A5733E">
              <w:rPr>
                <w:b/>
                <w:bCs/>
                <w:color w:val="000000"/>
                <w:lang w:val="es-ES"/>
              </w:rPr>
              <w:t>Total:</w:t>
            </w:r>
          </w:p>
        </w:tc>
        <w:tc>
          <w:tcPr>
            <w:tcW w:w="895" w:type="pct"/>
          </w:tcPr>
          <w:p w14:paraId="26566977" w14:textId="77777777" w:rsidR="00202E6A" w:rsidRPr="00A5733E" w:rsidRDefault="00202E6A" w:rsidP="00693161">
            <w:pPr>
              <w:pStyle w:val="Tabletext"/>
              <w:spacing w:after="0"/>
              <w:jc w:val="right"/>
              <w:rPr>
                <w:b/>
                <w:bCs/>
                <w:color w:val="000000" w:themeColor="text1"/>
                <w:sz w:val="18"/>
                <w:szCs w:val="18"/>
                <w:lang w:val="es-ES"/>
              </w:rPr>
            </w:pPr>
            <w:r w:rsidRPr="00A5733E">
              <w:rPr>
                <w:b/>
                <w:bCs/>
                <w:color w:val="000000"/>
                <w:lang w:val="es-ES"/>
              </w:rPr>
              <w:t>44 058</w:t>
            </w:r>
          </w:p>
        </w:tc>
      </w:tr>
      <w:tr w:rsidR="00202E6A" w:rsidRPr="00A5733E" w14:paraId="63EDF94B" w14:textId="77777777" w:rsidTr="00693161">
        <w:trPr>
          <w:trHeight w:val="300"/>
        </w:trPr>
        <w:tc>
          <w:tcPr>
            <w:tcW w:w="890" w:type="pct"/>
            <w:vMerge w:val="restart"/>
            <w:vAlign w:val="center"/>
          </w:tcPr>
          <w:p w14:paraId="3A9041A2" w14:textId="77777777" w:rsidR="00202E6A" w:rsidRPr="00A5733E" w:rsidRDefault="00202E6A" w:rsidP="00201343">
            <w:pPr>
              <w:pStyle w:val="Tabletext"/>
              <w:keepNext/>
              <w:keepLines/>
              <w:rPr>
                <w:b/>
                <w:bCs/>
                <w:sz w:val="18"/>
                <w:szCs w:val="18"/>
                <w:lang w:val="es-ES"/>
              </w:rPr>
            </w:pPr>
            <w:r w:rsidRPr="00A5733E">
              <w:rPr>
                <w:b/>
                <w:bCs/>
                <w:color w:val="000000"/>
                <w:lang w:val="es-ES"/>
              </w:rPr>
              <w:lastRenderedPageBreak/>
              <w:t>CE 1&amp;2 BDT</w:t>
            </w:r>
          </w:p>
        </w:tc>
        <w:tc>
          <w:tcPr>
            <w:tcW w:w="537" w:type="pct"/>
            <w:vMerge w:val="restart"/>
            <w:vAlign w:val="center"/>
          </w:tcPr>
          <w:p w14:paraId="4B32B18D" w14:textId="77777777" w:rsidR="00202E6A" w:rsidRPr="00A5733E" w:rsidRDefault="00202E6A" w:rsidP="00201343">
            <w:pPr>
              <w:pStyle w:val="Tabletext"/>
              <w:keepNext/>
              <w:keepLines/>
              <w:jc w:val="center"/>
              <w:rPr>
                <w:sz w:val="18"/>
                <w:szCs w:val="18"/>
                <w:lang w:val="es-ES"/>
              </w:rPr>
            </w:pPr>
            <w:r w:rsidRPr="00A5733E">
              <w:rPr>
                <w:color w:val="000000"/>
                <w:lang w:val="es-ES"/>
              </w:rPr>
              <w:t>10</w:t>
            </w:r>
          </w:p>
        </w:tc>
        <w:tc>
          <w:tcPr>
            <w:tcW w:w="1071" w:type="pct"/>
            <w:vMerge w:val="restart"/>
            <w:vAlign w:val="center"/>
          </w:tcPr>
          <w:p w14:paraId="72D255EC" w14:textId="77777777" w:rsidR="00202E6A" w:rsidRPr="00A5733E" w:rsidRDefault="00202E6A" w:rsidP="00201343">
            <w:pPr>
              <w:pStyle w:val="Tabletext"/>
              <w:keepNext/>
              <w:keepLines/>
              <w:jc w:val="center"/>
              <w:rPr>
                <w:color w:val="000000" w:themeColor="text1"/>
                <w:sz w:val="18"/>
                <w:szCs w:val="18"/>
                <w:lang w:val="es-ES"/>
              </w:rPr>
            </w:pPr>
            <w:r w:rsidRPr="00A5733E">
              <w:rPr>
                <w:color w:val="000000"/>
                <w:lang w:val="es-ES"/>
              </w:rPr>
              <w:t>1×250, 1×30</w:t>
            </w:r>
          </w:p>
        </w:tc>
        <w:tc>
          <w:tcPr>
            <w:tcW w:w="1607" w:type="pct"/>
          </w:tcPr>
          <w:p w14:paraId="0A372790" w14:textId="77777777" w:rsidR="00202E6A" w:rsidRPr="00A5733E" w:rsidRDefault="00202E6A" w:rsidP="00201343">
            <w:pPr>
              <w:pStyle w:val="Tabletext"/>
              <w:keepNext/>
              <w:keepLines/>
              <w:rPr>
                <w:sz w:val="18"/>
                <w:szCs w:val="18"/>
                <w:lang w:val="es-ES"/>
              </w:rPr>
            </w:pPr>
            <w:r w:rsidRPr="00A5733E">
              <w:rPr>
                <w:color w:val="000000"/>
                <w:lang w:val="es-ES"/>
              </w:rPr>
              <w:t>Gestión de salas</w:t>
            </w:r>
          </w:p>
        </w:tc>
        <w:tc>
          <w:tcPr>
            <w:tcW w:w="895" w:type="pct"/>
          </w:tcPr>
          <w:p w14:paraId="00F5774A" w14:textId="77777777" w:rsidR="00202E6A" w:rsidRPr="00A5733E" w:rsidRDefault="00202E6A" w:rsidP="00201343">
            <w:pPr>
              <w:pStyle w:val="Tabletext"/>
              <w:keepNext/>
              <w:keepLines/>
              <w:jc w:val="right"/>
              <w:rPr>
                <w:color w:val="000000" w:themeColor="text1"/>
                <w:sz w:val="18"/>
                <w:szCs w:val="18"/>
                <w:lang w:val="es-ES"/>
              </w:rPr>
            </w:pPr>
            <w:r w:rsidRPr="00A5733E">
              <w:rPr>
                <w:color w:val="000000"/>
                <w:lang w:val="es-ES"/>
              </w:rPr>
              <w:t>11 050</w:t>
            </w:r>
          </w:p>
        </w:tc>
      </w:tr>
      <w:tr w:rsidR="00202E6A" w:rsidRPr="00A5733E" w14:paraId="794C2CD1" w14:textId="77777777" w:rsidTr="00693161">
        <w:trPr>
          <w:trHeight w:val="300"/>
        </w:trPr>
        <w:tc>
          <w:tcPr>
            <w:tcW w:w="890" w:type="pct"/>
            <w:vMerge/>
          </w:tcPr>
          <w:p w14:paraId="3B81A0EB" w14:textId="77777777" w:rsidR="00202E6A" w:rsidRPr="00A5733E" w:rsidRDefault="00202E6A" w:rsidP="00201343">
            <w:pPr>
              <w:keepNext/>
              <w:keepLines/>
              <w:rPr>
                <w:lang w:val="es-ES"/>
              </w:rPr>
            </w:pPr>
          </w:p>
        </w:tc>
        <w:tc>
          <w:tcPr>
            <w:tcW w:w="537" w:type="pct"/>
            <w:vMerge/>
          </w:tcPr>
          <w:p w14:paraId="7707212C" w14:textId="77777777" w:rsidR="00202E6A" w:rsidRPr="00A5733E" w:rsidRDefault="00202E6A" w:rsidP="00201343">
            <w:pPr>
              <w:keepNext/>
              <w:keepLines/>
              <w:jc w:val="center"/>
              <w:rPr>
                <w:lang w:val="es-ES"/>
              </w:rPr>
            </w:pPr>
          </w:p>
        </w:tc>
        <w:tc>
          <w:tcPr>
            <w:tcW w:w="1071" w:type="pct"/>
            <w:vMerge/>
          </w:tcPr>
          <w:p w14:paraId="679091F6" w14:textId="77777777" w:rsidR="00202E6A" w:rsidRPr="00A5733E" w:rsidRDefault="00202E6A" w:rsidP="00201343">
            <w:pPr>
              <w:keepNext/>
              <w:keepLines/>
              <w:jc w:val="center"/>
              <w:rPr>
                <w:lang w:val="es-ES"/>
              </w:rPr>
            </w:pPr>
          </w:p>
        </w:tc>
        <w:tc>
          <w:tcPr>
            <w:tcW w:w="1607" w:type="pct"/>
          </w:tcPr>
          <w:p w14:paraId="303C89AC" w14:textId="77777777" w:rsidR="00202E6A" w:rsidRPr="00A5733E" w:rsidRDefault="00202E6A" w:rsidP="00201343">
            <w:pPr>
              <w:pStyle w:val="Tabletext"/>
              <w:keepNext/>
              <w:keepLines/>
              <w:rPr>
                <w:sz w:val="18"/>
                <w:szCs w:val="18"/>
                <w:lang w:val="es-ES"/>
              </w:rPr>
            </w:pPr>
            <w:r w:rsidRPr="00A5733E">
              <w:rPr>
                <w:color w:val="000000"/>
                <w:lang w:val="es-ES"/>
              </w:rPr>
              <w:t>Gestión de instalaciones</w:t>
            </w:r>
          </w:p>
        </w:tc>
        <w:tc>
          <w:tcPr>
            <w:tcW w:w="895" w:type="pct"/>
          </w:tcPr>
          <w:p w14:paraId="1D7A5644" w14:textId="77777777" w:rsidR="00202E6A" w:rsidRPr="00A5733E" w:rsidRDefault="00202E6A" w:rsidP="00201343">
            <w:pPr>
              <w:pStyle w:val="Tabletext"/>
              <w:keepNext/>
              <w:keepLines/>
              <w:jc w:val="right"/>
              <w:rPr>
                <w:color w:val="000000" w:themeColor="text1"/>
                <w:sz w:val="18"/>
                <w:szCs w:val="18"/>
                <w:lang w:val="es-ES"/>
              </w:rPr>
            </w:pPr>
            <w:r w:rsidRPr="00A5733E">
              <w:rPr>
                <w:color w:val="000000"/>
                <w:lang w:val="es-ES"/>
              </w:rPr>
              <w:t>5 268</w:t>
            </w:r>
          </w:p>
        </w:tc>
      </w:tr>
      <w:tr w:rsidR="00202E6A" w:rsidRPr="00A5733E" w14:paraId="12BCA4E0" w14:textId="77777777" w:rsidTr="00693161">
        <w:trPr>
          <w:trHeight w:val="300"/>
        </w:trPr>
        <w:tc>
          <w:tcPr>
            <w:tcW w:w="890" w:type="pct"/>
            <w:vMerge/>
          </w:tcPr>
          <w:p w14:paraId="7A603E04" w14:textId="77777777" w:rsidR="00202E6A" w:rsidRPr="00A5733E" w:rsidRDefault="00202E6A" w:rsidP="00201343">
            <w:pPr>
              <w:keepNext/>
              <w:keepLines/>
              <w:rPr>
                <w:lang w:val="es-ES"/>
              </w:rPr>
            </w:pPr>
          </w:p>
        </w:tc>
        <w:tc>
          <w:tcPr>
            <w:tcW w:w="537" w:type="pct"/>
            <w:vMerge/>
          </w:tcPr>
          <w:p w14:paraId="59381577" w14:textId="77777777" w:rsidR="00202E6A" w:rsidRPr="00A5733E" w:rsidRDefault="00202E6A" w:rsidP="00201343">
            <w:pPr>
              <w:keepNext/>
              <w:keepLines/>
              <w:jc w:val="center"/>
              <w:rPr>
                <w:lang w:val="es-ES"/>
              </w:rPr>
            </w:pPr>
          </w:p>
        </w:tc>
        <w:tc>
          <w:tcPr>
            <w:tcW w:w="1071" w:type="pct"/>
            <w:vMerge/>
          </w:tcPr>
          <w:p w14:paraId="579C535D" w14:textId="77777777" w:rsidR="00202E6A" w:rsidRPr="00A5733E" w:rsidRDefault="00202E6A" w:rsidP="00201343">
            <w:pPr>
              <w:keepNext/>
              <w:keepLines/>
              <w:jc w:val="center"/>
              <w:rPr>
                <w:lang w:val="es-ES"/>
              </w:rPr>
            </w:pPr>
          </w:p>
        </w:tc>
        <w:tc>
          <w:tcPr>
            <w:tcW w:w="1607" w:type="pct"/>
          </w:tcPr>
          <w:p w14:paraId="23370E86" w14:textId="77777777" w:rsidR="00202E6A" w:rsidRPr="00A5733E" w:rsidRDefault="00202E6A" w:rsidP="00201343">
            <w:pPr>
              <w:pStyle w:val="Tabletext"/>
              <w:keepNext/>
              <w:keepLines/>
              <w:rPr>
                <w:color w:val="000000" w:themeColor="text1"/>
                <w:sz w:val="18"/>
                <w:szCs w:val="18"/>
                <w:lang w:val="es-ES"/>
              </w:rPr>
            </w:pPr>
            <w:r w:rsidRPr="00A5733E">
              <w:rPr>
                <w:color w:val="000000"/>
                <w:lang w:val="es-ES"/>
              </w:rPr>
              <w:t>Seguridad</w:t>
            </w:r>
          </w:p>
        </w:tc>
        <w:tc>
          <w:tcPr>
            <w:tcW w:w="895" w:type="pct"/>
          </w:tcPr>
          <w:p w14:paraId="1234E833" w14:textId="77777777" w:rsidR="00202E6A" w:rsidRPr="00A5733E" w:rsidRDefault="00202E6A" w:rsidP="00201343">
            <w:pPr>
              <w:pStyle w:val="Tabletext"/>
              <w:keepNext/>
              <w:keepLines/>
              <w:jc w:val="right"/>
              <w:rPr>
                <w:color w:val="000000" w:themeColor="text1"/>
                <w:sz w:val="18"/>
                <w:szCs w:val="18"/>
                <w:lang w:val="es-ES"/>
              </w:rPr>
            </w:pPr>
            <w:r w:rsidRPr="00A5733E">
              <w:rPr>
                <w:color w:val="000000"/>
                <w:lang w:val="es-ES"/>
              </w:rPr>
              <w:t>0</w:t>
            </w:r>
          </w:p>
        </w:tc>
      </w:tr>
      <w:tr w:rsidR="00202E6A" w:rsidRPr="00A5733E" w14:paraId="6F094261" w14:textId="77777777" w:rsidTr="00693161">
        <w:trPr>
          <w:trHeight w:val="300"/>
        </w:trPr>
        <w:tc>
          <w:tcPr>
            <w:tcW w:w="890" w:type="pct"/>
            <w:vMerge/>
          </w:tcPr>
          <w:p w14:paraId="6A0DEFA0" w14:textId="77777777" w:rsidR="00202E6A" w:rsidRPr="00A5733E" w:rsidRDefault="00202E6A" w:rsidP="00201343">
            <w:pPr>
              <w:keepNext/>
              <w:keepLines/>
              <w:rPr>
                <w:lang w:val="es-ES"/>
              </w:rPr>
            </w:pPr>
          </w:p>
        </w:tc>
        <w:tc>
          <w:tcPr>
            <w:tcW w:w="537" w:type="pct"/>
            <w:vMerge/>
          </w:tcPr>
          <w:p w14:paraId="33AECD8E" w14:textId="77777777" w:rsidR="00202E6A" w:rsidRPr="00A5733E" w:rsidRDefault="00202E6A" w:rsidP="00201343">
            <w:pPr>
              <w:keepNext/>
              <w:keepLines/>
              <w:jc w:val="center"/>
              <w:rPr>
                <w:lang w:val="es-ES"/>
              </w:rPr>
            </w:pPr>
          </w:p>
        </w:tc>
        <w:tc>
          <w:tcPr>
            <w:tcW w:w="1071" w:type="pct"/>
            <w:vMerge/>
          </w:tcPr>
          <w:p w14:paraId="541080CC" w14:textId="77777777" w:rsidR="00202E6A" w:rsidRPr="00A5733E" w:rsidRDefault="00202E6A" w:rsidP="00201343">
            <w:pPr>
              <w:keepNext/>
              <w:keepLines/>
              <w:jc w:val="center"/>
              <w:rPr>
                <w:lang w:val="es-ES"/>
              </w:rPr>
            </w:pPr>
          </w:p>
        </w:tc>
        <w:tc>
          <w:tcPr>
            <w:tcW w:w="1607" w:type="pct"/>
          </w:tcPr>
          <w:p w14:paraId="182A0580" w14:textId="77777777" w:rsidR="00202E6A" w:rsidRPr="00A5733E" w:rsidRDefault="00202E6A" w:rsidP="00201343">
            <w:pPr>
              <w:pStyle w:val="Tabletext"/>
              <w:keepNext/>
              <w:keepLines/>
              <w:rPr>
                <w:color w:val="000000" w:themeColor="text1"/>
                <w:sz w:val="18"/>
                <w:szCs w:val="18"/>
                <w:lang w:val="es-ES"/>
              </w:rPr>
            </w:pPr>
            <w:r w:rsidRPr="00A5733E">
              <w:rPr>
                <w:color w:val="000000"/>
                <w:lang w:val="es-ES"/>
              </w:rPr>
              <w:t>Servicio técnico</w:t>
            </w:r>
          </w:p>
        </w:tc>
        <w:tc>
          <w:tcPr>
            <w:tcW w:w="895" w:type="pct"/>
          </w:tcPr>
          <w:p w14:paraId="1F21CEDA" w14:textId="77777777" w:rsidR="00202E6A" w:rsidRPr="00A5733E" w:rsidRDefault="00202E6A" w:rsidP="00201343">
            <w:pPr>
              <w:pStyle w:val="Tabletext"/>
              <w:keepNext/>
              <w:keepLines/>
              <w:jc w:val="right"/>
              <w:rPr>
                <w:color w:val="000000" w:themeColor="text1"/>
                <w:sz w:val="18"/>
                <w:szCs w:val="18"/>
                <w:lang w:val="es-ES"/>
              </w:rPr>
            </w:pPr>
            <w:r w:rsidRPr="00A5733E">
              <w:rPr>
                <w:color w:val="000000"/>
                <w:lang w:val="es-ES"/>
              </w:rPr>
              <w:t>33 850</w:t>
            </w:r>
          </w:p>
        </w:tc>
      </w:tr>
      <w:tr w:rsidR="00202E6A" w:rsidRPr="00A5733E" w14:paraId="6E5720AD" w14:textId="77777777" w:rsidTr="00693161">
        <w:trPr>
          <w:trHeight w:val="300"/>
        </w:trPr>
        <w:tc>
          <w:tcPr>
            <w:tcW w:w="890" w:type="pct"/>
            <w:vMerge/>
            <w:tcBorders>
              <w:bottom w:val="single" w:sz="4" w:space="0" w:color="auto"/>
            </w:tcBorders>
          </w:tcPr>
          <w:p w14:paraId="5144847D" w14:textId="77777777" w:rsidR="00202E6A" w:rsidRPr="00A5733E" w:rsidRDefault="00202E6A" w:rsidP="00201343">
            <w:pPr>
              <w:keepNext/>
              <w:keepLines/>
              <w:rPr>
                <w:lang w:val="es-ES"/>
              </w:rPr>
            </w:pPr>
          </w:p>
        </w:tc>
        <w:tc>
          <w:tcPr>
            <w:tcW w:w="537" w:type="pct"/>
            <w:vMerge/>
            <w:tcBorders>
              <w:bottom w:val="single" w:sz="4" w:space="0" w:color="auto"/>
            </w:tcBorders>
          </w:tcPr>
          <w:p w14:paraId="4C9B95FD" w14:textId="77777777" w:rsidR="00202E6A" w:rsidRPr="00A5733E" w:rsidRDefault="00202E6A" w:rsidP="00201343">
            <w:pPr>
              <w:keepNext/>
              <w:keepLines/>
              <w:jc w:val="center"/>
              <w:rPr>
                <w:lang w:val="es-ES"/>
              </w:rPr>
            </w:pPr>
          </w:p>
        </w:tc>
        <w:tc>
          <w:tcPr>
            <w:tcW w:w="1071" w:type="pct"/>
            <w:vMerge/>
            <w:tcBorders>
              <w:bottom w:val="single" w:sz="4" w:space="0" w:color="auto"/>
            </w:tcBorders>
          </w:tcPr>
          <w:p w14:paraId="07D5D7F1" w14:textId="77777777" w:rsidR="00202E6A" w:rsidRPr="00A5733E" w:rsidRDefault="00202E6A" w:rsidP="00201343">
            <w:pPr>
              <w:keepNext/>
              <w:keepLines/>
              <w:jc w:val="center"/>
              <w:rPr>
                <w:lang w:val="es-ES"/>
              </w:rPr>
            </w:pPr>
          </w:p>
        </w:tc>
        <w:tc>
          <w:tcPr>
            <w:tcW w:w="1607" w:type="pct"/>
            <w:tcBorders>
              <w:bottom w:val="single" w:sz="4" w:space="0" w:color="auto"/>
            </w:tcBorders>
          </w:tcPr>
          <w:p w14:paraId="31C9E18A" w14:textId="77777777" w:rsidR="00202E6A" w:rsidRPr="00A5733E" w:rsidRDefault="00202E6A" w:rsidP="00201343">
            <w:pPr>
              <w:pStyle w:val="Tabletext"/>
              <w:keepNext/>
              <w:keepLines/>
              <w:jc w:val="right"/>
              <w:rPr>
                <w:b/>
                <w:bCs/>
                <w:color w:val="000000" w:themeColor="text1"/>
                <w:sz w:val="18"/>
                <w:szCs w:val="18"/>
                <w:lang w:val="es-ES"/>
              </w:rPr>
            </w:pPr>
            <w:r w:rsidRPr="00A5733E">
              <w:rPr>
                <w:b/>
                <w:bCs/>
                <w:color w:val="000000"/>
                <w:lang w:val="es-ES"/>
              </w:rPr>
              <w:t>Total:</w:t>
            </w:r>
          </w:p>
        </w:tc>
        <w:tc>
          <w:tcPr>
            <w:tcW w:w="895" w:type="pct"/>
            <w:tcBorders>
              <w:bottom w:val="single" w:sz="4" w:space="0" w:color="auto"/>
            </w:tcBorders>
          </w:tcPr>
          <w:p w14:paraId="28DE2C52" w14:textId="77777777" w:rsidR="00202E6A" w:rsidRPr="00A5733E" w:rsidRDefault="00202E6A" w:rsidP="00201343">
            <w:pPr>
              <w:pStyle w:val="Tabletext"/>
              <w:keepNext/>
              <w:keepLines/>
              <w:jc w:val="right"/>
              <w:rPr>
                <w:b/>
                <w:bCs/>
                <w:color w:val="000000" w:themeColor="text1"/>
                <w:sz w:val="18"/>
                <w:szCs w:val="18"/>
                <w:lang w:val="es-ES"/>
              </w:rPr>
            </w:pPr>
            <w:r w:rsidRPr="00A5733E">
              <w:rPr>
                <w:b/>
                <w:bCs/>
                <w:color w:val="000000"/>
                <w:lang w:val="es-ES"/>
              </w:rPr>
              <w:t>50 168</w:t>
            </w:r>
          </w:p>
        </w:tc>
      </w:tr>
      <w:tr w:rsidR="00202E6A" w:rsidRPr="004E6354" w14:paraId="7E33E988" w14:textId="77777777" w:rsidTr="00201343">
        <w:trPr>
          <w:trHeight w:val="300"/>
        </w:trPr>
        <w:tc>
          <w:tcPr>
            <w:tcW w:w="5000" w:type="pct"/>
            <w:gridSpan w:val="5"/>
            <w:tcBorders>
              <w:top w:val="single" w:sz="4" w:space="0" w:color="auto"/>
              <w:left w:val="nil"/>
              <w:bottom w:val="nil"/>
              <w:right w:val="nil"/>
            </w:tcBorders>
          </w:tcPr>
          <w:p w14:paraId="1F8D735A" w14:textId="77777777" w:rsidR="00202E6A" w:rsidRPr="00A5733E" w:rsidRDefault="00202E6A" w:rsidP="00C31E0A">
            <w:pPr>
              <w:pStyle w:val="Tablelegend"/>
              <w:jc w:val="both"/>
              <w:rPr>
                <w:rFonts w:ascii="Segoe UI" w:hAnsi="Segoe UI" w:cs="Segoe UI"/>
                <w:lang w:val="es-ES"/>
              </w:rPr>
            </w:pPr>
            <w:r w:rsidRPr="00A5733E">
              <w:rPr>
                <w:color w:val="000000"/>
                <w:lang w:val="es-ES"/>
              </w:rPr>
              <w:t>Notas sobre cálculos:</w:t>
            </w:r>
          </w:p>
          <w:p w14:paraId="108F09C2" w14:textId="1811A849" w:rsidR="00202E6A" w:rsidRPr="00A5733E" w:rsidRDefault="00202E6A" w:rsidP="00C31E0A">
            <w:pPr>
              <w:pStyle w:val="Tablelegend"/>
              <w:jc w:val="both"/>
              <w:rPr>
                <w:rFonts w:ascii="Segoe UI" w:hAnsi="Segoe UI" w:cs="Segoe UI"/>
                <w:lang w:val="es-ES"/>
              </w:rPr>
            </w:pPr>
            <w:r w:rsidRPr="00A5733E">
              <w:rPr>
                <w:color w:val="000000"/>
                <w:vertAlign w:val="superscript"/>
                <w:lang w:val="es-ES"/>
              </w:rPr>
              <w:t>1</w:t>
            </w:r>
            <w:r w:rsidRPr="00A5733E">
              <w:rPr>
                <w:color w:val="000000"/>
                <w:lang w:val="es-ES"/>
              </w:rPr>
              <w:tab/>
              <w:t>No se incluyen los fines de semana.</w:t>
            </w:r>
          </w:p>
          <w:p w14:paraId="5A760495" w14:textId="3F557F7A" w:rsidR="00202E6A" w:rsidRPr="00A5733E" w:rsidRDefault="00202E6A" w:rsidP="00C31E0A">
            <w:pPr>
              <w:pStyle w:val="Tablelegend"/>
              <w:jc w:val="both"/>
              <w:rPr>
                <w:rFonts w:ascii="Segoe UI" w:hAnsi="Segoe UI" w:cs="Segoe UI"/>
                <w:lang w:val="es-ES"/>
              </w:rPr>
            </w:pPr>
            <w:r w:rsidRPr="00A5733E">
              <w:rPr>
                <w:color w:val="000000"/>
                <w:vertAlign w:val="superscript"/>
                <w:lang w:val="es-ES"/>
              </w:rPr>
              <w:t>2</w:t>
            </w:r>
            <w:r w:rsidRPr="00A5733E">
              <w:rPr>
                <w:color w:val="000000"/>
                <w:lang w:val="es-ES"/>
              </w:rPr>
              <w:tab/>
              <w:t>Costos de seguridad calculados como costos marginales del control de acceso para garantizar quórum en la Plenaria y horas adicionales de vigilancia de la entrada.</w:t>
            </w:r>
          </w:p>
          <w:p w14:paraId="7C9AAF4D" w14:textId="2DC80DC7" w:rsidR="00202E6A" w:rsidRPr="00A5733E" w:rsidRDefault="00202E6A" w:rsidP="00C31E0A">
            <w:pPr>
              <w:pStyle w:val="Tablelegend"/>
              <w:jc w:val="both"/>
              <w:rPr>
                <w:lang w:val="es-ES"/>
              </w:rPr>
            </w:pPr>
            <w:r w:rsidRPr="00A5733E">
              <w:rPr>
                <w:color w:val="000000"/>
                <w:vertAlign w:val="superscript"/>
                <w:lang w:val="es-ES"/>
              </w:rPr>
              <w:t>3</w:t>
            </w:r>
            <w:r w:rsidRPr="00A5733E">
              <w:rPr>
                <w:color w:val="000000"/>
                <w:lang w:val="es-ES"/>
              </w:rPr>
              <w:tab/>
              <w:t>Costo de la gestión de las instalaciones calculado como costos relacionados con el edificio (gastos operativos, gastos de capital amortizado) más costos adicionales (mantenimiento, personal, préstamos) calculados por m2/día x tamaño de la sala de conferencias; se suponen 250 días de conferencia por año; se excluyen eventos sociales.</w:t>
            </w:r>
          </w:p>
          <w:p w14:paraId="554421BF" w14:textId="20DA93AC" w:rsidR="00202E6A" w:rsidRPr="00A5733E" w:rsidRDefault="00202E6A" w:rsidP="00C31E0A">
            <w:pPr>
              <w:pStyle w:val="Tablelegend"/>
              <w:jc w:val="both"/>
              <w:rPr>
                <w:lang w:val="es-ES"/>
              </w:rPr>
            </w:pPr>
            <w:r w:rsidRPr="00A5733E">
              <w:rPr>
                <w:color w:val="000000"/>
                <w:vertAlign w:val="superscript"/>
                <w:lang w:val="es-ES"/>
              </w:rPr>
              <w:t>4</w:t>
            </w:r>
            <w:r w:rsidRPr="00A5733E">
              <w:rPr>
                <w:color w:val="000000"/>
                <w:lang w:val="es-ES"/>
              </w:rPr>
              <w:tab/>
              <w:t>Costos técnicos basados únicamente en los gastos operativos y siguiendo el modelo de la ONUG.</w:t>
            </w:r>
          </w:p>
          <w:p w14:paraId="31CF7122" w14:textId="057F8C75" w:rsidR="00202E6A" w:rsidRPr="00A5733E" w:rsidRDefault="00202E6A" w:rsidP="00C31E0A">
            <w:pPr>
              <w:pStyle w:val="Tablelegend"/>
              <w:jc w:val="both"/>
              <w:rPr>
                <w:rFonts w:eastAsia="Calibri"/>
                <w:color w:val="000000" w:themeColor="text1"/>
                <w:lang w:val="es-ES"/>
              </w:rPr>
            </w:pPr>
            <w:r w:rsidRPr="00A5733E">
              <w:rPr>
                <w:color w:val="000000"/>
                <w:vertAlign w:val="superscript"/>
                <w:lang w:val="es-ES"/>
              </w:rPr>
              <w:t>5</w:t>
            </w:r>
            <w:r w:rsidRPr="00A5733E">
              <w:rPr>
                <w:color w:val="000000"/>
                <w:lang w:val="es-ES"/>
              </w:rPr>
              <w:tab/>
              <w:t>Costos de gestión de la sala basados en la organización y apoyo del personal.</w:t>
            </w:r>
          </w:p>
        </w:tc>
      </w:tr>
    </w:tbl>
    <w:p w14:paraId="0CC00D8F" w14:textId="77777777" w:rsidR="00C04ABF" w:rsidRPr="00A5733E" w:rsidRDefault="00C04ABF" w:rsidP="00411C49">
      <w:pPr>
        <w:pStyle w:val="Reasons"/>
        <w:rPr>
          <w:lang w:val="es-ES"/>
        </w:rPr>
      </w:pPr>
    </w:p>
    <w:p w14:paraId="3ED4CCCA" w14:textId="77777777" w:rsidR="00C04ABF" w:rsidRPr="00A5733E" w:rsidRDefault="00C04ABF">
      <w:pPr>
        <w:jc w:val="center"/>
        <w:rPr>
          <w:lang w:val="es-ES"/>
        </w:rPr>
      </w:pPr>
      <w:r w:rsidRPr="00A5733E">
        <w:rPr>
          <w:lang w:val="es-ES"/>
        </w:rPr>
        <w:t>______________</w:t>
      </w:r>
    </w:p>
    <w:sectPr w:rsidR="00C04ABF" w:rsidRPr="00A5733E" w:rsidSect="004E6354">
      <w:footerReference w:type="default" r:id="rId37"/>
      <w:headerReference w:type="first" r:id="rId38"/>
      <w:footerReference w:type="first" r:id="rId39"/>
      <w:pgSz w:w="11907" w:h="16834"/>
      <w:pgMar w:top="1247" w:right="1418" w:bottom="1247" w:left="1418"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3F06F" w14:textId="77777777" w:rsidR="00451E5F" w:rsidRDefault="00451E5F">
      <w:r>
        <w:separator/>
      </w:r>
    </w:p>
  </w:endnote>
  <w:endnote w:type="continuationSeparator" w:id="0">
    <w:p w14:paraId="05ED59C4" w14:textId="77777777" w:rsidR="00451E5F" w:rsidRDefault="00451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67CD0C36" w14:textId="77777777" w:rsidTr="00E31DCE">
      <w:trPr>
        <w:jc w:val="center"/>
      </w:trPr>
      <w:tc>
        <w:tcPr>
          <w:tcW w:w="1803" w:type="dxa"/>
          <w:vAlign w:val="center"/>
        </w:tcPr>
        <w:p w14:paraId="01BDE94B" w14:textId="4B96808C" w:rsidR="003273A4" w:rsidRDefault="00202E6A" w:rsidP="003273A4">
          <w:pPr>
            <w:pStyle w:val="Header"/>
            <w:jc w:val="left"/>
            <w:rPr>
              <w:noProof/>
            </w:rPr>
          </w:pPr>
          <w:r>
            <w:rPr>
              <w:noProof/>
            </w:rPr>
            <w:t>2600732</w:t>
          </w:r>
        </w:p>
      </w:tc>
      <w:tc>
        <w:tcPr>
          <w:tcW w:w="8261" w:type="dxa"/>
        </w:tcPr>
        <w:p w14:paraId="6DAB82FD" w14:textId="4F269F10"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202E6A">
            <w:rPr>
              <w:bCs/>
            </w:rPr>
            <w:t>65</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405A5E8A"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6BD7CBE3" w14:textId="77777777" w:rsidTr="00E31DCE">
      <w:trPr>
        <w:jc w:val="center"/>
      </w:trPr>
      <w:tc>
        <w:tcPr>
          <w:tcW w:w="1803" w:type="dxa"/>
          <w:vAlign w:val="center"/>
        </w:tcPr>
        <w:p w14:paraId="47976E59"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17712CFE" w14:textId="507ADB85"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780A1F">
            <w:rPr>
              <w:bCs/>
            </w:rPr>
            <w:t>65</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50B5A578"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251AB" w14:textId="77777777" w:rsidR="00451E5F" w:rsidRDefault="00451E5F">
      <w:r>
        <w:t>____________________</w:t>
      </w:r>
    </w:p>
  </w:footnote>
  <w:footnote w:type="continuationSeparator" w:id="0">
    <w:p w14:paraId="1672B57D" w14:textId="77777777" w:rsidR="00451E5F" w:rsidRDefault="00451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C0DCF" w14:textId="77777777" w:rsidR="001559F5" w:rsidRPr="00B1560D" w:rsidRDefault="00B1560D" w:rsidP="00B1560D">
    <w:pPr>
      <w:pStyle w:val="Header"/>
    </w:pPr>
    <w:r>
      <w:rPr>
        <w:noProof/>
      </w:rPr>
      <w:drawing>
        <wp:inline distT="0" distB="0" distL="0" distR="0" wp14:anchorId="0366643B" wp14:editId="0A1FD09A">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21E5743"/>
    <w:multiLevelType w:val="hybridMultilevel"/>
    <w:tmpl w:val="377CDD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D6F7010"/>
    <w:multiLevelType w:val="hybridMultilevel"/>
    <w:tmpl w:val="D8C20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9A3A71"/>
    <w:multiLevelType w:val="hybridMultilevel"/>
    <w:tmpl w:val="21E8233C"/>
    <w:lvl w:ilvl="0" w:tplc="08090001">
      <w:start w:val="1"/>
      <w:numFmt w:val="bullet"/>
      <w:lvlText w:val=""/>
      <w:lvlJc w:val="left"/>
      <w:pPr>
        <w:ind w:left="1560" w:hanging="85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C00E30"/>
    <w:multiLevelType w:val="hybridMultilevel"/>
    <w:tmpl w:val="01243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522850">
    <w:abstractNumId w:val="0"/>
  </w:num>
  <w:num w:numId="2" w16cid:durableId="655648911">
    <w:abstractNumId w:val="4"/>
  </w:num>
  <w:num w:numId="3" w16cid:durableId="1786345049">
    <w:abstractNumId w:val="3"/>
  </w:num>
  <w:num w:numId="4" w16cid:durableId="7916754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0239825">
    <w:abstractNumId w:val="1"/>
  </w:num>
  <w:num w:numId="6" w16cid:durableId="282466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E5F"/>
    <w:rsid w:val="000007D1"/>
    <w:rsid w:val="000314FC"/>
    <w:rsid w:val="0006007D"/>
    <w:rsid w:val="00093EEB"/>
    <w:rsid w:val="000B0D00"/>
    <w:rsid w:val="000B7C15"/>
    <w:rsid w:val="000D1D0F"/>
    <w:rsid w:val="000E3F07"/>
    <w:rsid w:val="000F5290"/>
    <w:rsid w:val="000F5A95"/>
    <w:rsid w:val="0010165C"/>
    <w:rsid w:val="00146BFB"/>
    <w:rsid w:val="001559F5"/>
    <w:rsid w:val="00157AC4"/>
    <w:rsid w:val="0016169C"/>
    <w:rsid w:val="001958F5"/>
    <w:rsid w:val="001B6E2B"/>
    <w:rsid w:val="001C771A"/>
    <w:rsid w:val="001F14A2"/>
    <w:rsid w:val="00202E6A"/>
    <w:rsid w:val="00230C7C"/>
    <w:rsid w:val="00277DEA"/>
    <w:rsid w:val="002801AA"/>
    <w:rsid w:val="002946E2"/>
    <w:rsid w:val="002C3F32"/>
    <w:rsid w:val="002C4676"/>
    <w:rsid w:val="002C70B0"/>
    <w:rsid w:val="002F3CC4"/>
    <w:rsid w:val="003032E2"/>
    <w:rsid w:val="0031300A"/>
    <w:rsid w:val="003273A4"/>
    <w:rsid w:val="0034796E"/>
    <w:rsid w:val="00394231"/>
    <w:rsid w:val="003C21F1"/>
    <w:rsid w:val="00451E5F"/>
    <w:rsid w:val="004571B0"/>
    <w:rsid w:val="00465C35"/>
    <w:rsid w:val="00473962"/>
    <w:rsid w:val="004B5D49"/>
    <w:rsid w:val="004D3A3C"/>
    <w:rsid w:val="004E6354"/>
    <w:rsid w:val="00513630"/>
    <w:rsid w:val="00553599"/>
    <w:rsid w:val="00560125"/>
    <w:rsid w:val="00585553"/>
    <w:rsid w:val="005B34D9"/>
    <w:rsid w:val="005D0CCF"/>
    <w:rsid w:val="005F0915"/>
    <w:rsid w:val="005F3BCB"/>
    <w:rsid w:val="005F410F"/>
    <w:rsid w:val="0060149A"/>
    <w:rsid w:val="00601924"/>
    <w:rsid w:val="00633200"/>
    <w:rsid w:val="006447EA"/>
    <w:rsid w:val="0064481D"/>
    <w:rsid w:val="0064731F"/>
    <w:rsid w:val="00664572"/>
    <w:rsid w:val="00666D09"/>
    <w:rsid w:val="00670579"/>
    <w:rsid w:val="006710F6"/>
    <w:rsid w:val="00677A97"/>
    <w:rsid w:val="00693161"/>
    <w:rsid w:val="006C1B56"/>
    <w:rsid w:val="006D4761"/>
    <w:rsid w:val="00726872"/>
    <w:rsid w:val="00760F1C"/>
    <w:rsid w:val="007657F0"/>
    <w:rsid w:val="0077110E"/>
    <w:rsid w:val="0077252D"/>
    <w:rsid w:val="00780A1F"/>
    <w:rsid w:val="00794E08"/>
    <w:rsid w:val="007955DA"/>
    <w:rsid w:val="007E5DD3"/>
    <w:rsid w:val="007F350B"/>
    <w:rsid w:val="00820BE4"/>
    <w:rsid w:val="008451E8"/>
    <w:rsid w:val="0084546D"/>
    <w:rsid w:val="008F6ABC"/>
    <w:rsid w:val="00912F3D"/>
    <w:rsid w:val="00913B9C"/>
    <w:rsid w:val="00927F93"/>
    <w:rsid w:val="00956E77"/>
    <w:rsid w:val="009A338E"/>
    <w:rsid w:val="009A76A8"/>
    <w:rsid w:val="009F4811"/>
    <w:rsid w:val="00A01F4F"/>
    <w:rsid w:val="00A109AF"/>
    <w:rsid w:val="00A5733E"/>
    <w:rsid w:val="00A94438"/>
    <w:rsid w:val="00AA390C"/>
    <w:rsid w:val="00AD5A4D"/>
    <w:rsid w:val="00AF0EAC"/>
    <w:rsid w:val="00B0200A"/>
    <w:rsid w:val="00B060DF"/>
    <w:rsid w:val="00B1560D"/>
    <w:rsid w:val="00B574DB"/>
    <w:rsid w:val="00B826C2"/>
    <w:rsid w:val="00B8298E"/>
    <w:rsid w:val="00BB6FD8"/>
    <w:rsid w:val="00BD0723"/>
    <w:rsid w:val="00BD2518"/>
    <w:rsid w:val="00BE7D75"/>
    <w:rsid w:val="00BF1D1C"/>
    <w:rsid w:val="00C04ABF"/>
    <w:rsid w:val="00C20C59"/>
    <w:rsid w:val="00C2727F"/>
    <w:rsid w:val="00C31E0A"/>
    <w:rsid w:val="00C4421B"/>
    <w:rsid w:val="00C538FC"/>
    <w:rsid w:val="00C55B1F"/>
    <w:rsid w:val="00CC1FAF"/>
    <w:rsid w:val="00CF1A67"/>
    <w:rsid w:val="00D2750E"/>
    <w:rsid w:val="00D375E0"/>
    <w:rsid w:val="00D50A36"/>
    <w:rsid w:val="00D62446"/>
    <w:rsid w:val="00DA4EA2"/>
    <w:rsid w:val="00DC3D3E"/>
    <w:rsid w:val="00DE2C90"/>
    <w:rsid w:val="00DE3B24"/>
    <w:rsid w:val="00DE7376"/>
    <w:rsid w:val="00E06947"/>
    <w:rsid w:val="00E11319"/>
    <w:rsid w:val="00E21444"/>
    <w:rsid w:val="00E34072"/>
    <w:rsid w:val="00E3592D"/>
    <w:rsid w:val="00E50D76"/>
    <w:rsid w:val="00E8018B"/>
    <w:rsid w:val="00E92DE8"/>
    <w:rsid w:val="00EB1212"/>
    <w:rsid w:val="00ED65AB"/>
    <w:rsid w:val="00F12850"/>
    <w:rsid w:val="00F24B71"/>
    <w:rsid w:val="00F33BF4"/>
    <w:rsid w:val="00F7105E"/>
    <w:rsid w:val="00F75F57"/>
    <w:rsid w:val="00F82FEE"/>
    <w:rsid w:val="00F85E5C"/>
    <w:rsid w:val="00F92BED"/>
    <w:rsid w:val="00FB771C"/>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BA95B2"/>
  <w15:docId w15:val="{85942AC3-83D7-4936-89AF-BB9E4B00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qFormat/>
    <w:rsid w:val="000F5A95"/>
    <w:pPr>
      <w:keepNext/>
      <w:keepLines/>
      <w:spacing w:before="720"/>
      <w:jc w:val="center"/>
    </w:pPr>
    <w:rPr>
      <w:caps/>
      <w:sz w:val="28"/>
    </w:rPr>
  </w:style>
  <w:style w:type="paragraph" w:customStyle="1" w:styleId="Annextitle">
    <w:name w:val="Annex_title"/>
    <w:basedOn w:val="Normal"/>
    <w:next w:val="Normalaftertitle"/>
    <w:qFormat/>
    <w:rsid w:val="000F5A95"/>
    <w:pPr>
      <w:keepNext/>
      <w:keepLines/>
      <w:spacing w:before="240" w:after="240"/>
      <w:jc w:val="center"/>
    </w:pPr>
    <w:rPr>
      <w:b/>
      <w:sz w:val="28"/>
    </w:rPr>
  </w:style>
  <w:style w:type="paragraph" w:customStyle="1" w:styleId="Annexref">
    <w:name w:val="Annex_ref"/>
    <w:basedOn w:val="Normal"/>
    <w:next w:val="Annextitle"/>
    <w:qFormat/>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qFormat/>
    <w:rsid w:val="000F5A95"/>
    <w:pPr>
      <w:spacing w:before="80"/>
      <w:ind w:left="567" w:hanging="567"/>
    </w:pPr>
  </w:style>
  <w:style w:type="paragraph" w:customStyle="1" w:styleId="enumlev2">
    <w:name w:val="enumlev2"/>
    <w:basedOn w:val="enumlev1"/>
    <w:qFormat/>
    <w:rsid w:val="000F5A95"/>
    <w:pPr>
      <w:ind w:left="1134"/>
    </w:pPr>
  </w:style>
  <w:style w:type="paragraph" w:customStyle="1" w:styleId="enumlev3">
    <w:name w:val="enumlev3"/>
    <w:basedOn w:val="enumlev2"/>
    <w:qFormat/>
    <w:rsid w:val="000F5A95"/>
    <w:pPr>
      <w:ind w:left="1701"/>
    </w:pPr>
  </w:style>
  <w:style w:type="paragraph" w:customStyle="1" w:styleId="Artheading">
    <w:name w:val="Art_heading"/>
    <w:basedOn w:val="Normal"/>
    <w:next w:val="Normalaftertitle"/>
    <w:qFormat/>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qFormat/>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qFormat/>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qFormat/>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qFormat/>
    <w:rsid w:val="000F5A95"/>
  </w:style>
  <w:style w:type="paragraph" w:customStyle="1" w:styleId="Chaptitle">
    <w:name w:val="Chap_title"/>
    <w:basedOn w:val="Arttitle"/>
    <w:next w:val="Normalaftertitle"/>
    <w:qFormat/>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qFormat/>
    <w:rsid w:val="000F5A95"/>
    <w:pPr>
      <w:spacing w:after="240"/>
      <w:jc w:val="center"/>
    </w:pPr>
  </w:style>
  <w:style w:type="paragraph" w:customStyle="1" w:styleId="Figuretitle">
    <w:name w:val="Figure_title"/>
    <w:basedOn w:val="Tabletitle"/>
    <w:next w:val="Normalaftertitle"/>
    <w:qFormat/>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qFormat/>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qFormat/>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character" w:customStyle="1" w:styleId="UnresolvedMention1">
    <w:name w:val="Unresolved Mention1"/>
    <w:basedOn w:val="DefaultParagraphFont"/>
    <w:uiPriority w:val="99"/>
    <w:semiHidden/>
    <w:unhideWhenUsed/>
    <w:rsid w:val="00202E6A"/>
    <w:rPr>
      <w:color w:val="605E5C"/>
      <w:shd w:val="clear" w:color="auto" w:fill="E1DFDD"/>
    </w:rPr>
  </w:style>
  <w:style w:type="paragraph" w:styleId="ListParagraph">
    <w:name w:val="List Paragraph"/>
    <w:basedOn w:val="Normal"/>
    <w:uiPriority w:val="34"/>
    <w:qFormat/>
    <w:rsid w:val="00202E6A"/>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HAnsi" w:hAnsiTheme="minorHAnsi" w:cstheme="minorBidi"/>
      <w:kern w:val="2"/>
      <w:sz w:val="22"/>
      <w:szCs w:val="22"/>
      <w14:ligatures w14:val="standardContextual"/>
    </w:rPr>
  </w:style>
  <w:style w:type="character" w:styleId="CommentReference">
    <w:name w:val="annotation reference"/>
    <w:basedOn w:val="DefaultParagraphFont"/>
    <w:semiHidden/>
    <w:unhideWhenUsed/>
    <w:rsid w:val="00202E6A"/>
    <w:rPr>
      <w:sz w:val="16"/>
      <w:szCs w:val="16"/>
    </w:rPr>
  </w:style>
  <w:style w:type="paragraph" w:styleId="CommentText">
    <w:name w:val="annotation text"/>
    <w:basedOn w:val="Normal"/>
    <w:link w:val="CommentTextChar"/>
    <w:unhideWhenUsed/>
    <w:rsid w:val="00202E6A"/>
    <w:rPr>
      <w:sz w:val="20"/>
      <w:lang w:val="en-GB"/>
    </w:rPr>
  </w:style>
  <w:style w:type="character" w:customStyle="1" w:styleId="CommentTextChar">
    <w:name w:val="Comment Text Char"/>
    <w:basedOn w:val="DefaultParagraphFont"/>
    <w:link w:val="CommentText"/>
    <w:rsid w:val="00202E6A"/>
    <w:rPr>
      <w:rFonts w:ascii="Calibri" w:hAnsi="Calibri"/>
      <w:lang w:val="en-GB" w:eastAsia="en-US"/>
    </w:rPr>
  </w:style>
  <w:style w:type="table" w:styleId="PlainTable1">
    <w:name w:val="Plain Table 1"/>
    <w:basedOn w:val="TableNormal"/>
    <w:uiPriority w:val="41"/>
    <w:rsid w:val="00202E6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fin">
    <w:name w:val="Table_fin"/>
    <w:basedOn w:val="Tabletext"/>
    <w:rsid w:val="00202E6A"/>
    <w:pPr>
      <w:tabs>
        <w:tab w:val="clear" w:pos="284"/>
        <w:tab w:val="clear" w:pos="567"/>
        <w:tab w:val="clear" w:pos="851"/>
      </w:tabs>
      <w:spacing w:before="0" w:after="0"/>
    </w:pPr>
    <w:rPr>
      <w:rFonts w:eastAsia="Calibri"/>
      <w:sz w:val="20"/>
      <w:lang w:val="en-GB"/>
    </w:rPr>
  </w:style>
  <w:style w:type="paragraph" w:styleId="CommentSubject">
    <w:name w:val="annotation subject"/>
    <w:basedOn w:val="CommentText"/>
    <w:next w:val="CommentText"/>
    <w:link w:val="CommentSubjectChar"/>
    <w:semiHidden/>
    <w:unhideWhenUsed/>
    <w:rsid w:val="00202E6A"/>
    <w:rPr>
      <w:b/>
      <w:bCs/>
    </w:rPr>
  </w:style>
  <w:style w:type="character" w:customStyle="1" w:styleId="CommentSubjectChar">
    <w:name w:val="Comment Subject Char"/>
    <w:basedOn w:val="CommentTextChar"/>
    <w:link w:val="CommentSubject"/>
    <w:semiHidden/>
    <w:rsid w:val="00202E6A"/>
    <w:rPr>
      <w:rFonts w:ascii="Calibri" w:hAnsi="Calibri"/>
      <w:b/>
      <w:bCs/>
      <w:lang w:val="en-GB" w:eastAsia="en-US"/>
    </w:rPr>
  </w:style>
  <w:style w:type="paragraph" w:styleId="Revision">
    <w:name w:val="Revision"/>
    <w:hidden/>
    <w:uiPriority w:val="99"/>
    <w:semiHidden/>
    <w:rsid w:val="00202E6A"/>
    <w:rPr>
      <w:rFonts w:ascii="Calibri" w:hAnsi="Calibri"/>
      <w:sz w:val="24"/>
      <w:lang w:val="en-GB" w:eastAsia="en-US"/>
    </w:rPr>
  </w:style>
  <w:style w:type="character" w:customStyle="1" w:styleId="Mention1">
    <w:name w:val="Mention1"/>
    <w:basedOn w:val="DefaultParagraphFont"/>
    <w:uiPriority w:val="99"/>
    <w:unhideWhenUsed/>
    <w:rsid w:val="00202E6A"/>
    <w:rPr>
      <w:color w:val="2B579A"/>
      <w:shd w:val="clear" w:color="auto" w:fill="E1DFDD"/>
    </w:rPr>
  </w:style>
  <w:style w:type="paragraph" w:customStyle="1" w:styleId="paragraph">
    <w:name w:val="paragraph"/>
    <w:basedOn w:val="Normal"/>
    <w:rsid w:val="00202E6A"/>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GB" w:eastAsia="en-GB"/>
    </w:rPr>
  </w:style>
  <w:style w:type="character" w:customStyle="1" w:styleId="normaltextrun">
    <w:name w:val="normaltextrun"/>
    <w:basedOn w:val="DefaultParagraphFont"/>
    <w:rsid w:val="00202E6A"/>
  </w:style>
  <w:style w:type="character" w:customStyle="1" w:styleId="eop">
    <w:name w:val="eop"/>
    <w:basedOn w:val="DefaultParagraphFont"/>
    <w:rsid w:val="00202E6A"/>
  </w:style>
  <w:style w:type="character" w:customStyle="1" w:styleId="scxw41891933">
    <w:name w:val="scxw41891933"/>
    <w:basedOn w:val="DefaultParagraphFont"/>
    <w:rsid w:val="00202E6A"/>
  </w:style>
  <w:style w:type="paragraph" w:styleId="NormalWeb">
    <w:name w:val="Normal (Web)"/>
    <w:basedOn w:val="Normal"/>
    <w:uiPriority w:val="99"/>
    <w:semiHidden/>
    <w:unhideWhenUsed/>
    <w:rsid w:val="00202E6A"/>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4-CL-C-0132/es" TargetMode="External"/><Relationship Id="rId18" Type="http://schemas.openxmlformats.org/officeDocument/2006/relationships/hyperlink" Target="https://www.itu.int/md/S26-CWGFHR22-C-0013/es" TargetMode="External"/><Relationship Id="rId26" Type="http://schemas.openxmlformats.org/officeDocument/2006/relationships/hyperlink" Target="https://www.itu.int/en/general-secretariat/ICT-Services/remoteparticipation/Pages/default.aspx" TargetMode="External"/><Relationship Id="rId39" Type="http://schemas.openxmlformats.org/officeDocument/2006/relationships/footer" Target="footer2.xml"/><Relationship Id="rId21" Type="http://schemas.openxmlformats.org/officeDocument/2006/relationships/hyperlink" Target="https://www.itu.int/md/S26-CL-C-0002/en" TargetMode="External"/><Relationship Id="rId34" Type="http://schemas.openxmlformats.org/officeDocument/2006/relationships/hyperlink" Target="https://www.itu.int/md/S26-CL-C-0042/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md/S25-CWGFHR21-C-0025/es" TargetMode="External"/><Relationship Id="rId20" Type="http://schemas.openxmlformats.org/officeDocument/2006/relationships/hyperlink" Target="https://www.itu.int/md/S26-CL-C-0002/es" TargetMode="External"/><Relationship Id="rId29" Type="http://schemas.openxmlformats.org/officeDocument/2006/relationships/hyperlink" Target="https://www.itu.int/md/S26-CL-C-0007/e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6-CL-C-0042/es" TargetMode="External"/><Relationship Id="rId24" Type="http://schemas.openxmlformats.org/officeDocument/2006/relationships/hyperlink" Target="https://www.itu.int/md/S25-SG-CIR-0038/es" TargetMode="External"/><Relationship Id="rId32" Type="http://schemas.openxmlformats.org/officeDocument/2006/relationships/hyperlink" Target="https://www.itu.int/md/S26-CWGFHR22-C-0023/en"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md/S25-CWGFHR21-C-0010/es" TargetMode="External"/><Relationship Id="rId23" Type="http://schemas.openxmlformats.org/officeDocument/2006/relationships/hyperlink" Target="https://www.itu.int/en/council/Documents/basic-texts-2023/RES-005-E.pdf" TargetMode="External"/><Relationship Id="rId28" Type="http://schemas.openxmlformats.org/officeDocument/2006/relationships/hyperlink" Target="https://www.itu.int/md/S26-CL-C-0007/es" TargetMode="External"/><Relationship Id="rId36" Type="http://schemas.openxmlformats.org/officeDocument/2006/relationships/hyperlink" Target="https://www.itu.int/md/S26-CL-C-0007/es" TargetMode="External"/><Relationship Id="rId10" Type="http://schemas.openxmlformats.org/officeDocument/2006/relationships/hyperlink" Target="https://www.itu.int/md/S26-CL-C-0007/es" TargetMode="External"/><Relationship Id="rId19" Type="http://schemas.openxmlformats.org/officeDocument/2006/relationships/hyperlink" Target="https://www.itu.int/md/S26-CWGFHR22-C-0036/es" TargetMode="External"/><Relationship Id="rId31" Type="http://schemas.openxmlformats.org/officeDocument/2006/relationships/hyperlink" Target="https://www.itu.int/md/S25-CL-C-0118/es" TargetMode="External"/><Relationship Id="rId4" Type="http://schemas.openxmlformats.org/officeDocument/2006/relationships/settings" Target="settings.xml"/><Relationship Id="rId9" Type="http://schemas.openxmlformats.org/officeDocument/2006/relationships/hyperlink" Target="https://www.itu.int/md/S26-CWGFHR22-C-0013/en" TargetMode="External"/><Relationship Id="rId14" Type="http://schemas.openxmlformats.org/officeDocument/2006/relationships/hyperlink" Target="https://www.itu.int/md/S25-CWGFHR20-C-0032/es" TargetMode="External"/><Relationship Id="rId22" Type="http://schemas.openxmlformats.org/officeDocument/2006/relationships/hyperlink" Target="https://www.itu.int/en/council/Documents/basic-texts-2023/RES-005-S.pdf" TargetMode="External"/><Relationship Id="rId27" Type="http://schemas.openxmlformats.org/officeDocument/2006/relationships/hyperlink" Target="https://www.itu.int/en/general-secretariat/ICT-Services/remoteparticipation/Pages/default.aspx" TargetMode="External"/><Relationship Id="rId30" Type="http://schemas.openxmlformats.org/officeDocument/2006/relationships/hyperlink" Target="https://www.itu.int/md/S26-CWGFHR22-C-0023/es" TargetMode="External"/><Relationship Id="rId35" Type="http://schemas.openxmlformats.org/officeDocument/2006/relationships/hyperlink" Target="https://www.itu.int/md/S26-CL-C-0042/en" TargetMode="External"/><Relationship Id="rId8" Type="http://schemas.openxmlformats.org/officeDocument/2006/relationships/hyperlink" Target="https://www.itu.int/md/S26-CWGFHR22-C-0013/es" TargetMode="External"/><Relationship Id="rId3" Type="http://schemas.openxmlformats.org/officeDocument/2006/relationships/styles" Target="styles.xml"/><Relationship Id="rId12" Type="http://schemas.openxmlformats.org/officeDocument/2006/relationships/hyperlink" Target="https://www.itu.int/md/S25-CWGFHR20-C-0009/es" TargetMode="External"/><Relationship Id="rId17" Type="http://schemas.openxmlformats.org/officeDocument/2006/relationships/hyperlink" Target="https://www.itu.int/md/S25-CWGFHR21-INF-0004/es" TargetMode="External"/><Relationship Id="rId25" Type="http://schemas.openxmlformats.org/officeDocument/2006/relationships/hyperlink" Target="https://www.itu.int/md/S25-SG-CIR-0038/en" TargetMode="External"/><Relationship Id="rId33" Type="http://schemas.openxmlformats.org/officeDocument/2006/relationships/hyperlink" Target="https://www.itu.int/md/S25-CL-C-0118/en" TargetMode="External"/><Relationship Id="rId3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5E4D2-14A6-4EB4-B4A6-C1B4A8FAA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PS_Council26.dotx</Template>
  <TotalTime>5</TotalTime>
  <Pages>12</Pages>
  <Words>4383</Words>
  <Characters>24390</Characters>
  <Application>Microsoft Office Word</Application>
  <DocSecurity>0</DocSecurity>
  <Lines>1219</Lines>
  <Paragraphs>757</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28016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Información actualizada sobre la continuidad de las actividades durante el periodo de construcción del nuevo edificio de la UIT</dc:title>
  <dc:subject>Consejo 2026 de la UIT</dc:subject>
  <cp:keywords>C26; C2026; Council 2026; PP26</cp:keywords>
  <dc:description/>
  <cp:lastPrinted>2006-03-24T09:51:00Z</cp:lastPrinted>
  <dcterms:created xsi:type="dcterms:W3CDTF">2026-04-28T16:55:00Z</dcterms:created>
  <dcterms:modified xsi:type="dcterms:W3CDTF">2026-04-28T16:59:00Z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