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41A0" w14:textId="77777777" w:rsidR="000D3BAB" w:rsidRPr="007159A6" w:rsidRDefault="000D3BAB" w:rsidP="000D3BAB">
      <w:pPr>
        <w:spacing w:before="0"/>
        <w:rPr>
          <w:lang w:val="ru-RU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159A6" w14:paraId="17FE3F10" w14:textId="77777777" w:rsidTr="000D3BA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6F6964F" w14:textId="5FA73B14" w:rsidR="00796BD3" w:rsidRPr="007159A6" w:rsidRDefault="0033025A" w:rsidP="000D3BAB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159A6">
              <w:rPr>
                <w:b/>
                <w:lang w:val="ru-RU"/>
              </w:rPr>
              <w:t>Пункт повестки дня:</w:t>
            </w:r>
            <w:r w:rsidR="000D3BAB" w:rsidRPr="007159A6">
              <w:rPr>
                <w:b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0CF116A4" w14:textId="3C5082D5" w:rsidR="00796BD3" w:rsidRPr="007159A6" w:rsidRDefault="0033025A" w:rsidP="000D3BA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159A6">
              <w:rPr>
                <w:b/>
                <w:lang w:val="ru-RU"/>
              </w:rPr>
              <w:t xml:space="preserve">Документ </w:t>
            </w:r>
            <w:r w:rsidR="00796BD3" w:rsidRPr="007159A6">
              <w:rPr>
                <w:b/>
                <w:lang w:val="ru-RU"/>
              </w:rPr>
              <w:t>C2</w:t>
            </w:r>
            <w:r w:rsidR="00BE00DD" w:rsidRPr="007159A6">
              <w:rPr>
                <w:b/>
                <w:lang w:val="ru-RU"/>
              </w:rPr>
              <w:t>6</w:t>
            </w:r>
            <w:r w:rsidR="00796BD3" w:rsidRPr="007159A6">
              <w:rPr>
                <w:b/>
                <w:lang w:val="ru-RU"/>
              </w:rPr>
              <w:t>/</w:t>
            </w:r>
            <w:r w:rsidR="00980949" w:rsidRPr="007159A6">
              <w:rPr>
                <w:b/>
                <w:lang w:val="ru-RU"/>
              </w:rPr>
              <w:t>65</w:t>
            </w:r>
            <w:r w:rsidR="00796BD3" w:rsidRPr="007159A6">
              <w:rPr>
                <w:b/>
                <w:lang w:val="ru-RU"/>
              </w:rPr>
              <w:t>-R</w:t>
            </w:r>
          </w:p>
        </w:tc>
      </w:tr>
      <w:tr w:rsidR="00796BD3" w:rsidRPr="007159A6" w14:paraId="7EC874A6" w14:textId="77777777" w:rsidTr="000D3BAB">
        <w:trPr>
          <w:cantSplit/>
        </w:trPr>
        <w:tc>
          <w:tcPr>
            <w:tcW w:w="3969" w:type="dxa"/>
            <w:vMerge/>
          </w:tcPr>
          <w:p w14:paraId="0FC6061B" w14:textId="77777777" w:rsidR="00796BD3" w:rsidRPr="007159A6" w:rsidRDefault="00796BD3" w:rsidP="000D3BAB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AE5039D" w14:textId="0E24C6DD" w:rsidR="00796BD3" w:rsidRPr="007159A6" w:rsidRDefault="00980949" w:rsidP="000D3BAB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159A6">
              <w:rPr>
                <w:b/>
                <w:lang w:val="ru-RU"/>
              </w:rPr>
              <w:t>30 марта 2026 года</w:t>
            </w:r>
          </w:p>
        </w:tc>
      </w:tr>
      <w:tr w:rsidR="00796BD3" w:rsidRPr="007159A6" w14:paraId="2D8FFA34" w14:textId="77777777" w:rsidTr="000D3BAB">
        <w:trPr>
          <w:cantSplit/>
          <w:trHeight w:val="23"/>
        </w:trPr>
        <w:tc>
          <w:tcPr>
            <w:tcW w:w="3969" w:type="dxa"/>
            <w:vMerge/>
          </w:tcPr>
          <w:p w14:paraId="6B30039B" w14:textId="77777777" w:rsidR="00796BD3" w:rsidRPr="007159A6" w:rsidRDefault="00796BD3" w:rsidP="000D3BAB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C074287" w14:textId="77777777" w:rsidR="00796BD3" w:rsidRPr="007159A6" w:rsidRDefault="0033025A" w:rsidP="000D3BA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159A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159A6" w14:paraId="139D9E0E" w14:textId="77777777" w:rsidTr="000D3BAB">
        <w:trPr>
          <w:cantSplit/>
          <w:trHeight w:val="23"/>
        </w:trPr>
        <w:tc>
          <w:tcPr>
            <w:tcW w:w="3969" w:type="dxa"/>
          </w:tcPr>
          <w:p w14:paraId="077E6979" w14:textId="77777777" w:rsidR="00796BD3" w:rsidRPr="007159A6" w:rsidRDefault="00796BD3" w:rsidP="000D3BAB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7A0EC80" w14:textId="77777777" w:rsidR="00796BD3" w:rsidRPr="007159A6" w:rsidRDefault="00796BD3" w:rsidP="000D3BAB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</w:p>
        </w:tc>
      </w:tr>
      <w:tr w:rsidR="00796BD3" w:rsidRPr="007159A6" w14:paraId="4803920E" w14:textId="77777777" w:rsidTr="000D3BA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C5315D" w14:textId="77777777" w:rsidR="00796BD3" w:rsidRPr="007159A6" w:rsidRDefault="0033025A" w:rsidP="000D3BAB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7159A6">
              <w:t>Отчет Генерального секретаря</w:t>
            </w:r>
          </w:p>
        </w:tc>
      </w:tr>
      <w:tr w:rsidR="00796BD3" w:rsidRPr="008E7627" w14:paraId="4172B52B" w14:textId="77777777" w:rsidTr="000D3BA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C06F1AF" w14:textId="3772C3D0" w:rsidR="00796BD3" w:rsidRPr="007159A6" w:rsidRDefault="00980949" w:rsidP="000D3BAB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7159A6">
              <w:rPr>
                <w:color w:val="000000"/>
                <w:sz w:val="32"/>
              </w:rPr>
              <w:t>ОБНОВЛЕННАЯ ИНФОРМАЦИЯ ОБ ОБЕСПЕЧЕНИИ НЕПРЕРЫВНОСТИ ДЕЯТЕЛЬНОСТИ В ПЕРИОД СТРОИТЕЛЬСТВА НОВОГО ЗДАНИЯ МСЭ</w:t>
            </w:r>
          </w:p>
        </w:tc>
      </w:tr>
      <w:tr w:rsidR="00796BD3" w:rsidRPr="008E7627" w14:paraId="6A65BA07" w14:textId="77777777" w:rsidTr="000D3BA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89D105B" w14:textId="77777777" w:rsidR="00796BD3" w:rsidRPr="007159A6" w:rsidRDefault="0033025A" w:rsidP="000D3BA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159A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36DB470" w14:textId="79A36257" w:rsidR="00980949" w:rsidRPr="007159A6" w:rsidRDefault="00980949" w:rsidP="00B515A3">
            <w:pPr>
              <w:spacing w:before="160"/>
              <w:jc w:val="both"/>
              <w:rPr>
                <w:lang w:val="ru-RU"/>
              </w:rPr>
            </w:pPr>
            <w:r w:rsidRPr="007159A6">
              <w:rPr>
                <w:color w:val="000000"/>
                <w:lang w:val="ru-RU"/>
              </w:rPr>
              <w:t xml:space="preserve">В настоящем отчете содержится обновленная информация к документу об условиях обеспечения непрерывности деятельности собраний МСЭ в период строительства нового здания штаб-квартиры МСЭ в 2028 и 2029 годах, который был представлен на 22-м собрании РГС-ФЛР (Документ </w:t>
            </w:r>
            <w:hyperlink r:id="rId8">
              <w:r w:rsidRPr="007159A6">
                <w:rPr>
                  <w:rStyle w:val="Hyperlink"/>
                  <w:lang w:val="ru-RU"/>
                </w:rPr>
                <w:t>CWG-FHR-22/13</w:t>
              </w:r>
            </w:hyperlink>
            <w:r w:rsidRPr="007159A6">
              <w:rPr>
                <w:color w:val="000000"/>
                <w:lang w:val="ru-RU"/>
              </w:rPr>
              <w:t>). В нем представлена дополнительная информация о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 xml:space="preserve">различных вариантах проведения собраний МСЭ в рассматриваемый период и соответствующих финансовых последствиях. </w:t>
            </w:r>
            <w:hyperlink r:id="rId9"/>
          </w:p>
          <w:p w14:paraId="6C8955D0" w14:textId="12B00E66" w:rsidR="00796BD3" w:rsidRPr="007159A6" w:rsidRDefault="00980949" w:rsidP="00B515A3">
            <w:pPr>
              <w:jc w:val="both"/>
              <w:rPr>
                <w:lang w:val="ru-RU"/>
              </w:rPr>
            </w:pPr>
            <w:r w:rsidRPr="007159A6">
              <w:rPr>
                <w:color w:val="000000"/>
                <w:lang w:val="ru-RU"/>
              </w:rPr>
              <w:t xml:space="preserve">В настоящем отчете основное внимание уделяется обеспечению непрерывности деятельности в отношении собраний. Обновленная информация об обеспечении непрерывности деятельности штаб-квартиры МСЭ содержится в Документе </w:t>
            </w:r>
            <w:hyperlink r:id="rId10" w:history="1">
              <w:r w:rsidRPr="007159A6">
                <w:rPr>
                  <w:rStyle w:val="Hyperlink"/>
                  <w:lang w:val="ru-RU"/>
                </w:rPr>
                <w:t>C26/7</w:t>
              </w:r>
            </w:hyperlink>
            <w:r w:rsidRPr="007159A6">
              <w:rPr>
                <w:color w:val="000000"/>
                <w:lang w:val="ru-RU"/>
              </w:rPr>
              <w:t>.</w:t>
            </w:r>
          </w:p>
          <w:p w14:paraId="6BADF5D6" w14:textId="77777777" w:rsidR="00796BD3" w:rsidRPr="007159A6" w:rsidRDefault="0033025A" w:rsidP="000D3BA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159A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BBCF487" w14:textId="37207B95" w:rsidR="00796BD3" w:rsidRPr="007159A6" w:rsidRDefault="00980949" w:rsidP="000D3BAB">
            <w:pPr>
              <w:rPr>
                <w:lang w:val="ru-RU"/>
              </w:rPr>
            </w:pPr>
            <w:r w:rsidRPr="007159A6">
              <w:rPr>
                <w:color w:val="000000"/>
                <w:lang w:val="ru-RU"/>
              </w:rPr>
              <w:t xml:space="preserve">Совету предлагается </w:t>
            </w:r>
            <w:r w:rsidRPr="007159A6">
              <w:rPr>
                <w:b/>
                <w:bCs/>
                <w:color w:val="000000"/>
                <w:lang w:val="ru-RU"/>
              </w:rPr>
              <w:t xml:space="preserve">принять к сведению </w:t>
            </w:r>
            <w:r w:rsidRPr="007159A6">
              <w:rPr>
                <w:color w:val="000000"/>
                <w:lang w:val="ru-RU"/>
              </w:rPr>
              <w:t>настоящий документ.</w:t>
            </w:r>
          </w:p>
          <w:p w14:paraId="6AFD942A" w14:textId="77777777" w:rsidR="00796BD3" w:rsidRPr="007159A6" w:rsidRDefault="0033025A" w:rsidP="000D3BA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159A6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1D2A0725" w14:textId="595655F9" w:rsidR="00796BD3" w:rsidRPr="007159A6" w:rsidRDefault="00980949" w:rsidP="000D3BAB">
            <w:pPr>
              <w:rPr>
                <w:lang w:val="ru-RU"/>
              </w:rPr>
            </w:pPr>
            <w:r w:rsidRPr="007159A6">
              <w:rPr>
                <w:color w:val="000000"/>
                <w:lang w:val="ru-RU"/>
              </w:rPr>
              <w:t>Платформы для созыва мероприятий.</w:t>
            </w:r>
          </w:p>
          <w:p w14:paraId="7060E1E4" w14:textId="77777777" w:rsidR="00796BD3" w:rsidRPr="007159A6" w:rsidRDefault="0033025A" w:rsidP="000D3BA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159A6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1F03682" w14:textId="52F4B475" w:rsidR="00980949" w:rsidRPr="007159A6" w:rsidRDefault="00980949" w:rsidP="00B515A3">
            <w:pPr>
              <w:jc w:val="both"/>
              <w:rPr>
                <w:lang w:val="ru-RU"/>
              </w:rPr>
            </w:pPr>
            <w:r w:rsidRPr="007159A6">
              <w:rPr>
                <w:color w:val="000000"/>
                <w:lang w:val="ru-RU"/>
              </w:rPr>
              <w:t>Все варианты обеспечения непрерывности деятельности требуют финансирования. Фонд обеспечения непрерывности деятельности в настоящее время составляет 3,17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>млн.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>швейцарских франков, включая взнос Швейцарии в размере 2,78 млн</w:t>
            </w:r>
            <w:r w:rsidR="003B33C6" w:rsidRPr="007159A6">
              <w:rPr>
                <w:color w:val="000000"/>
                <w:lang w:val="ru-RU"/>
              </w:rPr>
              <w:t>.</w:t>
            </w:r>
            <w:r w:rsidRPr="007159A6">
              <w:rPr>
                <w:color w:val="000000"/>
                <w:lang w:val="ru-RU"/>
              </w:rPr>
              <w:t xml:space="preserve"> швейцарских франков и 0,389 млн. швейцарских франков, выделенных Советом в 2025 году.</w:t>
            </w:r>
          </w:p>
          <w:p w14:paraId="4FC6E4A8" w14:textId="6F7D73E4" w:rsidR="00345D2A" w:rsidRPr="007159A6" w:rsidRDefault="00980949" w:rsidP="00B515A3">
            <w:pPr>
              <w:spacing w:before="160"/>
              <w:jc w:val="both"/>
              <w:rPr>
                <w:szCs w:val="22"/>
                <w:lang w:val="ru-RU"/>
              </w:rPr>
            </w:pPr>
            <w:r w:rsidRPr="007159A6">
              <w:rPr>
                <w:color w:val="000000"/>
                <w:lang w:val="ru-RU"/>
              </w:rPr>
              <w:t xml:space="preserve">В Документе </w:t>
            </w:r>
            <w:hyperlink r:id="rId11" w:history="1">
              <w:r w:rsidRPr="007159A6">
                <w:rPr>
                  <w:rStyle w:val="Hyperlink"/>
                  <w:lang w:val="ru-RU"/>
                </w:rPr>
                <w:t>C26/42</w:t>
              </w:r>
            </w:hyperlink>
            <w:r w:rsidRPr="007159A6">
              <w:rPr>
                <w:color w:val="000000"/>
                <w:lang w:val="ru-RU"/>
              </w:rPr>
              <w:t xml:space="preserve"> предлагается выделить дополнительное финансирование в размере 1,5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>млн. швейцарских франков из средств, сэкономленных в процессе исполнения бюджета в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>2025</w:t>
            </w:r>
            <w:r w:rsidR="000D3BAB" w:rsidRPr="007159A6">
              <w:rPr>
                <w:color w:val="000000"/>
                <w:lang w:val="ru-RU"/>
              </w:rPr>
              <w:t> </w:t>
            </w:r>
            <w:r w:rsidRPr="007159A6">
              <w:rPr>
                <w:color w:val="000000"/>
                <w:lang w:val="ru-RU"/>
              </w:rPr>
              <w:t>году, на обеспечение непрерывности деятельности МСЭ в соответствии с оценкой, представленной в Документе C26/7 Совета.</w:t>
            </w:r>
          </w:p>
          <w:p w14:paraId="1C3EF28D" w14:textId="77777777" w:rsidR="00796BD3" w:rsidRPr="007159A6" w:rsidRDefault="00796BD3" w:rsidP="000D3BAB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7159A6">
              <w:rPr>
                <w:sz w:val="20"/>
                <w:szCs w:val="18"/>
                <w:lang w:val="ru-RU"/>
              </w:rPr>
              <w:t>__________________</w:t>
            </w:r>
          </w:p>
          <w:p w14:paraId="35EBC5D1" w14:textId="77777777" w:rsidR="00796BD3" w:rsidRPr="007159A6" w:rsidRDefault="0033025A" w:rsidP="000D3BAB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7159A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110BE6A" w14:textId="56BA76E1" w:rsidR="00796BD3" w:rsidRPr="007159A6" w:rsidRDefault="00980949" w:rsidP="000D3BAB">
            <w:pPr>
              <w:spacing w:after="160"/>
              <w:rPr>
                <w:i/>
                <w:iCs/>
                <w:lang w:val="ru-RU"/>
              </w:rPr>
            </w:pPr>
            <w:r w:rsidRPr="007159A6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12" w:history="1">
              <w:r w:rsidRPr="007159A6">
                <w:rPr>
                  <w:rStyle w:val="Hyperlink"/>
                  <w:i/>
                  <w:iCs/>
                  <w:lang w:val="ru-RU"/>
                </w:rPr>
                <w:t>CWG-FHR-20/9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>;</w:t>
            </w:r>
            <w:r w:rsidRPr="007159A6">
              <w:rPr>
                <w:color w:val="000000"/>
                <w:lang w:val="ru-RU"/>
              </w:rPr>
              <w:t xml:space="preserve"> </w:t>
            </w:r>
            <w:r w:rsidRPr="007159A6">
              <w:rPr>
                <w:i/>
                <w:iCs/>
                <w:color w:val="000000"/>
                <w:lang w:val="ru-RU"/>
              </w:rPr>
              <w:t xml:space="preserve">Решение </w:t>
            </w:r>
            <w:hyperlink r:id="rId13" w:history="1">
              <w:r w:rsidRPr="007159A6">
                <w:rPr>
                  <w:rStyle w:val="Hyperlink"/>
                  <w:i/>
                  <w:iCs/>
                  <w:lang w:val="ru-RU"/>
                </w:rPr>
                <w:t>640 (C24)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7159A6">
              <w:rPr>
                <w:color w:val="000000"/>
                <w:lang w:val="ru-RU"/>
              </w:rPr>
              <w:t xml:space="preserve"> </w:t>
            </w:r>
            <w:hyperlink r:id="rId14" w:history="1">
              <w:r w:rsidRPr="007159A6">
                <w:rPr>
                  <w:rStyle w:val="Hyperlink"/>
                  <w:i/>
                  <w:iCs/>
                  <w:lang w:val="ru-RU"/>
                </w:rPr>
                <w:t>Краткий отчет о 20-м собрании РГС</w:t>
              </w:r>
              <w:r w:rsidRPr="007159A6">
                <w:rPr>
                  <w:rStyle w:val="Hyperlink"/>
                  <w:rFonts w:ascii="Cambria Math" w:hAnsi="Cambria Math"/>
                  <w:i/>
                  <w:iCs/>
                  <w:lang w:val="ru-RU"/>
                </w:rPr>
                <w:t>‑</w:t>
              </w:r>
              <w:r w:rsidRPr="007159A6">
                <w:rPr>
                  <w:rStyle w:val="Hyperlink"/>
                  <w:i/>
                  <w:iCs/>
                  <w:lang w:val="ru-RU"/>
                </w:rPr>
                <w:t>ФЛР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>;</w:t>
            </w:r>
            <w:r w:rsidRPr="007159A6">
              <w:rPr>
                <w:color w:val="000000"/>
                <w:lang w:val="ru-RU"/>
              </w:rPr>
              <w:t xml:space="preserve"> </w:t>
            </w:r>
            <w:r w:rsidRPr="007159A6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15" w:tgtFrame="_blank" w:history="1">
              <w:r w:rsidRPr="007159A6">
                <w:rPr>
                  <w:rStyle w:val="Hyperlink"/>
                  <w:i/>
                  <w:iCs/>
                  <w:lang w:val="ru-RU"/>
                </w:rPr>
                <w:t>CWG-FHR-21/10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6" w:tgtFrame="_blank" w:history="1">
              <w:r w:rsidRPr="007159A6">
                <w:rPr>
                  <w:rStyle w:val="Hyperlink"/>
                  <w:i/>
                  <w:iCs/>
                  <w:lang w:val="ru-RU"/>
                </w:rPr>
                <w:t>CWG-FHR-21/25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7" w:tgtFrame="_blank" w:history="1">
              <w:r w:rsidRPr="007159A6">
                <w:rPr>
                  <w:rStyle w:val="Hyperlink"/>
                  <w:i/>
                  <w:iCs/>
                  <w:lang w:val="ru-RU"/>
                </w:rPr>
                <w:t>CWG-FHR-21/INF/4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8" w:history="1">
              <w:r w:rsidRPr="007159A6">
                <w:rPr>
                  <w:rStyle w:val="Hyperlink"/>
                  <w:i/>
                  <w:iCs/>
                  <w:lang w:val="ru-RU"/>
                </w:rPr>
                <w:t>CWG-FHR-22/13</w:t>
              </w:r>
            </w:hyperlink>
            <w:r w:rsidRPr="007159A6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9" w:history="1">
              <w:r w:rsidRPr="007159A6">
                <w:rPr>
                  <w:rStyle w:val="Hyperlink"/>
                  <w:i/>
                  <w:iCs/>
                  <w:lang w:val="ru-RU"/>
                </w:rPr>
                <w:t>CWG-FHR-22/36</w:t>
              </w:r>
            </w:hyperlink>
          </w:p>
        </w:tc>
      </w:tr>
    </w:tbl>
    <w:bookmarkEnd w:id="2"/>
    <w:bookmarkEnd w:id="6"/>
    <w:p w14:paraId="7DAF1736" w14:textId="77777777" w:rsidR="00980949" w:rsidRPr="007159A6" w:rsidRDefault="00980949" w:rsidP="00980949">
      <w:pPr>
        <w:pStyle w:val="Heading1"/>
        <w:tabs>
          <w:tab w:val="right" w:pos="9071"/>
        </w:tabs>
        <w:rPr>
          <w:lang w:val="ru-RU"/>
        </w:rPr>
      </w:pPr>
      <w:r w:rsidRPr="007159A6">
        <w:rPr>
          <w:bCs/>
          <w:lang w:val="ru-RU"/>
        </w:rPr>
        <w:lastRenderedPageBreak/>
        <w:t>1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Базовая информация</w:t>
      </w:r>
    </w:p>
    <w:p w14:paraId="411A7691" w14:textId="1992E996" w:rsidR="00980949" w:rsidRPr="007159A6" w:rsidRDefault="00980949" w:rsidP="00B515A3">
      <w:pPr>
        <w:jc w:val="both"/>
        <w:rPr>
          <w:rFonts w:eastAsia="Calibri"/>
          <w:lang w:val="ru-RU"/>
        </w:rPr>
      </w:pPr>
      <w:r w:rsidRPr="007159A6">
        <w:rPr>
          <w:lang w:val="ru-RU"/>
        </w:rPr>
        <w:t>Ежегодно в штаб-квартире МСЭ проводится от 60 до 65 собраний, в том числе с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дополнительным использованием площадей МЦКЖ/ЦКВ. Эти собрания включают предусмотренные уставными документами технические собрания (исследовательских комиссий и рабочих групп) всех Секторов (обусловленные уставными документами Союза и Секторов, имеющими функции принятия решений и стратегического значения), а также собрания консультативных групп, Совета и рабочих групп Совета.</w:t>
      </w:r>
    </w:p>
    <w:p w14:paraId="2F436D92" w14:textId="77777777" w:rsidR="00980949" w:rsidRPr="007159A6" w:rsidRDefault="00980949" w:rsidP="00B515A3">
      <w:pPr>
        <w:jc w:val="both"/>
        <w:rPr>
          <w:rFonts w:eastAsia="Calibri"/>
          <w:lang w:val="ru-RU"/>
        </w:rPr>
      </w:pPr>
      <w:r w:rsidRPr="007159A6">
        <w:rPr>
          <w:lang w:val="ru-RU"/>
        </w:rPr>
        <w:t>В связи со строительством нового здания в рамках проекта штаб-квартиры МСЭ необходимо обеспечить надлежащие места проведения собраний, с тем чтобы обеспечить возможность созыва собраний МСЭ, которые обычно проводятся в штаб-квартире МСЭ, в том числе в течение основного периода, связанного с процессами сноса и строительства.</w:t>
      </w:r>
    </w:p>
    <w:p w14:paraId="48CF4C29" w14:textId="7A3A93F8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Эти собрания могут проводиться за пределами Женевы приглашающим правительством или другой принимающей организацией в соответствии с Резолюцией 5 (Киото, 1994 г.) Полномочной конференции, касающейся приглашений на проведение конференций или собраний вне Женевы, где указано, что принимающая сторона покрывает дополнительные расходы Союза по проведению собраний или конференций вне Женевы.</w:t>
      </w:r>
    </w:p>
    <w:p w14:paraId="53A99DBB" w14:textId="77777777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Вместе с тем проведение всех собраний на специальной основе в различных местах было бы нецелесообразным, принимая во внимание значительные финансовые, материально-технические и организационные проблемы, которые сопряжены с таким подходом, включая более высокие затраты, менее эффективное использование людских ресурсов и бóльшую неопределенность при планировании делегатами своей деятельности. Подробный перечень собраний МСЭ, запланированных на период с октября 2028 года по август 2029 года, был обновлен с учетом последней информации, полученной от организаторов собраний Секторов и Генерального секретариата. Он приведен в Приложении 1 к настоящему документу и включает ориентировочные даты проведения собраний, количество и площадь залов заседаний.</w:t>
      </w:r>
    </w:p>
    <w:p w14:paraId="2D14EACC" w14:textId="77777777" w:rsidR="00980949" w:rsidRPr="007159A6" w:rsidRDefault="00980949" w:rsidP="00980949">
      <w:pPr>
        <w:pStyle w:val="Heading1"/>
        <w:rPr>
          <w:lang w:val="ru-RU"/>
        </w:rPr>
      </w:pPr>
      <w:r w:rsidRPr="007159A6">
        <w:rPr>
          <w:bCs/>
          <w:lang w:val="ru-RU"/>
        </w:rPr>
        <w:t>2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Подтверждение основного периода проведения работ</w:t>
      </w:r>
    </w:p>
    <w:p w14:paraId="1680621D" w14:textId="344B938C" w:rsidR="00980949" w:rsidRPr="007159A6" w:rsidRDefault="00980949" w:rsidP="00B515A3">
      <w:pPr>
        <w:jc w:val="both"/>
        <w:rPr>
          <w:rFonts w:eastAsia="Calibri"/>
          <w:lang w:val="ru-RU"/>
        </w:rPr>
      </w:pPr>
      <w:r w:rsidRPr="007159A6">
        <w:rPr>
          <w:lang w:val="ru-RU"/>
        </w:rPr>
        <w:t xml:space="preserve">После дальнейшей доработки проектной компанией был подтвержден основной период проведения строительных работ, в течение которого может потребоваться использование альтернативных залов заседаний; он продлится </w:t>
      </w:r>
      <w:r w:rsidRPr="007159A6">
        <w:rPr>
          <w:b/>
          <w:bCs/>
          <w:lang w:val="ru-RU"/>
        </w:rPr>
        <w:t>с 1 октября 2028 года по 31 августа 2029</w:t>
      </w:r>
      <w:r w:rsidR="000D3BAB" w:rsidRPr="007159A6">
        <w:rPr>
          <w:b/>
          <w:bCs/>
          <w:lang w:val="ru-RU"/>
        </w:rPr>
        <w:t> </w:t>
      </w:r>
      <w:r w:rsidRPr="007159A6">
        <w:rPr>
          <w:b/>
          <w:bCs/>
          <w:lang w:val="ru-RU"/>
        </w:rPr>
        <w:t>года включительно</w:t>
      </w:r>
      <w:r w:rsidRPr="007159A6">
        <w:rPr>
          <w:lang w:val="ru-RU"/>
        </w:rPr>
        <w:t>.</w:t>
      </w:r>
    </w:p>
    <w:p w14:paraId="5640A962" w14:textId="77777777" w:rsidR="00980949" w:rsidRPr="007159A6" w:rsidRDefault="00980949" w:rsidP="00980949">
      <w:pPr>
        <w:pStyle w:val="Heading1"/>
        <w:rPr>
          <w:lang w:val="ru-RU"/>
        </w:rPr>
      </w:pPr>
      <w:r w:rsidRPr="007159A6">
        <w:rPr>
          <w:bCs/>
          <w:lang w:val="ru-RU"/>
        </w:rPr>
        <w:t>3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Доступность залов заседаний МСЭ в период проведения работ</w:t>
      </w:r>
    </w:p>
    <w:p w14:paraId="09AEECF2" w14:textId="52681E7A" w:rsidR="00980949" w:rsidRPr="007159A6" w:rsidRDefault="00980949" w:rsidP="00B515A3">
      <w:pPr>
        <w:jc w:val="both"/>
        <w:rPr>
          <w:rFonts w:eastAsia="Calibri"/>
          <w:lang w:val="ru-RU"/>
        </w:rPr>
      </w:pPr>
      <w:r w:rsidRPr="007159A6">
        <w:rPr>
          <w:lang w:val="ru-RU"/>
        </w:rPr>
        <w:t>В зданиях "Башня" и "Монбрийан" были проведены акустические испытания для оценки уровней шума при сносе и строительстве.</w:t>
      </w:r>
    </w:p>
    <w:p w14:paraId="16C4B950" w14:textId="77777777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Предварительные результаты показывают возможность использования отдельных помещений в штаб-квартире МСЭ в течение значительной части периода проведения основных строительных работ при условии ограниченного уровня шума. Однако продолжение использования помещений штаб-квартиры может потребовать модернизации инфраструктуры и оборудования для обеспечения непрерывности деятельности и качества обслуживания, поскольку срок службы некоторых объектов инфраструктуры и оборудования истечет до предполагаемого периода строительных работ или во время этого периода. В настоящее время проводится оценка с целью определения объема ремонтных работ и определения необходимых дополнительных инвестиций.</w:t>
      </w:r>
    </w:p>
    <w:p w14:paraId="1405EAC9" w14:textId="77777777" w:rsidR="00980949" w:rsidRPr="007159A6" w:rsidRDefault="00980949" w:rsidP="00980949">
      <w:pPr>
        <w:pStyle w:val="Heading1"/>
        <w:rPr>
          <w:lang w:val="ru-RU"/>
        </w:rPr>
      </w:pPr>
      <w:r w:rsidRPr="007159A6">
        <w:rPr>
          <w:bCs/>
          <w:lang w:val="ru-RU"/>
        </w:rPr>
        <w:lastRenderedPageBreak/>
        <w:t>4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Альтернативные места проведения мероприятий в Женеве</w:t>
      </w:r>
    </w:p>
    <w:p w14:paraId="420CE7C1" w14:textId="77777777" w:rsidR="00980949" w:rsidRPr="007159A6" w:rsidRDefault="00980949" w:rsidP="00B515A3">
      <w:pPr>
        <w:jc w:val="both"/>
        <w:rPr>
          <w:rFonts w:eastAsia="Calibri" w:cs="Calibri"/>
          <w:color w:val="000000" w:themeColor="text1"/>
          <w:szCs w:val="24"/>
          <w:lang w:val="ru-RU"/>
        </w:rPr>
      </w:pPr>
      <w:r w:rsidRPr="007159A6">
        <w:rPr>
          <w:lang w:val="ru-RU"/>
        </w:rPr>
        <w:t>Секретариат продолжил изучать различные варианты обеспечения непрерывности деятельности в рассматриваемый период путем аренды залов заседаний в альтернативных местах в Женеве.</w:t>
      </w:r>
    </w:p>
    <w:p w14:paraId="04239C93" w14:textId="77777777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Проведение сессий Совета МСЭ 2028 и 2029 годов</w:t>
      </w:r>
    </w:p>
    <w:p w14:paraId="653A757D" w14:textId="09FC0AB3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Принимая во внимание стратегическое значение ежегодной сессии Совета и в соответствии со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Статьей 4 Конвенции (п. 51), в которой устанавливается, что Совет МСЭ проводит ежегодно обычную сессию в месте пребывания Союза, сессии Совета в 2028 и 2029 годах планируется провести в Женеве.</w:t>
      </w:r>
    </w:p>
    <w:p w14:paraId="0EBA1E32" w14:textId="77777777" w:rsidR="00980949" w:rsidRPr="007159A6" w:rsidRDefault="00980949" w:rsidP="00B515A3">
      <w:pPr>
        <w:jc w:val="both"/>
        <w:rPr>
          <w:rFonts w:eastAsia="Calibri" w:cs="Calibri"/>
          <w:lang w:val="ru-RU"/>
        </w:rPr>
      </w:pPr>
      <w:r w:rsidRPr="007159A6">
        <w:rPr>
          <w:lang w:val="ru-RU"/>
        </w:rPr>
        <w:t>Сессию Совета 2028 года планируется провести с 13 по 23 июня в зале им. Попова в здании "Башня" штаб-квартиры МСЭ; согласно текущему графику реализации проекта строительства в течение этого времени не планируется никаких крупных работ по сносу, которые бы сопровождались высоким уровнем шума.</w:t>
      </w:r>
    </w:p>
    <w:p w14:paraId="15251937" w14:textId="373847F1" w:rsidR="00980949" w:rsidRPr="007159A6" w:rsidRDefault="00980949" w:rsidP="00B515A3">
      <w:pPr>
        <w:jc w:val="both"/>
        <w:rPr>
          <w:rFonts w:eastAsia="Calibri" w:cs="Calibri"/>
          <w:lang w:val="ru-RU"/>
        </w:rPr>
      </w:pPr>
      <w:r w:rsidRPr="007159A6">
        <w:rPr>
          <w:lang w:val="ru-RU"/>
        </w:rPr>
        <w:t>Первоначально планировалось, что сессия Совета 2029 года состоится в июне. Поскольку МЦКЖ не может принять собрание, оно может быть проведено либо в июне 2029 года в зале им.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Попова (окончательных результатов акустических испытаний пока нет), либо в ВОЗ, которая подтвердила наличие свободных площадей по состоянию на сегодняшний день.</w:t>
      </w:r>
    </w:p>
    <w:p w14:paraId="4B451D89" w14:textId="7F660622" w:rsidR="00980949" w:rsidRPr="007159A6" w:rsidRDefault="00980949" w:rsidP="00B515A3">
      <w:pPr>
        <w:jc w:val="both"/>
        <w:rPr>
          <w:rFonts w:eastAsia="Calibri" w:cs="Calibri"/>
          <w:lang w:val="ru-RU"/>
        </w:rPr>
      </w:pPr>
      <w:r w:rsidRPr="007159A6">
        <w:rPr>
          <w:lang w:val="ru-RU"/>
        </w:rPr>
        <w:t xml:space="preserve">Более консервативным и экономически эффективным вариантом было бы проведение сессии Совета 2029 года в зале им. Попова в сентябре, для чего необходимо получение согласия Государств-Членов – см. Документ </w:t>
      </w:r>
      <w:hyperlink r:id="rId20">
        <w:r w:rsidRPr="007159A6">
          <w:rPr>
            <w:rStyle w:val="Hyperlink"/>
            <w:rFonts w:eastAsia="Calibri" w:cs="Calibri"/>
            <w:lang w:val="ru-RU"/>
          </w:rPr>
          <w:t>C26/2</w:t>
        </w:r>
      </w:hyperlink>
      <w:r w:rsidRPr="007159A6">
        <w:rPr>
          <w:lang w:val="ru-RU"/>
        </w:rPr>
        <w:t>.</w:t>
      </w:r>
      <w:hyperlink r:id="rId21"/>
    </w:p>
    <w:p w14:paraId="358AE058" w14:textId="471396C2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Проведение собраний исследовательских комиссий, рабочих групп и консультативных групп</w:t>
      </w:r>
    </w:p>
    <w:p w14:paraId="2BCD6610" w14:textId="77777777" w:rsidR="00980949" w:rsidRPr="007159A6" w:rsidRDefault="00980949" w:rsidP="00980949">
      <w:pPr>
        <w:pStyle w:val="Headingi"/>
        <w:rPr>
          <w:lang w:val="ru-RU"/>
        </w:rPr>
      </w:pPr>
      <w:r w:rsidRPr="007159A6">
        <w:rPr>
          <w:iCs/>
          <w:lang w:val="ru-RU"/>
        </w:rPr>
        <w:t>МКЦЖ</w:t>
      </w:r>
    </w:p>
    <w:p w14:paraId="01D14257" w14:textId="052CAF96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Учитывая многолетнее сотрудничество с МСЭ, удобное расположение и знакомство делегатов с помещениями, МЦКЖ по-прежнему является наиболее подходящим альтернативным местом для проведения собраний. Однако в связи с плановыми ремонтными работами МЦКЖ будет закрыт с 1 января по 31 октября 2028 года, при этом его доступность будет ограничена с конца 2028 года и в течение 2029 года.</w:t>
      </w:r>
      <w:bookmarkStart w:id="7" w:name="_Int_MmwLdN8V"/>
      <w:bookmarkEnd w:id="7"/>
    </w:p>
    <w:p w14:paraId="53EAC4DE" w14:textId="1D1BB5BA" w:rsidR="00980949" w:rsidRPr="007159A6" w:rsidRDefault="00980949" w:rsidP="00B515A3">
      <w:pPr>
        <w:jc w:val="both"/>
        <w:rPr>
          <w:rFonts w:eastAsia="Calibri" w:cs="Calibri"/>
          <w:lang w:val="ru-RU"/>
        </w:rPr>
      </w:pPr>
      <w:r w:rsidRPr="007159A6">
        <w:rPr>
          <w:lang w:val="ru-RU"/>
        </w:rPr>
        <w:t>Секретариат МСЭ тесно сотрудничает с МЦКЖ для определения возможности проведения как можно большего количества собраний МСЭ в период с октября 2028 года по август 2029</w:t>
      </w:r>
      <w:r w:rsidR="000D3BAB" w:rsidRPr="007159A6">
        <w:rPr>
          <w:lang w:val="ru-RU"/>
        </w:rPr>
        <w:t> </w:t>
      </w:r>
      <w:r w:rsidRPr="007159A6">
        <w:rPr>
          <w:lang w:val="ru-RU"/>
        </w:rPr>
        <w:t>года. В</w:t>
      </w:r>
      <w:r w:rsidR="000D3BAB" w:rsidRPr="007159A6">
        <w:rPr>
          <w:lang w:val="ru-RU"/>
        </w:rPr>
        <w:t> </w:t>
      </w:r>
      <w:r w:rsidRPr="007159A6">
        <w:rPr>
          <w:lang w:val="ru-RU"/>
        </w:rPr>
        <w:t>настоящее время МЦКЖ может принять ограниченное количество собраний в этот период, поскольку для всех других собраний либо недоступно место проведения, либо пространство может быть предоставлено МСЭ только в качестве второго варианта в случае отмены бронирования помещений другими сторонами.</w:t>
      </w:r>
    </w:p>
    <w:p w14:paraId="708F5A81" w14:textId="08064210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Начиная с 2027 года ко всем собраниям, проводимым в МЦКЖ, будет применяться арендная и фиксированная плата. Хотя новые арендные и фиксированные платежи применяются в МЦКЖ с 2025 года, затраты на аренду помещений для проведения собраний МСЭ в МЦКЖ в 2025 и 2026</w:t>
      </w:r>
      <w:r w:rsidR="000D3BAB" w:rsidRPr="007159A6">
        <w:rPr>
          <w:lang w:val="ru-RU"/>
        </w:rPr>
        <w:t> </w:t>
      </w:r>
      <w:r w:rsidRPr="007159A6">
        <w:rPr>
          <w:lang w:val="ru-RU"/>
        </w:rPr>
        <w:t>годах будут возмещены в рамках щедрого пакета неотложных мер по поддержке международных организаций в Женеве, предоставленного Швейцарией, за что МСЭ весьма признателен.</w:t>
      </w:r>
    </w:p>
    <w:p w14:paraId="4690003F" w14:textId="1E58C877" w:rsidR="00980949" w:rsidRPr="007159A6" w:rsidRDefault="00980949" w:rsidP="00980949">
      <w:pPr>
        <w:pStyle w:val="Headingi"/>
        <w:rPr>
          <w:lang w:val="ru-RU"/>
        </w:rPr>
      </w:pPr>
      <w:r w:rsidRPr="007159A6">
        <w:rPr>
          <w:iCs/>
          <w:lang w:val="ru-RU"/>
        </w:rPr>
        <w:t>Palexpo</w:t>
      </w:r>
    </w:p>
    <w:p w14:paraId="1D66549E" w14:textId="73210F17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 xml:space="preserve">По итогам дальнейшего взаимодействия с руководством Palexpo было получено подтверждение, что с октября 2028 года по август 2029 года в Palexpo будет доступно на разовой основе только ограниченное количество залов заседаний. Этот вариант по-прежнему является наиболее дорогостоящим в Женеве ввиду высокой стоимости технических услуг. Секретариат </w:t>
      </w:r>
      <w:r w:rsidRPr="007159A6">
        <w:rPr>
          <w:lang w:val="ru-RU"/>
        </w:rPr>
        <w:lastRenderedPageBreak/>
        <w:t>ведет работу по сопоставлению перечня собраний МСЭ, для которых еще не определено место проведения, и доступных для бронирования площадей в Palexpo на этот период.</w:t>
      </w:r>
    </w:p>
    <w:p w14:paraId="79C9022B" w14:textId="564CD6CC" w:rsidR="00980949" w:rsidRPr="007159A6" w:rsidRDefault="00980949" w:rsidP="00980949">
      <w:pPr>
        <w:pStyle w:val="Headingi"/>
        <w:rPr>
          <w:rFonts w:eastAsia="Calibri"/>
          <w:iCs/>
          <w:lang w:val="ru-RU"/>
        </w:rPr>
      </w:pPr>
      <w:r w:rsidRPr="007159A6">
        <w:rPr>
          <w:iCs/>
          <w:lang w:val="ru-RU"/>
        </w:rPr>
        <w:t>Отделение Организации Объединенных Наций в Женеве</w:t>
      </w:r>
    </w:p>
    <w:p w14:paraId="2F65247B" w14:textId="77777777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Предварительные обсуждения с Отделением Организации Объединенных Наций в Женеве (ЮНОГ) показывают, что возможности проведения внешних собраний ограничены, и подтверждение доступности площадей не может быть получено более чем за шесть месяцев до начала собрания. Тем не менее, МСЭ направил официальное сообщение с вопросом, сможет ли ЮНОГ принять какое-либо из собраний МСЭ в указанный период, и ожидает ответа.</w:t>
      </w:r>
    </w:p>
    <w:p w14:paraId="56355C12" w14:textId="0928EB11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Использование временной структуры для проведения конференций Tempus в ЮНОГ на протяжении всего года не является целесообразным вариантом, учитывая ограниченную вместимость и высокую стоимость, включая стоимость перепланировки помещений и демонтажа конструкций в конце срока аренды. Только затраты на демонтаж, которые, как подтвердило ЮНОГ, в соответствии с этим подходом ложатся на МСЭ, по оценкам, составят 0,5</w:t>
      </w:r>
      <w:r w:rsidR="000D3BAB" w:rsidRPr="007159A6">
        <w:rPr>
          <w:lang w:val="ru-RU"/>
        </w:rPr>
        <w:t> </w:t>
      </w:r>
      <w:r w:rsidRPr="007159A6">
        <w:rPr>
          <w:lang w:val="ru-RU"/>
        </w:rPr>
        <w:t>млн. швейцарских франков.</w:t>
      </w:r>
    </w:p>
    <w:p w14:paraId="581A1320" w14:textId="77777777" w:rsidR="00980949" w:rsidRPr="007159A6" w:rsidRDefault="00980949" w:rsidP="00980949">
      <w:pPr>
        <w:pStyle w:val="Headingi"/>
        <w:rPr>
          <w:lang w:val="ru-RU"/>
        </w:rPr>
      </w:pPr>
      <w:r w:rsidRPr="007159A6">
        <w:rPr>
          <w:iCs/>
          <w:lang w:val="ru-RU"/>
        </w:rPr>
        <w:t>Помещения других объединений системы ООН</w:t>
      </w:r>
      <w:r w:rsidRPr="007159A6">
        <w:rPr>
          <w:i w:val="0"/>
          <w:lang w:val="ru-RU"/>
        </w:rPr>
        <w:t>/</w:t>
      </w:r>
      <w:r w:rsidRPr="007159A6">
        <w:rPr>
          <w:iCs/>
          <w:lang w:val="ru-RU"/>
        </w:rPr>
        <w:t>международных объединений на разовой основе</w:t>
      </w:r>
    </w:p>
    <w:p w14:paraId="7B5CA4BD" w14:textId="5F189C5F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В 2028 и 2029 годах для аренды на разовой основе в Женеве доступно ограниченное количество залов заседаний. ВОЗ и МОТ предлагают подходящие помещения для проведения собраний среднего размера с возможностью заблаговременного бронирования залов, что позволяет осуществлять своевременное бронирование и обеспечивает возможность долгосрочного планирования. МСЭ впервые проведет собрание исследовательской комиссии БР в ВОЗ в июне 2028 года. Следует отметить, что ВОЗ и МОТ используют помещения ЮНОГ для проведения более масштабных собраний, и ЮНОГ осуществляет свою собственную программу ремонта, что означает ограниченность предложения и определенную конкуренцию в вопросе обеспечения надлежащих помещений для собраний, в особенности в определенные периоды в течение года. Другие международные организации удовлетворяют только внешние заявки на аренду помещений для собраний своих Государств-Членов для проведения мероприятий, соответствующих их мандату, или не имеют достаточно просторных залов заседаний для проведения собраний МСЭ.</w:t>
      </w:r>
    </w:p>
    <w:p w14:paraId="2C28D901" w14:textId="493656B6" w:rsidR="00980949" w:rsidRPr="007159A6" w:rsidRDefault="00980949" w:rsidP="00B515A3">
      <w:pPr>
        <w:jc w:val="both"/>
        <w:rPr>
          <w:rFonts w:eastAsia="Calibri" w:cs="Calibri"/>
          <w:szCs w:val="24"/>
          <w:lang w:val="ru-RU"/>
        </w:rPr>
      </w:pPr>
      <w:r w:rsidRPr="007159A6">
        <w:rPr>
          <w:lang w:val="ru-RU"/>
        </w:rPr>
        <w:t>Одновременно Секретариат продолжает укреплять сотрудничество и обмен информацией со страной пребывания и сообществом ООН в Женеве. Генеральный секретарь МСЭ является одним из координаторов блока специализированных учреждений в рамках инициативы "ООН</w:t>
      </w:r>
      <w:r w:rsidR="000D3BAB" w:rsidRPr="007159A6">
        <w:rPr>
          <w:rFonts w:ascii="Cambria Math" w:hAnsi="Cambria Math"/>
          <w:lang w:val="ru-RU"/>
        </w:rPr>
        <w:t>‑</w:t>
      </w:r>
      <w:r w:rsidRPr="007159A6">
        <w:rPr>
          <w:lang w:val="ru-RU"/>
        </w:rPr>
        <w:t>80" наряду с МОТ и в этом качестве она призвала к созданию скоординированной структуры в целях рационализации использования помещений и их совместного использования в интересах учреждений ООН в Женеве. После первого собрания с ЮНОГ и МОТ в декабре 2025 года МСЭ работает над первоначальным планом проекта и последующими шагами. МСЭ также принимает участие в деятельности рабочих групп, организованных представительством Швейцарии для поддержки координации помещений для проведения конференций и служебных помещений с международными организациями в Женеве. Предполагается, что эти усилия в конечном счете обеспечат возможности для синергии и более эффективного использования ресурсов учреждениями ООН в Женеве и в контексте комплекса зданий МСЭ.</w:t>
      </w:r>
    </w:p>
    <w:p w14:paraId="3619B608" w14:textId="77777777" w:rsidR="00980949" w:rsidRPr="007159A6" w:rsidRDefault="00980949" w:rsidP="00980949">
      <w:pPr>
        <w:pStyle w:val="Headingi"/>
        <w:rPr>
          <w:lang w:val="ru-RU"/>
        </w:rPr>
      </w:pPr>
      <w:r w:rsidRPr="007159A6">
        <w:rPr>
          <w:iCs/>
          <w:lang w:val="ru-RU"/>
        </w:rPr>
        <w:t>Ориентировочный обзор затрат в других местах проведения мероприятий в Женеве на разовой основе</w:t>
      </w:r>
    </w:p>
    <w:p w14:paraId="1369335D" w14:textId="0D023C7E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За использование всех помещений в Женеве взимается арендная плата по коммерческим ставкам, а также плата за технические услуги и обслуживание.</w:t>
      </w:r>
    </w:p>
    <w:p w14:paraId="45E44430" w14:textId="77777777" w:rsidR="00980949" w:rsidRPr="007159A6" w:rsidRDefault="00980949" w:rsidP="000D3BAB">
      <w:pPr>
        <w:spacing w:after="120"/>
        <w:rPr>
          <w:rFonts w:eastAsia="Calibri"/>
          <w:lang w:val="ru-RU"/>
        </w:rPr>
      </w:pPr>
      <w:r w:rsidRPr="007159A6">
        <w:rPr>
          <w:lang w:val="ru-RU"/>
        </w:rPr>
        <w:lastRenderedPageBreak/>
        <w:t>В следующей таблице представлено ориентировочное сравнение стоимости аренды для определенного количества отдельных собраний в различных местах проведения с учетом того, что будут взиматься также сборы за технические услуги и обслуживание:</w:t>
      </w:r>
    </w:p>
    <w:tbl>
      <w:tblPr>
        <w:tblStyle w:val="TableGrid"/>
        <w:tblW w:w="90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1092"/>
        <w:gridCol w:w="1358"/>
        <w:gridCol w:w="2407"/>
        <w:gridCol w:w="1026"/>
        <w:gridCol w:w="1027"/>
        <w:gridCol w:w="1027"/>
      </w:tblGrid>
      <w:tr w:rsidR="004D5326" w:rsidRPr="007159A6" w14:paraId="2CD21BE2" w14:textId="77777777" w:rsidTr="004D5326">
        <w:trPr>
          <w:tblHeader/>
        </w:trPr>
        <w:tc>
          <w:tcPr>
            <w:tcW w:w="1129" w:type="dxa"/>
            <w:vAlign w:val="center"/>
            <w:hideMark/>
          </w:tcPr>
          <w:p w14:paraId="0B5550A7" w14:textId="5F0C2564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Собрание</w:t>
            </w:r>
          </w:p>
        </w:tc>
        <w:tc>
          <w:tcPr>
            <w:tcW w:w="1092" w:type="dxa"/>
            <w:vAlign w:val="center"/>
            <w:hideMark/>
          </w:tcPr>
          <w:p w14:paraId="6303CD10" w14:textId="77777777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Продолжи-тельность, дни</w:t>
            </w:r>
          </w:p>
        </w:tc>
        <w:tc>
          <w:tcPr>
            <w:tcW w:w="1358" w:type="dxa"/>
            <w:vAlign w:val="center"/>
            <w:hideMark/>
          </w:tcPr>
          <w:p w14:paraId="23DEDA12" w14:textId="482D753D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Залы/</w:t>
            </w:r>
            <w:r w:rsidR="00E743CB" w:rsidRPr="007159A6">
              <w:rPr>
                <w:bCs/>
                <w:color w:val="000000"/>
                <w:sz w:val="18"/>
                <w:szCs w:val="18"/>
                <w:lang w:val="ru-RU"/>
              </w:rPr>
              <w:br/>
            </w: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вместимость</w:t>
            </w:r>
          </w:p>
        </w:tc>
        <w:tc>
          <w:tcPr>
            <w:tcW w:w="2407" w:type="dxa"/>
            <w:vAlign w:val="center"/>
            <w:hideMark/>
          </w:tcPr>
          <w:p w14:paraId="3760B6A9" w14:textId="77777777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Затраты (шв. фр.)</w:t>
            </w:r>
          </w:p>
        </w:tc>
        <w:tc>
          <w:tcPr>
            <w:tcW w:w="1026" w:type="dxa"/>
            <w:vAlign w:val="center"/>
            <w:hideMark/>
          </w:tcPr>
          <w:p w14:paraId="144C4E3C" w14:textId="700355A0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МКЦЖ</w:t>
            </w:r>
          </w:p>
        </w:tc>
        <w:tc>
          <w:tcPr>
            <w:tcW w:w="1027" w:type="dxa"/>
            <w:vAlign w:val="center"/>
            <w:hideMark/>
          </w:tcPr>
          <w:p w14:paraId="4E62094C" w14:textId="4AF8D555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ЮНОГ</w:t>
            </w:r>
          </w:p>
        </w:tc>
        <w:tc>
          <w:tcPr>
            <w:tcW w:w="1027" w:type="dxa"/>
            <w:vAlign w:val="center"/>
            <w:hideMark/>
          </w:tcPr>
          <w:p w14:paraId="220B769D" w14:textId="471D019C" w:rsidR="00980949" w:rsidRPr="007159A6" w:rsidRDefault="00980949" w:rsidP="000D3BAB">
            <w:pPr>
              <w:pStyle w:val="Tablehead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Palexpo</w:t>
            </w:r>
          </w:p>
        </w:tc>
      </w:tr>
      <w:tr w:rsidR="004D5326" w:rsidRPr="007159A6" w14:paraId="0DBA1BB8" w14:textId="77777777" w:rsidTr="004D5326">
        <w:tc>
          <w:tcPr>
            <w:tcW w:w="1129" w:type="dxa"/>
            <w:vMerge w:val="restart"/>
            <w:vAlign w:val="center"/>
            <w:hideMark/>
          </w:tcPr>
          <w:p w14:paraId="13848572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Совет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5E001FCF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45D12748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1×350, 1×150, 1×80, 2×30, 1×20</w:t>
            </w:r>
          </w:p>
        </w:tc>
        <w:tc>
          <w:tcPr>
            <w:tcW w:w="2407" w:type="dxa"/>
            <w:hideMark/>
          </w:tcPr>
          <w:p w14:paraId="03DCE241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4BE09D12" w14:textId="59100921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27 368</w:t>
            </w:r>
          </w:p>
        </w:tc>
        <w:tc>
          <w:tcPr>
            <w:tcW w:w="1027" w:type="dxa"/>
            <w:hideMark/>
          </w:tcPr>
          <w:p w14:paraId="02F6A3FE" w14:textId="50F8B959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33 792</w:t>
            </w:r>
          </w:p>
        </w:tc>
        <w:tc>
          <w:tcPr>
            <w:tcW w:w="1027" w:type="dxa"/>
            <w:hideMark/>
          </w:tcPr>
          <w:p w14:paraId="4AFE02B1" w14:textId="6AFAD89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95 400</w:t>
            </w:r>
          </w:p>
        </w:tc>
      </w:tr>
      <w:tr w:rsidR="004D5326" w:rsidRPr="007159A6" w14:paraId="689FA1FE" w14:textId="77777777" w:rsidTr="004D5326">
        <w:tc>
          <w:tcPr>
            <w:tcW w:w="1129" w:type="dxa"/>
            <w:vMerge/>
            <w:vAlign w:val="center"/>
            <w:hideMark/>
          </w:tcPr>
          <w:p w14:paraId="37C61D0A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4654CF24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3E9B6EF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6BFDFB16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09965BA7" w14:textId="573B2D26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10 220</w:t>
            </w:r>
          </w:p>
        </w:tc>
        <w:tc>
          <w:tcPr>
            <w:tcW w:w="1027" w:type="dxa"/>
            <w:hideMark/>
          </w:tcPr>
          <w:p w14:paraId="6846D56E" w14:textId="70EB7A4C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18 968</w:t>
            </w:r>
          </w:p>
        </w:tc>
        <w:tc>
          <w:tcPr>
            <w:tcW w:w="1027" w:type="dxa"/>
            <w:hideMark/>
          </w:tcPr>
          <w:p w14:paraId="0076CCE8" w14:textId="345472B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14 099</w:t>
            </w:r>
          </w:p>
        </w:tc>
      </w:tr>
      <w:tr w:rsidR="004D5326" w:rsidRPr="007159A6" w14:paraId="5FDDC6A6" w14:textId="77777777" w:rsidTr="004D5326">
        <w:tc>
          <w:tcPr>
            <w:tcW w:w="1129" w:type="dxa"/>
            <w:vMerge/>
            <w:vAlign w:val="center"/>
            <w:hideMark/>
          </w:tcPr>
          <w:p w14:paraId="4F167294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2B366CE3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61FC0120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1BC41F77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4DF7CEDA" w14:textId="143FF5CE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50 000</w:t>
            </w:r>
          </w:p>
        </w:tc>
        <w:tc>
          <w:tcPr>
            <w:tcW w:w="1027" w:type="dxa"/>
            <w:hideMark/>
          </w:tcPr>
          <w:p w14:paraId="36C76AFF" w14:textId="14BFB630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44 000</w:t>
            </w:r>
          </w:p>
        </w:tc>
        <w:tc>
          <w:tcPr>
            <w:tcW w:w="1027" w:type="dxa"/>
            <w:hideMark/>
          </w:tcPr>
          <w:p w14:paraId="1B607E66" w14:textId="26C2EB52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151 167</w:t>
            </w:r>
          </w:p>
        </w:tc>
      </w:tr>
      <w:tr w:rsidR="004D5326" w:rsidRPr="007159A6" w14:paraId="29E23AD6" w14:textId="77777777" w:rsidTr="004D5326">
        <w:tc>
          <w:tcPr>
            <w:tcW w:w="1129" w:type="dxa"/>
            <w:vMerge/>
            <w:vAlign w:val="center"/>
            <w:hideMark/>
          </w:tcPr>
          <w:p w14:paraId="5A1AC5F7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502971A4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60F98368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5F331D06" w14:textId="6E31B43F" w:rsidR="00980949" w:rsidRPr="007159A6" w:rsidRDefault="00980949" w:rsidP="00ED4346">
            <w:pPr>
              <w:pStyle w:val="Tabletext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hideMark/>
          </w:tcPr>
          <w:p w14:paraId="46ED4CC4" w14:textId="74C5A1F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87 588</w:t>
            </w:r>
          </w:p>
        </w:tc>
        <w:tc>
          <w:tcPr>
            <w:tcW w:w="1027" w:type="dxa"/>
            <w:hideMark/>
          </w:tcPr>
          <w:p w14:paraId="18A6D006" w14:textId="19BD1D9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96 760</w:t>
            </w:r>
          </w:p>
        </w:tc>
        <w:tc>
          <w:tcPr>
            <w:tcW w:w="1027" w:type="dxa"/>
            <w:hideMark/>
          </w:tcPr>
          <w:p w14:paraId="52874155" w14:textId="1ECA6BC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260 666</w:t>
            </w:r>
          </w:p>
        </w:tc>
      </w:tr>
      <w:tr w:rsidR="004D5326" w:rsidRPr="007159A6" w14:paraId="6E61D1EF" w14:textId="77777777" w:rsidTr="004D5326">
        <w:tc>
          <w:tcPr>
            <w:tcW w:w="1129" w:type="dxa"/>
            <w:vMerge w:val="restart"/>
            <w:vAlign w:val="center"/>
            <w:hideMark/>
          </w:tcPr>
          <w:p w14:paraId="66F7FF3A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РГС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53074BF4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59F9C175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1×150, 1×80</w:t>
            </w:r>
          </w:p>
        </w:tc>
        <w:tc>
          <w:tcPr>
            <w:tcW w:w="2407" w:type="dxa"/>
            <w:hideMark/>
          </w:tcPr>
          <w:p w14:paraId="5D7F7BF8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7EC3CA75" w14:textId="5CE49C63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21 560</w:t>
            </w:r>
          </w:p>
        </w:tc>
        <w:tc>
          <w:tcPr>
            <w:tcW w:w="1027" w:type="dxa"/>
            <w:hideMark/>
          </w:tcPr>
          <w:p w14:paraId="383AE3E3" w14:textId="0724EEA5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14 784</w:t>
            </w:r>
          </w:p>
        </w:tc>
        <w:tc>
          <w:tcPr>
            <w:tcW w:w="1027" w:type="dxa"/>
            <w:hideMark/>
          </w:tcPr>
          <w:p w14:paraId="46455F32" w14:textId="5695739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56 760</w:t>
            </w:r>
          </w:p>
        </w:tc>
      </w:tr>
      <w:tr w:rsidR="004D5326" w:rsidRPr="007159A6" w14:paraId="272FCAE0" w14:textId="77777777" w:rsidTr="004D5326">
        <w:tc>
          <w:tcPr>
            <w:tcW w:w="1129" w:type="dxa"/>
            <w:vMerge/>
            <w:hideMark/>
          </w:tcPr>
          <w:p w14:paraId="39BFB6AF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0AD030F8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6FF341F4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62361FC1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516D2187" w14:textId="4950596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10 220</w:t>
            </w:r>
          </w:p>
        </w:tc>
        <w:tc>
          <w:tcPr>
            <w:tcW w:w="1027" w:type="dxa"/>
            <w:hideMark/>
          </w:tcPr>
          <w:p w14:paraId="62AC1FE4" w14:textId="2EE3D9AE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600</w:t>
            </w:r>
          </w:p>
        </w:tc>
        <w:tc>
          <w:tcPr>
            <w:tcW w:w="1027" w:type="dxa"/>
            <w:hideMark/>
          </w:tcPr>
          <w:p w14:paraId="00506498" w14:textId="3E80D1A2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14 099</w:t>
            </w:r>
          </w:p>
        </w:tc>
      </w:tr>
      <w:tr w:rsidR="004D5326" w:rsidRPr="007159A6" w14:paraId="17AFCA96" w14:textId="77777777" w:rsidTr="004D5326">
        <w:tc>
          <w:tcPr>
            <w:tcW w:w="1129" w:type="dxa"/>
            <w:vMerge/>
            <w:hideMark/>
          </w:tcPr>
          <w:p w14:paraId="6F86BAEE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1EBE3699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0241420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1C8FEEF3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58CEAE47" w14:textId="2A82C3A6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35 000</w:t>
            </w:r>
          </w:p>
        </w:tc>
        <w:tc>
          <w:tcPr>
            <w:tcW w:w="1027" w:type="dxa"/>
            <w:hideMark/>
          </w:tcPr>
          <w:p w14:paraId="0C00CE03" w14:textId="7622A25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28 800</w:t>
            </w:r>
          </w:p>
        </w:tc>
        <w:tc>
          <w:tcPr>
            <w:tcW w:w="1027" w:type="dxa"/>
            <w:hideMark/>
          </w:tcPr>
          <w:p w14:paraId="15EBF201" w14:textId="6EF702E6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93 542</w:t>
            </w:r>
          </w:p>
        </w:tc>
      </w:tr>
      <w:tr w:rsidR="004D5326" w:rsidRPr="007159A6" w14:paraId="503A2071" w14:textId="77777777" w:rsidTr="004D5326">
        <w:tc>
          <w:tcPr>
            <w:tcW w:w="1129" w:type="dxa"/>
            <w:vMerge/>
            <w:hideMark/>
          </w:tcPr>
          <w:p w14:paraId="4DFB9523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479545D8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44A5390C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118A6970" w14:textId="03DCC030" w:rsidR="00980949" w:rsidRPr="007159A6" w:rsidRDefault="00980949" w:rsidP="00ED4346">
            <w:pPr>
              <w:pStyle w:val="Tabletext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hideMark/>
          </w:tcPr>
          <w:p w14:paraId="05FBACA2" w14:textId="75987B1D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66 780</w:t>
            </w:r>
          </w:p>
        </w:tc>
        <w:tc>
          <w:tcPr>
            <w:tcW w:w="1027" w:type="dxa"/>
            <w:hideMark/>
          </w:tcPr>
          <w:p w14:paraId="231A6625" w14:textId="29BB551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44 184</w:t>
            </w:r>
          </w:p>
        </w:tc>
        <w:tc>
          <w:tcPr>
            <w:tcW w:w="1027" w:type="dxa"/>
            <w:hideMark/>
          </w:tcPr>
          <w:p w14:paraId="46CD621F" w14:textId="15372399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164 401</w:t>
            </w:r>
          </w:p>
        </w:tc>
      </w:tr>
      <w:tr w:rsidR="004D5326" w:rsidRPr="007159A6" w14:paraId="1EA8C62B" w14:textId="77777777" w:rsidTr="004D5326">
        <w:tc>
          <w:tcPr>
            <w:tcW w:w="1129" w:type="dxa"/>
            <w:vMerge w:val="restart"/>
            <w:vAlign w:val="center"/>
            <w:hideMark/>
          </w:tcPr>
          <w:p w14:paraId="60FB7F71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КГСЭ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2B54FD93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7690BCFA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1×50, 1×30, 1×20</w:t>
            </w:r>
          </w:p>
        </w:tc>
        <w:tc>
          <w:tcPr>
            <w:tcW w:w="2407" w:type="dxa"/>
            <w:hideMark/>
          </w:tcPr>
          <w:p w14:paraId="29AEB516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2E65E6FC" w14:textId="75B7F022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14 050</w:t>
            </w:r>
          </w:p>
        </w:tc>
        <w:tc>
          <w:tcPr>
            <w:tcW w:w="1027" w:type="dxa"/>
            <w:hideMark/>
          </w:tcPr>
          <w:p w14:paraId="165B0ACC" w14:textId="12BC8A69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7 920</w:t>
            </w:r>
          </w:p>
        </w:tc>
        <w:tc>
          <w:tcPr>
            <w:tcW w:w="1027" w:type="dxa"/>
            <w:hideMark/>
          </w:tcPr>
          <w:p w14:paraId="3DB9DEE5" w14:textId="7F5D69BD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26 400</w:t>
            </w:r>
          </w:p>
        </w:tc>
      </w:tr>
      <w:tr w:rsidR="004D5326" w:rsidRPr="007159A6" w14:paraId="7DBED1C4" w14:textId="77777777" w:rsidTr="004D5326">
        <w:tc>
          <w:tcPr>
            <w:tcW w:w="1129" w:type="dxa"/>
            <w:vMerge/>
            <w:vAlign w:val="center"/>
            <w:hideMark/>
          </w:tcPr>
          <w:p w14:paraId="4BC72454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31C99A03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1E26235C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382731BA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52AB73FA" w14:textId="2C843812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7 200</w:t>
            </w:r>
          </w:p>
        </w:tc>
        <w:tc>
          <w:tcPr>
            <w:tcW w:w="1027" w:type="dxa"/>
            <w:hideMark/>
          </w:tcPr>
          <w:p w14:paraId="168D1BA2" w14:textId="661687F4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800</w:t>
            </w:r>
          </w:p>
        </w:tc>
        <w:tc>
          <w:tcPr>
            <w:tcW w:w="1027" w:type="dxa"/>
            <w:hideMark/>
          </w:tcPr>
          <w:p w14:paraId="3E69D936" w14:textId="3DAE6A9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7 242</w:t>
            </w:r>
          </w:p>
        </w:tc>
      </w:tr>
      <w:tr w:rsidR="004D5326" w:rsidRPr="007159A6" w14:paraId="7E0597A1" w14:textId="77777777" w:rsidTr="004D5326">
        <w:tc>
          <w:tcPr>
            <w:tcW w:w="1129" w:type="dxa"/>
            <w:vMerge/>
            <w:vAlign w:val="center"/>
            <w:hideMark/>
          </w:tcPr>
          <w:p w14:paraId="1C8254A6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4EF6354D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5667B25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6332D9D3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30DB6266" w14:textId="6767DDC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18 000</w:t>
            </w:r>
          </w:p>
        </w:tc>
        <w:tc>
          <w:tcPr>
            <w:tcW w:w="1027" w:type="dxa"/>
            <w:hideMark/>
          </w:tcPr>
          <w:p w14:paraId="6B5AA85C" w14:textId="096A831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15 200</w:t>
            </w:r>
          </w:p>
        </w:tc>
        <w:tc>
          <w:tcPr>
            <w:tcW w:w="1027" w:type="dxa"/>
            <w:hideMark/>
          </w:tcPr>
          <w:p w14:paraId="0FF9D24D" w14:textId="673C61F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54 228</w:t>
            </w:r>
          </w:p>
        </w:tc>
      </w:tr>
      <w:tr w:rsidR="004D5326" w:rsidRPr="007159A6" w14:paraId="65A0B097" w14:textId="77777777" w:rsidTr="004D5326">
        <w:tc>
          <w:tcPr>
            <w:tcW w:w="1129" w:type="dxa"/>
            <w:vMerge/>
            <w:vAlign w:val="center"/>
            <w:hideMark/>
          </w:tcPr>
          <w:p w14:paraId="3796FC84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366225B3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6E4D2462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2079B412" w14:textId="46C5A91C" w:rsidR="00980949" w:rsidRPr="007159A6" w:rsidRDefault="00980949" w:rsidP="00ED4346">
            <w:pPr>
              <w:pStyle w:val="Tabletext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hideMark/>
          </w:tcPr>
          <w:p w14:paraId="77FDE2BD" w14:textId="16B43A4B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38 450</w:t>
            </w:r>
          </w:p>
        </w:tc>
        <w:tc>
          <w:tcPr>
            <w:tcW w:w="1027" w:type="dxa"/>
            <w:hideMark/>
          </w:tcPr>
          <w:p w14:paraId="61F06272" w14:textId="5634E9D1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23 920</w:t>
            </w:r>
          </w:p>
        </w:tc>
        <w:tc>
          <w:tcPr>
            <w:tcW w:w="1027" w:type="dxa"/>
            <w:hideMark/>
          </w:tcPr>
          <w:p w14:paraId="5DFD9DEF" w14:textId="7777777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87 870</w:t>
            </w:r>
          </w:p>
        </w:tc>
      </w:tr>
      <w:tr w:rsidR="004D5326" w:rsidRPr="007159A6" w14:paraId="781A0FC6" w14:textId="77777777" w:rsidTr="004D5326">
        <w:tc>
          <w:tcPr>
            <w:tcW w:w="1129" w:type="dxa"/>
            <w:vMerge w:val="restart"/>
            <w:vAlign w:val="center"/>
            <w:hideMark/>
          </w:tcPr>
          <w:p w14:paraId="60A377BB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РГ 5A, 5B и 5C БР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7A3529D4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6492B59B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1×120, 1×80, 1×50, 1×30</w:t>
            </w:r>
          </w:p>
        </w:tc>
        <w:tc>
          <w:tcPr>
            <w:tcW w:w="2407" w:type="dxa"/>
            <w:hideMark/>
          </w:tcPr>
          <w:p w14:paraId="6B4DE46E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26414A19" w14:textId="1B2D13A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27 128</w:t>
            </w:r>
          </w:p>
        </w:tc>
        <w:tc>
          <w:tcPr>
            <w:tcW w:w="1027" w:type="dxa"/>
            <w:hideMark/>
          </w:tcPr>
          <w:p w14:paraId="31C4578E" w14:textId="46FAE18C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31 488</w:t>
            </w:r>
          </w:p>
        </w:tc>
        <w:tc>
          <w:tcPr>
            <w:tcW w:w="1027" w:type="dxa"/>
            <w:hideMark/>
          </w:tcPr>
          <w:p w14:paraId="545FBE72" w14:textId="12885B7E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90 720</w:t>
            </w:r>
          </w:p>
        </w:tc>
      </w:tr>
      <w:tr w:rsidR="004D5326" w:rsidRPr="007159A6" w14:paraId="305E7E9B" w14:textId="77777777" w:rsidTr="004D5326">
        <w:tc>
          <w:tcPr>
            <w:tcW w:w="1129" w:type="dxa"/>
            <w:vMerge/>
            <w:vAlign w:val="center"/>
            <w:hideMark/>
          </w:tcPr>
          <w:p w14:paraId="1ADC2282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0A248735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3663B5A6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2A3C8064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6E16430F" w14:textId="2B57E7A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10 220</w:t>
            </w:r>
          </w:p>
        </w:tc>
        <w:tc>
          <w:tcPr>
            <w:tcW w:w="1027" w:type="dxa"/>
            <w:hideMark/>
          </w:tcPr>
          <w:p w14:paraId="67178245" w14:textId="21ABA3E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1 280</w:t>
            </w:r>
          </w:p>
        </w:tc>
        <w:tc>
          <w:tcPr>
            <w:tcW w:w="1027" w:type="dxa"/>
            <w:hideMark/>
          </w:tcPr>
          <w:p w14:paraId="0BED7998" w14:textId="142A9AD0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14 099</w:t>
            </w:r>
          </w:p>
        </w:tc>
      </w:tr>
      <w:tr w:rsidR="004D5326" w:rsidRPr="007159A6" w14:paraId="5AC5D523" w14:textId="77777777" w:rsidTr="004D5326">
        <w:tc>
          <w:tcPr>
            <w:tcW w:w="1129" w:type="dxa"/>
            <w:vMerge/>
            <w:vAlign w:val="center"/>
            <w:hideMark/>
          </w:tcPr>
          <w:p w14:paraId="342BD79A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10FAF9E0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0750D26E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42A58773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634A172C" w14:textId="665EC06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75 000</w:t>
            </w:r>
          </w:p>
        </w:tc>
        <w:tc>
          <w:tcPr>
            <w:tcW w:w="1027" w:type="dxa"/>
            <w:hideMark/>
          </w:tcPr>
          <w:p w14:paraId="2C67EF5E" w14:textId="50BBD246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101 600</w:t>
            </w:r>
          </w:p>
        </w:tc>
        <w:tc>
          <w:tcPr>
            <w:tcW w:w="1027" w:type="dxa"/>
            <w:hideMark/>
          </w:tcPr>
          <w:p w14:paraId="2A56B0B5" w14:textId="4181CD3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131 853</w:t>
            </w:r>
          </w:p>
        </w:tc>
      </w:tr>
      <w:tr w:rsidR="004D5326" w:rsidRPr="007159A6" w14:paraId="2461DE36" w14:textId="77777777" w:rsidTr="004D5326">
        <w:tc>
          <w:tcPr>
            <w:tcW w:w="1129" w:type="dxa"/>
            <w:vMerge/>
            <w:vAlign w:val="center"/>
            <w:hideMark/>
          </w:tcPr>
          <w:p w14:paraId="728E8132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5FFF4111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5E700436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0A5E800F" w14:textId="27F56F70" w:rsidR="00980949" w:rsidRPr="007159A6" w:rsidRDefault="00980949" w:rsidP="00ED4346">
            <w:pPr>
              <w:pStyle w:val="Tabletext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hideMark/>
          </w:tcPr>
          <w:p w14:paraId="66637D43" w14:textId="5C089F0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112 348</w:t>
            </w:r>
          </w:p>
        </w:tc>
        <w:tc>
          <w:tcPr>
            <w:tcW w:w="1027" w:type="dxa"/>
            <w:hideMark/>
          </w:tcPr>
          <w:p w14:paraId="11C96DED" w14:textId="7777777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134 368</w:t>
            </w:r>
          </w:p>
        </w:tc>
        <w:tc>
          <w:tcPr>
            <w:tcW w:w="1027" w:type="dxa"/>
            <w:hideMark/>
          </w:tcPr>
          <w:p w14:paraId="778AD6DD" w14:textId="2BAAA4E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236 672</w:t>
            </w:r>
          </w:p>
        </w:tc>
      </w:tr>
      <w:tr w:rsidR="004D5326" w:rsidRPr="007159A6" w14:paraId="6B28D541" w14:textId="77777777" w:rsidTr="004D5326">
        <w:tc>
          <w:tcPr>
            <w:tcW w:w="1129" w:type="dxa"/>
            <w:vMerge w:val="restart"/>
            <w:vAlign w:val="center"/>
            <w:hideMark/>
          </w:tcPr>
          <w:p w14:paraId="59969642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ИК17 МСЭ-Т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010F3740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3FC73A7D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2×50, 1×30, 3×20, 3×15</w:t>
            </w:r>
          </w:p>
        </w:tc>
        <w:tc>
          <w:tcPr>
            <w:tcW w:w="2407" w:type="dxa"/>
            <w:hideMark/>
          </w:tcPr>
          <w:p w14:paraId="591B95A4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12489DC8" w14:textId="51CA1820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23 720</w:t>
            </w:r>
          </w:p>
        </w:tc>
        <w:tc>
          <w:tcPr>
            <w:tcW w:w="1027" w:type="dxa"/>
            <w:hideMark/>
          </w:tcPr>
          <w:p w14:paraId="06D9B609" w14:textId="507E9CD9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63 360</w:t>
            </w:r>
          </w:p>
        </w:tc>
        <w:tc>
          <w:tcPr>
            <w:tcW w:w="1027" w:type="dxa"/>
            <w:hideMark/>
          </w:tcPr>
          <w:p w14:paraId="69292978" w14:textId="4C84F74D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102 240</w:t>
            </w:r>
          </w:p>
        </w:tc>
      </w:tr>
      <w:tr w:rsidR="004D5326" w:rsidRPr="007159A6" w14:paraId="037607DC" w14:textId="77777777" w:rsidTr="004D5326">
        <w:tc>
          <w:tcPr>
            <w:tcW w:w="1129" w:type="dxa"/>
            <w:vMerge/>
            <w:vAlign w:val="center"/>
            <w:hideMark/>
          </w:tcPr>
          <w:p w14:paraId="188A17B3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04BBF5E3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39D4C05C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31E45A6C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206DA246" w14:textId="510C6721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10 220</w:t>
            </w:r>
          </w:p>
        </w:tc>
        <w:tc>
          <w:tcPr>
            <w:tcW w:w="1027" w:type="dxa"/>
            <w:hideMark/>
          </w:tcPr>
          <w:p w14:paraId="28F72462" w14:textId="24540D5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1 000</w:t>
            </w:r>
          </w:p>
        </w:tc>
        <w:tc>
          <w:tcPr>
            <w:tcW w:w="1027" w:type="dxa"/>
            <w:hideMark/>
          </w:tcPr>
          <w:p w14:paraId="2C3B8BFC" w14:textId="24102675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14 099</w:t>
            </w:r>
          </w:p>
        </w:tc>
      </w:tr>
      <w:tr w:rsidR="004D5326" w:rsidRPr="007159A6" w14:paraId="0B433216" w14:textId="77777777" w:rsidTr="004D5326">
        <w:tc>
          <w:tcPr>
            <w:tcW w:w="1129" w:type="dxa"/>
            <w:vMerge/>
            <w:vAlign w:val="center"/>
            <w:hideMark/>
          </w:tcPr>
          <w:p w14:paraId="62183712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56059790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2F9449FA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66E6CD6A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3F63544B" w14:textId="63DD3F38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120 000</w:t>
            </w:r>
          </w:p>
        </w:tc>
        <w:tc>
          <w:tcPr>
            <w:tcW w:w="1027" w:type="dxa"/>
            <w:hideMark/>
          </w:tcPr>
          <w:p w14:paraId="60A59397" w14:textId="4791B580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178 400</w:t>
            </w:r>
          </w:p>
        </w:tc>
        <w:tc>
          <w:tcPr>
            <w:tcW w:w="1027" w:type="dxa"/>
            <w:hideMark/>
          </w:tcPr>
          <w:p w14:paraId="4B1BF999" w14:textId="1AA0160C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108 774</w:t>
            </w:r>
          </w:p>
        </w:tc>
      </w:tr>
      <w:tr w:rsidR="004D5326" w:rsidRPr="007159A6" w14:paraId="31C70440" w14:textId="77777777" w:rsidTr="004D5326">
        <w:tc>
          <w:tcPr>
            <w:tcW w:w="1129" w:type="dxa"/>
            <w:vMerge/>
            <w:vAlign w:val="center"/>
            <w:hideMark/>
          </w:tcPr>
          <w:p w14:paraId="2BE51EC1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0FD9A4C3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14:paraId="2B928DBB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3053FDF3" w14:textId="0DC0F47B" w:rsidR="00980949" w:rsidRPr="007159A6" w:rsidRDefault="00980949" w:rsidP="00ED4346">
            <w:pPr>
              <w:pStyle w:val="Tabletext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hideMark/>
          </w:tcPr>
          <w:p w14:paraId="214223E7" w14:textId="39CF2634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153 940</w:t>
            </w:r>
          </w:p>
        </w:tc>
        <w:tc>
          <w:tcPr>
            <w:tcW w:w="1027" w:type="dxa"/>
            <w:hideMark/>
          </w:tcPr>
          <w:p w14:paraId="0168197B" w14:textId="3BECCDFC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242 760</w:t>
            </w:r>
          </w:p>
        </w:tc>
        <w:tc>
          <w:tcPr>
            <w:tcW w:w="1027" w:type="dxa"/>
            <w:hideMark/>
          </w:tcPr>
          <w:p w14:paraId="11A63EE1" w14:textId="0A7A7F0A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225 113</w:t>
            </w:r>
          </w:p>
        </w:tc>
      </w:tr>
      <w:tr w:rsidR="004D5326" w:rsidRPr="007159A6" w14:paraId="2F1611AF" w14:textId="77777777" w:rsidTr="004D5326">
        <w:tc>
          <w:tcPr>
            <w:tcW w:w="1129" w:type="dxa"/>
            <w:vMerge w:val="restart"/>
            <w:vAlign w:val="center"/>
            <w:hideMark/>
          </w:tcPr>
          <w:p w14:paraId="3AFAC74E" w14:textId="77777777" w:rsidR="00980949" w:rsidRPr="007159A6" w:rsidRDefault="00980949" w:rsidP="00ED4346">
            <w:pPr>
              <w:pStyle w:val="Tabletext"/>
              <w:ind w:right="-113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ИК1 и ИК2 МСЭ-D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41BCD86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358" w:type="dxa"/>
            <w:vMerge w:val="restart"/>
            <w:vAlign w:val="center"/>
            <w:hideMark/>
          </w:tcPr>
          <w:p w14:paraId="04C7FB6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1×250, 1×30</w:t>
            </w:r>
          </w:p>
        </w:tc>
        <w:tc>
          <w:tcPr>
            <w:tcW w:w="2407" w:type="dxa"/>
            <w:hideMark/>
          </w:tcPr>
          <w:p w14:paraId="07059464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Аренда </w:t>
            </w:r>
          </w:p>
        </w:tc>
        <w:tc>
          <w:tcPr>
            <w:tcW w:w="1026" w:type="dxa"/>
            <w:hideMark/>
          </w:tcPr>
          <w:p w14:paraId="7C1A633E" w14:textId="5AF97114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20 120</w:t>
            </w:r>
          </w:p>
        </w:tc>
        <w:tc>
          <w:tcPr>
            <w:tcW w:w="1027" w:type="dxa"/>
            <w:hideMark/>
          </w:tcPr>
          <w:p w14:paraId="1B5E3417" w14:textId="06A71843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14 400</w:t>
            </w:r>
          </w:p>
        </w:tc>
        <w:tc>
          <w:tcPr>
            <w:tcW w:w="1027" w:type="dxa"/>
            <w:hideMark/>
          </w:tcPr>
          <w:p w14:paraId="080125DC" w14:textId="18684A59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39 600</w:t>
            </w:r>
          </w:p>
        </w:tc>
      </w:tr>
      <w:tr w:rsidR="004D5326" w:rsidRPr="007159A6" w14:paraId="6146D94B" w14:textId="77777777" w:rsidTr="004D5326">
        <w:tc>
          <w:tcPr>
            <w:tcW w:w="1129" w:type="dxa"/>
            <w:vMerge/>
            <w:hideMark/>
          </w:tcPr>
          <w:p w14:paraId="7CB13937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35ED0099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603CACBF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12BBF9F3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Обеспечение безопасности </w:t>
            </w:r>
          </w:p>
        </w:tc>
        <w:tc>
          <w:tcPr>
            <w:tcW w:w="1026" w:type="dxa"/>
            <w:hideMark/>
          </w:tcPr>
          <w:p w14:paraId="50709B98" w14:textId="2E740474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10 220</w:t>
            </w:r>
          </w:p>
        </w:tc>
        <w:tc>
          <w:tcPr>
            <w:tcW w:w="1027" w:type="dxa"/>
            <w:hideMark/>
          </w:tcPr>
          <w:p w14:paraId="0B0DF887" w14:textId="535A826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1 000</w:t>
            </w:r>
          </w:p>
        </w:tc>
        <w:tc>
          <w:tcPr>
            <w:tcW w:w="1027" w:type="dxa"/>
            <w:hideMark/>
          </w:tcPr>
          <w:p w14:paraId="32041282" w14:textId="73F8F625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14 099</w:t>
            </w:r>
          </w:p>
        </w:tc>
      </w:tr>
      <w:tr w:rsidR="004D5326" w:rsidRPr="007159A6" w14:paraId="2FCB47AF" w14:textId="77777777" w:rsidTr="004D5326">
        <w:tc>
          <w:tcPr>
            <w:tcW w:w="1129" w:type="dxa"/>
            <w:vMerge/>
            <w:hideMark/>
          </w:tcPr>
          <w:p w14:paraId="760B0ACE" w14:textId="77777777" w:rsidR="00980949" w:rsidRPr="007159A6" w:rsidRDefault="00980949" w:rsidP="00ED4346">
            <w:pPr>
              <w:pStyle w:val="Tabletext"/>
              <w:spacing w:before="60" w:after="60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20AA64A5" w14:textId="77777777" w:rsidR="00980949" w:rsidRPr="007159A6" w:rsidRDefault="00980949" w:rsidP="00ED4346">
            <w:pPr>
              <w:pStyle w:val="Tabletext"/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43E3BF52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hideMark/>
          </w:tcPr>
          <w:p w14:paraId="132F7B2B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Технические услуги </w:t>
            </w:r>
          </w:p>
        </w:tc>
        <w:tc>
          <w:tcPr>
            <w:tcW w:w="1026" w:type="dxa"/>
            <w:hideMark/>
          </w:tcPr>
          <w:p w14:paraId="1F94D3F3" w14:textId="33DB971B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30 000</w:t>
            </w:r>
          </w:p>
        </w:tc>
        <w:tc>
          <w:tcPr>
            <w:tcW w:w="1027" w:type="dxa"/>
            <w:hideMark/>
          </w:tcPr>
          <w:p w14:paraId="2B93D504" w14:textId="52498EDF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44 000</w:t>
            </w:r>
          </w:p>
        </w:tc>
        <w:tc>
          <w:tcPr>
            <w:tcW w:w="1027" w:type="dxa"/>
            <w:hideMark/>
          </w:tcPr>
          <w:p w14:paraId="615FB5B8" w14:textId="3107E406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97 530</w:t>
            </w:r>
          </w:p>
        </w:tc>
      </w:tr>
      <w:tr w:rsidR="004D5326" w:rsidRPr="007159A6" w14:paraId="0420A369" w14:textId="77777777" w:rsidTr="004D5326">
        <w:tc>
          <w:tcPr>
            <w:tcW w:w="1129" w:type="dxa"/>
            <w:vMerge/>
            <w:hideMark/>
          </w:tcPr>
          <w:p w14:paraId="2489D75F" w14:textId="77777777" w:rsidR="00980949" w:rsidRPr="007159A6" w:rsidRDefault="00980949" w:rsidP="00ED4346">
            <w:pPr>
              <w:pStyle w:val="Tabletext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092" w:type="dxa"/>
            <w:vMerge/>
            <w:hideMark/>
          </w:tcPr>
          <w:p w14:paraId="57182656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1358" w:type="dxa"/>
            <w:vMerge/>
            <w:hideMark/>
          </w:tcPr>
          <w:p w14:paraId="54838E61" w14:textId="77777777" w:rsidR="00980949" w:rsidRPr="007159A6" w:rsidRDefault="00980949" w:rsidP="00ED4346">
            <w:pPr>
              <w:pStyle w:val="Tabletext"/>
              <w:jc w:val="center"/>
              <w:rPr>
                <w:rFonts w:ascii="Segoe UI" w:hAnsi="Segoe UI" w:cs="Segoe UI"/>
                <w:sz w:val="18"/>
                <w:szCs w:val="18"/>
                <w:lang w:val="ru-RU" w:eastAsia="en-GB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hideMark/>
          </w:tcPr>
          <w:p w14:paraId="55F9F09C" w14:textId="3E6FCF87" w:rsidR="00980949" w:rsidRPr="007159A6" w:rsidRDefault="00980949" w:rsidP="00ED4346">
            <w:pPr>
              <w:pStyle w:val="Tabletext"/>
              <w:ind w:left="720" w:hanging="720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hideMark/>
          </w:tcPr>
          <w:p w14:paraId="7090748C" w14:textId="0A40ACCC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60 340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hideMark/>
          </w:tcPr>
          <w:p w14:paraId="70D423EE" w14:textId="77777777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59 400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hideMark/>
          </w:tcPr>
          <w:p w14:paraId="15735215" w14:textId="16C39A51" w:rsidR="00980949" w:rsidRPr="007159A6" w:rsidRDefault="00980949" w:rsidP="003B33C6">
            <w:pPr>
              <w:pStyle w:val="Tabletext"/>
              <w:ind w:right="57"/>
              <w:jc w:val="right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151 229</w:t>
            </w:r>
          </w:p>
        </w:tc>
      </w:tr>
      <w:tr w:rsidR="00980949" w:rsidRPr="008E7627" w14:paraId="56526ED5" w14:textId="77777777" w:rsidTr="004D5326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993F6" w14:textId="77777777" w:rsidR="00980949" w:rsidRPr="007159A6" w:rsidRDefault="00980949" w:rsidP="00ED4346">
            <w:pPr>
              <w:pStyle w:val="Tablelegend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color w:val="000000"/>
                <w:szCs w:val="18"/>
                <w:lang w:val="ru-RU"/>
              </w:rPr>
              <w:t>Примечания:</w:t>
            </w:r>
          </w:p>
          <w:p w14:paraId="1D1E33A3" w14:textId="756C454B" w:rsidR="00980949" w:rsidRPr="007159A6" w:rsidRDefault="00980949" w:rsidP="00ED4346">
            <w:pPr>
              <w:pStyle w:val="Tablelegend"/>
              <w:ind w:left="284" w:hanging="284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1)</w:t>
            </w:r>
            <w:r w:rsidRPr="007159A6">
              <w:rPr>
                <w:color w:val="000000"/>
                <w:szCs w:val="18"/>
                <w:lang w:val="ru-RU"/>
              </w:rPr>
              <w:tab/>
              <w:t>Выходные дни включены в цену, когда это применимо.</w:t>
            </w:r>
          </w:p>
          <w:p w14:paraId="2AAFC404" w14:textId="55AB4A07" w:rsidR="00980949" w:rsidRPr="007159A6" w:rsidRDefault="00980949" w:rsidP="00ED4346">
            <w:pPr>
              <w:pStyle w:val="Tablelegend"/>
              <w:ind w:left="284" w:hanging="284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2)</w:t>
            </w:r>
            <w:r w:rsidRPr="007159A6">
              <w:rPr>
                <w:color w:val="000000"/>
                <w:szCs w:val="18"/>
                <w:lang w:val="ru-RU"/>
              </w:rPr>
              <w:tab/>
              <w:t>Обеспечение безопасности рассчитывается как предельные затраты, включающие затраты на невооруженного сотрудника охраны ЮНОГ (79 долл. США = 61 шв. фр./час) и затраты на сотрудников по выдаче пропусков, когда это применимо. В случае ЮНОГ затраты также включают 4 швейцарских франка за напечатанный пропуск (с</w:t>
            </w:r>
            <w:r w:rsidR="000D3BAB" w:rsidRPr="007159A6">
              <w:rPr>
                <w:color w:val="000000"/>
                <w:szCs w:val="18"/>
                <w:lang w:val="ru-RU"/>
              </w:rPr>
              <w:t> </w:t>
            </w:r>
            <w:r w:rsidRPr="007159A6">
              <w:rPr>
                <w:color w:val="000000"/>
                <w:szCs w:val="18"/>
                <w:lang w:val="ru-RU"/>
              </w:rPr>
              <w:t>использованием системы пропусков ЮНОГ).</w:t>
            </w:r>
          </w:p>
          <w:p w14:paraId="33FF9217" w14:textId="2743CB15" w:rsidR="00980949" w:rsidRPr="007159A6" w:rsidRDefault="00980949" w:rsidP="00ED4346">
            <w:pPr>
              <w:pStyle w:val="Tablelegend"/>
              <w:ind w:left="284" w:hanging="284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3)</w:t>
            </w:r>
            <w:r w:rsidRPr="007159A6">
              <w:rPr>
                <w:color w:val="000000"/>
                <w:szCs w:val="18"/>
                <w:lang w:val="ru-RU"/>
              </w:rPr>
              <w:tab/>
              <w:t>Данные о ценах на аренду и технические услуги ЮНОГ доступны в долларах США; здесь они конвертированы в швейцарские франки исключительно для целей сравнения по курсу 1 доллар США = 0,8 швейцарского франка. Эти затраты могут увеличиваться в зависимости от обменного курса; залы ЮНОГ доступны для бронирования в кратчайшие сроки.</w:t>
            </w:r>
          </w:p>
          <w:p w14:paraId="6E943E84" w14:textId="6ED2A49D" w:rsidR="00980949" w:rsidRPr="007159A6" w:rsidRDefault="00980949" w:rsidP="00ED4346">
            <w:pPr>
              <w:pStyle w:val="Tablelegend"/>
              <w:ind w:left="284" w:hanging="284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4)</w:t>
            </w:r>
            <w:r w:rsidRPr="007159A6">
              <w:rPr>
                <w:color w:val="000000"/>
                <w:szCs w:val="18"/>
                <w:lang w:val="ru-RU"/>
              </w:rPr>
              <w:tab/>
              <w:t>Цены в Palexpo для мероприятий Совета и РГС оцениваются на уровне 40 процентов скидки от цены каталога и применимы только для бронирования сразу нескольких помещений.</w:t>
            </w:r>
          </w:p>
          <w:p w14:paraId="482F36B4" w14:textId="22021FE3" w:rsidR="00980949" w:rsidRPr="007159A6" w:rsidRDefault="00980949" w:rsidP="00ED4346">
            <w:pPr>
              <w:pStyle w:val="Tablelegend"/>
              <w:ind w:left="284" w:hanging="284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5)</w:t>
            </w:r>
            <w:r w:rsidRPr="007159A6">
              <w:rPr>
                <w:color w:val="000000"/>
                <w:szCs w:val="18"/>
                <w:lang w:val="ru-RU"/>
              </w:rPr>
              <w:tab/>
              <w:t>На момент представления настоящего отчета данных о затратах на использование помещений ВОЗ и МОТ не было; если возможно, обновленная информация будет представлена устно.</w:t>
            </w:r>
          </w:p>
        </w:tc>
      </w:tr>
    </w:tbl>
    <w:p w14:paraId="3372BA3F" w14:textId="77777777" w:rsidR="00980949" w:rsidRPr="007159A6" w:rsidRDefault="00980949" w:rsidP="00980949">
      <w:pPr>
        <w:pStyle w:val="Tablefin"/>
        <w:rPr>
          <w:lang w:val="ru-RU"/>
        </w:rPr>
      </w:pPr>
    </w:p>
    <w:p w14:paraId="535FC6B2" w14:textId="77777777" w:rsidR="00980949" w:rsidRPr="007159A6" w:rsidRDefault="00980949" w:rsidP="00980949">
      <w:pPr>
        <w:pStyle w:val="Heading1"/>
        <w:rPr>
          <w:lang w:val="ru-RU"/>
        </w:rPr>
      </w:pPr>
      <w:r w:rsidRPr="007159A6">
        <w:rPr>
          <w:bCs/>
          <w:lang w:val="ru-RU"/>
        </w:rPr>
        <w:lastRenderedPageBreak/>
        <w:t>5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Дополнительные условия обеспечения непрерывности деятельности</w:t>
      </w:r>
    </w:p>
    <w:p w14:paraId="1C568344" w14:textId="77777777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Альтернативные места проведения мероприятий за пределами Женевы</w:t>
      </w:r>
    </w:p>
    <w:p w14:paraId="3DF6910F" w14:textId="1D16BBBF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>По просьбе РГС-ФЛР, представленной на 21-м собрании группы, секретариат МСЭ выполнил первоначальную оценку мест проведения конференций в Лозанне, ближайшем международном центре для проведения собраний с сопоставимой инфраструктурой. После первоначальной оценки подходящие условия для проведения ограниченного количества собраний МСЭ могут предложить два места проведения: Конгресс-центр Swiss Tech, один из крупнейших конференц-центров в районе Женевского озера, и Beaulieu, многофункциональный комплекс, обеспечивающий возможность проведения мероприятий с участием от 50 до 4000 человек. Однако, учитывая дополнительные финансовые и операционные затраты, сопряженные с проведением собраний за пределами Женевы, потенциальную доступность залов заседаний в штаб-квартире МСЭ и финансирование, получаемое от Швейцарии, в настоящее время более целесообразными являются другие варианты обеспечения непрерывности деятельности, и на данном этапе сравнительных преимуществ использования этого варианта для обеспечения непрерывности деятельности</w:t>
      </w:r>
      <w:r w:rsidR="004D5326" w:rsidRPr="007159A6">
        <w:rPr>
          <w:lang w:val="ru-RU"/>
        </w:rPr>
        <w:t> </w:t>
      </w:r>
      <w:r w:rsidRPr="007159A6">
        <w:rPr>
          <w:lang w:val="ru-RU"/>
        </w:rPr>
        <w:t>нет.</w:t>
      </w:r>
    </w:p>
    <w:p w14:paraId="3727BF9F" w14:textId="77777777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Принятие Государствами-Членами мероприятий на разовой основе</w:t>
      </w:r>
    </w:p>
    <w:p w14:paraId="0AEF0211" w14:textId="77777777" w:rsidR="00980949" w:rsidRPr="007159A6" w:rsidRDefault="00980949" w:rsidP="00B515A3">
      <w:pPr>
        <w:jc w:val="both"/>
        <w:rPr>
          <w:b/>
          <w:lang w:val="ru-RU"/>
        </w:rPr>
      </w:pPr>
      <w:r w:rsidRPr="007159A6">
        <w:rPr>
          <w:lang w:val="ru-RU"/>
        </w:rPr>
        <w:t xml:space="preserve">В этот период Государства-Члены могут по-прежнему принимать ограниченное количество отдельных собраний исследовательских комиссий на разовой основе в соответствии с обычной практикой согласно Резолюции 5 (Киото, 1994 г.) Полномочной конференции, когда Государства-Члены берут на себя любые дополнительные затраты, связанные с проведением собрания вне штаб-квартиры в Женеве. </w:t>
      </w:r>
    </w:p>
    <w:p w14:paraId="0E2F0EB6" w14:textId="77777777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Центр проведения собраний МСЭ</w:t>
      </w:r>
    </w:p>
    <w:p w14:paraId="3E540900" w14:textId="14A8DE3E" w:rsidR="00980949" w:rsidRPr="007159A6" w:rsidRDefault="00980949" w:rsidP="00B515A3">
      <w:pPr>
        <w:jc w:val="both"/>
        <w:rPr>
          <w:rFonts w:eastAsia="Calibri" w:cs="Calibri"/>
          <w:color w:val="000000" w:themeColor="text1"/>
          <w:spacing w:val="-2"/>
          <w:lang w:val="ru-RU"/>
        </w:rPr>
      </w:pPr>
      <w:r w:rsidRPr="007159A6">
        <w:rPr>
          <w:lang w:val="ru-RU"/>
        </w:rPr>
        <w:t xml:space="preserve">Концепция центра проведения собраний МСЭ заключается в том, что принимающая страна покрывает затраты на место проведения, оборудование, техническое обслуживание и эксплуатацию всех технических собраний МСЭ в течение всего периода, когда существует необходимость в помещениях (или в течение года) в дополнение к затратам по персоналу МСЭ на месте согласно </w:t>
      </w:r>
      <w:hyperlink r:id="rId22" w:history="1">
        <w:r w:rsidR="000E53C2" w:rsidRPr="007159A6">
          <w:rPr>
            <w:rStyle w:val="Hyperlink"/>
            <w:lang w:val="ru-RU"/>
          </w:rPr>
          <w:t>Резолюции 5 (Киото, 1994 г.)</w:t>
        </w:r>
      </w:hyperlink>
      <w:r w:rsidRPr="007159A6">
        <w:rPr>
          <w:lang w:val="ru-RU"/>
        </w:rPr>
        <w:t xml:space="preserve"> </w:t>
      </w:r>
      <w:r w:rsidR="000E53C2" w:rsidRPr="007159A6">
        <w:rPr>
          <w:lang w:val="ru-RU"/>
        </w:rPr>
        <w:t xml:space="preserve">Полномочной конференции </w:t>
      </w:r>
      <w:r w:rsidRPr="007159A6">
        <w:rPr>
          <w:lang w:val="ru-RU"/>
        </w:rPr>
        <w:t>и соответствующим резолюциям Секторов.</w:t>
      </w:r>
      <w:hyperlink r:id="rId23" w:history="1"/>
    </w:p>
    <w:p w14:paraId="38EA1746" w14:textId="77777777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 xml:space="preserve">После того, как на Совете 2025 года несколько Государств-Членов выразили заинтересованность в дальнейшем изучении данного варианта, в августе 2025 года Секретариат объявил призыв представлять предложения о размещении центра проведения собраний МСЭ на период строительства нового здания штаб-квартиры МСЭ в 2028–2029 годах (Документ </w:t>
      </w:r>
      <w:hyperlink r:id="rId24" w:history="1">
        <w:r w:rsidRPr="007159A6">
          <w:rPr>
            <w:rStyle w:val="Hyperlink"/>
            <w:rFonts w:eastAsia="Calibri" w:cs="Calibri"/>
            <w:spacing w:val="-2"/>
            <w:lang w:val="ru-RU"/>
          </w:rPr>
          <w:t>CL-25/38</w:t>
        </w:r>
      </w:hyperlink>
      <w:r w:rsidRPr="007159A6">
        <w:rPr>
          <w:lang w:val="ru-RU"/>
        </w:rPr>
        <w:t>). Два Государства-Члена предоставили положительные ответы, однако после дальнейших обсуждений и представления подробных потребностей и финансовых смет конкретных предложений получено не было. Поэтому Секретариат не считает возможным использовать данный вариант на этом этапе.</w:t>
      </w:r>
      <w:hyperlink r:id="rId25" w:history="1"/>
    </w:p>
    <w:p w14:paraId="078B9CD8" w14:textId="77777777" w:rsidR="00980949" w:rsidRPr="007159A6" w:rsidRDefault="00980949" w:rsidP="00980949">
      <w:pPr>
        <w:pStyle w:val="Headingb"/>
        <w:rPr>
          <w:lang w:val="ru-RU"/>
        </w:rPr>
      </w:pPr>
      <w:r w:rsidRPr="007159A6">
        <w:rPr>
          <w:bCs/>
          <w:lang w:val="ru-RU"/>
        </w:rPr>
        <w:t>Виртуальные собрания</w:t>
      </w:r>
    </w:p>
    <w:p w14:paraId="120CB7BB" w14:textId="12F78406" w:rsidR="00980949" w:rsidRPr="007159A6" w:rsidRDefault="00980949" w:rsidP="00B515A3">
      <w:pPr>
        <w:jc w:val="both"/>
        <w:rPr>
          <w:rFonts w:eastAsia="Calibri" w:cs="Calibri"/>
          <w:color w:val="000000" w:themeColor="text1"/>
          <w:lang w:val="ru-RU"/>
        </w:rPr>
      </w:pPr>
      <w:r w:rsidRPr="007159A6">
        <w:rPr>
          <w:lang w:val="ru-RU"/>
        </w:rPr>
        <w:t xml:space="preserve">Существует техническая возможность проведения полностью виртуальных технических собраний, в особенности с учетом установленных </w:t>
      </w:r>
      <w:hyperlink r:id="rId26" w:history="1">
        <w:r w:rsidRPr="007159A6">
          <w:rPr>
            <w:rStyle w:val="Hyperlink"/>
            <w:lang w:val="ru-RU"/>
          </w:rPr>
          <w:t>руководящих указаний для собраний с возможностью дистанционного участия</w:t>
        </w:r>
      </w:hyperlink>
      <w:r w:rsidRPr="007159A6">
        <w:rPr>
          <w:lang w:val="ru-RU"/>
        </w:rPr>
        <w:t xml:space="preserve">. Вместе с тем, текущая практика позволяет проводить полностью виртуальные собрания с </w:t>
      </w:r>
      <w:r w:rsidR="00E743CB" w:rsidRPr="007159A6">
        <w:rPr>
          <w:lang w:val="ru-RU"/>
        </w:rPr>
        <w:t>0</w:t>
      </w:r>
      <w:r w:rsidRPr="007159A6">
        <w:rPr>
          <w:lang w:val="ru-RU"/>
        </w:rPr>
        <w:t>9 час. 00 мин. до 15 час. 00 мин. (по женевскому времени). Это повлияет на гибкость и продолжительность технических собраний, продолжительность которых, как правило, составляет 5−8 дней. Помимо этого, на собраниях Совета и РГС-ФЛР неоднократно поднимался вопрос о трудностях проведения виртуальных собраний, участники которых находятся в разных часовых поясах. Поэтому данный вариант остается лишь запасным вариантом.</w:t>
      </w:r>
      <w:hyperlink r:id="rId27"/>
    </w:p>
    <w:p w14:paraId="0CF12953" w14:textId="0C72E335" w:rsidR="00980949" w:rsidRPr="007159A6" w:rsidRDefault="00980949" w:rsidP="00980949">
      <w:pPr>
        <w:pStyle w:val="Heading1"/>
        <w:spacing w:line="259" w:lineRule="auto"/>
        <w:rPr>
          <w:rFonts w:eastAsia="Calibri" w:cs="Calibri"/>
          <w:color w:val="000000" w:themeColor="text1"/>
          <w:lang w:val="ru-RU"/>
        </w:rPr>
      </w:pPr>
      <w:r w:rsidRPr="007159A6">
        <w:rPr>
          <w:bCs/>
          <w:lang w:val="ru-RU"/>
        </w:rPr>
        <w:lastRenderedPageBreak/>
        <w:t>6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Обеспечение непрерывности деятельности в помещениях штаб</w:t>
      </w:r>
      <w:r w:rsidR="004D5326" w:rsidRPr="007159A6">
        <w:rPr>
          <w:rFonts w:ascii="Cambria Math" w:hAnsi="Cambria Math"/>
          <w:bCs/>
          <w:lang w:val="ru-RU"/>
        </w:rPr>
        <w:t>‑</w:t>
      </w:r>
      <w:r w:rsidRPr="007159A6">
        <w:rPr>
          <w:bCs/>
          <w:lang w:val="ru-RU"/>
        </w:rPr>
        <w:t>квартиры МСЭ</w:t>
      </w:r>
    </w:p>
    <w:p w14:paraId="1ACB04F6" w14:textId="77777777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 xml:space="preserve">Полная информация о мерах по обеспечению непрерывности деятельности в других областях, помимо собраний МСЭ, представлена в обновленной информации по проекту, связанному с помещениями штаб-квартиры Союза (Документ </w:t>
      </w:r>
      <w:hyperlink r:id="rId28">
        <w:r w:rsidRPr="007159A6">
          <w:rPr>
            <w:rStyle w:val="Hyperlink"/>
            <w:lang w:val="ru-RU"/>
          </w:rPr>
          <w:t>C26/7</w:t>
        </w:r>
      </w:hyperlink>
      <w:r w:rsidRPr="007159A6">
        <w:rPr>
          <w:lang w:val="ru-RU"/>
        </w:rPr>
        <w:t>).</w:t>
      </w:r>
      <w:hyperlink r:id="rId29"/>
    </w:p>
    <w:p w14:paraId="798A007E" w14:textId="77777777" w:rsidR="00980949" w:rsidRPr="007159A6" w:rsidRDefault="00980949" w:rsidP="00980949">
      <w:pPr>
        <w:pStyle w:val="Heading1"/>
        <w:spacing w:line="259" w:lineRule="auto"/>
        <w:rPr>
          <w:lang w:val="ru-RU"/>
        </w:rPr>
      </w:pPr>
      <w:r w:rsidRPr="007159A6">
        <w:rPr>
          <w:bCs/>
          <w:lang w:val="ru-RU"/>
        </w:rPr>
        <w:t>7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Финансирование</w:t>
      </w:r>
    </w:p>
    <w:p w14:paraId="3E41EBA4" w14:textId="3DF6BA6E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На 22-й сессии РГС-ФЛР в январе 2026 года Швейцария подтвердила, что МСЭ получит двухгодичное (2025 и 2026 гг.) освобождение от выплат по отвечающим критериям ссудам на недвижимость, ранее предоставленным Швейцарской Конфедерацией (Документ</w:t>
      </w:r>
      <w:r w:rsidR="004D5326" w:rsidRPr="007159A6">
        <w:rPr>
          <w:lang w:val="ru-RU"/>
        </w:rPr>
        <w:t> </w:t>
      </w:r>
      <w:hyperlink r:id="rId30">
        <w:r w:rsidRPr="007159A6">
          <w:rPr>
            <w:rStyle w:val="Hyperlink"/>
            <w:lang w:val="ru-RU"/>
          </w:rPr>
          <w:t>CWG</w:t>
        </w:r>
        <w:r w:rsidR="004D5326" w:rsidRPr="007159A6">
          <w:rPr>
            <w:rStyle w:val="Hyperlink"/>
            <w:rFonts w:ascii="Cambria Math" w:hAnsi="Cambria Math"/>
            <w:lang w:val="ru-RU"/>
          </w:rPr>
          <w:t>‑</w:t>
        </w:r>
        <w:r w:rsidRPr="007159A6">
          <w:rPr>
            <w:rStyle w:val="Hyperlink"/>
            <w:lang w:val="ru-RU"/>
          </w:rPr>
          <w:t>FHR</w:t>
        </w:r>
        <w:r w:rsidR="00B515A3" w:rsidRPr="00B515A3">
          <w:rPr>
            <w:rStyle w:val="Hyperlink"/>
            <w:lang w:val="ru-RU"/>
          </w:rPr>
          <w:noBreakHyphen/>
        </w:r>
        <w:r w:rsidRPr="007159A6">
          <w:rPr>
            <w:rStyle w:val="Hyperlink"/>
            <w:lang w:val="ru-RU"/>
          </w:rPr>
          <w:t>22/23</w:t>
        </w:r>
      </w:hyperlink>
      <w:r w:rsidRPr="007159A6">
        <w:rPr>
          <w:lang w:val="ru-RU"/>
        </w:rPr>
        <w:t>), предполагается, что сэкономленные средства в размере 2 782 600</w:t>
      </w:r>
      <w:r w:rsidR="004D5326" w:rsidRPr="007159A6">
        <w:rPr>
          <w:lang w:val="ru-RU"/>
        </w:rPr>
        <w:t> </w:t>
      </w:r>
      <w:r w:rsidRPr="007159A6">
        <w:rPr>
          <w:lang w:val="ru-RU"/>
        </w:rPr>
        <w:t>швейцарских франков будут направлены в фонд обеспечения непрерывности деятельности для покрытия расходов на проведение собраний в Швейцарии в период, когда помещения штаб-квартиры МСЭ и МЦКЖ будут полностью либо частично недоступны. В</w:t>
      </w:r>
      <w:r w:rsidR="004D5326" w:rsidRPr="007159A6">
        <w:rPr>
          <w:lang w:val="ru-RU"/>
        </w:rPr>
        <w:t> </w:t>
      </w:r>
      <w:r w:rsidRPr="007159A6">
        <w:rPr>
          <w:lang w:val="ru-RU"/>
        </w:rPr>
        <w:t>результате этого щедрого вклада фонд обеспечения непрерывности деятельности на период строительства нового здания штаб-квартиры МСЭ теперь составляет 3,171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млн. швейцарских франков, включая ассигнования в фонд обеспечения непрерывности деятельности в размере 389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000 швейцарских франков, выделенные за счет экономии в 2024 году (</w:t>
      </w:r>
      <w:hyperlink r:id="rId31" w:history="1">
        <w:r w:rsidRPr="007159A6">
          <w:rPr>
            <w:rStyle w:val="Hyperlink"/>
            <w:lang w:val="ru-RU"/>
          </w:rPr>
          <w:t>Резолюция</w:t>
        </w:r>
        <w:r w:rsidR="003B33C6" w:rsidRPr="007159A6">
          <w:rPr>
            <w:rStyle w:val="Hyperlink"/>
            <w:lang w:val="ru-RU"/>
          </w:rPr>
          <w:t> </w:t>
        </w:r>
        <w:r w:rsidRPr="007159A6">
          <w:rPr>
            <w:rStyle w:val="Hyperlink"/>
            <w:lang w:val="ru-RU"/>
          </w:rPr>
          <w:t>1434</w:t>
        </w:r>
        <w:r w:rsidR="003B33C6" w:rsidRPr="007159A6">
          <w:rPr>
            <w:rStyle w:val="Hyperlink"/>
            <w:lang w:val="ru-RU"/>
          </w:rPr>
          <w:t> </w:t>
        </w:r>
        <w:r w:rsidRPr="007159A6">
          <w:rPr>
            <w:rStyle w:val="Hyperlink"/>
            <w:lang w:val="ru-RU"/>
          </w:rPr>
          <w:t>(C25)</w:t>
        </w:r>
      </w:hyperlink>
      <w:r w:rsidRPr="007159A6">
        <w:rPr>
          <w:lang w:val="ru-RU"/>
        </w:rPr>
        <w:t>).</w:t>
      </w:r>
      <w:hyperlink r:id="rId32"/>
      <w:hyperlink r:id="rId33"/>
    </w:p>
    <w:p w14:paraId="01F9D4D0" w14:textId="77777777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 xml:space="preserve">Ассигнования из сэкономленных средств в размере 1,5 млн. швейцарских франков, указанные в Документе </w:t>
      </w:r>
      <w:hyperlink r:id="rId34" w:history="1">
        <w:r w:rsidRPr="007159A6">
          <w:rPr>
            <w:rStyle w:val="Hyperlink"/>
            <w:lang w:val="ru-RU"/>
          </w:rPr>
          <w:t>C26/42</w:t>
        </w:r>
      </w:hyperlink>
      <w:r w:rsidRPr="007159A6">
        <w:rPr>
          <w:lang w:val="ru-RU"/>
        </w:rPr>
        <w:t>, относятся к обеспечению непрерывности деятельности.</w:t>
      </w:r>
      <w:hyperlink r:id="rId35" w:history="1"/>
    </w:p>
    <w:p w14:paraId="6865E80E" w14:textId="77777777" w:rsidR="00980949" w:rsidRPr="007159A6" w:rsidRDefault="00980949" w:rsidP="00980949">
      <w:pPr>
        <w:pStyle w:val="Heading1"/>
        <w:spacing w:line="259" w:lineRule="auto"/>
        <w:rPr>
          <w:lang w:val="ru-RU"/>
        </w:rPr>
      </w:pPr>
      <w:r w:rsidRPr="007159A6">
        <w:rPr>
          <w:bCs/>
          <w:lang w:val="ru-RU"/>
        </w:rPr>
        <w:t>8</w:t>
      </w:r>
      <w:r w:rsidRPr="007159A6">
        <w:rPr>
          <w:lang w:val="ru-RU"/>
        </w:rPr>
        <w:tab/>
      </w:r>
      <w:r w:rsidRPr="007159A6">
        <w:rPr>
          <w:bCs/>
          <w:lang w:val="ru-RU"/>
        </w:rPr>
        <w:t>Заключение</w:t>
      </w:r>
    </w:p>
    <w:p w14:paraId="28845FA5" w14:textId="2603F2A8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Период серьезных сбоев в проведении собраний МСЭ из-за масштабных работ по сносу и строительству в комплексе зданий штаб-квартиры МСЭ теперь подтвержден: он продлится с</w:t>
      </w:r>
      <w:r w:rsidR="004D5326" w:rsidRPr="007159A6">
        <w:rPr>
          <w:lang w:val="ru-RU"/>
        </w:rPr>
        <w:t> </w:t>
      </w:r>
      <w:r w:rsidRPr="007159A6">
        <w:rPr>
          <w:lang w:val="ru-RU"/>
        </w:rPr>
        <w:t>1</w:t>
      </w:r>
      <w:r w:rsidR="004D5326" w:rsidRPr="007159A6">
        <w:rPr>
          <w:lang w:val="ru-RU"/>
        </w:rPr>
        <w:t> </w:t>
      </w:r>
      <w:r w:rsidRPr="007159A6">
        <w:rPr>
          <w:lang w:val="ru-RU"/>
        </w:rPr>
        <w:t>октября 2028 года по 31 августа 2029 года, включительно. Перечень предусмотренных уставными документами собраний, запланированных на этот период, был обновлен, с тем чтобы более точно отразить требования в отношении залов заседаний и услуг.</w:t>
      </w:r>
    </w:p>
    <w:p w14:paraId="7955FF66" w14:textId="3C908C02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На основании результатов акустических испытаний, проведенных в феврале 2026 года, предварительные оценки показывают, что отдельные залы заседаний могут использоваться в течение всего периода строительства. Секретариат работает над подробным сопоставлением всех затронутых собраний, с тем чтобы обеспечить возможность проведения как можно большего их числа собраний в МСЭ и определить те собрания, для которых требуется внешнее место проведения. В рамках этого комплексного процесса сопоставления будут предложены потенциальные места проведения в Женеве тех собраний, которые не могут быть проведены в МСЭ, с указанием ориентировочной стоимости аренды и сопутствующих затрат. Это позволит более точно оценить общий объем необходимых средств и достаточность средств фонда обеспечения непрерывности деятельности, размер которого составляет 3,1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млн</w:t>
      </w:r>
      <w:r w:rsidR="000E53C2" w:rsidRPr="007159A6">
        <w:rPr>
          <w:lang w:val="ru-RU"/>
        </w:rPr>
        <w:t>.</w:t>
      </w:r>
      <w:r w:rsidRPr="007159A6">
        <w:rPr>
          <w:lang w:val="ru-RU"/>
        </w:rPr>
        <w:t xml:space="preserve"> швейцарских франков.</w:t>
      </w:r>
    </w:p>
    <w:p w14:paraId="7333F0AD" w14:textId="77777777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Полный обзор сопоставления собраний и соответствующих затрат, включая модернизацию инфраструктуры залов заседаний МСЭ, когда это необходимо, будет представлен Полномочной конференции в ноябре 2026 года.</w:t>
      </w:r>
    </w:p>
    <w:p w14:paraId="2AA50A2B" w14:textId="6FE66E39" w:rsidR="00980949" w:rsidRPr="007159A6" w:rsidRDefault="00980949" w:rsidP="00B515A3">
      <w:pPr>
        <w:jc w:val="both"/>
        <w:rPr>
          <w:lang w:val="ru-RU"/>
        </w:rPr>
      </w:pPr>
      <w:r w:rsidRPr="007159A6">
        <w:rPr>
          <w:lang w:val="ru-RU"/>
        </w:rPr>
        <w:t>Меры по обеспечению непрерывности деятельности будут охватывать весь период строительства (2028−2031 гг.) и отражены в документах по проекту по помещениям штаб</w:t>
      </w:r>
      <w:r w:rsidR="004D5326" w:rsidRPr="007159A6">
        <w:rPr>
          <w:rFonts w:ascii="Cambria Math" w:hAnsi="Cambria Math"/>
          <w:lang w:val="ru-RU"/>
        </w:rPr>
        <w:t>‑</w:t>
      </w:r>
      <w:r w:rsidRPr="007159A6">
        <w:rPr>
          <w:lang w:val="ru-RU"/>
        </w:rPr>
        <w:t xml:space="preserve">квартиры (Документ </w:t>
      </w:r>
      <w:hyperlink r:id="rId36" w:history="1">
        <w:r w:rsidRPr="007159A6">
          <w:rPr>
            <w:rStyle w:val="Hyperlink"/>
            <w:lang w:val="ru-RU"/>
          </w:rPr>
          <w:t>C26/7</w:t>
        </w:r>
      </w:hyperlink>
      <w:r w:rsidRPr="007159A6">
        <w:rPr>
          <w:lang w:val="ru-RU"/>
        </w:rPr>
        <w:t>).</w:t>
      </w:r>
    </w:p>
    <w:p w14:paraId="18509882" w14:textId="6ED53541" w:rsidR="00980949" w:rsidRPr="007159A6" w:rsidRDefault="00980949" w:rsidP="004D5326">
      <w:pPr>
        <w:pStyle w:val="Normalaftertitle"/>
        <w:spacing w:before="240"/>
        <w:rPr>
          <w:lang w:val="ru-RU"/>
        </w:rPr>
      </w:pPr>
      <w:r w:rsidRPr="007159A6">
        <w:rPr>
          <w:b/>
          <w:bCs/>
          <w:lang w:val="ru-RU"/>
        </w:rPr>
        <w:t>Приложения</w:t>
      </w:r>
      <w:r w:rsidRPr="007159A6">
        <w:rPr>
          <w:lang w:val="ru-RU"/>
        </w:rPr>
        <w:t>: 2</w:t>
      </w:r>
    </w:p>
    <w:p w14:paraId="66F76BA5" w14:textId="77777777" w:rsidR="00980949" w:rsidRPr="007159A6" w:rsidRDefault="00980949" w:rsidP="00980949">
      <w:pPr>
        <w:pStyle w:val="AnnexNo"/>
        <w:rPr>
          <w:lang w:val="ru-RU"/>
        </w:rPr>
      </w:pPr>
      <w:r w:rsidRPr="007159A6">
        <w:rPr>
          <w:lang w:val="ru-RU"/>
        </w:rPr>
        <w:lastRenderedPageBreak/>
        <w:t>ПРИЛОЖЕНИЕ 1</w:t>
      </w:r>
    </w:p>
    <w:p w14:paraId="3CE99087" w14:textId="561E4B02" w:rsidR="00980949" w:rsidRPr="007159A6" w:rsidRDefault="00980949" w:rsidP="00980949">
      <w:pPr>
        <w:pStyle w:val="Annextitle"/>
        <w:rPr>
          <w:lang w:val="ru-RU"/>
        </w:rPr>
      </w:pPr>
      <w:r w:rsidRPr="007159A6">
        <w:rPr>
          <w:bCs/>
          <w:lang w:val="ru-RU"/>
        </w:rPr>
        <w:t xml:space="preserve">Перечень технических собраний МСЭ, планируемых </w:t>
      </w:r>
      <w:r w:rsidR="004D5326" w:rsidRPr="007159A6">
        <w:rPr>
          <w:bCs/>
          <w:lang w:val="ru-RU"/>
        </w:rPr>
        <w:br/>
      </w:r>
      <w:r w:rsidRPr="007159A6">
        <w:rPr>
          <w:bCs/>
          <w:lang w:val="ru-RU"/>
        </w:rPr>
        <w:t>на октябрь 2028 года – август 2029 года</w:t>
      </w:r>
    </w:p>
    <w:tbl>
      <w:tblPr>
        <w:tblStyle w:val="TableGrid"/>
        <w:tblW w:w="90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21"/>
        <w:gridCol w:w="2718"/>
        <w:gridCol w:w="1314"/>
        <w:gridCol w:w="1371"/>
        <w:gridCol w:w="1568"/>
        <w:gridCol w:w="1274"/>
      </w:tblGrid>
      <w:tr w:rsidR="004D5326" w:rsidRPr="007159A6" w14:paraId="2CF7C699" w14:textId="77777777" w:rsidTr="003B33C6">
        <w:trPr>
          <w:cantSplit/>
          <w:tblHeader/>
        </w:trPr>
        <w:tc>
          <w:tcPr>
            <w:tcW w:w="821" w:type="dxa"/>
            <w:vMerge w:val="restart"/>
            <w:noWrap/>
            <w:vAlign w:val="center"/>
          </w:tcPr>
          <w:p w14:paraId="675A60FC" w14:textId="77777777" w:rsidR="00980949" w:rsidRPr="007159A6" w:rsidRDefault="00980949" w:rsidP="00D82CFA">
            <w:pPr>
              <w:pStyle w:val="Tablehead"/>
              <w:spacing w:line="200" w:lineRule="exact"/>
              <w:ind w:left="-57" w:right="-57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Сектор</w:t>
            </w:r>
          </w:p>
        </w:tc>
        <w:tc>
          <w:tcPr>
            <w:tcW w:w="2718" w:type="dxa"/>
            <w:vMerge w:val="restart"/>
            <w:noWrap/>
            <w:vAlign w:val="center"/>
          </w:tcPr>
          <w:p w14:paraId="11478A80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Собрание</w:t>
            </w:r>
          </w:p>
        </w:tc>
        <w:tc>
          <w:tcPr>
            <w:tcW w:w="1314" w:type="dxa"/>
            <w:vMerge w:val="restart"/>
            <w:noWrap/>
            <w:vAlign w:val="center"/>
          </w:tcPr>
          <w:p w14:paraId="00991A02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Дата начала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0C877979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Дата завершения</w:t>
            </w:r>
          </w:p>
        </w:tc>
        <w:tc>
          <w:tcPr>
            <w:tcW w:w="2842" w:type="dxa"/>
            <w:gridSpan w:val="2"/>
            <w:vAlign w:val="center"/>
          </w:tcPr>
          <w:p w14:paraId="444BDA05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Количество помещений</w:t>
            </w:r>
          </w:p>
        </w:tc>
      </w:tr>
      <w:tr w:rsidR="004D5326" w:rsidRPr="007159A6" w14:paraId="75F041DF" w14:textId="77777777" w:rsidTr="003B33C6">
        <w:trPr>
          <w:cantSplit/>
          <w:tblHeader/>
        </w:trPr>
        <w:tc>
          <w:tcPr>
            <w:tcW w:w="821" w:type="dxa"/>
            <w:vMerge/>
            <w:noWrap/>
            <w:vAlign w:val="center"/>
            <w:hideMark/>
          </w:tcPr>
          <w:p w14:paraId="388AB665" w14:textId="77777777" w:rsidR="00980949" w:rsidRPr="007159A6" w:rsidRDefault="00980949" w:rsidP="00D82CFA">
            <w:pPr>
              <w:pStyle w:val="Tablehead"/>
              <w:spacing w:line="200" w:lineRule="exact"/>
              <w:ind w:left="-57" w:right="-57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noWrap/>
            <w:vAlign w:val="center"/>
            <w:hideMark/>
          </w:tcPr>
          <w:p w14:paraId="3C84203A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noWrap/>
            <w:vAlign w:val="center"/>
            <w:hideMark/>
          </w:tcPr>
          <w:p w14:paraId="33D51B40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noWrap/>
            <w:vAlign w:val="center"/>
            <w:hideMark/>
          </w:tcPr>
          <w:p w14:paraId="11833959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Align w:val="center"/>
            <w:hideMark/>
          </w:tcPr>
          <w:p w14:paraId="723BCFAA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Тип учебная аудитория</w:t>
            </w:r>
          </w:p>
        </w:tc>
        <w:tc>
          <w:tcPr>
            <w:tcW w:w="1274" w:type="dxa"/>
            <w:vAlign w:val="center"/>
            <w:hideMark/>
          </w:tcPr>
          <w:p w14:paraId="7B9A9FC5" w14:textId="77777777" w:rsidR="00980949" w:rsidRPr="007159A6" w:rsidRDefault="00980949" w:rsidP="00D82CFA">
            <w:pPr>
              <w:pStyle w:val="Tablehead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Тип переговорная комната</w:t>
            </w:r>
          </w:p>
        </w:tc>
      </w:tr>
      <w:tr w:rsidR="004D5326" w:rsidRPr="007159A6" w14:paraId="6673CEB4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1D1C0B37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МСЭ-D</w:t>
            </w:r>
          </w:p>
        </w:tc>
        <w:tc>
          <w:tcPr>
            <w:tcW w:w="2718" w:type="dxa"/>
            <w:vMerge w:val="restart"/>
            <w:noWrap/>
            <w:hideMark/>
          </w:tcPr>
          <w:p w14:paraId="57E6F28E" w14:textId="77777777" w:rsidR="00980949" w:rsidRPr="007159A6" w:rsidRDefault="00980949" w:rsidP="00D82CFA">
            <w:pPr>
              <w:pStyle w:val="Tabletext"/>
              <w:spacing w:line="200" w:lineRule="exact"/>
              <w:ind w:right="-113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Собрания групп Докладчиков (СГД-1)</w:t>
            </w:r>
          </w:p>
        </w:tc>
        <w:tc>
          <w:tcPr>
            <w:tcW w:w="1314" w:type="dxa"/>
            <w:vMerge w:val="restart"/>
            <w:noWrap/>
            <w:hideMark/>
          </w:tcPr>
          <w:p w14:paraId="51F4068E" w14:textId="16FA27B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.2028 г.</w:t>
            </w:r>
          </w:p>
        </w:tc>
        <w:tc>
          <w:tcPr>
            <w:tcW w:w="1371" w:type="dxa"/>
            <w:vMerge w:val="restart"/>
            <w:noWrap/>
            <w:hideMark/>
          </w:tcPr>
          <w:p w14:paraId="19AC4EAE" w14:textId="5A43174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.2028 г.</w:t>
            </w:r>
          </w:p>
        </w:tc>
        <w:tc>
          <w:tcPr>
            <w:tcW w:w="1568" w:type="dxa"/>
            <w:vMerge w:val="restart"/>
            <w:noWrap/>
            <w:hideMark/>
          </w:tcPr>
          <w:p w14:paraId="02531B9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1×100</w:t>
            </w:r>
          </w:p>
        </w:tc>
        <w:tc>
          <w:tcPr>
            <w:tcW w:w="1274" w:type="dxa"/>
            <w:vMerge w:val="restart"/>
            <w:hideMark/>
          </w:tcPr>
          <w:p w14:paraId="49553F8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1×15</w:t>
            </w:r>
          </w:p>
        </w:tc>
      </w:tr>
      <w:tr w:rsidR="004D5326" w:rsidRPr="007159A6" w14:paraId="194D4AE7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03CDAF0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04BF6427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3D71D4C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52FCC15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4592FC4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32E5146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BC9C631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53F4753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27A018F7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Форум по устойчивости космической деятельности (SSF)</w:t>
            </w:r>
          </w:p>
        </w:tc>
        <w:tc>
          <w:tcPr>
            <w:tcW w:w="1314" w:type="dxa"/>
            <w:noWrap/>
            <w:hideMark/>
          </w:tcPr>
          <w:p w14:paraId="43EA7F17" w14:textId="670847F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161A7A83" w14:textId="6520826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10DAAF5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</w:t>
            </w:r>
          </w:p>
        </w:tc>
        <w:tc>
          <w:tcPr>
            <w:tcW w:w="1274" w:type="dxa"/>
            <w:hideMark/>
          </w:tcPr>
          <w:p w14:paraId="30843A9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800DC45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6C53D3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37CB152B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 4A, 4B и 4C</w:t>
            </w:r>
          </w:p>
        </w:tc>
        <w:tc>
          <w:tcPr>
            <w:tcW w:w="1314" w:type="dxa"/>
            <w:noWrap/>
            <w:hideMark/>
          </w:tcPr>
          <w:p w14:paraId="04F7DB75" w14:textId="355E8CB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33AAB9E6" w14:textId="2372FC5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37AA6E5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1×250, 2×100</w:t>
            </w:r>
          </w:p>
        </w:tc>
        <w:tc>
          <w:tcPr>
            <w:tcW w:w="1274" w:type="dxa"/>
            <w:hideMark/>
          </w:tcPr>
          <w:p w14:paraId="2057EBE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34A98763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040F327D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МСЭ-D</w:t>
            </w:r>
          </w:p>
        </w:tc>
        <w:tc>
          <w:tcPr>
            <w:tcW w:w="2718" w:type="dxa"/>
            <w:vMerge w:val="restart"/>
            <w:noWrap/>
            <w:hideMark/>
          </w:tcPr>
          <w:p w14:paraId="56109CB5" w14:textId="77777777" w:rsidR="00980949" w:rsidRPr="007159A6" w:rsidRDefault="00980949" w:rsidP="00D82CFA">
            <w:pPr>
              <w:pStyle w:val="Tabletext"/>
              <w:spacing w:line="200" w:lineRule="exact"/>
              <w:ind w:right="-113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Собрания групп Докладчиков (СГД-2)</w:t>
            </w:r>
          </w:p>
        </w:tc>
        <w:tc>
          <w:tcPr>
            <w:tcW w:w="1314" w:type="dxa"/>
            <w:vMerge w:val="restart"/>
            <w:noWrap/>
            <w:hideMark/>
          </w:tcPr>
          <w:p w14:paraId="5658A78A" w14:textId="1F64D2E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vMerge w:val="restart"/>
            <w:noWrap/>
            <w:hideMark/>
          </w:tcPr>
          <w:p w14:paraId="22204688" w14:textId="523B057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vMerge w:val="restart"/>
            <w:noWrap/>
            <w:hideMark/>
          </w:tcPr>
          <w:p w14:paraId="4B3E8A6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</w:t>
            </w:r>
          </w:p>
        </w:tc>
        <w:tc>
          <w:tcPr>
            <w:tcW w:w="1274" w:type="dxa"/>
            <w:vMerge w:val="restart"/>
            <w:hideMark/>
          </w:tcPr>
          <w:p w14:paraId="394F5CD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</w:t>
            </w:r>
          </w:p>
        </w:tc>
      </w:tr>
      <w:tr w:rsidR="004D5326" w:rsidRPr="007159A6" w14:paraId="266C4C92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66BBAE4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491A381B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0DE73AE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7ACA7FC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4594344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61A5885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051FDE2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3C24426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6EBD27BD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ИК4</w:t>
            </w:r>
          </w:p>
        </w:tc>
        <w:tc>
          <w:tcPr>
            <w:tcW w:w="1314" w:type="dxa"/>
            <w:noWrap/>
            <w:hideMark/>
          </w:tcPr>
          <w:p w14:paraId="69AA77DE" w14:textId="54BA940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4BC56361" w14:textId="28186A7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6E82510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</w:t>
            </w:r>
          </w:p>
        </w:tc>
        <w:tc>
          <w:tcPr>
            <w:tcW w:w="1274" w:type="dxa"/>
            <w:hideMark/>
          </w:tcPr>
          <w:p w14:paraId="186AB29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678C2DD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4859553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43BE8345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РРК28-3 </w:t>
            </w:r>
          </w:p>
        </w:tc>
        <w:tc>
          <w:tcPr>
            <w:tcW w:w="1314" w:type="dxa"/>
            <w:noWrap/>
            <w:hideMark/>
          </w:tcPr>
          <w:p w14:paraId="7EBEBA1D" w14:textId="2A321DB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30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75F6F8BF" w14:textId="2ABA1A6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1EB1AE4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1×40</w:t>
            </w:r>
          </w:p>
        </w:tc>
        <w:tc>
          <w:tcPr>
            <w:tcW w:w="1274" w:type="dxa"/>
            <w:hideMark/>
          </w:tcPr>
          <w:p w14:paraId="21787DA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120DAA81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01D85A4D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vMerge w:val="restart"/>
            <w:noWrap/>
            <w:hideMark/>
          </w:tcPr>
          <w:p w14:paraId="640CF06C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 1A, 1B и 1C</w:t>
            </w:r>
          </w:p>
        </w:tc>
        <w:tc>
          <w:tcPr>
            <w:tcW w:w="1314" w:type="dxa"/>
            <w:vMerge w:val="restart"/>
            <w:noWrap/>
            <w:hideMark/>
          </w:tcPr>
          <w:p w14:paraId="5F703EC5" w14:textId="6E865CC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vMerge w:val="restart"/>
            <w:noWrap/>
            <w:hideMark/>
          </w:tcPr>
          <w:p w14:paraId="7024ECBF" w14:textId="1A43533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vMerge w:val="restart"/>
            <w:noWrap/>
            <w:hideMark/>
          </w:tcPr>
          <w:p w14:paraId="539B4BC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1×120, 2×80</w:t>
            </w:r>
          </w:p>
        </w:tc>
        <w:tc>
          <w:tcPr>
            <w:tcW w:w="1274" w:type="dxa"/>
            <w:vMerge w:val="restart"/>
            <w:hideMark/>
          </w:tcPr>
          <w:p w14:paraId="07B6FCD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70EF2D18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3152E2C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53D2531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46CB7E8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07C2496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4386C30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23F45F0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7FC0F166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22A1D47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vMerge w:val="restart"/>
            <w:noWrap/>
            <w:hideMark/>
          </w:tcPr>
          <w:p w14:paraId="35610F62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ИК1</w:t>
            </w:r>
          </w:p>
        </w:tc>
        <w:tc>
          <w:tcPr>
            <w:tcW w:w="1314" w:type="dxa"/>
            <w:vMerge w:val="restart"/>
            <w:noWrap/>
            <w:hideMark/>
          </w:tcPr>
          <w:p w14:paraId="6797EBE1" w14:textId="61F3083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vMerge w:val="restart"/>
            <w:noWrap/>
            <w:hideMark/>
          </w:tcPr>
          <w:p w14:paraId="4A41094E" w14:textId="6F46DCB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vMerge w:val="restart"/>
            <w:noWrap/>
            <w:hideMark/>
          </w:tcPr>
          <w:p w14:paraId="3C0EC4C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</w:t>
            </w:r>
          </w:p>
        </w:tc>
        <w:tc>
          <w:tcPr>
            <w:tcW w:w="1274" w:type="dxa"/>
            <w:vMerge w:val="restart"/>
            <w:hideMark/>
          </w:tcPr>
          <w:p w14:paraId="1D9F350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A197278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27F9E34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38919D39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4549598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29FCE81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665F7AF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77FE193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04E36B9E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D496798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341811A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 5A, 5B и 5C</w:t>
            </w:r>
          </w:p>
        </w:tc>
        <w:tc>
          <w:tcPr>
            <w:tcW w:w="1314" w:type="dxa"/>
            <w:noWrap/>
            <w:hideMark/>
          </w:tcPr>
          <w:p w14:paraId="1A6B0393" w14:textId="21394F1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1674DD32" w14:textId="17CF3BE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1C5682E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1×200, 1×120, 1×80, 2×50</w:t>
            </w:r>
          </w:p>
        </w:tc>
        <w:tc>
          <w:tcPr>
            <w:tcW w:w="1274" w:type="dxa"/>
            <w:hideMark/>
          </w:tcPr>
          <w:p w14:paraId="3DE7E906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09AD32CB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3A4371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6DE2F52D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ИК5 </w:t>
            </w:r>
          </w:p>
        </w:tc>
        <w:tc>
          <w:tcPr>
            <w:tcW w:w="1314" w:type="dxa"/>
            <w:noWrap/>
            <w:hideMark/>
          </w:tcPr>
          <w:p w14:paraId="36E4AE8B" w14:textId="3512A5D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30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7E08D33F" w14:textId="1B9D9A3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339D266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</w:t>
            </w:r>
          </w:p>
        </w:tc>
        <w:tc>
          <w:tcPr>
            <w:tcW w:w="1274" w:type="dxa"/>
            <w:hideMark/>
          </w:tcPr>
          <w:p w14:paraId="2ED7037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3151A4E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5482568F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vMerge w:val="restart"/>
            <w:noWrap/>
            <w:hideMark/>
          </w:tcPr>
          <w:p w14:paraId="273F8A5C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ВСР-28 – пленарное заседание</w:t>
            </w:r>
          </w:p>
        </w:tc>
        <w:tc>
          <w:tcPr>
            <w:tcW w:w="1314" w:type="dxa"/>
            <w:vMerge w:val="restart"/>
            <w:noWrap/>
            <w:hideMark/>
          </w:tcPr>
          <w:p w14:paraId="4BABC02A" w14:textId="6BD5F62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vMerge w:val="restart"/>
            <w:noWrap/>
            <w:hideMark/>
          </w:tcPr>
          <w:p w14:paraId="16F7F5CF" w14:textId="4F47F03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vMerge w:val="restart"/>
            <w:noWrap/>
            <w:hideMark/>
          </w:tcPr>
          <w:p w14:paraId="419DC4E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1×400</w:t>
            </w:r>
          </w:p>
        </w:tc>
        <w:tc>
          <w:tcPr>
            <w:tcW w:w="1274" w:type="dxa"/>
            <w:vMerge w:val="restart"/>
            <w:hideMark/>
          </w:tcPr>
          <w:p w14:paraId="5C98201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8FA5CD5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6B9F026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4E2BB149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7D3D1A3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2C23312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5D2287F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10C6781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7F70D9C6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7C813A0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41A59619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ВСР-28 – семинары-практикумы</w:t>
            </w:r>
          </w:p>
        </w:tc>
        <w:tc>
          <w:tcPr>
            <w:tcW w:w="1314" w:type="dxa"/>
            <w:noWrap/>
            <w:hideMark/>
          </w:tcPr>
          <w:p w14:paraId="087C2709" w14:textId="09483D9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1DF2319B" w14:textId="61B8DDD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6F65B6A9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2×200, 2×100, 2×60</w:t>
            </w:r>
          </w:p>
        </w:tc>
        <w:tc>
          <w:tcPr>
            <w:tcW w:w="1274" w:type="dxa"/>
            <w:hideMark/>
          </w:tcPr>
          <w:p w14:paraId="2C1D69C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7FB82568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75F8E3F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17E0D08B" w14:textId="77777777" w:rsidR="00980949" w:rsidRPr="007159A6" w:rsidRDefault="00980949" w:rsidP="00D82CFA">
            <w:pPr>
              <w:pStyle w:val="Tabletext"/>
              <w:spacing w:line="200" w:lineRule="exact"/>
              <w:ind w:right="-57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Новая группа после АР-27/ВКР-27</w:t>
            </w:r>
          </w:p>
        </w:tc>
        <w:tc>
          <w:tcPr>
            <w:tcW w:w="1314" w:type="dxa"/>
            <w:noWrap/>
            <w:hideMark/>
          </w:tcPr>
          <w:p w14:paraId="26AD2D2E" w14:textId="59D6E51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/>
              </w:rPr>
              <w:t>.2028 г.</w:t>
            </w:r>
          </w:p>
        </w:tc>
        <w:tc>
          <w:tcPr>
            <w:tcW w:w="1371" w:type="dxa"/>
            <w:noWrap/>
            <w:hideMark/>
          </w:tcPr>
          <w:p w14:paraId="5CAAF887" w14:textId="404757A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.2028 г.</w:t>
            </w:r>
          </w:p>
        </w:tc>
        <w:tc>
          <w:tcPr>
            <w:tcW w:w="1568" w:type="dxa"/>
            <w:noWrap/>
            <w:hideMark/>
          </w:tcPr>
          <w:p w14:paraId="260D437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</w:t>
            </w:r>
          </w:p>
        </w:tc>
        <w:tc>
          <w:tcPr>
            <w:tcW w:w="1274" w:type="dxa"/>
            <w:hideMark/>
          </w:tcPr>
          <w:p w14:paraId="65E0E4D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703F1D1B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567FF90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06821B5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ИК12</w:t>
            </w:r>
          </w:p>
        </w:tc>
        <w:tc>
          <w:tcPr>
            <w:tcW w:w="1314" w:type="dxa"/>
            <w:noWrap/>
            <w:hideMark/>
          </w:tcPr>
          <w:p w14:paraId="486004F1" w14:textId="29E1510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26AA62B3" w14:textId="1C4E9A8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71993C0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1×150 (открытие и закрытие), 3×30, 2×15, 2×10</w:t>
            </w:r>
          </w:p>
        </w:tc>
        <w:tc>
          <w:tcPr>
            <w:tcW w:w="1274" w:type="dxa"/>
            <w:hideMark/>
          </w:tcPr>
          <w:p w14:paraId="1E9FB71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43A49B10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04C8068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51E6E953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ИК21</w:t>
            </w:r>
          </w:p>
        </w:tc>
        <w:tc>
          <w:tcPr>
            <w:tcW w:w="1314" w:type="dxa"/>
            <w:noWrap/>
            <w:hideMark/>
          </w:tcPr>
          <w:p w14:paraId="2292034D" w14:textId="1A99173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69554E6" w14:textId="790D878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39E6D0A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1×30, 2×20, 2×15</w:t>
            </w:r>
          </w:p>
        </w:tc>
        <w:tc>
          <w:tcPr>
            <w:tcW w:w="1274" w:type="dxa"/>
            <w:hideMark/>
          </w:tcPr>
          <w:p w14:paraId="66E03D8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6DA3CFC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1CDD91CD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7B2F28E8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JVET</w:t>
            </w:r>
          </w:p>
        </w:tc>
        <w:tc>
          <w:tcPr>
            <w:tcW w:w="1314" w:type="dxa"/>
            <w:noWrap/>
            <w:hideMark/>
          </w:tcPr>
          <w:p w14:paraId="5B413867" w14:textId="3CFA2A5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701DA573" w14:textId="513797E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30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3C612B6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JVET 1×200, 1×100</w:t>
            </w:r>
          </w:p>
        </w:tc>
        <w:tc>
          <w:tcPr>
            <w:tcW w:w="1274" w:type="dxa"/>
            <w:hideMark/>
          </w:tcPr>
          <w:p w14:paraId="76CB0DB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02AD928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5D62742D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250FBA04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5D</w:t>
            </w:r>
          </w:p>
        </w:tc>
        <w:tc>
          <w:tcPr>
            <w:tcW w:w="1314" w:type="dxa"/>
            <w:noWrap/>
            <w:hideMark/>
          </w:tcPr>
          <w:p w14:paraId="675FF2DC" w14:textId="2A311EF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30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6F4BFBB" w14:textId="211F01C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566C52A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1×250, 2×80</w:t>
            </w:r>
          </w:p>
        </w:tc>
        <w:tc>
          <w:tcPr>
            <w:tcW w:w="1274" w:type="dxa"/>
            <w:hideMark/>
          </w:tcPr>
          <w:p w14:paraId="14ABDC3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51F11DE7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26D9A475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vMerge w:val="restart"/>
            <w:noWrap/>
            <w:hideMark/>
          </w:tcPr>
          <w:p w14:paraId="0686D694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ИК5</w:t>
            </w:r>
          </w:p>
        </w:tc>
        <w:tc>
          <w:tcPr>
            <w:tcW w:w="1314" w:type="dxa"/>
            <w:vMerge w:val="restart"/>
            <w:noWrap/>
            <w:hideMark/>
          </w:tcPr>
          <w:p w14:paraId="7DE29679" w14:textId="79C0C35D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vMerge w:val="restart"/>
            <w:noWrap/>
            <w:hideMark/>
          </w:tcPr>
          <w:p w14:paraId="78B38E53" w14:textId="599D400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vMerge w:val="restart"/>
            <w:noWrap/>
            <w:hideMark/>
          </w:tcPr>
          <w:p w14:paraId="1B67F56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2×50, 3×30, 2×15</w:t>
            </w:r>
          </w:p>
        </w:tc>
        <w:tc>
          <w:tcPr>
            <w:tcW w:w="1274" w:type="dxa"/>
            <w:vMerge w:val="restart"/>
            <w:hideMark/>
          </w:tcPr>
          <w:p w14:paraId="7E3F000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112AD978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2A150F72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04FE4AC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2A8871C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4F81372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2B2CDF6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73835A4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3D80648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3E58053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678BEA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3J, 3K, 3L, 3M</w:t>
            </w:r>
          </w:p>
        </w:tc>
        <w:tc>
          <w:tcPr>
            <w:tcW w:w="1314" w:type="dxa"/>
            <w:noWrap/>
            <w:hideMark/>
          </w:tcPr>
          <w:p w14:paraId="6137DA79" w14:textId="3B77F96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36C535D0" w14:textId="30469D9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46AE4EF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1×100, 2×50</w:t>
            </w:r>
          </w:p>
        </w:tc>
        <w:tc>
          <w:tcPr>
            <w:tcW w:w="1274" w:type="dxa"/>
            <w:hideMark/>
          </w:tcPr>
          <w:p w14:paraId="28176059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6591EB2A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3175CAB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ГС</w:t>
            </w:r>
          </w:p>
        </w:tc>
        <w:tc>
          <w:tcPr>
            <w:tcW w:w="2718" w:type="dxa"/>
            <w:vMerge w:val="restart"/>
            <w:noWrap/>
            <w:hideMark/>
          </w:tcPr>
          <w:p w14:paraId="0EEF21DB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РГС 29-1</w:t>
            </w:r>
          </w:p>
        </w:tc>
        <w:tc>
          <w:tcPr>
            <w:tcW w:w="1314" w:type="dxa"/>
            <w:vMerge w:val="restart"/>
            <w:noWrap/>
            <w:hideMark/>
          </w:tcPr>
          <w:p w14:paraId="06F291B3" w14:textId="0CB448E2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vMerge w:val="restart"/>
            <w:noWrap/>
            <w:hideMark/>
          </w:tcPr>
          <w:p w14:paraId="22CC29EA" w14:textId="2FDACDD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vMerge w:val="restart"/>
            <w:noWrap/>
            <w:hideMark/>
          </w:tcPr>
          <w:p w14:paraId="0D70BE1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444444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1×80</w:t>
            </w:r>
          </w:p>
        </w:tc>
        <w:tc>
          <w:tcPr>
            <w:tcW w:w="1274" w:type="dxa"/>
            <w:vMerge w:val="restart"/>
            <w:noWrap/>
            <w:hideMark/>
          </w:tcPr>
          <w:p w14:paraId="3939482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444444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9335D1D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29F792C9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19C6EB69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7F41CC1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1A3EBFD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74521A6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444444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0CCCD5D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444444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CF0046E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287DF2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2187B44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7A, 7B, 7C, 7D</w:t>
            </w:r>
          </w:p>
        </w:tc>
        <w:tc>
          <w:tcPr>
            <w:tcW w:w="1314" w:type="dxa"/>
            <w:noWrap/>
            <w:hideMark/>
          </w:tcPr>
          <w:p w14:paraId="6E1CDA77" w14:textId="3D2B55B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3F60808" w14:textId="50C0177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709EFE09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2×80, 2×40</w:t>
            </w:r>
          </w:p>
        </w:tc>
        <w:tc>
          <w:tcPr>
            <w:tcW w:w="1274" w:type="dxa"/>
            <w:hideMark/>
          </w:tcPr>
          <w:p w14:paraId="1E848506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2605CA62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EE6D436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78681D2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ИК20</w:t>
            </w:r>
          </w:p>
        </w:tc>
        <w:tc>
          <w:tcPr>
            <w:tcW w:w="1314" w:type="dxa"/>
            <w:noWrap/>
            <w:hideMark/>
          </w:tcPr>
          <w:p w14:paraId="4D33D6B5" w14:textId="5055C88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8C0C0BC" w14:textId="04CA3B1D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75AEC41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1×120 (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открытие и закрытие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 xml:space="preserve">), 3×30, 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br/>
              <w:t>2×15, 2×10</w:t>
            </w:r>
          </w:p>
        </w:tc>
        <w:tc>
          <w:tcPr>
            <w:tcW w:w="1274" w:type="dxa"/>
            <w:noWrap/>
            <w:hideMark/>
          </w:tcPr>
          <w:p w14:paraId="4CA661E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5BBF7ED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731DCAE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5EEBD933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ИК7</w:t>
            </w:r>
          </w:p>
        </w:tc>
        <w:tc>
          <w:tcPr>
            <w:tcW w:w="1314" w:type="dxa"/>
            <w:noWrap/>
            <w:hideMark/>
          </w:tcPr>
          <w:p w14:paraId="18F85923" w14:textId="0EF6216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0A8064DE" w14:textId="3489777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7AAA414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</w:t>
            </w:r>
          </w:p>
        </w:tc>
        <w:tc>
          <w:tcPr>
            <w:tcW w:w="1274" w:type="dxa"/>
            <w:hideMark/>
          </w:tcPr>
          <w:p w14:paraId="70966C0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47E1C72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27232AC5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vMerge w:val="restart"/>
            <w:noWrap/>
            <w:hideMark/>
          </w:tcPr>
          <w:p w14:paraId="0B2CA215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6A, 6B, 6C</w:t>
            </w:r>
          </w:p>
        </w:tc>
        <w:tc>
          <w:tcPr>
            <w:tcW w:w="1314" w:type="dxa"/>
            <w:vMerge w:val="restart"/>
            <w:noWrap/>
            <w:hideMark/>
          </w:tcPr>
          <w:p w14:paraId="4A52C34A" w14:textId="7569277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vMerge w:val="restart"/>
            <w:noWrap/>
            <w:hideMark/>
          </w:tcPr>
          <w:p w14:paraId="641AC88B" w14:textId="1C341CCF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vMerge w:val="restart"/>
            <w:noWrap/>
            <w:hideMark/>
          </w:tcPr>
          <w:p w14:paraId="728C747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2×100, 1×60</w:t>
            </w:r>
          </w:p>
        </w:tc>
        <w:tc>
          <w:tcPr>
            <w:tcW w:w="1274" w:type="dxa"/>
            <w:vMerge w:val="restart"/>
            <w:hideMark/>
          </w:tcPr>
          <w:p w14:paraId="115C7EE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5B40A3C8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15160CCB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09F59740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2DB81B0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0AF114B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5DB5578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10EC7B3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3B1948DD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59D81A9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52808152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ИК2</w:t>
            </w:r>
          </w:p>
        </w:tc>
        <w:tc>
          <w:tcPr>
            <w:tcW w:w="1314" w:type="dxa"/>
            <w:noWrap/>
            <w:hideMark/>
          </w:tcPr>
          <w:p w14:paraId="26EE13A9" w14:textId="7D19028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6751150" w14:textId="1E4D163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2425F88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455183">
              <w:rPr>
                <w:color w:val="000000"/>
                <w:sz w:val="18"/>
                <w:szCs w:val="18"/>
                <w:lang w:val="ru-RU" w:eastAsia="en-GB"/>
              </w:rPr>
              <w:t>1×100 (</w:t>
            </w:r>
            <w:r w:rsidRPr="00455183">
              <w:rPr>
                <w:color w:val="000000"/>
                <w:sz w:val="18"/>
                <w:szCs w:val="18"/>
                <w:lang w:val="ru-RU"/>
              </w:rPr>
              <w:t>открытие и закрытие</w:t>
            </w:r>
            <w:r w:rsidRPr="00455183">
              <w:rPr>
                <w:color w:val="000000"/>
                <w:sz w:val="18"/>
                <w:szCs w:val="18"/>
                <w:lang w:val="ru-RU" w:eastAsia="en-GB"/>
              </w:rPr>
              <w:t>), 2×50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1274" w:type="dxa"/>
            <w:hideMark/>
          </w:tcPr>
          <w:p w14:paraId="5FBB9A3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3AAFC49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540D284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lastRenderedPageBreak/>
              <w:t>МСЭ-Т</w:t>
            </w:r>
          </w:p>
        </w:tc>
        <w:tc>
          <w:tcPr>
            <w:tcW w:w="2718" w:type="dxa"/>
            <w:vMerge w:val="restart"/>
            <w:noWrap/>
            <w:hideMark/>
          </w:tcPr>
          <w:p w14:paraId="17CF8F34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ИК11</w:t>
            </w:r>
          </w:p>
        </w:tc>
        <w:tc>
          <w:tcPr>
            <w:tcW w:w="1314" w:type="dxa"/>
            <w:vMerge w:val="restart"/>
            <w:noWrap/>
            <w:hideMark/>
          </w:tcPr>
          <w:p w14:paraId="10B57C16" w14:textId="2314AB7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vMerge w:val="restart"/>
            <w:noWrap/>
            <w:hideMark/>
          </w:tcPr>
          <w:p w14:paraId="1D660254" w14:textId="5620ED11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vMerge w:val="restart"/>
            <w:noWrap/>
            <w:hideMark/>
          </w:tcPr>
          <w:p w14:paraId="6D741C0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1×100, 1×30, 6×15</w:t>
            </w:r>
          </w:p>
        </w:tc>
        <w:tc>
          <w:tcPr>
            <w:tcW w:w="1274" w:type="dxa"/>
            <w:vMerge w:val="restart"/>
            <w:hideMark/>
          </w:tcPr>
          <w:p w14:paraId="1A64AF6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02DBE079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719D308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365B3A67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64DC646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760474D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2404645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578ACCB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352036AD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83F3595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МСЭ-D</w:t>
            </w:r>
          </w:p>
        </w:tc>
        <w:tc>
          <w:tcPr>
            <w:tcW w:w="2718" w:type="dxa"/>
            <w:noWrap/>
            <w:hideMark/>
          </w:tcPr>
          <w:p w14:paraId="3BF774BE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Исследовательская комиссия 1</w:t>
            </w:r>
          </w:p>
        </w:tc>
        <w:tc>
          <w:tcPr>
            <w:tcW w:w="1314" w:type="dxa"/>
            <w:noWrap/>
            <w:hideMark/>
          </w:tcPr>
          <w:p w14:paraId="1F465ED0" w14:textId="7DCCE96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9B01778" w14:textId="035ED05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381427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</w:t>
            </w:r>
          </w:p>
        </w:tc>
        <w:tc>
          <w:tcPr>
            <w:tcW w:w="1274" w:type="dxa"/>
            <w:noWrap/>
            <w:hideMark/>
          </w:tcPr>
          <w:p w14:paraId="30E0A4D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</w:t>
            </w:r>
          </w:p>
        </w:tc>
      </w:tr>
      <w:tr w:rsidR="004D5326" w:rsidRPr="007159A6" w14:paraId="58565DE2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FDE66A3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2144240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РРК29-1</w:t>
            </w:r>
          </w:p>
        </w:tc>
        <w:tc>
          <w:tcPr>
            <w:tcW w:w="1314" w:type="dxa"/>
            <w:noWrap/>
            <w:hideMark/>
          </w:tcPr>
          <w:p w14:paraId="5E3E4C38" w14:textId="1EC01F0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6FED851" w14:textId="1C60824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49BD48F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1×40</w:t>
            </w:r>
          </w:p>
        </w:tc>
        <w:tc>
          <w:tcPr>
            <w:tcW w:w="1274" w:type="dxa"/>
            <w:hideMark/>
          </w:tcPr>
          <w:p w14:paraId="7DA5AFC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D7C2450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045C7E3F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МСЭ-D</w:t>
            </w:r>
          </w:p>
        </w:tc>
        <w:tc>
          <w:tcPr>
            <w:tcW w:w="2718" w:type="dxa"/>
            <w:noWrap/>
            <w:hideMark/>
          </w:tcPr>
          <w:p w14:paraId="6B63F3E0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Исследовательская комиссия 2</w:t>
            </w:r>
          </w:p>
        </w:tc>
        <w:tc>
          <w:tcPr>
            <w:tcW w:w="1314" w:type="dxa"/>
            <w:noWrap/>
            <w:hideMark/>
          </w:tcPr>
          <w:p w14:paraId="748FD308" w14:textId="61C550C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4C9FC115" w14:textId="105B56D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7BF211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</w:t>
            </w:r>
          </w:p>
        </w:tc>
        <w:tc>
          <w:tcPr>
            <w:tcW w:w="1274" w:type="dxa"/>
            <w:noWrap/>
            <w:hideMark/>
          </w:tcPr>
          <w:p w14:paraId="6A66313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</w:t>
            </w:r>
          </w:p>
        </w:tc>
      </w:tr>
      <w:tr w:rsidR="004D5326" w:rsidRPr="007159A6" w14:paraId="1A86868F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E89F68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1DC2FDB2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ИК13</w:t>
            </w:r>
          </w:p>
        </w:tc>
        <w:tc>
          <w:tcPr>
            <w:tcW w:w="1314" w:type="dxa"/>
            <w:noWrap/>
            <w:hideMark/>
          </w:tcPr>
          <w:p w14:paraId="5C8B640A" w14:textId="0E0DC111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A89AD52" w14:textId="603F7C4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30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3ECB0CE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1×50, 3×20, 5×10</w:t>
            </w:r>
          </w:p>
        </w:tc>
        <w:tc>
          <w:tcPr>
            <w:tcW w:w="1274" w:type="dxa"/>
            <w:hideMark/>
          </w:tcPr>
          <w:p w14:paraId="0EBA421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F369A73" w14:textId="77777777" w:rsidTr="003B33C6">
        <w:trPr>
          <w:cantSplit/>
          <w:trHeight w:val="269"/>
        </w:trPr>
        <w:tc>
          <w:tcPr>
            <w:tcW w:w="821" w:type="dxa"/>
            <w:vMerge w:val="restart"/>
            <w:noWrap/>
            <w:hideMark/>
          </w:tcPr>
          <w:p w14:paraId="35E4EEBF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vMerge w:val="restart"/>
            <w:noWrap/>
            <w:hideMark/>
          </w:tcPr>
          <w:p w14:paraId="2AA7E437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ИК6</w:t>
            </w:r>
          </w:p>
        </w:tc>
        <w:tc>
          <w:tcPr>
            <w:tcW w:w="1314" w:type="dxa"/>
            <w:vMerge w:val="restart"/>
            <w:noWrap/>
            <w:hideMark/>
          </w:tcPr>
          <w:p w14:paraId="05EAC8C2" w14:textId="51948D5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vMerge w:val="restart"/>
            <w:noWrap/>
            <w:hideMark/>
          </w:tcPr>
          <w:p w14:paraId="1B24657D" w14:textId="46FEE5C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vMerge w:val="restart"/>
            <w:noWrap/>
            <w:hideMark/>
          </w:tcPr>
          <w:p w14:paraId="5E5629E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</w:t>
            </w:r>
          </w:p>
        </w:tc>
        <w:tc>
          <w:tcPr>
            <w:tcW w:w="1274" w:type="dxa"/>
            <w:vMerge w:val="restart"/>
            <w:hideMark/>
          </w:tcPr>
          <w:p w14:paraId="2A9347C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118DDC71" w14:textId="77777777" w:rsidTr="003B33C6">
        <w:trPr>
          <w:cantSplit/>
          <w:trHeight w:val="269"/>
        </w:trPr>
        <w:tc>
          <w:tcPr>
            <w:tcW w:w="821" w:type="dxa"/>
            <w:vMerge/>
            <w:hideMark/>
          </w:tcPr>
          <w:p w14:paraId="1CD02E35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2718" w:type="dxa"/>
            <w:vMerge/>
            <w:hideMark/>
          </w:tcPr>
          <w:p w14:paraId="7989679D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314" w:type="dxa"/>
            <w:vMerge/>
            <w:hideMark/>
          </w:tcPr>
          <w:p w14:paraId="2758F35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371" w:type="dxa"/>
            <w:vMerge/>
            <w:hideMark/>
          </w:tcPr>
          <w:p w14:paraId="1A7CFE0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68" w:type="dxa"/>
            <w:vMerge/>
            <w:hideMark/>
          </w:tcPr>
          <w:p w14:paraId="482ABBD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274" w:type="dxa"/>
            <w:vMerge/>
            <w:hideMark/>
          </w:tcPr>
          <w:p w14:paraId="2A76259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35F8C2F0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0A4E9DD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5090856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КГР</w:t>
            </w:r>
          </w:p>
        </w:tc>
        <w:tc>
          <w:tcPr>
            <w:tcW w:w="1314" w:type="dxa"/>
            <w:noWrap/>
            <w:hideMark/>
          </w:tcPr>
          <w:p w14:paraId="46918191" w14:textId="28CBA98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724659A" w14:textId="632F392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A5A9B3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</w:t>
            </w:r>
          </w:p>
        </w:tc>
        <w:tc>
          <w:tcPr>
            <w:tcW w:w="1274" w:type="dxa"/>
            <w:hideMark/>
          </w:tcPr>
          <w:p w14:paraId="71005CE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439E047B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35B53DF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01AD4DF5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ИК17</w:t>
            </w:r>
          </w:p>
        </w:tc>
        <w:tc>
          <w:tcPr>
            <w:tcW w:w="1314" w:type="dxa"/>
            <w:noWrap/>
            <w:hideMark/>
          </w:tcPr>
          <w:p w14:paraId="70946F77" w14:textId="1BB1D5B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098522AB" w14:textId="687B3563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538FBD0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2×150, 2×20, 2×30, 4×50, 1×15, 1×10</w:t>
            </w:r>
          </w:p>
        </w:tc>
        <w:tc>
          <w:tcPr>
            <w:tcW w:w="1274" w:type="dxa"/>
            <w:hideMark/>
          </w:tcPr>
          <w:p w14:paraId="4C53BD9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E8A7A51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01EB15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5486E59F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 4A, 4B и 4C</w:t>
            </w:r>
          </w:p>
        </w:tc>
        <w:tc>
          <w:tcPr>
            <w:tcW w:w="1314" w:type="dxa"/>
            <w:noWrap/>
            <w:hideMark/>
          </w:tcPr>
          <w:p w14:paraId="5623DE60" w14:textId="1EB7EAF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3916EC02" w14:textId="622D9391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3F68C81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1×250, 2×100</w:t>
            </w:r>
          </w:p>
        </w:tc>
        <w:tc>
          <w:tcPr>
            <w:tcW w:w="1274" w:type="dxa"/>
            <w:hideMark/>
          </w:tcPr>
          <w:p w14:paraId="31D1F40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50330D2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018358D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26F4A4D3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ИК15</w:t>
            </w:r>
          </w:p>
        </w:tc>
        <w:tc>
          <w:tcPr>
            <w:tcW w:w="1314" w:type="dxa"/>
            <w:noWrap/>
            <w:hideMark/>
          </w:tcPr>
          <w:p w14:paraId="1263EF46" w14:textId="04955EF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EDF0D63" w14:textId="7E0426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6E114C9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1×30, 2×20, 2×15, 1×200, 1×40, 2×100, 3×50, 3×30</w:t>
            </w:r>
          </w:p>
        </w:tc>
        <w:tc>
          <w:tcPr>
            <w:tcW w:w="1274" w:type="dxa"/>
            <w:hideMark/>
          </w:tcPr>
          <w:p w14:paraId="28B4393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4F86EBC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0674B339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МСЭ-D</w:t>
            </w:r>
          </w:p>
        </w:tc>
        <w:tc>
          <w:tcPr>
            <w:tcW w:w="2718" w:type="dxa"/>
            <w:noWrap/>
            <w:hideMark/>
          </w:tcPr>
          <w:p w14:paraId="460C3765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КГРЭ</w:t>
            </w:r>
          </w:p>
        </w:tc>
        <w:tc>
          <w:tcPr>
            <w:tcW w:w="1314" w:type="dxa"/>
            <w:noWrap/>
            <w:hideMark/>
          </w:tcPr>
          <w:p w14:paraId="5DB6058A" w14:textId="64B1A5E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2AFF75E5" w14:textId="51E3252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55AA836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</w:t>
            </w:r>
          </w:p>
        </w:tc>
        <w:tc>
          <w:tcPr>
            <w:tcW w:w="1274" w:type="dxa"/>
            <w:noWrap/>
            <w:hideMark/>
          </w:tcPr>
          <w:p w14:paraId="21F3E72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4F175856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9BCDD6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D87116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ИК4</w:t>
            </w:r>
          </w:p>
        </w:tc>
        <w:tc>
          <w:tcPr>
            <w:tcW w:w="1314" w:type="dxa"/>
            <w:noWrap/>
            <w:hideMark/>
          </w:tcPr>
          <w:p w14:paraId="11B3C430" w14:textId="54C97D6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387A0D26" w14:textId="3AAA227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3D574EF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</w:t>
            </w:r>
          </w:p>
        </w:tc>
        <w:tc>
          <w:tcPr>
            <w:tcW w:w="1274" w:type="dxa"/>
            <w:hideMark/>
          </w:tcPr>
          <w:p w14:paraId="597DEDC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72D00AD9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DA4B6CE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4305D554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ИК3</w:t>
            </w:r>
          </w:p>
        </w:tc>
        <w:tc>
          <w:tcPr>
            <w:tcW w:w="1314" w:type="dxa"/>
            <w:noWrap/>
            <w:hideMark/>
          </w:tcPr>
          <w:p w14:paraId="51D5BED9" w14:textId="62F6005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00761AD" w14:textId="23FD264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063AF15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1×30</w:t>
            </w:r>
          </w:p>
        </w:tc>
        <w:tc>
          <w:tcPr>
            <w:tcW w:w="1274" w:type="dxa"/>
            <w:hideMark/>
          </w:tcPr>
          <w:p w14:paraId="1E49084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D53D473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23D0C5C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6B10040E" w14:textId="31ABBCC3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Новая группа после АР-27/</w:t>
            </w:r>
            <w:r w:rsidR="003B33C6" w:rsidRPr="007159A6">
              <w:rPr>
                <w:color w:val="000000"/>
                <w:sz w:val="18"/>
                <w:szCs w:val="18"/>
                <w:lang w:val="ru-RU"/>
              </w:rPr>
              <w:br/>
            </w:r>
            <w:r w:rsidRPr="007159A6">
              <w:rPr>
                <w:color w:val="000000"/>
                <w:sz w:val="18"/>
                <w:szCs w:val="18"/>
                <w:lang w:val="ru-RU"/>
              </w:rPr>
              <w:t>ВКР</w:t>
            </w:r>
            <w:r w:rsidR="004D5326" w:rsidRPr="007159A6">
              <w:rPr>
                <w:rFonts w:ascii="Cambria Math" w:hAnsi="Cambria Math"/>
                <w:color w:val="000000"/>
                <w:sz w:val="18"/>
                <w:szCs w:val="18"/>
                <w:lang w:val="ru-RU"/>
              </w:rPr>
              <w:t>‑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314" w:type="dxa"/>
            <w:noWrap/>
            <w:hideMark/>
          </w:tcPr>
          <w:p w14:paraId="607876BC" w14:textId="6A947681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086FE8A3" w14:textId="1218B305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10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483C5CA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</w:t>
            </w:r>
          </w:p>
        </w:tc>
        <w:tc>
          <w:tcPr>
            <w:tcW w:w="1274" w:type="dxa"/>
            <w:hideMark/>
          </w:tcPr>
          <w:p w14:paraId="4EBA54C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3F27A14D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40A1E69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433D8BCB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РГ 5A, 5B и 5C</w:t>
            </w:r>
          </w:p>
        </w:tc>
        <w:tc>
          <w:tcPr>
            <w:tcW w:w="1314" w:type="dxa"/>
            <w:noWrap/>
            <w:hideMark/>
          </w:tcPr>
          <w:p w14:paraId="2B28C915" w14:textId="6E89AA8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6B6F867" w14:textId="3B156A4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44647616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1×200, 1×120, 1×80, 2×50</w:t>
            </w:r>
          </w:p>
        </w:tc>
        <w:tc>
          <w:tcPr>
            <w:tcW w:w="1274" w:type="dxa"/>
            <w:hideMark/>
          </w:tcPr>
          <w:p w14:paraId="5D130EB2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7587E56F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E63CA4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0553242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 xml:space="preserve">КГСЭ </w:t>
            </w:r>
          </w:p>
        </w:tc>
        <w:tc>
          <w:tcPr>
            <w:tcW w:w="1314" w:type="dxa"/>
            <w:noWrap/>
            <w:hideMark/>
          </w:tcPr>
          <w:p w14:paraId="619F1F2C" w14:textId="4FF64B0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307BB280" w14:textId="1B88E4FF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147BB856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1×200, 1×80</w:t>
            </w:r>
          </w:p>
        </w:tc>
        <w:tc>
          <w:tcPr>
            <w:tcW w:w="1274" w:type="dxa"/>
            <w:noWrap/>
            <w:hideMark/>
          </w:tcPr>
          <w:p w14:paraId="695B7AE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25B5CE8F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979BF84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4EB5363F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ИК12</w:t>
            </w:r>
          </w:p>
        </w:tc>
        <w:tc>
          <w:tcPr>
            <w:tcW w:w="1314" w:type="dxa"/>
            <w:noWrap/>
            <w:hideMark/>
          </w:tcPr>
          <w:p w14:paraId="18EEDC24" w14:textId="575A41D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E800EF9" w14:textId="7391408B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31CB1B4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 (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открытие и закрытие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), 3×30, 2×15, 2×10</w:t>
            </w:r>
          </w:p>
        </w:tc>
        <w:tc>
          <w:tcPr>
            <w:tcW w:w="1274" w:type="dxa"/>
            <w:hideMark/>
          </w:tcPr>
          <w:p w14:paraId="57E2752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2A946EE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4AC218EB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1342C877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ИК5</w:t>
            </w:r>
          </w:p>
        </w:tc>
        <w:tc>
          <w:tcPr>
            <w:tcW w:w="1314" w:type="dxa"/>
            <w:noWrap/>
            <w:hideMark/>
          </w:tcPr>
          <w:p w14:paraId="04112F96" w14:textId="316394BF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225B435E" w14:textId="56CC600C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23437A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</w:t>
            </w:r>
          </w:p>
        </w:tc>
        <w:tc>
          <w:tcPr>
            <w:tcW w:w="1274" w:type="dxa"/>
            <w:noWrap/>
            <w:hideMark/>
          </w:tcPr>
          <w:p w14:paraId="4846E418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546778C0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13130CFA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5CE5979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3J, 3K, 3L, 3M</w:t>
            </w:r>
          </w:p>
        </w:tc>
        <w:tc>
          <w:tcPr>
            <w:tcW w:w="1314" w:type="dxa"/>
            <w:noWrap/>
            <w:hideMark/>
          </w:tcPr>
          <w:p w14:paraId="6EF5E568" w14:textId="448A8DE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A6EA749" w14:textId="4F791342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321499E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1×100, 2×50</w:t>
            </w:r>
          </w:p>
        </w:tc>
        <w:tc>
          <w:tcPr>
            <w:tcW w:w="1274" w:type="dxa"/>
            <w:noWrap/>
            <w:hideMark/>
          </w:tcPr>
          <w:p w14:paraId="5B61DCF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2EBC0A99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20904959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5A5AAEE0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ИК5</w:t>
            </w:r>
          </w:p>
        </w:tc>
        <w:tc>
          <w:tcPr>
            <w:tcW w:w="1314" w:type="dxa"/>
            <w:noWrap/>
            <w:hideMark/>
          </w:tcPr>
          <w:p w14:paraId="63F3B585" w14:textId="4AEF5C7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04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1787899C" w14:textId="0E448644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45B6D46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2×50, 3×30, 2×15</w:t>
            </w:r>
          </w:p>
        </w:tc>
        <w:tc>
          <w:tcPr>
            <w:tcW w:w="1274" w:type="dxa"/>
            <w:noWrap/>
            <w:hideMark/>
          </w:tcPr>
          <w:p w14:paraId="120040A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1D5F9A48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EEF6C9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4224E07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ИК3</w:t>
            </w:r>
          </w:p>
        </w:tc>
        <w:tc>
          <w:tcPr>
            <w:tcW w:w="1314" w:type="dxa"/>
            <w:noWrap/>
            <w:hideMark/>
          </w:tcPr>
          <w:p w14:paraId="1BC46E15" w14:textId="1F02E8D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9BFD339" w14:textId="49EA0B6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F17295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1×100</w:t>
            </w:r>
          </w:p>
        </w:tc>
        <w:tc>
          <w:tcPr>
            <w:tcW w:w="1274" w:type="dxa"/>
            <w:noWrap/>
            <w:hideMark/>
          </w:tcPr>
          <w:p w14:paraId="269AD810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78E324D1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7AE8608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7D58E4DA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1A, 1B, 1C</w:t>
            </w:r>
          </w:p>
        </w:tc>
        <w:tc>
          <w:tcPr>
            <w:tcW w:w="1314" w:type="dxa"/>
            <w:noWrap/>
            <w:hideMark/>
          </w:tcPr>
          <w:p w14:paraId="56507A74" w14:textId="2EA7A290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11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8768656" w14:textId="55884D2F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260C750C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1×120, 2×80</w:t>
            </w:r>
          </w:p>
        </w:tc>
        <w:tc>
          <w:tcPr>
            <w:tcW w:w="1274" w:type="dxa"/>
            <w:noWrap/>
            <w:hideMark/>
          </w:tcPr>
          <w:p w14:paraId="46F3251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  <w:tr w:rsidR="004D5326" w:rsidRPr="007159A6" w14:paraId="1047FDF6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D0865FB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063D11FF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ИК21</w:t>
            </w:r>
          </w:p>
        </w:tc>
        <w:tc>
          <w:tcPr>
            <w:tcW w:w="1314" w:type="dxa"/>
            <w:noWrap/>
            <w:hideMark/>
          </w:tcPr>
          <w:p w14:paraId="6FE825DF" w14:textId="21D7236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18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3801CBBB" w14:textId="2B9B6E2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37F1982E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1×150, 1×30, 2×20, 2×15</w:t>
            </w:r>
          </w:p>
        </w:tc>
        <w:tc>
          <w:tcPr>
            <w:tcW w:w="1274" w:type="dxa"/>
            <w:noWrap/>
            <w:hideMark/>
          </w:tcPr>
          <w:p w14:paraId="4A67EEFB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1ED22186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4E673A0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07EE8FE1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JVET</w:t>
            </w:r>
          </w:p>
        </w:tc>
        <w:tc>
          <w:tcPr>
            <w:tcW w:w="1314" w:type="dxa"/>
            <w:noWrap/>
            <w:hideMark/>
          </w:tcPr>
          <w:p w14:paraId="66125A8A" w14:textId="3F5EF8A6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19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9285BFD" w14:textId="79D1D2AD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4C5DDC6A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1×200, 1×100</w:t>
            </w:r>
          </w:p>
        </w:tc>
        <w:tc>
          <w:tcPr>
            <w:tcW w:w="1274" w:type="dxa"/>
            <w:noWrap/>
            <w:hideMark/>
          </w:tcPr>
          <w:p w14:paraId="47DDB0BD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799F1988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7E5CC381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47C5240C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ИК1</w:t>
            </w:r>
          </w:p>
        </w:tc>
        <w:tc>
          <w:tcPr>
            <w:tcW w:w="1314" w:type="dxa"/>
            <w:noWrap/>
            <w:hideMark/>
          </w:tcPr>
          <w:p w14:paraId="7104C7AF" w14:textId="7B3FBE6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F6D70EB" w14:textId="6D4C6DE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0491DA6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1×150</w:t>
            </w:r>
          </w:p>
        </w:tc>
        <w:tc>
          <w:tcPr>
            <w:tcW w:w="1274" w:type="dxa"/>
            <w:noWrap/>
            <w:hideMark/>
          </w:tcPr>
          <w:p w14:paraId="6A73DAD5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40501BDB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7A375C8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4EA71C5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РГ 5D</w:t>
            </w:r>
          </w:p>
        </w:tc>
        <w:tc>
          <w:tcPr>
            <w:tcW w:w="1314" w:type="dxa"/>
            <w:noWrap/>
            <w:hideMark/>
          </w:tcPr>
          <w:p w14:paraId="311B4C90" w14:textId="1C9D19F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7F54FA6A" w14:textId="07CE3E9F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7A17A6F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1×250, 2×80</w:t>
            </w:r>
          </w:p>
        </w:tc>
        <w:tc>
          <w:tcPr>
            <w:tcW w:w="1274" w:type="dxa"/>
            <w:noWrap/>
            <w:hideMark/>
          </w:tcPr>
          <w:p w14:paraId="786E7374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2×30</w:t>
            </w:r>
          </w:p>
        </w:tc>
      </w:tr>
      <w:tr w:rsidR="004D5326" w:rsidRPr="007159A6" w14:paraId="5554E39F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5C497DFE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0A736686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РРК29-2</w:t>
            </w:r>
          </w:p>
        </w:tc>
        <w:tc>
          <w:tcPr>
            <w:tcW w:w="1314" w:type="dxa"/>
            <w:noWrap/>
            <w:hideMark/>
          </w:tcPr>
          <w:p w14:paraId="0830CFB7" w14:textId="0B8C7E2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02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539D5953" w14:textId="7E998FF2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5678A7A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1×40</w:t>
            </w:r>
          </w:p>
        </w:tc>
        <w:tc>
          <w:tcPr>
            <w:tcW w:w="1274" w:type="dxa"/>
            <w:noWrap/>
            <w:hideMark/>
          </w:tcPr>
          <w:p w14:paraId="6DC5B8F1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64CE7E34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34AD1E28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МСЭ-Т</w:t>
            </w:r>
          </w:p>
        </w:tc>
        <w:tc>
          <w:tcPr>
            <w:tcW w:w="2718" w:type="dxa"/>
            <w:noWrap/>
            <w:hideMark/>
          </w:tcPr>
          <w:p w14:paraId="706AC4BD" w14:textId="77777777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ИК20</w:t>
            </w:r>
          </w:p>
        </w:tc>
        <w:tc>
          <w:tcPr>
            <w:tcW w:w="1314" w:type="dxa"/>
            <w:noWrap/>
            <w:hideMark/>
          </w:tcPr>
          <w:p w14:paraId="4B0A6931" w14:textId="40FFB969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16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6972513E" w14:textId="0B16397E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25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hideMark/>
          </w:tcPr>
          <w:p w14:paraId="61A3AC8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1×120 (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открытие и закрытие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), 3×30, 2×15, 2×10</w:t>
            </w:r>
          </w:p>
        </w:tc>
        <w:tc>
          <w:tcPr>
            <w:tcW w:w="1274" w:type="dxa"/>
            <w:noWrap/>
            <w:hideMark/>
          </w:tcPr>
          <w:p w14:paraId="5F1FDF83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4D5326" w:rsidRPr="007159A6" w14:paraId="4BB577A9" w14:textId="77777777" w:rsidTr="003B33C6">
        <w:trPr>
          <w:cantSplit/>
        </w:trPr>
        <w:tc>
          <w:tcPr>
            <w:tcW w:w="821" w:type="dxa"/>
            <w:noWrap/>
            <w:hideMark/>
          </w:tcPr>
          <w:p w14:paraId="60CC7405" w14:textId="77777777" w:rsidR="00980949" w:rsidRPr="007159A6" w:rsidRDefault="00980949" w:rsidP="00D82CFA">
            <w:pPr>
              <w:pStyle w:val="Tabletext"/>
              <w:spacing w:line="200" w:lineRule="exact"/>
              <w:ind w:left="-57" w:right="-57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МСЭ-R</w:t>
            </w:r>
          </w:p>
        </w:tc>
        <w:tc>
          <w:tcPr>
            <w:tcW w:w="2718" w:type="dxa"/>
            <w:noWrap/>
            <w:hideMark/>
          </w:tcPr>
          <w:p w14:paraId="1E8BC992" w14:textId="509650EF" w:rsidR="00980949" w:rsidRPr="007159A6" w:rsidRDefault="00980949" w:rsidP="00D82CFA">
            <w:pPr>
              <w:pStyle w:val="Tabletext"/>
              <w:spacing w:line="200" w:lineRule="exact"/>
              <w:rPr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Новая группа после АР-27/</w:t>
            </w:r>
            <w:r w:rsidR="003B33C6" w:rsidRPr="007159A6">
              <w:rPr>
                <w:color w:val="000000"/>
                <w:sz w:val="18"/>
                <w:szCs w:val="18"/>
                <w:lang w:val="ru-RU"/>
              </w:rPr>
              <w:br/>
            </w:r>
            <w:r w:rsidRPr="007159A6">
              <w:rPr>
                <w:color w:val="000000"/>
                <w:sz w:val="18"/>
                <w:szCs w:val="18"/>
                <w:lang w:val="ru-RU"/>
              </w:rPr>
              <w:t>ВКР-27</w:t>
            </w:r>
          </w:p>
        </w:tc>
        <w:tc>
          <w:tcPr>
            <w:tcW w:w="1314" w:type="dxa"/>
            <w:noWrap/>
            <w:hideMark/>
          </w:tcPr>
          <w:p w14:paraId="73C0B323" w14:textId="4BD30CCA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23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371" w:type="dxa"/>
            <w:noWrap/>
            <w:hideMark/>
          </w:tcPr>
          <w:p w14:paraId="42A54265" w14:textId="2CB08DF8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27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</w:t>
            </w:r>
            <w:r w:rsidRPr="007159A6">
              <w:rPr>
                <w:color w:val="000000"/>
                <w:sz w:val="18"/>
                <w:szCs w:val="18"/>
                <w:lang w:val="ru-RU" w:eastAsia="en-GB"/>
              </w:rPr>
              <w:t>07</w:t>
            </w:r>
            <w:r w:rsidR="004D5326" w:rsidRPr="007159A6">
              <w:rPr>
                <w:color w:val="000000"/>
                <w:sz w:val="18"/>
                <w:szCs w:val="18"/>
                <w:lang w:val="ru-RU" w:eastAsia="en-GB"/>
              </w:rPr>
              <w:t>.2029 г.</w:t>
            </w:r>
          </w:p>
        </w:tc>
        <w:tc>
          <w:tcPr>
            <w:tcW w:w="1568" w:type="dxa"/>
            <w:noWrap/>
            <w:hideMark/>
          </w:tcPr>
          <w:p w14:paraId="58F1001F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1×250</w:t>
            </w:r>
          </w:p>
        </w:tc>
        <w:tc>
          <w:tcPr>
            <w:tcW w:w="1274" w:type="dxa"/>
            <w:noWrap/>
            <w:hideMark/>
          </w:tcPr>
          <w:p w14:paraId="309E8087" w14:textId="77777777" w:rsidR="00980949" w:rsidRPr="007159A6" w:rsidRDefault="00980949" w:rsidP="00D82CFA">
            <w:pPr>
              <w:pStyle w:val="Tabletext"/>
              <w:spacing w:line="200" w:lineRule="exact"/>
              <w:jc w:val="center"/>
              <w:rPr>
                <w:color w:val="000000"/>
                <w:sz w:val="18"/>
                <w:szCs w:val="18"/>
                <w:lang w:val="ru-RU" w:eastAsia="en-GB"/>
              </w:rPr>
            </w:pPr>
            <w:r w:rsidRPr="007159A6">
              <w:rPr>
                <w:color w:val="000000"/>
                <w:sz w:val="18"/>
                <w:szCs w:val="18"/>
                <w:lang w:val="ru-RU" w:eastAsia="en-GB"/>
              </w:rPr>
              <w:t>1×30</w:t>
            </w:r>
          </w:p>
        </w:tc>
      </w:tr>
    </w:tbl>
    <w:p w14:paraId="750D84EF" w14:textId="77777777" w:rsidR="00980949" w:rsidRPr="007159A6" w:rsidRDefault="00980949" w:rsidP="00E743CB">
      <w:pPr>
        <w:pStyle w:val="AnnexNo"/>
        <w:spacing w:before="720"/>
        <w:rPr>
          <w:lang w:val="ru-RU"/>
        </w:rPr>
      </w:pPr>
      <w:r w:rsidRPr="007159A6">
        <w:rPr>
          <w:lang w:val="ru-RU"/>
        </w:rPr>
        <w:lastRenderedPageBreak/>
        <w:t>ПРИЛОЖЕНИЕ 2</w:t>
      </w:r>
    </w:p>
    <w:p w14:paraId="22B1AF4D" w14:textId="77777777" w:rsidR="00980949" w:rsidRPr="007159A6" w:rsidRDefault="00980949" w:rsidP="00980949">
      <w:pPr>
        <w:pStyle w:val="Annextitle"/>
        <w:rPr>
          <w:lang w:val="ru-RU"/>
        </w:rPr>
      </w:pPr>
      <w:r w:rsidRPr="007159A6">
        <w:rPr>
          <w:bCs/>
          <w:lang w:val="ru-RU"/>
        </w:rPr>
        <w:t>Затраты на проведение собраний в МСЭ</w:t>
      </w:r>
    </w:p>
    <w:p w14:paraId="159ED4CC" w14:textId="6BB26B04" w:rsidR="00980949" w:rsidRPr="007159A6" w:rsidRDefault="00980949" w:rsidP="00B515A3">
      <w:pPr>
        <w:spacing w:after="120"/>
        <w:jc w:val="both"/>
        <w:rPr>
          <w:lang w:val="ru-RU"/>
        </w:rPr>
      </w:pPr>
      <w:r w:rsidRPr="007159A6">
        <w:rPr>
          <w:lang w:val="ru-RU"/>
        </w:rPr>
        <w:t>Затраты на проведение собраний в МСЭ в текущих условиях указываются по просьбе 22</w:t>
      </w:r>
      <w:r w:rsidR="003B33C6" w:rsidRPr="007159A6">
        <w:rPr>
          <w:rFonts w:ascii="Cambria Math" w:hAnsi="Cambria Math"/>
          <w:lang w:val="ru-RU"/>
        </w:rPr>
        <w:t>‑</w:t>
      </w:r>
      <w:r w:rsidRPr="007159A6">
        <w:rPr>
          <w:lang w:val="ru-RU"/>
        </w:rPr>
        <w:t>го</w:t>
      </w:r>
      <w:r w:rsidR="003B33C6" w:rsidRPr="007159A6">
        <w:rPr>
          <w:lang w:val="ru-RU"/>
        </w:rPr>
        <w:t> </w:t>
      </w:r>
      <w:r w:rsidRPr="007159A6">
        <w:rPr>
          <w:lang w:val="ru-RU"/>
        </w:rPr>
        <w:t>собрания РГС-ФЛР в качестве ориентировочной оценки на основании действующей бизнес-модели. Методика, используемая для расчета этих затрат, в целом аналогична методике, применяемой другими учреждениями системы ООН в Женеве при установлении арендной платы на основе возмещения затрат. Однако методики не полностью согласованы, и на данном этапе эти затраты отражают фактическое внутреннее использование, а не модель аренды. Для разработки модели аренды помещений МСЭ в будущем, в частности в контексте кампуса МСЭ, может потребоваться доработка методики совместно с FRMD, проведение сравнительного анализа и дальнейшая координация в рамках предлагаемого сотрудничества с</w:t>
      </w:r>
      <w:r w:rsidR="000E53C2" w:rsidRPr="007159A6">
        <w:rPr>
          <w:lang w:val="ru-RU"/>
        </w:rPr>
        <w:t> </w:t>
      </w:r>
      <w:r w:rsidRPr="007159A6">
        <w:rPr>
          <w:lang w:val="ru-RU"/>
        </w:rPr>
        <w:t>учреждениями системы ООН.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20" w:firstRow="1" w:lastRow="0" w:firstColumn="0" w:lastColumn="0" w:noHBand="0" w:noVBand="1"/>
      </w:tblPr>
      <w:tblGrid>
        <w:gridCol w:w="1555"/>
        <w:gridCol w:w="1417"/>
        <w:gridCol w:w="1685"/>
        <w:gridCol w:w="3135"/>
        <w:gridCol w:w="1269"/>
      </w:tblGrid>
      <w:tr w:rsidR="003B33C6" w:rsidRPr="008E7627" w14:paraId="24255C70" w14:textId="77777777" w:rsidTr="003B33C6">
        <w:trPr>
          <w:tblHeader/>
        </w:trPr>
        <w:tc>
          <w:tcPr>
            <w:tcW w:w="858" w:type="pct"/>
            <w:vAlign w:val="center"/>
          </w:tcPr>
          <w:p w14:paraId="502C1BD3" w14:textId="77777777" w:rsidR="00980949" w:rsidRPr="007159A6" w:rsidRDefault="00980949" w:rsidP="003B33C6">
            <w:pPr>
              <w:pStyle w:val="Tablehead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Собрание</w:t>
            </w:r>
          </w:p>
        </w:tc>
        <w:tc>
          <w:tcPr>
            <w:tcW w:w="782" w:type="pct"/>
            <w:vAlign w:val="center"/>
          </w:tcPr>
          <w:p w14:paraId="4734519B" w14:textId="77777777" w:rsidR="00980949" w:rsidRPr="007159A6" w:rsidRDefault="00980949" w:rsidP="003B33C6">
            <w:pPr>
              <w:pStyle w:val="Tablehead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Продолжи-тельность, дни</w:t>
            </w:r>
          </w:p>
        </w:tc>
        <w:tc>
          <w:tcPr>
            <w:tcW w:w="930" w:type="pct"/>
            <w:vAlign w:val="center"/>
          </w:tcPr>
          <w:p w14:paraId="3D2B8CFD" w14:textId="59B05B94" w:rsidR="00980949" w:rsidRPr="007159A6" w:rsidRDefault="00980949" w:rsidP="003B33C6">
            <w:pPr>
              <w:pStyle w:val="Tablehead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Залы/</w:t>
            </w:r>
            <w:r w:rsidR="003B33C6" w:rsidRPr="007159A6">
              <w:rPr>
                <w:bCs/>
                <w:color w:val="000000"/>
                <w:sz w:val="18"/>
                <w:szCs w:val="18"/>
                <w:lang w:val="ru-RU"/>
              </w:rPr>
              <w:br/>
            </w: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вместимость</w:t>
            </w:r>
          </w:p>
        </w:tc>
        <w:tc>
          <w:tcPr>
            <w:tcW w:w="2430" w:type="pct"/>
            <w:gridSpan w:val="2"/>
            <w:vAlign w:val="center"/>
          </w:tcPr>
          <w:p w14:paraId="4ACC8C0B" w14:textId="77777777" w:rsidR="00980949" w:rsidRPr="007159A6" w:rsidRDefault="00980949" w:rsidP="003B33C6">
            <w:pPr>
              <w:pStyle w:val="Tablehead"/>
              <w:rPr>
                <w:sz w:val="18"/>
                <w:szCs w:val="18"/>
                <w:lang w:val="ru-RU"/>
              </w:rPr>
            </w:pPr>
            <w:r w:rsidRPr="007159A6">
              <w:rPr>
                <w:bCs/>
                <w:color w:val="000000"/>
                <w:sz w:val="18"/>
                <w:szCs w:val="18"/>
                <w:lang w:val="ru-RU"/>
              </w:rPr>
              <w:t>Сметные затраты на собрания в штаб-квартире МСЭ (шв. фр.)</w:t>
            </w:r>
          </w:p>
        </w:tc>
      </w:tr>
      <w:tr w:rsidR="003B33C6" w:rsidRPr="007159A6" w14:paraId="24EAE162" w14:textId="77777777" w:rsidTr="003B33C6">
        <w:tc>
          <w:tcPr>
            <w:tcW w:w="858" w:type="pct"/>
            <w:vMerge w:val="restart"/>
            <w:vAlign w:val="center"/>
          </w:tcPr>
          <w:p w14:paraId="4857F161" w14:textId="77777777" w:rsidR="00980949" w:rsidRPr="007159A6" w:rsidRDefault="00980949" w:rsidP="00ED4346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Совет</w:t>
            </w:r>
          </w:p>
        </w:tc>
        <w:tc>
          <w:tcPr>
            <w:tcW w:w="782" w:type="pct"/>
            <w:vMerge w:val="restart"/>
            <w:vAlign w:val="center"/>
          </w:tcPr>
          <w:p w14:paraId="70D3F505" w14:textId="77777777" w:rsidR="00980949" w:rsidRPr="007159A6" w:rsidRDefault="00980949" w:rsidP="00ED4346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30" w:type="pct"/>
            <w:vMerge w:val="restart"/>
            <w:vAlign w:val="center"/>
          </w:tcPr>
          <w:p w14:paraId="0E6BB868" w14:textId="36C06B78" w:rsidR="00980949" w:rsidRPr="007159A6" w:rsidRDefault="00980949" w:rsidP="00ED4346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</w:t>
            </w:r>
            <w:r w:rsidRPr="007159A6">
              <w:rPr>
                <w:rFonts w:cs="Calibri"/>
                <w:color w:val="000000"/>
                <w:sz w:val="18"/>
                <w:szCs w:val="18"/>
                <w:lang w:val="ru-RU"/>
              </w:rPr>
              <w:t>×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350, 1</w:t>
            </w:r>
            <w:r w:rsidRPr="007159A6">
              <w:rPr>
                <w:rFonts w:cs="Calibri"/>
                <w:color w:val="000000"/>
                <w:sz w:val="18"/>
                <w:szCs w:val="18"/>
                <w:lang w:val="ru-RU"/>
              </w:rPr>
              <w:t>×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150, 1</w:t>
            </w:r>
            <w:r w:rsidRPr="007159A6">
              <w:rPr>
                <w:rFonts w:cs="Calibri"/>
                <w:color w:val="000000"/>
                <w:sz w:val="18"/>
                <w:szCs w:val="18"/>
                <w:lang w:val="ru-RU"/>
              </w:rPr>
              <w:t>×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80, 2</w:t>
            </w:r>
            <w:r w:rsidRPr="007159A6">
              <w:rPr>
                <w:rFonts w:cs="Calibri"/>
                <w:color w:val="000000"/>
                <w:sz w:val="18"/>
                <w:szCs w:val="18"/>
                <w:lang w:val="ru-RU"/>
              </w:rPr>
              <w:t>×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30, 1</w:t>
            </w:r>
            <w:r w:rsidRPr="007159A6">
              <w:rPr>
                <w:rFonts w:cs="Calibri"/>
                <w:color w:val="000000"/>
                <w:sz w:val="18"/>
                <w:szCs w:val="18"/>
                <w:lang w:val="ru-RU"/>
              </w:rPr>
              <w:t>×</w:t>
            </w:r>
            <w:r w:rsidRPr="007159A6">
              <w:rPr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730" w:type="pct"/>
          </w:tcPr>
          <w:p w14:paraId="558E1D5C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48093960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27 630</w:t>
            </w:r>
          </w:p>
        </w:tc>
      </w:tr>
      <w:tr w:rsidR="003B33C6" w:rsidRPr="007159A6" w14:paraId="4390B172" w14:textId="77777777" w:rsidTr="003B33C6">
        <w:tc>
          <w:tcPr>
            <w:tcW w:w="858" w:type="pct"/>
            <w:vMerge/>
            <w:vAlign w:val="center"/>
          </w:tcPr>
          <w:p w14:paraId="61D52758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49534465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1A739FF9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60CCDFA8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2EAD25D2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7 436</w:t>
            </w:r>
          </w:p>
        </w:tc>
      </w:tr>
      <w:tr w:rsidR="003B33C6" w:rsidRPr="007159A6" w14:paraId="1884C22B" w14:textId="77777777" w:rsidTr="003B33C6">
        <w:tc>
          <w:tcPr>
            <w:tcW w:w="858" w:type="pct"/>
            <w:vMerge/>
            <w:vAlign w:val="center"/>
          </w:tcPr>
          <w:p w14:paraId="20F4392F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4428096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164BE365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785F588E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7CD528A2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10 871</w:t>
            </w:r>
          </w:p>
        </w:tc>
      </w:tr>
      <w:tr w:rsidR="003B33C6" w:rsidRPr="007159A6" w14:paraId="49C1C8F4" w14:textId="77777777" w:rsidTr="003B33C6">
        <w:tc>
          <w:tcPr>
            <w:tcW w:w="858" w:type="pct"/>
            <w:vMerge/>
            <w:vAlign w:val="center"/>
          </w:tcPr>
          <w:p w14:paraId="3819B414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4D1E2F8B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1A12BDE4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5C0B97DD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43CDD06D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33 850</w:t>
            </w:r>
          </w:p>
        </w:tc>
      </w:tr>
      <w:tr w:rsidR="003B33C6" w:rsidRPr="007159A6" w14:paraId="13378619" w14:textId="77777777" w:rsidTr="003B33C6">
        <w:tc>
          <w:tcPr>
            <w:tcW w:w="858" w:type="pct"/>
            <w:vMerge/>
            <w:vAlign w:val="center"/>
          </w:tcPr>
          <w:p w14:paraId="2A470CF0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02C813EE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50B1428A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3B528100" w14:textId="77777777" w:rsidR="00980949" w:rsidRPr="007159A6" w:rsidRDefault="00980949" w:rsidP="00ED4346">
            <w:pPr>
              <w:pStyle w:val="Tabletext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</w:tcPr>
          <w:p w14:paraId="672BB7D0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79 787</w:t>
            </w:r>
          </w:p>
        </w:tc>
      </w:tr>
      <w:tr w:rsidR="003B33C6" w:rsidRPr="007159A6" w14:paraId="783E4E0A" w14:textId="77777777" w:rsidTr="003B33C6">
        <w:tc>
          <w:tcPr>
            <w:tcW w:w="858" w:type="pct"/>
            <w:vMerge w:val="restart"/>
            <w:vAlign w:val="center"/>
          </w:tcPr>
          <w:p w14:paraId="54203743" w14:textId="77777777" w:rsidR="00980949" w:rsidRPr="007159A6" w:rsidRDefault="00980949" w:rsidP="00ED4346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РГС</w:t>
            </w:r>
          </w:p>
        </w:tc>
        <w:tc>
          <w:tcPr>
            <w:tcW w:w="782" w:type="pct"/>
            <w:vMerge w:val="restart"/>
            <w:vAlign w:val="center"/>
          </w:tcPr>
          <w:p w14:paraId="72F4D86F" w14:textId="77777777" w:rsidR="00980949" w:rsidRPr="007159A6" w:rsidRDefault="00980949" w:rsidP="00ED4346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30" w:type="pct"/>
            <w:vMerge w:val="restart"/>
            <w:vAlign w:val="center"/>
          </w:tcPr>
          <w:p w14:paraId="36200506" w14:textId="77777777" w:rsidR="00980949" w:rsidRPr="007159A6" w:rsidRDefault="00980949" w:rsidP="00ED4346">
            <w:pPr>
              <w:pStyle w:val="Tabletex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1×150, 1×80</w:t>
            </w:r>
          </w:p>
        </w:tc>
        <w:tc>
          <w:tcPr>
            <w:tcW w:w="1730" w:type="pct"/>
          </w:tcPr>
          <w:p w14:paraId="056D83D6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55675540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15 970</w:t>
            </w:r>
          </w:p>
        </w:tc>
      </w:tr>
      <w:tr w:rsidR="003B33C6" w:rsidRPr="007159A6" w14:paraId="102E3427" w14:textId="77777777" w:rsidTr="003B33C6">
        <w:tc>
          <w:tcPr>
            <w:tcW w:w="858" w:type="pct"/>
            <w:vMerge/>
            <w:vAlign w:val="center"/>
          </w:tcPr>
          <w:p w14:paraId="0944D504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30ACA5D6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6A62E319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6EAF268C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5066BB59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4 977</w:t>
            </w:r>
          </w:p>
        </w:tc>
      </w:tr>
      <w:tr w:rsidR="003B33C6" w:rsidRPr="007159A6" w14:paraId="1A35FECB" w14:textId="77777777" w:rsidTr="003B33C6">
        <w:tc>
          <w:tcPr>
            <w:tcW w:w="858" w:type="pct"/>
            <w:vMerge/>
            <w:vAlign w:val="center"/>
          </w:tcPr>
          <w:p w14:paraId="57938872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1E653CE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0C29F03D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3FF204F0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42B44E8B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B33C6" w:rsidRPr="007159A6" w14:paraId="534DC937" w14:textId="77777777" w:rsidTr="003B33C6">
        <w:tc>
          <w:tcPr>
            <w:tcW w:w="858" w:type="pct"/>
            <w:vMerge/>
            <w:vAlign w:val="center"/>
          </w:tcPr>
          <w:p w14:paraId="247C727C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540D67D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33715247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1D6E319B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2771C98C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25 810</w:t>
            </w:r>
          </w:p>
        </w:tc>
      </w:tr>
      <w:tr w:rsidR="003B33C6" w:rsidRPr="007159A6" w14:paraId="077898C0" w14:textId="77777777" w:rsidTr="003B33C6">
        <w:tc>
          <w:tcPr>
            <w:tcW w:w="858" w:type="pct"/>
            <w:vMerge/>
            <w:vAlign w:val="center"/>
          </w:tcPr>
          <w:p w14:paraId="6A2D1626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EB7A178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45BA677D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1B20F9A8" w14:textId="77777777" w:rsidR="00980949" w:rsidRPr="007159A6" w:rsidRDefault="00980949" w:rsidP="00ED4346">
            <w:pPr>
              <w:pStyle w:val="Tabletext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</w:tcPr>
          <w:p w14:paraId="5B16744D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46 757</w:t>
            </w:r>
          </w:p>
        </w:tc>
      </w:tr>
      <w:tr w:rsidR="003B33C6" w:rsidRPr="007159A6" w14:paraId="28DFC266" w14:textId="77777777" w:rsidTr="003B33C6">
        <w:tc>
          <w:tcPr>
            <w:tcW w:w="858" w:type="pct"/>
            <w:vMerge w:val="restart"/>
            <w:vAlign w:val="center"/>
          </w:tcPr>
          <w:p w14:paraId="3888AB02" w14:textId="77777777" w:rsidR="00980949" w:rsidRPr="007159A6" w:rsidRDefault="00980949" w:rsidP="00ED4346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КГСЭ</w:t>
            </w:r>
          </w:p>
        </w:tc>
        <w:tc>
          <w:tcPr>
            <w:tcW w:w="782" w:type="pct"/>
            <w:vMerge w:val="restart"/>
            <w:vAlign w:val="center"/>
          </w:tcPr>
          <w:p w14:paraId="6E153A79" w14:textId="77777777" w:rsidR="00980949" w:rsidRPr="007159A6" w:rsidRDefault="00980949" w:rsidP="00ED4346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30" w:type="pct"/>
            <w:vMerge w:val="restart"/>
            <w:vAlign w:val="center"/>
          </w:tcPr>
          <w:p w14:paraId="3F71307D" w14:textId="77777777" w:rsidR="00980949" w:rsidRPr="007159A6" w:rsidRDefault="00980949" w:rsidP="00ED4346">
            <w:pPr>
              <w:pStyle w:val="Tabletex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1×50, 1×30, 1×20</w:t>
            </w:r>
          </w:p>
        </w:tc>
        <w:tc>
          <w:tcPr>
            <w:tcW w:w="1730" w:type="pct"/>
          </w:tcPr>
          <w:p w14:paraId="745E010D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555B412A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5 800</w:t>
            </w:r>
          </w:p>
        </w:tc>
      </w:tr>
      <w:tr w:rsidR="003B33C6" w:rsidRPr="007159A6" w14:paraId="26B14D4F" w14:textId="77777777" w:rsidTr="003B33C6">
        <w:tc>
          <w:tcPr>
            <w:tcW w:w="858" w:type="pct"/>
            <w:vMerge/>
            <w:vAlign w:val="center"/>
          </w:tcPr>
          <w:p w14:paraId="2B318A3D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26910F11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25FBCEE7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483D3195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6EA40DC6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3 602</w:t>
            </w:r>
          </w:p>
        </w:tc>
      </w:tr>
      <w:tr w:rsidR="003B33C6" w:rsidRPr="007159A6" w14:paraId="1CA0DA19" w14:textId="77777777" w:rsidTr="003B33C6">
        <w:tc>
          <w:tcPr>
            <w:tcW w:w="858" w:type="pct"/>
            <w:vMerge/>
            <w:vAlign w:val="center"/>
          </w:tcPr>
          <w:p w14:paraId="7AEF8438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1B06535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77278EAC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43995651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6C9148C0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B33C6" w:rsidRPr="007159A6" w14:paraId="70F621F5" w14:textId="77777777" w:rsidTr="003B33C6">
        <w:tc>
          <w:tcPr>
            <w:tcW w:w="858" w:type="pct"/>
            <w:vMerge/>
            <w:vAlign w:val="center"/>
          </w:tcPr>
          <w:p w14:paraId="61DBBDBB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460AA82B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21E24F6B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020D6E87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5855DC6D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16 301</w:t>
            </w:r>
          </w:p>
        </w:tc>
      </w:tr>
      <w:tr w:rsidR="003B33C6" w:rsidRPr="007159A6" w14:paraId="52063FE6" w14:textId="77777777" w:rsidTr="003B33C6">
        <w:tc>
          <w:tcPr>
            <w:tcW w:w="858" w:type="pct"/>
            <w:vMerge/>
            <w:vAlign w:val="center"/>
          </w:tcPr>
          <w:p w14:paraId="2D81951D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5F423C98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0B1B82DE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3978247D" w14:textId="77777777" w:rsidR="00980949" w:rsidRPr="007159A6" w:rsidRDefault="00980949" w:rsidP="00ED4346">
            <w:pPr>
              <w:pStyle w:val="Tabletext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</w:tcPr>
          <w:p w14:paraId="511C9ED5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25 703</w:t>
            </w:r>
          </w:p>
        </w:tc>
      </w:tr>
      <w:tr w:rsidR="003B33C6" w:rsidRPr="007159A6" w14:paraId="7801EB7E" w14:textId="77777777" w:rsidTr="003B33C6">
        <w:tc>
          <w:tcPr>
            <w:tcW w:w="858" w:type="pct"/>
            <w:vMerge w:val="restart"/>
            <w:vAlign w:val="center"/>
          </w:tcPr>
          <w:p w14:paraId="54CE3152" w14:textId="77777777" w:rsidR="00980949" w:rsidRPr="007159A6" w:rsidRDefault="00980949" w:rsidP="00D82CFA">
            <w:pPr>
              <w:pStyle w:val="Tabletext"/>
              <w:keepNext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РГ 5A, 5B и 5C МСЭ-R</w:t>
            </w:r>
          </w:p>
        </w:tc>
        <w:tc>
          <w:tcPr>
            <w:tcW w:w="782" w:type="pct"/>
            <w:vMerge w:val="restart"/>
            <w:vAlign w:val="center"/>
          </w:tcPr>
          <w:p w14:paraId="0546FDAB" w14:textId="77777777" w:rsidR="00980949" w:rsidRPr="007159A6" w:rsidRDefault="00980949" w:rsidP="00D82CFA">
            <w:pPr>
              <w:pStyle w:val="Tabletext"/>
              <w:keepNext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30" w:type="pct"/>
            <w:vMerge w:val="restart"/>
            <w:vAlign w:val="center"/>
          </w:tcPr>
          <w:p w14:paraId="0F7E4BA9" w14:textId="77777777" w:rsidR="00980949" w:rsidRPr="007159A6" w:rsidRDefault="00980949" w:rsidP="00D82CFA">
            <w:pPr>
              <w:pStyle w:val="Tabletext"/>
              <w:keepNext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1×120, 1×80, 1×50, 1×30</w:t>
            </w:r>
          </w:p>
        </w:tc>
        <w:tc>
          <w:tcPr>
            <w:tcW w:w="1730" w:type="pct"/>
          </w:tcPr>
          <w:p w14:paraId="7B295142" w14:textId="77777777" w:rsidR="00980949" w:rsidRPr="007159A6" w:rsidRDefault="00980949" w:rsidP="00D82CFA">
            <w:pPr>
              <w:pStyle w:val="Tabletext"/>
              <w:keepNext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7B1F3A06" w14:textId="77777777" w:rsidR="00980949" w:rsidRPr="007159A6" w:rsidRDefault="00980949" w:rsidP="00D82CFA">
            <w:pPr>
              <w:pStyle w:val="Tabletext"/>
              <w:keepNext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10 850</w:t>
            </w:r>
          </w:p>
        </w:tc>
      </w:tr>
      <w:tr w:rsidR="003B33C6" w:rsidRPr="007159A6" w14:paraId="412039BA" w14:textId="77777777" w:rsidTr="003B33C6">
        <w:tc>
          <w:tcPr>
            <w:tcW w:w="858" w:type="pct"/>
            <w:vMerge/>
            <w:vAlign w:val="center"/>
          </w:tcPr>
          <w:p w14:paraId="7CB42F97" w14:textId="77777777" w:rsidR="00980949" w:rsidRPr="007159A6" w:rsidRDefault="00980949" w:rsidP="00D82CFA">
            <w:pPr>
              <w:keepNext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2792A693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400D0C7A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4FA46B34" w14:textId="77777777" w:rsidR="00980949" w:rsidRPr="007159A6" w:rsidRDefault="00980949" w:rsidP="00D82CFA">
            <w:pPr>
              <w:pStyle w:val="Tabletext"/>
              <w:keepNext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71B17D48" w14:textId="77777777" w:rsidR="00980949" w:rsidRPr="007159A6" w:rsidRDefault="00980949" w:rsidP="00D82CFA">
            <w:pPr>
              <w:pStyle w:val="Tabletext"/>
              <w:keepNext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11 154</w:t>
            </w:r>
          </w:p>
        </w:tc>
      </w:tr>
      <w:tr w:rsidR="003B33C6" w:rsidRPr="007159A6" w14:paraId="7CA90EBF" w14:textId="77777777" w:rsidTr="003B33C6">
        <w:tc>
          <w:tcPr>
            <w:tcW w:w="858" w:type="pct"/>
            <w:vMerge/>
            <w:vAlign w:val="center"/>
          </w:tcPr>
          <w:p w14:paraId="0C53771B" w14:textId="77777777" w:rsidR="00980949" w:rsidRPr="007159A6" w:rsidRDefault="00980949" w:rsidP="00D82CFA">
            <w:pPr>
              <w:keepNext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790CF4D0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0118BDA3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2D2FC340" w14:textId="77777777" w:rsidR="00980949" w:rsidRPr="007159A6" w:rsidRDefault="00980949" w:rsidP="00D82CFA">
            <w:pPr>
              <w:pStyle w:val="Tabletext"/>
              <w:keepNext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1C622819" w14:textId="77777777" w:rsidR="00980949" w:rsidRPr="007159A6" w:rsidRDefault="00980949" w:rsidP="00D82CFA">
            <w:pPr>
              <w:pStyle w:val="Tabletext"/>
              <w:keepNext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B33C6" w:rsidRPr="007159A6" w14:paraId="5D27B5B9" w14:textId="77777777" w:rsidTr="003B33C6">
        <w:tc>
          <w:tcPr>
            <w:tcW w:w="858" w:type="pct"/>
            <w:vMerge/>
            <w:vAlign w:val="center"/>
          </w:tcPr>
          <w:p w14:paraId="7CA7BEC4" w14:textId="77777777" w:rsidR="00980949" w:rsidRPr="007159A6" w:rsidRDefault="00980949" w:rsidP="00D82CFA">
            <w:pPr>
              <w:keepNext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4A4E53B9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39EEB70D" w14:textId="77777777" w:rsidR="00980949" w:rsidRPr="007159A6" w:rsidRDefault="00980949" w:rsidP="00D82CFA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15F13535" w14:textId="77777777" w:rsidR="00980949" w:rsidRPr="007159A6" w:rsidRDefault="00980949" w:rsidP="00D82CFA">
            <w:pPr>
              <w:pStyle w:val="Tabletext"/>
              <w:keepNext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6192F0AB" w14:textId="77777777" w:rsidR="00980949" w:rsidRPr="007159A6" w:rsidRDefault="00980949" w:rsidP="00D82CFA">
            <w:pPr>
              <w:pStyle w:val="Tabletext"/>
              <w:keepNext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24 978</w:t>
            </w:r>
          </w:p>
        </w:tc>
      </w:tr>
      <w:tr w:rsidR="003B33C6" w:rsidRPr="007159A6" w14:paraId="517A40C3" w14:textId="77777777" w:rsidTr="003B33C6">
        <w:tc>
          <w:tcPr>
            <w:tcW w:w="858" w:type="pct"/>
            <w:vMerge/>
            <w:vAlign w:val="center"/>
          </w:tcPr>
          <w:p w14:paraId="57735FBC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002C8DDC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484AED3D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7D7C1F77" w14:textId="77777777" w:rsidR="00980949" w:rsidRPr="007159A6" w:rsidRDefault="00980949" w:rsidP="00D82CFA">
            <w:pPr>
              <w:pStyle w:val="Tabletext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</w:tcPr>
          <w:p w14:paraId="1DD00C72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46 982</w:t>
            </w:r>
          </w:p>
        </w:tc>
      </w:tr>
      <w:tr w:rsidR="003B33C6" w:rsidRPr="007159A6" w14:paraId="13551BF9" w14:textId="77777777" w:rsidTr="003B33C6">
        <w:tc>
          <w:tcPr>
            <w:tcW w:w="858" w:type="pct"/>
            <w:vMerge w:val="restart"/>
            <w:vAlign w:val="center"/>
          </w:tcPr>
          <w:p w14:paraId="5A136064" w14:textId="77777777" w:rsidR="00980949" w:rsidRPr="007159A6" w:rsidRDefault="00980949" w:rsidP="00ED4346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ИК17 МСЭ-Т</w:t>
            </w:r>
          </w:p>
        </w:tc>
        <w:tc>
          <w:tcPr>
            <w:tcW w:w="782" w:type="pct"/>
            <w:vMerge w:val="restart"/>
            <w:vAlign w:val="center"/>
          </w:tcPr>
          <w:p w14:paraId="3465B738" w14:textId="77777777" w:rsidR="00980949" w:rsidRPr="007159A6" w:rsidRDefault="00980949" w:rsidP="00ED4346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30" w:type="pct"/>
            <w:vMerge w:val="restart"/>
            <w:vAlign w:val="center"/>
          </w:tcPr>
          <w:p w14:paraId="3D329F7C" w14:textId="77777777" w:rsidR="00980949" w:rsidRPr="007159A6" w:rsidRDefault="00980949" w:rsidP="00ED4346">
            <w:pPr>
              <w:pStyle w:val="Tabletex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1×200, 2×50, 1×30, 3×20, 3×15</w:t>
            </w:r>
          </w:p>
        </w:tc>
        <w:tc>
          <w:tcPr>
            <w:tcW w:w="1730" w:type="pct"/>
          </w:tcPr>
          <w:p w14:paraId="5A1D1E1B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2A18C548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3 930</w:t>
            </w:r>
          </w:p>
        </w:tc>
      </w:tr>
      <w:tr w:rsidR="003B33C6" w:rsidRPr="007159A6" w14:paraId="719CB18E" w14:textId="77777777" w:rsidTr="003B33C6">
        <w:tc>
          <w:tcPr>
            <w:tcW w:w="858" w:type="pct"/>
            <w:vMerge/>
            <w:vAlign w:val="center"/>
          </w:tcPr>
          <w:p w14:paraId="431ED781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113E449C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1CDAD8DC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12BE2EA4" w14:textId="77777777" w:rsidR="00980949" w:rsidRPr="007159A6" w:rsidRDefault="00980949" w:rsidP="00ED4346">
            <w:pPr>
              <w:pStyle w:val="Tabletext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250FFE54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13 278</w:t>
            </w:r>
          </w:p>
        </w:tc>
      </w:tr>
      <w:tr w:rsidR="003B33C6" w:rsidRPr="007159A6" w14:paraId="7E303FC3" w14:textId="77777777" w:rsidTr="003B33C6">
        <w:tc>
          <w:tcPr>
            <w:tcW w:w="858" w:type="pct"/>
            <w:vMerge/>
            <w:vAlign w:val="center"/>
          </w:tcPr>
          <w:p w14:paraId="23549B02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7FCB7078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3AA69624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23DAC84F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1B434163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B33C6" w:rsidRPr="007159A6" w14:paraId="006A2146" w14:textId="77777777" w:rsidTr="003B33C6">
        <w:tc>
          <w:tcPr>
            <w:tcW w:w="858" w:type="pct"/>
            <w:vMerge/>
            <w:vAlign w:val="center"/>
          </w:tcPr>
          <w:p w14:paraId="1C0B2303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724AF7A3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410B2858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641782D2" w14:textId="77777777" w:rsidR="00980949" w:rsidRPr="007159A6" w:rsidRDefault="00980949" w:rsidP="00ED4346">
            <w:pPr>
              <w:pStyle w:val="Tabletex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75029DBC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26 850</w:t>
            </w:r>
          </w:p>
        </w:tc>
      </w:tr>
      <w:tr w:rsidR="003B33C6" w:rsidRPr="007159A6" w14:paraId="41806593" w14:textId="77777777" w:rsidTr="003B33C6">
        <w:tc>
          <w:tcPr>
            <w:tcW w:w="858" w:type="pct"/>
            <w:vMerge/>
            <w:vAlign w:val="center"/>
          </w:tcPr>
          <w:p w14:paraId="028B242B" w14:textId="77777777" w:rsidR="00980949" w:rsidRPr="007159A6" w:rsidRDefault="00980949" w:rsidP="00ED434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vAlign w:val="center"/>
          </w:tcPr>
          <w:p w14:paraId="2EF73FC5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vAlign w:val="center"/>
          </w:tcPr>
          <w:p w14:paraId="5E5625BE" w14:textId="77777777" w:rsidR="00980949" w:rsidRPr="007159A6" w:rsidRDefault="00980949" w:rsidP="00ED434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29F2CBEB" w14:textId="77777777" w:rsidR="00980949" w:rsidRPr="007159A6" w:rsidRDefault="00980949" w:rsidP="00ED4346">
            <w:pPr>
              <w:pStyle w:val="Tabletext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</w:tcPr>
          <w:p w14:paraId="6285C917" w14:textId="77777777" w:rsidR="00980949" w:rsidRPr="007159A6" w:rsidRDefault="00980949" w:rsidP="003B33C6">
            <w:pPr>
              <w:pStyle w:val="Tabletext"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44 058</w:t>
            </w:r>
          </w:p>
        </w:tc>
      </w:tr>
      <w:tr w:rsidR="003B33C6" w:rsidRPr="007159A6" w14:paraId="23A61058" w14:textId="77777777" w:rsidTr="003B33C6">
        <w:tc>
          <w:tcPr>
            <w:tcW w:w="858" w:type="pct"/>
            <w:vMerge w:val="restart"/>
            <w:vAlign w:val="center"/>
          </w:tcPr>
          <w:p w14:paraId="75C599A8" w14:textId="77777777" w:rsidR="00980949" w:rsidRPr="007159A6" w:rsidRDefault="00980949" w:rsidP="00ED4346">
            <w:pPr>
              <w:pStyle w:val="Tabletext"/>
              <w:keepNext/>
              <w:keepLines/>
              <w:rPr>
                <w:b/>
                <w:bCs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ИК1 и ИК2 МСЭ-D</w:t>
            </w:r>
          </w:p>
        </w:tc>
        <w:tc>
          <w:tcPr>
            <w:tcW w:w="782" w:type="pct"/>
            <w:vMerge w:val="restart"/>
            <w:vAlign w:val="center"/>
          </w:tcPr>
          <w:p w14:paraId="38A4B965" w14:textId="77777777" w:rsidR="00980949" w:rsidRPr="007159A6" w:rsidRDefault="00980949" w:rsidP="00ED4346">
            <w:pPr>
              <w:pStyle w:val="Tabletext"/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30" w:type="pct"/>
            <w:vMerge w:val="restart"/>
            <w:vAlign w:val="center"/>
          </w:tcPr>
          <w:p w14:paraId="226918CE" w14:textId="77777777" w:rsidR="00980949" w:rsidRPr="007159A6" w:rsidRDefault="00980949" w:rsidP="00ED4346">
            <w:pPr>
              <w:pStyle w:val="Tabletext"/>
              <w:keepNext/>
              <w:keepLines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1×250, 1×30</w:t>
            </w:r>
          </w:p>
        </w:tc>
        <w:tc>
          <w:tcPr>
            <w:tcW w:w="1730" w:type="pct"/>
          </w:tcPr>
          <w:p w14:paraId="34E96AC2" w14:textId="77777777" w:rsidR="00980949" w:rsidRPr="007159A6" w:rsidRDefault="00980949" w:rsidP="00ED4346">
            <w:pPr>
              <w:pStyle w:val="Tabletext"/>
              <w:keepNext/>
              <w:keepLines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Управление помещениями</w:t>
            </w:r>
          </w:p>
        </w:tc>
        <w:tc>
          <w:tcPr>
            <w:tcW w:w="700" w:type="pct"/>
          </w:tcPr>
          <w:p w14:paraId="79B158BC" w14:textId="77777777" w:rsidR="00980949" w:rsidRPr="007159A6" w:rsidRDefault="00980949" w:rsidP="003B33C6">
            <w:pPr>
              <w:pStyle w:val="Tabletext"/>
              <w:keepNext/>
              <w:keepLines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11 050</w:t>
            </w:r>
          </w:p>
        </w:tc>
      </w:tr>
      <w:tr w:rsidR="003B33C6" w:rsidRPr="007159A6" w14:paraId="57333515" w14:textId="77777777" w:rsidTr="003B33C6">
        <w:tc>
          <w:tcPr>
            <w:tcW w:w="858" w:type="pct"/>
            <w:vMerge/>
          </w:tcPr>
          <w:p w14:paraId="34CDD71D" w14:textId="77777777" w:rsidR="00980949" w:rsidRPr="007159A6" w:rsidRDefault="00980949" w:rsidP="00ED4346">
            <w:pPr>
              <w:keepNext/>
              <w:keepLines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</w:tcPr>
          <w:p w14:paraId="57C23087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</w:tcPr>
          <w:p w14:paraId="4FCC7F56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733DED57" w14:textId="77777777" w:rsidR="00980949" w:rsidRPr="007159A6" w:rsidRDefault="00980949" w:rsidP="00ED4346">
            <w:pPr>
              <w:pStyle w:val="Tabletext"/>
              <w:keepNext/>
              <w:keepLines/>
              <w:rPr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Административно-хозяйственное управление</w:t>
            </w:r>
          </w:p>
        </w:tc>
        <w:tc>
          <w:tcPr>
            <w:tcW w:w="700" w:type="pct"/>
          </w:tcPr>
          <w:p w14:paraId="29C72069" w14:textId="77777777" w:rsidR="00980949" w:rsidRPr="007159A6" w:rsidRDefault="00980949" w:rsidP="003B33C6">
            <w:pPr>
              <w:pStyle w:val="Tabletext"/>
              <w:keepNext/>
              <w:keepLines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5 268</w:t>
            </w:r>
          </w:p>
        </w:tc>
      </w:tr>
      <w:tr w:rsidR="003B33C6" w:rsidRPr="007159A6" w14:paraId="62A30C26" w14:textId="77777777" w:rsidTr="003B33C6">
        <w:tc>
          <w:tcPr>
            <w:tcW w:w="858" w:type="pct"/>
            <w:vMerge/>
          </w:tcPr>
          <w:p w14:paraId="628857C5" w14:textId="77777777" w:rsidR="00980949" w:rsidRPr="007159A6" w:rsidRDefault="00980949" w:rsidP="00ED4346">
            <w:pPr>
              <w:keepNext/>
              <w:keepLines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</w:tcPr>
          <w:p w14:paraId="239C050C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</w:tcPr>
          <w:p w14:paraId="337A6717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79D1AD00" w14:textId="77777777" w:rsidR="00980949" w:rsidRPr="007159A6" w:rsidRDefault="00980949" w:rsidP="00ED4346">
            <w:pPr>
              <w:pStyle w:val="Tabletext"/>
              <w:keepNext/>
              <w:keepLines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Обеспечение безопасности</w:t>
            </w:r>
          </w:p>
        </w:tc>
        <w:tc>
          <w:tcPr>
            <w:tcW w:w="700" w:type="pct"/>
          </w:tcPr>
          <w:p w14:paraId="7BE6DC6C" w14:textId="77777777" w:rsidR="00980949" w:rsidRPr="007159A6" w:rsidRDefault="00980949" w:rsidP="003B33C6">
            <w:pPr>
              <w:pStyle w:val="Tabletext"/>
              <w:keepNext/>
              <w:keepLines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3B33C6" w:rsidRPr="007159A6" w14:paraId="775F4378" w14:textId="77777777" w:rsidTr="003B33C6">
        <w:tc>
          <w:tcPr>
            <w:tcW w:w="858" w:type="pct"/>
            <w:vMerge/>
          </w:tcPr>
          <w:p w14:paraId="241603D2" w14:textId="77777777" w:rsidR="00980949" w:rsidRPr="007159A6" w:rsidRDefault="00980949" w:rsidP="00ED4346">
            <w:pPr>
              <w:keepNext/>
              <w:keepLines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</w:tcPr>
          <w:p w14:paraId="7B9D45FC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</w:tcPr>
          <w:p w14:paraId="5B92C550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</w:tcPr>
          <w:p w14:paraId="28A87624" w14:textId="77777777" w:rsidR="00980949" w:rsidRPr="007159A6" w:rsidRDefault="00980949" w:rsidP="00ED4346">
            <w:pPr>
              <w:pStyle w:val="Tabletext"/>
              <w:keepNext/>
              <w:keepLines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Технические услуги</w:t>
            </w:r>
          </w:p>
        </w:tc>
        <w:tc>
          <w:tcPr>
            <w:tcW w:w="700" w:type="pct"/>
          </w:tcPr>
          <w:p w14:paraId="61C90204" w14:textId="77777777" w:rsidR="00980949" w:rsidRPr="007159A6" w:rsidRDefault="00980949" w:rsidP="003B33C6">
            <w:pPr>
              <w:pStyle w:val="Tabletext"/>
              <w:keepNext/>
              <w:keepLines/>
              <w:ind w:right="113"/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color w:val="000000"/>
                <w:sz w:val="18"/>
                <w:szCs w:val="18"/>
                <w:lang w:val="ru-RU"/>
              </w:rPr>
              <w:t>33 850</w:t>
            </w:r>
          </w:p>
        </w:tc>
      </w:tr>
      <w:tr w:rsidR="003B33C6" w:rsidRPr="007159A6" w14:paraId="52224107" w14:textId="77777777" w:rsidTr="003B33C6"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1CAC41A4" w14:textId="77777777" w:rsidR="00980949" w:rsidRPr="007159A6" w:rsidRDefault="00980949" w:rsidP="00ED4346">
            <w:pPr>
              <w:keepNext/>
              <w:keepLines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14:paraId="175EEB8D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</w:tcPr>
          <w:p w14:paraId="2F7F31D4" w14:textId="77777777" w:rsidR="00980949" w:rsidRPr="007159A6" w:rsidRDefault="00980949" w:rsidP="00ED4346">
            <w:pPr>
              <w:keepNext/>
              <w:keepLines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3DA74EEF" w14:textId="77777777" w:rsidR="00980949" w:rsidRPr="007159A6" w:rsidRDefault="00980949" w:rsidP="00ED4346">
            <w:pPr>
              <w:pStyle w:val="Tabletext"/>
              <w:keepNext/>
              <w:keepLines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568BF426" w14:textId="77777777" w:rsidR="00980949" w:rsidRPr="007159A6" w:rsidRDefault="00980949" w:rsidP="003B33C6">
            <w:pPr>
              <w:pStyle w:val="Tabletext"/>
              <w:keepNext/>
              <w:keepLines/>
              <w:ind w:right="113"/>
              <w:jc w:val="right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7159A6">
              <w:rPr>
                <w:b/>
                <w:bCs/>
                <w:color w:val="000000"/>
                <w:sz w:val="18"/>
                <w:szCs w:val="18"/>
                <w:lang w:val="ru-RU"/>
              </w:rPr>
              <w:t>50 168</w:t>
            </w:r>
          </w:p>
        </w:tc>
      </w:tr>
      <w:tr w:rsidR="00980949" w:rsidRPr="008E7627" w14:paraId="6926B719" w14:textId="77777777" w:rsidTr="003B33C6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5809D" w14:textId="77777777" w:rsidR="00980949" w:rsidRPr="007159A6" w:rsidRDefault="00980949" w:rsidP="00ED4346">
            <w:pPr>
              <w:pStyle w:val="Tablelegend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color w:val="000000"/>
                <w:szCs w:val="18"/>
                <w:lang w:val="ru-RU"/>
              </w:rPr>
              <w:t>Примечания к расчетам:</w:t>
            </w:r>
          </w:p>
          <w:p w14:paraId="44C3BD0F" w14:textId="5FFBD024" w:rsidR="00980949" w:rsidRPr="007159A6" w:rsidRDefault="00980949" w:rsidP="00B515A3">
            <w:pPr>
              <w:pStyle w:val="Tablelegend"/>
              <w:ind w:left="284" w:hanging="284"/>
              <w:jc w:val="both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1)</w:t>
            </w:r>
            <w:r w:rsidRPr="007159A6">
              <w:rPr>
                <w:color w:val="000000"/>
                <w:szCs w:val="18"/>
                <w:lang w:val="ru-RU"/>
              </w:rPr>
              <w:tab/>
              <w:t>Выходные дни не включены.</w:t>
            </w:r>
          </w:p>
          <w:p w14:paraId="2438C0DE" w14:textId="5A6CD9A1" w:rsidR="00980949" w:rsidRPr="007159A6" w:rsidRDefault="00980949" w:rsidP="00B515A3">
            <w:pPr>
              <w:pStyle w:val="Tablelegend"/>
              <w:ind w:left="284" w:hanging="284"/>
              <w:jc w:val="both"/>
              <w:rPr>
                <w:rFonts w:ascii="Segoe UI" w:hAnsi="Segoe UI" w:cs="Segoe UI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2)</w:t>
            </w:r>
            <w:r w:rsidRPr="007159A6">
              <w:rPr>
                <w:color w:val="000000"/>
                <w:szCs w:val="18"/>
                <w:lang w:val="ru-RU"/>
              </w:rPr>
              <w:tab/>
              <w:t>Затраты на обеспечение безопасности рассчитываются как предельные затраты на управление доступом для обеспечения кворума на пленарных заседаниях и оплату дополнительных часов сотрудников охраны при входе.</w:t>
            </w:r>
          </w:p>
          <w:p w14:paraId="304BC503" w14:textId="1CE5EC8D" w:rsidR="00980949" w:rsidRPr="007159A6" w:rsidRDefault="00980949" w:rsidP="00B515A3">
            <w:pPr>
              <w:pStyle w:val="Tablelegend"/>
              <w:ind w:left="284" w:hanging="284"/>
              <w:jc w:val="both"/>
              <w:rPr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3)</w:t>
            </w:r>
            <w:r w:rsidRPr="007159A6">
              <w:rPr>
                <w:color w:val="000000"/>
                <w:szCs w:val="18"/>
                <w:lang w:val="ru-RU"/>
              </w:rPr>
              <w:tab/>
              <w:t>Затраты на административно-хозяйственное управление, рассчитанные как связанные с эксплуатацией здания затраты (эксплуатационные расходы, амортизированные капитальные расходы) и дополнительные затраты (эксплуатация, персонал, обслуживание ссуды), рассчитанные по формуле м</w:t>
            </w:r>
            <w:r w:rsidRPr="007159A6">
              <w:rPr>
                <w:color w:val="000000"/>
                <w:szCs w:val="18"/>
                <w:vertAlign w:val="superscript"/>
                <w:lang w:val="ru-RU"/>
              </w:rPr>
              <w:t>2</w:t>
            </w:r>
            <w:r w:rsidRPr="007159A6">
              <w:rPr>
                <w:color w:val="000000"/>
                <w:szCs w:val="18"/>
                <w:lang w:val="ru-RU"/>
              </w:rPr>
              <w:t xml:space="preserve"> в день × размер конференц-зала; предполагается 250 дней использования конференц-зала в год; протокольные мероприятия и культурная программа не учтены.</w:t>
            </w:r>
          </w:p>
          <w:p w14:paraId="65D1DF0D" w14:textId="3BB0A8C0" w:rsidR="00980949" w:rsidRPr="007159A6" w:rsidRDefault="00980949" w:rsidP="00B515A3">
            <w:pPr>
              <w:pStyle w:val="Tablelegend"/>
              <w:ind w:left="284" w:hanging="284"/>
              <w:jc w:val="both"/>
              <w:rPr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4)</w:t>
            </w:r>
            <w:r w:rsidRPr="007159A6">
              <w:rPr>
                <w:color w:val="000000"/>
                <w:szCs w:val="18"/>
                <w:lang w:val="ru-RU"/>
              </w:rPr>
              <w:tab/>
              <w:t>Технические затраты основаны только на эксплуатационных расходах и соответствуют модели ЮНОГ.</w:t>
            </w:r>
          </w:p>
          <w:p w14:paraId="3F66E331" w14:textId="0346AB31" w:rsidR="00980949" w:rsidRPr="007159A6" w:rsidRDefault="00980949" w:rsidP="00B515A3">
            <w:pPr>
              <w:pStyle w:val="Tablelegend"/>
              <w:ind w:left="284" w:hanging="284"/>
              <w:jc w:val="both"/>
              <w:rPr>
                <w:rFonts w:eastAsia="Calibri"/>
                <w:color w:val="000000" w:themeColor="text1"/>
                <w:szCs w:val="18"/>
                <w:lang w:val="ru-RU"/>
              </w:rPr>
            </w:pPr>
            <w:r w:rsidRPr="007159A6">
              <w:rPr>
                <w:rStyle w:val="FootnoteReference"/>
                <w:sz w:val="14"/>
                <w:szCs w:val="14"/>
                <w:lang w:val="ru-RU"/>
              </w:rPr>
              <w:t>5)</w:t>
            </w:r>
            <w:r w:rsidRPr="007159A6">
              <w:rPr>
                <w:color w:val="000000"/>
                <w:szCs w:val="18"/>
                <w:lang w:val="ru-RU"/>
              </w:rPr>
              <w:tab/>
              <w:t>Затраты на управление помещениями основаны на привлечении персонала для организации и поддержки работы.</w:t>
            </w:r>
          </w:p>
        </w:tc>
      </w:tr>
    </w:tbl>
    <w:p w14:paraId="322F6BAF" w14:textId="77777777" w:rsidR="00796BD3" w:rsidRPr="007159A6" w:rsidRDefault="00C462C5" w:rsidP="00980949">
      <w:pPr>
        <w:spacing w:before="720"/>
        <w:jc w:val="center"/>
        <w:rPr>
          <w:lang w:val="ru-RU"/>
        </w:rPr>
      </w:pPr>
      <w:r w:rsidRPr="007159A6">
        <w:rPr>
          <w:lang w:val="ru-RU"/>
        </w:rPr>
        <w:t>______________</w:t>
      </w:r>
    </w:p>
    <w:sectPr w:rsidR="00796BD3" w:rsidRPr="007159A6" w:rsidSect="00796BD3">
      <w:footerReference w:type="default" r:id="rId37"/>
      <w:headerReference w:type="first" r:id="rId38"/>
      <w:footerReference w:type="first" r:id="rId3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6324" w14:textId="77777777" w:rsidR="00980949" w:rsidRDefault="00980949">
      <w:r>
        <w:separator/>
      </w:r>
    </w:p>
  </w:endnote>
  <w:endnote w:type="continuationSeparator" w:id="0">
    <w:p w14:paraId="470F2280" w14:textId="77777777" w:rsidR="00980949" w:rsidRDefault="0098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5990A01" w14:textId="77777777" w:rsidTr="00E31DCE">
      <w:trPr>
        <w:jc w:val="center"/>
      </w:trPr>
      <w:tc>
        <w:tcPr>
          <w:tcW w:w="1803" w:type="dxa"/>
          <w:vAlign w:val="center"/>
        </w:tcPr>
        <w:p w14:paraId="27037BB9" w14:textId="5060AC3A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BAE37A1" w14:textId="64C189E9" w:rsidR="00672F8A" w:rsidRPr="00E06FD5" w:rsidRDefault="00672F8A" w:rsidP="00980949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80949">
            <w:rPr>
              <w:bCs/>
              <w:lang w:val="ru-RU"/>
            </w:rPr>
            <w:t>65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B21C57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EE42DE3" w14:textId="77777777" w:rsidTr="00E31DCE">
      <w:trPr>
        <w:jc w:val="center"/>
      </w:trPr>
      <w:tc>
        <w:tcPr>
          <w:tcW w:w="1803" w:type="dxa"/>
          <w:vAlign w:val="center"/>
        </w:tcPr>
        <w:p w14:paraId="3811865B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35C16D2" w14:textId="20BFFF92" w:rsidR="00672F8A" w:rsidRPr="00E06FD5" w:rsidRDefault="00672F8A" w:rsidP="00980949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80949">
            <w:rPr>
              <w:bCs/>
              <w:lang w:val="ru-RU"/>
            </w:rPr>
            <w:t>65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C12EC4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4A36" w14:textId="77777777" w:rsidR="00980949" w:rsidRDefault="00980949">
      <w:r>
        <w:t>____________________</w:t>
      </w:r>
    </w:p>
  </w:footnote>
  <w:footnote w:type="continuationSeparator" w:id="0">
    <w:p w14:paraId="1783A4D1" w14:textId="77777777" w:rsidR="00980949" w:rsidRDefault="0098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DDF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1E5743"/>
    <w:multiLevelType w:val="hybridMultilevel"/>
    <w:tmpl w:val="377CD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7010"/>
    <w:multiLevelType w:val="hybridMultilevel"/>
    <w:tmpl w:val="D8C2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A3A71"/>
    <w:multiLevelType w:val="hybridMultilevel"/>
    <w:tmpl w:val="21E8233C"/>
    <w:lvl w:ilvl="0" w:tplc="08090001">
      <w:start w:val="1"/>
      <w:numFmt w:val="bullet"/>
      <w:lvlText w:val=""/>
      <w:lvlJc w:val="left"/>
      <w:pPr>
        <w:ind w:left="1560" w:hanging="85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00E30"/>
    <w:multiLevelType w:val="hybridMultilevel"/>
    <w:tmpl w:val="0124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620966006">
    <w:abstractNumId w:val="4"/>
  </w:num>
  <w:num w:numId="3" w16cid:durableId="1646818341">
    <w:abstractNumId w:val="3"/>
  </w:num>
  <w:num w:numId="4" w16cid:durableId="482816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946322">
    <w:abstractNumId w:val="1"/>
  </w:num>
  <w:num w:numId="6" w16cid:durableId="74969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4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D3BAB"/>
    <w:rsid w:val="000E53C2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B33C6"/>
    <w:rsid w:val="003F099E"/>
    <w:rsid w:val="003F235E"/>
    <w:rsid w:val="00401FD7"/>
    <w:rsid w:val="004023E0"/>
    <w:rsid w:val="00403DD8"/>
    <w:rsid w:val="004070A0"/>
    <w:rsid w:val="00425CA7"/>
    <w:rsid w:val="00442515"/>
    <w:rsid w:val="00455183"/>
    <w:rsid w:val="0045686C"/>
    <w:rsid w:val="00465C35"/>
    <w:rsid w:val="0048315A"/>
    <w:rsid w:val="004918C4"/>
    <w:rsid w:val="00497703"/>
    <w:rsid w:val="004A0374"/>
    <w:rsid w:val="004A45B5"/>
    <w:rsid w:val="004A6623"/>
    <w:rsid w:val="004D0129"/>
    <w:rsid w:val="004D5326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159A6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E7627"/>
    <w:rsid w:val="008F7958"/>
    <w:rsid w:val="008F7C2C"/>
    <w:rsid w:val="00940E96"/>
    <w:rsid w:val="00950A82"/>
    <w:rsid w:val="00980949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01BA"/>
    <w:rsid w:val="00B12A37"/>
    <w:rsid w:val="00B41837"/>
    <w:rsid w:val="00B515A3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82CFA"/>
    <w:rsid w:val="00D92EEA"/>
    <w:rsid w:val="00DA5D4E"/>
    <w:rsid w:val="00DA770A"/>
    <w:rsid w:val="00E05752"/>
    <w:rsid w:val="00E176BA"/>
    <w:rsid w:val="00E423EC"/>
    <w:rsid w:val="00E55121"/>
    <w:rsid w:val="00E743CB"/>
    <w:rsid w:val="00EB4FCB"/>
    <w:rsid w:val="00EC6BC5"/>
    <w:rsid w:val="00F348D0"/>
    <w:rsid w:val="00F35898"/>
    <w:rsid w:val="00F5225B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2EF77"/>
  <w15:docId w15:val="{F392632A-522B-4D9F-AFD8-6D0B24EA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32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D3BAB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9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:lang w:val="fr-FR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9809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094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0949"/>
    <w:rPr>
      <w:rFonts w:ascii="Calibri" w:hAnsi="Calibri"/>
      <w:lang w:val="en-GB" w:eastAsia="en-US"/>
    </w:rPr>
  </w:style>
  <w:style w:type="table" w:styleId="PlainTable1">
    <w:name w:val="Plain Table 1"/>
    <w:basedOn w:val="TableNormal"/>
    <w:uiPriority w:val="41"/>
    <w:rsid w:val="009809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fin">
    <w:name w:val="Table_fin"/>
    <w:basedOn w:val="Tabletext"/>
    <w:rsid w:val="0098094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0949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949"/>
    <w:rPr>
      <w:rFonts w:ascii="Calibri" w:hAnsi="Calibr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98094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809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0949"/>
  </w:style>
  <w:style w:type="character" w:customStyle="1" w:styleId="eop">
    <w:name w:val="eop"/>
    <w:basedOn w:val="DefaultParagraphFont"/>
    <w:rsid w:val="00980949"/>
  </w:style>
  <w:style w:type="character" w:customStyle="1" w:styleId="scxw41891933">
    <w:name w:val="scxw41891933"/>
    <w:basedOn w:val="DefaultParagraphFont"/>
    <w:rsid w:val="00980949"/>
  </w:style>
  <w:style w:type="paragraph" w:styleId="NormalWeb">
    <w:name w:val="Normal (Web)"/>
    <w:basedOn w:val="Normal"/>
    <w:uiPriority w:val="99"/>
    <w:semiHidden/>
    <w:unhideWhenUsed/>
    <w:rsid w:val="009809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4-CL-C-0132/en" TargetMode="External"/><Relationship Id="rId18" Type="http://schemas.openxmlformats.org/officeDocument/2006/relationships/hyperlink" Target="https://www.itu.int/md/S26-CWGFHR22-C-0013/en" TargetMode="External"/><Relationship Id="rId26" Type="http://schemas.openxmlformats.org/officeDocument/2006/relationships/hyperlink" Target="https://www.itu.int/en/general-secretariat/ICT-Services/remoteparticipation/Pages/default.aspx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itu.int/md/S26-CL-C-0002/en" TargetMode="External"/><Relationship Id="rId34" Type="http://schemas.openxmlformats.org/officeDocument/2006/relationships/hyperlink" Target="https://www.itu.int/md/S26-CL-C-0042/e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5-CWGFHR21-C-0025/en" TargetMode="External"/><Relationship Id="rId20" Type="http://schemas.openxmlformats.org/officeDocument/2006/relationships/hyperlink" Target="https://www.itu.int/md/S26-CL-C-0002/en" TargetMode="External"/><Relationship Id="rId29" Type="http://schemas.openxmlformats.org/officeDocument/2006/relationships/hyperlink" Target="https://www.itu.int/md/S26-CL-C-0007/e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6-CL-C-0042/en" TargetMode="External"/><Relationship Id="rId24" Type="http://schemas.openxmlformats.org/officeDocument/2006/relationships/hyperlink" Target="https://www.itu.int/md/S25-SG-CIR-0038/en" TargetMode="External"/><Relationship Id="rId32" Type="http://schemas.openxmlformats.org/officeDocument/2006/relationships/hyperlink" Target="https://www.itu.int/md/S26-CWGFHR22-C-0023/en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CWGFHR21-C-0010/en" TargetMode="External"/><Relationship Id="rId23" Type="http://schemas.openxmlformats.org/officeDocument/2006/relationships/hyperlink" Target="https://www.itu.int/en/council/Documents/basic-texts-2023/RES-005-E.pdf" TargetMode="External"/><Relationship Id="rId28" Type="http://schemas.openxmlformats.org/officeDocument/2006/relationships/hyperlink" Target="https://www.itu.int/md/S26-CL-C-0007/en" TargetMode="External"/><Relationship Id="rId36" Type="http://schemas.openxmlformats.org/officeDocument/2006/relationships/hyperlink" Target="https://www.itu.int/md/S26-CL-C-0007/en" TargetMode="External"/><Relationship Id="rId10" Type="http://schemas.openxmlformats.org/officeDocument/2006/relationships/hyperlink" Target="https://www.itu.int/md/S26-CL-C-0007/en" TargetMode="External"/><Relationship Id="rId19" Type="http://schemas.openxmlformats.org/officeDocument/2006/relationships/hyperlink" Target="https://www.itu.int/md/S26-CWGFHR22-C-0036/en" TargetMode="External"/><Relationship Id="rId31" Type="http://schemas.openxmlformats.org/officeDocument/2006/relationships/hyperlink" Target="https://www.itu.int/md/S25-CL-C-011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WGFHR22-C-0013/en" TargetMode="External"/><Relationship Id="rId14" Type="http://schemas.openxmlformats.org/officeDocument/2006/relationships/hyperlink" Target="https://www.itu.int/md/S25-CWGFHR20-C-0032/en" TargetMode="External"/><Relationship Id="rId22" Type="http://schemas.openxmlformats.org/officeDocument/2006/relationships/hyperlink" Target="https://www.itu.int/en/council/Documents/basic-texts-2023/RES-005-R.pdf" TargetMode="External"/><Relationship Id="rId27" Type="http://schemas.openxmlformats.org/officeDocument/2006/relationships/hyperlink" Target="https://www.itu.int/en/general-secretariat/ICT-Services/remoteparticipation/Pages/default.aspx" TargetMode="External"/><Relationship Id="rId30" Type="http://schemas.openxmlformats.org/officeDocument/2006/relationships/hyperlink" Target="https://www.itu.int/md/S26-CWGFHR22-C-0023/en" TargetMode="External"/><Relationship Id="rId35" Type="http://schemas.openxmlformats.org/officeDocument/2006/relationships/hyperlink" Target="https://www.itu.int/md/S26-CL-C-0042/en" TargetMode="External"/><Relationship Id="rId8" Type="http://schemas.openxmlformats.org/officeDocument/2006/relationships/hyperlink" Target="https://www.itu.int/md/S26-CWGFHR22-C-0013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25-CWGFHR20-C-0009/en" TargetMode="External"/><Relationship Id="rId17" Type="http://schemas.openxmlformats.org/officeDocument/2006/relationships/hyperlink" Target="https://www.itu.int/md/S25-CWGFHR21-INF-0004/en" TargetMode="External"/><Relationship Id="rId25" Type="http://schemas.openxmlformats.org/officeDocument/2006/relationships/hyperlink" Target="https://www.itu.int/md/S25-SG-CIR-0038/en" TargetMode="External"/><Relationship Id="rId33" Type="http://schemas.openxmlformats.org/officeDocument/2006/relationships/hyperlink" Target="https://www.itu.int/md/S25-CL-C-0118/en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E55D-0E27-4E88-873A-1F32E08B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11</Pages>
  <Words>3681</Words>
  <Characters>25738</Characters>
  <Application>Microsoft Office Word</Application>
  <DocSecurity>0</DocSecurity>
  <Lines>485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29215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business continuity for ITU meetings during the construction period of the new ITU building</dc:title>
  <dc:subject>ITU Council 2026</dc:subject>
  <cp:keywords>C26; C2026; Council 2026; PP26</cp:keywords>
  <dc:description/>
  <cp:lastPrinted>2006-03-28T16:12:00Z</cp:lastPrinted>
  <dcterms:created xsi:type="dcterms:W3CDTF">2026-04-21T16:36:00Z</dcterms:created>
  <dcterms:modified xsi:type="dcterms:W3CDTF">2026-04-21T16:38:00Z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