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E31467" w14:paraId="78D88BC1" w14:textId="77777777" w:rsidTr="00796BDB">
        <w:trPr>
          <w:cantSplit/>
          <w:trHeight w:val="23"/>
        </w:trPr>
        <w:tc>
          <w:tcPr>
            <w:tcW w:w="3969" w:type="dxa"/>
            <w:vMerge w:val="restart"/>
            <w:tcMar>
              <w:left w:w="0" w:type="dxa"/>
            </w:tcMar>
          </w:tcPr>
          <w:p w14:paraId="592CD268" w14:textId="7983B8E5" w:rsidR="00D72F49" w:rsidRPr="00E31467" w:rsidRDefault="00D72F49" w:rsidP="00796BDB">
            <w:pPr>
              <w:tabs>
                <w:tab w:val="left" w:pos="851"/>
              </w:tabs>
              <w:spacing w:before="0" w:line="240" w:lineRule="atLeast"/>
              <w:rPr>
                <w:b/>
              </w:rPr>
            </w:pPr>
            <w:r w:rsidRPr="00E31467">
              <w:rPr>
                <w:b/>
              </w:rPr>
              <w:t xml:space="preserve">Point de l'ordre du </w:t>
            </w:r>
            <w:proofErr w:type="gramStart"/>
            <w:r w:rsidRPr="00E31467">
              <w:rPr>
                <w:b/>
              </w:rPr>
              <w:t>jour:</w:t>
            </w:r>
            <w:proofErr w:type="gramEnd"/>
            <w:r w:rsidR="001A686C" w:rsidRPr="00E31467">
              <w:rPr>
                <w:b/>
              </w:rPr>
              <w:t xml:space="preserve"> </w:t>
            </w:r>
            <w:r w:rsidR="009813D9" w:rsidRPr="00E31467">
              <w:rPr>
                <w:b/>
                <w:bCs/>
                <w:color w:val="000000"/>
              </w:rPr>
              <w:t>ADM 3</w:t>
            </w:r>
          </w:p>
        </w:tc>
        <w:tc>
          <w:tcPr>
            <w:tcW w:w="5245" w:type="dxa"/>
          </w:tcPr>
          <w:p w14:paraId="2790CB6B" w14:textId="0598AD34" w:rsidR="00D72F49" w:rsidRPr="00E31467" w:rsidRDefault="00D72F49" w:rsidP="00796BDB">
            <w:pPr>
              <w:tabs>
                <w:tab w:val="left" w:pos="851"/>
              </w:tabs>
              <w:spacing w:before="0" w:line="240" w:lineRule="atLeast"/>
              <w:jc w:val="right"/>
              <w:rPr>
                <w:b/>
              </w:rPr>
            </w:pPr>
            <w:r w:rsidRPr="00E31467">
              <w:rPr>
                <w:b/>
              </w:rPr>
              <w:t xml:space="preserve">Document </w:t>
            </w:r>
            <w:proofErr w:type="spellStart"/>
            <w:r w:rsidRPr="00E31467">
              <w:rPr>
                <w:b/>
              </w:rPr>
              <w:t>C2</w:t>
            </w:r>
            <w:r w:rsidR="00E4448E" w:rsidRPr="00E31467">
              <w:rPr>
                <w:b/>
              </w:rPr>
              <w:t>6</w:t>
            </w:r>
            <w:proofErr w:type="spellEnd"/>
            <w:r w:rsidRPr="00E31467">
              <w:rPr>
                <w:b/>
              </w:rPr>
              <w:t>/</w:t>
            </w:r>
            <w:r w:rsidR="00DB68EE" w:rsidRPr="00E31467">
              <w:rPr>
                <w:b/>
              </w:rPr>
              <w:t>65</w:t>
            </w:r>
            <w:r w:rsidRPr="00E31467">
              <w:rPr>
                <w:b/>
              </w:rPr>
              <w:t>-F</w:t>
            </w:r>
          </w:p>
        </w:tc>
      </w:tr>
      <w:tr w:rsidR="00D72F49" w:rsidRPr="00E31467" w14:paraId="7B6BA89D" w14:textId="77777777" w:rsidTr="00796BDB">
        <w:trPr>
          <w:cantSplit/>
        </w:trPr>
        <w:tc>
          <w:tcPr>
            <w:tcW w:w="3969" w:type="dxa"/>
            <w:vMerge/>
          </w:tcPr>
          <w:p w14:paraId="26765AAF" w14:textId="77777777" w:rsidR="00D72F49" w:rsidRPr="00E31467" w:rsidRDefault="00D72F49" w:rsidP="00796BDB">
            <w:pPr>
              <w:tabs>
                <w:tab w:val="left" w:pos="851"/>
              </w:tabs>
              <w:spacing w:line="240" w:lineRule="atLeast"/>
              <w:rPr>
                <w:b/>
              </w:rPr>
            </w:pPr>
          </w:p>
        </w:tc>
        <w:tc>
          <w:tcPr>
            <w:tcW w:w="5245" w:type="dxa"/>
          </w:tcPr>
          <w:p w14:paraId="2581B0E3" w14:textId="164038C1" w:rsidR="00D72F49" w:rsidRPr="00E31467" w:rsidRDefault="00DB68EE" w:rsidP="00796BDB">
            <w:pPr>
              <w:tabs>
                <w:tab w:val="left" w:pos="851"/>
              </w:tabs>
              <w:spacing w:before="0"/>
              <w:jc w:val="right"/>
              <w:rPr>
                <w:b/>
              </w:rPr>
            </w:pPr>
            <w:r w:rsidRPr="00E31467">
              <w:rPr>
                <w:b/>
                <w:bCs/>
                <w:color w:val="000000"/>
              </w:rPr>
              <w:t>30</w:t>
            </w:r>
            <w:r w:rsidR="00CE01A7" w:rsidRPr="00E31467">
              <w:rPr>
                <w:b/>
                <w:bCs/>
                <w:color w:val="000000"/>
              </w:rPr>
              <w:t xml:space="preserve"> mars</w:t>
            </w:r>
            <w:r w:rsidR="001A686C" w:rsidRPr="00E31467">
              <w:rPr>
                <w:b/>
                <w:bCs/>
                <w:color w:val="000000"/>
              </w:rPr>
              <w:t xml:space="preserve"> 2026</w:t>
            </w:r>
          </w:p>
        </w:tc>
      </w:tr>
      <w:tr w:rsidR="00D72F49" w:rsidRPr="00E31467" w14:paraId="2FD07D14" w14:textId="77777777" w:rsidTr="00796BDB">
        <w:trPr>
          <w:cantSplit/>
          <w:trHeight w:val="23"/>
        </w:trPr>
        <w:tc>
          <w:tcPr>
            <w:tcW w:w="3969" w:type="dxa"/>
            <w:vMerge/>
          </w:tcPr>
          <w:p w14:paraId="6C30790E" w14:textId="77777777" w:rsidR="00D72F49" w:rsidRPr="00E31467" w:rsidRDefault="00D72F49" w:rsidP="00796BDB">
            <w:pPr>
              <w:tabs>
                <w:tab w:val="left" w:pos="851"/>
              </w:tabs>
              <w:spacing w:line="240" w:lineRule="atLeast"/>
              <w:rPr>
                <w:b/>
              </w:rPr>
            </w:pPr>
          </w:p>
        </w:tc>
        <w:tc>
          <w:tcPr>
            <w:tcW w:w="5245" w:type="dxa"/>
          </w:tcPr>
          <w:p w14:paraId="1AA10F31" w14:textId="77777777" w:rsidR="00D72F49" w:rsidRPr="00E31467" w:rsidRDefault="00D72F49" w:rsidP="00796BDB">
            <w:pPr>
              <w:tabs>
                <w:tab w:val="left" w:pos="851"/>
              </w:tabs>
              <w:spacing w:before="0" w:line="240" w:lineRule="atLeast"/>
              <w:jc w:val="right"/>
              <w:rPr>
                <w:b/>
              </w:rPr>
            </w:pPr>
            <w:proofErr w:type="gramStart"/>
            <w:r w:rsidRPr="00E31467">
              <w:rPr>
                <w:b/>
              </w:rPr>
              <w:t>Original:</w:t>
            </w:r>
            <w:proofErr w:type="gramEnd"/>
            <w:r w:rsidRPr="00E31467">
              <w:rPr>
                <w:b/>
              </w:rPr>
              <w:t xml:space="preserve"> anglais</w:t>
            </w:r>
          </w:p>
        </w:tc>
      </w:tr>
      <w:tr w:rsidR="00D72F49" w:rsidRPr="00E31467" w14:paraId="5BA727D1" w14:textId="77777777" w:rsidTr="00796BDB">
        <w:trPr>
          <w:cantSplit/>
          <w:trHeight w:val="23"/>
        </w:trPr>
        <w:tc>
          <w:tcPr>
            <w:tcW w:w="3969" w:type="dxa"/>
          </w:tcPr>
          <w:p w14:paraId="6C5B3D88" w14:textId="77777777" w:rsidR="00D72F49" w:rsidRPr="00E31467" w:rsidRDefault="00D72F49" w:rsidP="00796BDB">
            <w:pPr>
              <w:tabs>
                <w:tab w:val="left" w:pos="851"/>
              </w:tabs>
              <w:spacing w:line="240" w:lineRule="atLeast"/>
              <w:rPr>
                <w:b/>
              </w:rPr>
            </w:pPr>
          </w:p>
        </w:tc>
        <w:tc>
          <w:tcPr>
            <w:tcW w:w="5245" w:type="dxa"/>
          </w:tcPr>
          <w:p w14:paraId="03547F60" w14:textId="77777777" w:rsidR="00D72F49" w:rsidRPr="00E31467" w:rsidRDefault="00D72F49" w:rsidP="00796BDB">
            <w:pPr>
              <w:tabs>
                <w:tab w:val="left" w:pos="851"/>
              </w:tabs>
              <w:spacing w:before="0" w:line="240" w:lineRule="atLeast"/>
              <w:jc w:val="right"/>
              <w:rPr>
                <w:b/>
              </w:rPr>
            </w:pPr>
          </w:p>
        </w:tc>
      </w:tr>
      <w:tr w:rsidR="00D72F49" w:rsidRPr="00E31467" w14:paraId="01415321" w14:textId="77777777" w:rsidTr="00796BDB">
        <w:trPr>
          <w:cantSplit/>
        </w:trPr>
        <w:tc>
          <w:tcPr>
            <w:tcW w:w="9214" w:type="dxa"/>
            <w:gridSpan w:val="2"/>
            <w:tcMar>
              <w:left w:w="0" w:type="dxa"/>
            </w:tcMar>
          </w:tcPr>
          <w:p w14:paraId="36AF61A2" w14:textId="0506A3BD" w:rsidR="00D72F49" w:rsidRPr="00D91D9A" w:rsidRDefault="001A686C" w:rsidP="009F309D">
            <w:pPr>
              <w:pStyle w:val="Source"/>
              <w:framePr w:hSpace="0" w:wrap="auto" w:vAnchor="margin" w:hAnchor="text" w:xAlign="left" w:yAlign="inline"/>
              <w:spacing w:before="600"/>
            </w:pPr>
            <w:r w:rsidRPr="00D91D9A">
              <w:t xml:space="preserve">Rapport de la </w:t>
            </w:r>
            <w:r w:rsidR="00DB68EE" w:rsidRPr="00D91D9A">
              <w:t>Secrétaire générale</w:t>
            </w:r>
          </w:p>
        </w:tc>
      </w:tr>
      <w:tr w:rsidR="00D72F49" w:rsidRPr="00E31467" w14:paraId="33997744" w14:textId="77777777" w:rsidTr="00DB68EE">
        <w:trPr>
          <w:cantSplit/>
        </w:trPr>
        <w:tc>
          <w:tcPr>
            <w:tcW w:w="9214" w:type="dxa"/>
            <w:gridSpan w:val="2"/>
            <w:tcBorders>
              <w:bottom w:val="single" w:sz="4" w:space="0" w:color="auto"/>
            </w:tcBorders>
            <w:tcMar>
              <w:left w:w="0" w:type="dxa"/>
            </w:tcMar>
          </w:tcPr>
          <w:p w14:paraId="421ED335" w14:textId="0859B056" w:rsidR="00D72F49" w:rsidRPr="00E31467" w:rsidRDefault="00D91D9A" w:rsidP="00796BDB">
            <w:pPr>
              <w:pStyle w:val="Subtitle"/>
              <w:framePr w:hSpace="0" w:wrap="auto" w:hAnchor="text" w:xAlign="left" w:yAlign="inline"/>
              <w:rPr>
                <w:sz w:val="32"/>
                <w:szCs w:val="32"/>
                <w:lang w:val="fr-FR"/>
              </w:rPr>
            </w:pPr>
            <w:r w:rsidRPr="00E31467">
              <w:rPr>
                <w:rFonts w:cstheme="minorHAnsi"/>
                <w:sz w:val="32"/>
                <w:szCs w:val="32"/>
                <w:lang w:val="fr-FR"/>
              </w:rPr>
              <w:t>POINT SUR LA CONTINUITÉ DES ACTIVITÉS PENDANT LA PÉRIODE DE CONSTRUCTION DU NOUVEAU BÂTIMENT DE L'UIT</w:t>
            </w:r>
          </w:p>
        </w:tc>
      </w:tr>
      <w:tr w:rsidR="00D72F49" w:rsidRPr="00E31467" w14:paraId="53FADF13" w14:textId="77777777" w:rsidTr="00DB68EE">
        <w:trPr>
          <w:cantSplit/>
        </w:trPr>
        <w:tc>
          <w:tcPr>
            <w:tcW w:w="9214" w:type="dxa"/>
            <w:gridSpan w:val="2"/>
            <w:tcBorders>
              <w:top w:val="single" w:sz="4" w:space="0" w:color="auto"/>
            </w:tcBorders>
            <w:tcMar>
              <w:left w:w="0" w:type="dxa"/>
            </w:tcMar>
          </w:tcPr>
          <w:p w14:paraId="218136EF" w14:textId="77777777" w:rsidR="00D72F49" w:rsidRPr="00E31467" w:rsidRDefault="00F37FE5" w:rsidP="00796BDB">
            <w:pPr>
              <w:spacing w:before="160"/>
              <w:rPr>
                <w:b/>
                <w:bCs/>
                <w:sz w:val="26"/>
                <w:szCs w:val="26"/>
              </w:rPr>
            </w:pPr>
            <w:r w:rsidRPr="00E31467">
              <w:rPr>
                <w:b/>
                <w:bCs/>
                <w:sz w:val="26"/>
                <w:szCs w:val="26"/>
              </w:rPr>
              <w:t>Objet</w:t>
            </w:r>
          </w:p>
          <w:p w14:paraId="0ED653CC" w14:textId="4C7BB5FD" w:rsidR="00DB68EE" w:rsidRPr="00D91D9A" w:rsidRDefault="00DB68EE" w:rsidP="009C7DC8">
            <w:pPr>
              <w:jc w:val="both"/>
              <w:rPr>
                <w:spacing w:val="-2"/>
              </w:rPr>
            </w:pPr>
            <w:r w:rsidRPr="00D91D9A">
              <w:rPr>
                <w:spacing w:val="-2"/>
              </w:rPr>
              <w:t>Le présent rapport est une mise à jour du document sur les modalités de continuité des activités pour les réunions de l'UIT pendant la période de construction du nouveau bâtiment du siège de l'UIT en 2028 et 2029, présenté au Groupe de travail du Conseil sur les ressources financières et les ressources humaines (</w:t>
            </w:r>
            <w:proofErr w:type="spellStart"/>
            <w:r w:rsidRPr="00D91D9A">
              <w:rPr>
                <w:spacing w:val="-2"/>
              </w:rPr>
              <w:t>GTC-FHR</w:t>
            </w:r>
            <w:proofErr w:type="spellEnd"/>
            <w:r w:rsidRPr="00D91D9A">
              <w:rPr>
                <w:spacing w:val="-2"/>
              </w:rPr>
              <w:t>) à sa 22ème réunion (</w:t>
            </w:r>
            <w:hyperlink r:id="rId8" w:history="1">
              <w:r w:rsidRPr="00D91D9A">
                <w:rPr>
                  <w:rStyle w:val="Hyperlink"/>
                  <w:rFonts w:eastAsia="Times New Roman" w:cs="Times New Roman"/>
                  <w:spacing w:val="-2"/>
                  <w:szCs w:val="20"/>
                </w:rPr>
                <w:t>Document </w:t>
              </w:r>
              <w:proofErr w:type="spellStart"/>
              <w:r w:rsidRPr="00D91D9A">
                <w:rPr>
                  <w:rStyle w:val="Hyperlink"/>
                  <w:rFonts w:eastAsia="Times New Roman" w:cs="Times New Roman"/>
                  <w:spacing w:val="-2"/>
                  <w:szCs w:val="20"/>
                </w:rPr>
                <w:t>CWG</w:t>
              </w:r>
              <w:proofErr w:type="spellEnd"/>
              <w:r w:rsidRPr="00D91D9A">
                <w:rPr>
                  <w:rStyle w:val="Hyperlink"/>
                  <w:rFonts w:eastAsia="Times New Roman" w:cs="Times New Roman"/>
                  <w:spacing w:val="-2"/>
                  <w:szCs w:val="20"/>
                </w:rPr>
                <w:t>-</w:t>
              </w:r>
              <w:proofErr w:type="spellStart"/>
              <w:r w:rsidRPr="00D91D9A">
                <w:rPr>
                  <w:rStyle w:val="Hyperlink"/>
                  <w:rFonts w:eastAsia="Times New Roman" w:cs="Times New Roman"/>
                  <w:spacing w:val="-2"/>
                  <w:szCs w:val="20"/>
                </w:rPr>
                <w:t>FHR</w:t>
              </w:r>
              <w:proofErr w:type="spellEnd"/>
              <w:r w:rsidRPr="00D91D9A">
                <w:rPr>
                  <w:rStyle w:val="Hyperlink"/>
                  <w:rFonts w:eastAsia="Times New Roman" w:cs="Times New Roman"/>
                  <w:spacing w:val="-2"/>
                  <w:szCs w:val="20"/>
                </w:rPr>
                <w:t>-22/13</w:t>
              </w:r>
            </w:hyperlink>
            <w:r w:rsidRPr="00D91D9A">
              <w:rPr>
                <w:spacing w:val="-2"/>
              </w:rPr>
              <w:t>). Il fournit des informations supplémentaires sur les différentes solutions envisageables pour la tenue des réunions de l'UIT au cours de la période en question, ainsi que sur leurs incidences financières.</w:t>
            </w:r>
          </w:p>
          <w:p w14:paraId="75253062" w14:textId="4650443B" w:rsidR="00D72F49" w:rsidRPr="00E31467" w:rsidRDefault="00DB68EE" w:rsidP="00D91D9A">
            <w:pPr>
              <w:jc w:val="both"/>
            </w:pPr>
            <w:r w:rsidRPr="00E31467">
              <w:t xml:space="preserve">Le présent rapport porte sur la continuité des activités pour les réunions. Le </w:t>
            </w:r>
            <w:hyperlink r:id="rId9" w:history="1">
              <w:r w:rsidRPr="00E31467">
                <w:rPr>
                  <w:rStyle w:val="Hyperlink"/>
                  <w:rFonts w:eastAsia="Times New Roman" w:cs="Times New Roman"/>
                  <w:szCs w:val="20"/>
                </w:rPr>
                <w:t xml:space="preserve">Document </w:t>
              </w:r>
              <w:proofErr w:type="spellStart"/>
              <w:r w:rsidRPr="00E31467">
                <w:rPr>
                  <w:rStyle w:val="Hyperlink"/>
                  <w:rFonts w:eastAsia="Times New Roman" w:cs="Times New Roman"/>
                  <w:szCs w:val="20"/>
                </w:rPr>
                <w:t>C26</w:t>
              </w:r>
              <w:proofErr w:type="spellEnd"/>
              <w:r w:rsidRPr="00E31467">
                <w:rPr>
                  <w:rStyle w:val="Hyperlink"/>
                  <w:rFonts w:eastAsia="Times New Roman" w:cs="Times New Roman"/>
                  <w:szCs w:val="20"/>
                </w:rPr>
                <w:t>/7</w:t>
              </w:r>
            </w:hyperlink>
            <w:r w:rsidRPr="00E31467">
              <w:t xml:space="preserve"> contient des informations actualisées sur la continuité des activités du siège de l'UIT.</w:t>
            </w:r>
          </w:p>
          <w:p w14:paraId="2EBE1D55" w14:textId="77777777" w:rsidR="00D72F49" w:rsidRPr="00E31467" w:rsidRDefault="00D72F49" w:rsidP="00796BDB">
            <w:pPr>
              <w:spacing w:before="160"/>
              <w:rPr>
                <w:b/>
                <w:bCs/>
                <w:sz w:val="26"/>
                <w:szCs w:val="26"/>
              </w:rPr>
            </w:pPr>
            <w:proofErr w:type="gramStart"/>
            <w:r w:rsidRPr="00E31467">
              <w:rPr>
                <w:b/>
                <w:bCs/>
                <w:sz w:val="26"/>
                <w:szCs w:val="26"/>
              </w:rPr>
              <w:t>Suite à</w:t>
            </w:r>
            <w:proofErr w:type="gramEnd"/>
            <w:r w:rsidRPr="00E31467">
              <w:rPr>
                <w:b/>
                <w:bCs/>
                <w:sz w:val="26"/>
                <w:szCs w:val="26"/>
              </w:rPr>
              <w:t xml:space="preserve"> donner par le Conseil</w:t>
            </w:r>
          </w:p>
          <w:p w14:paraId="4E7817ED" w14:textId="1ACF7A35" w:rsidR="00D72F49" w:rsidRPr="00E31467" w:rsidRDefault="00DB68EE" w:rsidP="00796BDB">
            <w:r w:rsidRPr="00E31467">
              <w:t xml:space="preserve">Le Conseil est invité à </w:t>
            </w:r>
            <w:r w:rsidRPr="00E31467">
              <w:rPr>
                <w:b/>
                <w:bCs/>
              </w:rPr>
              <w:t>prendre note</w:t>
            </w:r>
            <w:r w:rsidRPr="00E31467">
              <w:t xml:space="preserve"> du présent document.</w:t>
            </w:r>
          </w:p>
          <w:p w14:paraId="703AB4F6" w14:textId="537BB462" w:rsidR="00D72F49" w:rsidRPr="00E31467" w:rsidRDefault="00D72F49" w:rsidP="00796BDB">
            <w:pPr>
              <w:spacing w:before="160"/>
              <w:rPr>
                <w:b/>
                <w:bCs/>
                <w:sz w:val="26"/>
                <w:szCs w:val="26"/>
              </w:rPr>
            </w:pPr>
            <w:r w:rsidRPr="00E31467">
              <w:rPr>
                <w:b/>
                <w:bCs/>
                <w:sz w:val="26"/>
                <w:szCs w:val="26"/>
              </w:rPr>
              <w:t xml:space="preserve">Lien pertinent avec le </w:t>
            </w:r>
            <w:r w:rsidR="00F37FE5" w:rsidRPr="00E31467">
              <w:rPr>
                <w:b/>
                <w:bCs/>
                <w:sz w:val="26"/>
                <w:szCs w:val="26"/>
              </w:rPr>
              <w:t>p</w:t>
            </w:r>
            <w:r w:rsidRPr="00E31467">
              <w:rPr>
                <w:b/>
                <w:bCs/>
                <w:sz w:val="26"/>
                <w:szCs w:val="26"/>
              </w:rPr>
              <w:t>lan stratégique</w:t>
            </w:r>
          </w:p>
          <w:p w14:paraId="521D2E6D" w14:textId="77777777" w:rsidR="00D72F49" w:rsidRPr="00E31467" w:rsidRDefault="00DB68EE" w:rsidP="001A686C">
            <w:pPr>
              <w:spacing w:after="120"/>
            </w:pPr>
            <w:r w:rsidRPr="00E31467">
              <w:t>Plates-formes fédératrices</w:t>
            </w:r>
          </w:p>
          <w:p w14:paraId="4B0F98B7" w14:textId="77777777" w:rsidR="00DB68EE" w:rsidRPr="00E31467" w:rsidRDefault="00DB68EE" w:rsidP="00DB68EE">
            <w:pPr>
              <w:spacing w:before="160"/>
              <w:rPr>
                <w:b/>
                <w:bCs/>
                <w:sz w:val="26"/>
                <w:szCs w:val="26"/>
              </w:rPr>
            </w:pPr>
            <w:r w:rsidRPr="00E31467">
              <w:rPr>
                <w:b/>
                <w:bCs/>
                <w:sz w:val="26"/>
                <w:szCs w:val="26"/>
              </w:rPr>
              <w:t>Incidences financières</w:t>
            </w:r>
          </w:p>
          <w:p w14:paraId="6FD674CE" w14:textId="72D2C578" w:rsidR="00DB68EE" w:rsidRPr="00E31467" w:rsidRDefault="00DB68EE" w:rsidP="00D91D9A">
            <w:pPr>
              <w:jc w:val="both"/>
              <w:rPr>
                <w:szCs w:val="24"/>
              </w:rPr>
            </w:pPr>
            <w:r w:rsidRPr="00E31467">
              <w:rPr>
                <w:szCs w:val="24"/>
              </w:rPr>
              <w:t>Toutes les mesures de continuité des activités nécessitent un financement. Le fonds pour la continuité des activités s'élève actuellement à 3,17 millions CHF, dont 2,78 millions CHF provenant de la contribution de la Suisse et la somme de 0,389 million CHF allouée par le</w:t>
            </w:r>
            <w:r w:rsidR="00051CF0" w:rsidRPr="00E31467">
              <w:rPr>
                <w:szCs w:val="24"/>
              </w:rPr>
              <w:t> </w:t>
            </w:r>
            <w:r w:rsidRPr="00E31467">
              <w:rPr>
                <w:szCs w:val="24"/>
              </w:rPr>
              <w:t>Conseil à sa session de 2025.</w:t>
            </w:r>
          </w:p>
          <w:p w14:paraId="30627FF8" w14:textId="3DCAB336" w:rsidR="00DB68EE" w:rsidRPr="00E31467" w:rsidRDefault="00DB68EE" w:rsidP="00D91D9A">
            <w:pPr>
              <w:jc w:val="both"/>
              <w:rPr>
                <w:szCs w:val="24"/>
              </w:rPr>
            </w:pPr>
            <w:r w:rsidRPr="00E31467">
              <w:rPr>
                <w:szCs w:val="24"/>
              </w:rPr>
              <w:t xml:space="preserve">Dans le </w:t>
            </w:r>
            <w:hyperlink r:id="rId10" w:history="1">
              <w:r w:rsidRPr="00E31467">
                <w:rPr>
                  <w:rStyle w:val="Hyperlink"/>
                  <w:rFonts w:eastAsia="Times New Roman" w:cs="Times New Roman"/>
                  <w:szCs w:val="24"/>
                </w:rPr>
                <w:t xml:space="preserve">Document </w:t>
              </w:r>
              <w:proofErr w:type="spellStart"/>
              <w:r w:rsidRPr="00E31467">
                <w:rPr>
                  <w:rStyle w:val="Hyperlink"/>
                  <w:rFonts w:eastAsia="Times New Roman" w:cs="Times New Roman"/>
                  <w:szCs w:val="24"/>
                </w:rPr>
                <w:t>C26</w:t>
              </w:r>
              <w:proofErr w:type="spellEnd"/>
              <w:r w:rsidRPr="00E31467">
                <w:rPr>
                  <w:rStyle w:val="Hyperlink"/>
                  <w:rFonts w:eastAsia="Times New Roman" w:cs="Times New Roman"/>
                  <w:szCs w:val="24"/>
                </w:rPr>
                <w:t>/42</w:t>
              </w:r>
            </w:hyperlink>
            <w:r w:rsidRPr="00E31467">
              <w:rPr>
                <w:szCs w:val="24"/>
              </w:rPr>
              <w:t xml:space="preserve">, il est proposé d'affecter un financement supplémentaire de 1,5 million CHF provenant des économies réalisées dans le cadre de l'exécution du budget en 2025 pour les activités permettant d'assurer la continuité des activités du siège de l'UIT, conformément à l'évaluation fournie dans le Document </w:t>
            </w:r>
            <w:proofErr w:type="spellStart"/>
            <w:r w:rsidRPr="00E31467">
              <w:rPr>
                <w:szCs w:val="24"/>
              </w:rPr>
              <w:t>C26</w:t>
            </w:r>
            <w:proofErr w:type="spellEnd"/>
            <w:r w:rsidRPr="00E31467">
              <w:rPr>
                <w:szCs w:val="24"/>
              </w:rPr>
              <w:t>/7 du Conseil.</w:t>
            </w:r>
          </w:p>
          <w:p w14:paraId="40D37D98" w14:textId="77777777" w:rsidR="00DB68EE" w:rsidRDefault="00DB68EE" w:rsidP="009F309D">
            <w:pPr>
              <w:spacing w:before="0"/>
              <w:rPr>
                <w:sz w:val="22"/>
              </w:rPr>
            </w:pPr>
            <w:r w:rsidRPr="00E31467">
              <w:rPr>
                <w:sz w:val="22"/>
              </w:rPr>
              <w:t>__________________</w:t>
            </w:r>
          </w:p>
          <w:p w14:paraId="0C81E97B" w14:textId="77777777" w:rsidR="00D91D9A" w:rsidRPr="00E31467" w:rsidRDefault="00D91D9A" w:rsidP="00D91D9A">
            <w:pPr>
              <w:pBdr>
                <w:bottom w:val="single" w:sz="4" w:space="1" w:color="auto"/>
              </w:pBdr>
              <w:spacing w:before="160"/>
              <w:rPr>
                <w:b/>
                <w:bCs/>
                <w:sz w:val="26"/>
                <w:szCs w:val="26"/>
              </w:rPr>
            </w:pPr>
            <w:r w:rsidRPr="00E31467">
              <w:rPr>
                <w:b/>
                <w:bCs/>
                <w:sz w:val="26"/>
                <w:szCs w:val="26"/>
              </w:rPr>
              <w:t>Références</w:t>
            </w:r>
          </w:p>
          <w:p w14:paraId="37D726DE" w14:textId="6EE6BFBD" w:rsidR="00D91D9A" w:rsidRPr="00E31467" w:rsidRDefault="00D91D9A" w:rsidP="00D91D9A">
            <w:pPr>
              <w:pBdr>
                <w:bottom w:val="single" w:sz="4" w:space="1" w:color="auto"/>
              </w:pBdr>
              <w:spacing w:after="120"/>
            </w:pPr>
            <w:hyperlink r:id="rId11" w:history="1">
              <w:r w:rsidRPr="00D91D9A">
                <w:rPr>
                  <w:rStyle w:val="Hyperlink"/>
                  <w:rFonts w:eastAsia="Times New Roman" w:cs="Times New Roman"/>
                  <w:i/>
                  <w:iCs/>
                  <w:sz w:val="22"/>
                </w:rPr>
                <w:t xml:space="preserve">Document </w:t>
              </w:r>
              <w:proofErr w:type="spellStart"/>
              <w:r w:rsidRPr="00D91D9A">
                <w:rPr>
                  <w:rStyle w:val="Hyperlink"/>
                  <w:rFonts w:eastAsia="Times New Roman" w:cs="Times New Roman"/>
                  <w:i/>
                  <w:iCs/>
                  <w:sz w:val="22"/>
                </w:rPr>
                <w:t>CWG</w:t>
              </w:r>
              <w:proofErr w:type="spellEnd"/>
              <w:r w:rsidRPr="00D91D9A">
                <w:rPr>
                  <w:rStyle w:val="Hyperlink"/>
                  <w:rFonts w:eastAsia="Times New Roman" w:cs="Times New Roman"/>
                  <w:i/>
                  <w:iCs/>
                  <w:sz w:val="22"/>
                </w:rPr>
                <w:t>-</w:t>
              </w:r>
              <w:proofErr w:type="spellStart"/>
              <w:r w:rsidRPr="00D91D9A">
                <w:rPr>
                  <w:rStyle w:val="Hyperlink"/>
                  <w:rFonts w:eastAsia="Times New Roman" w:cs="Times New Roman"/>
                  <w:i/>
                  <w:iCs/>
                  <w:sz w:val="22"/>
                </w:rPr>
                <w:t>FHR</w:t>
              </w:r>
              <w:proofErr w:type="spellEnd"/>
              <w:r w:rsidRPr="00D91D9A">
                <w:rPr>
                  <w:rStyle w:val="Hyperlink"/>
                  <w:rFonts w:eastAsia="Times New Roman" w:cs="Times New Roman"/>
                  <w:i/>
                  <w:iCs/>
                  <w:sz w:val="22"/>
                </w:rPr>
                <w:t>-20/9</w:t>
              </w:r>
            </w:hyperlink>
            <w:r w:rsidRPr="00D91D9A">
              <w:rPr>
                <w:i/>
                <w:iCs/>
                <w:sz w:val="22"/>
                <w:szCs w:val="22"/>
              </w:rPr>
              <w:t xml:space="preserve">; </w:t>
            </w:r>
            <w:hyperlink r:id="rId12" w:history="1">
              <w:r w:rsidRPr="00D91D9A">
                <w:rPr>
                  <w:rStyle w:val="Hyperlink"/>
                  <w:rFonts w:eastAsia="Times New Roman" w:cs="Times New Roman"/>
                  <w:i/>
                  <w:iCs/>
                  <w:sz w:val="22"/>
                </w:rPr>
                <w:t>Décision 640</w:t>
              </w:r>
            </w:hyperlink>
            <w:r w:rsidRPr="00D91D9A">
              <w:rPr>
                <w:i/>
                <w:iCs/>
                <w:sz w:val="22"/>
                <w:szCs w:val="22"/>
              </w:rPr>
              <w:t xml:space="preserve"> (</w:t>
            </w:r>
            <w:proofErr w:type="spellStart"/>
            <w:r w:rsidRPr="00D91D9A">
              <w:rPr>
                <w:i/>
                <w:iCs/>
                <w:sz w:val="22"/>
                <w:szCs w:val="22"/>
              </w:rPr>
              <w:t>C24</w:t>
            </w:r>
            <w:proofErr w:type="spellEnd"/>
            <w:r w:rsidRPr="00D91D9A">
              <w:rPr>
                <w:i/>
                <w:iCs/>
                <w:sz w:val="22"/>
                <w:szCs w:val="22"/>
              </w:rPr>
              <w:t xml:space="preserve">) du Conseil; </w:t>
            </w:r>
            <w:hyperlink r:id="rId13" w:history="1">
              <w:r w:rsidRPr="00D91D9A">
                <w:rPr>
                  <w:rStyle w:val="Hyperlink"/>
                  <w:rFonts w:eastAsia="Times New Roman" w:cs="Times New Roman"/>
                  <w:i/>
                  <w:iCs/>
                  <w:sz w:val="22"/>
                </w:rPr>
                <w:t xml:space="preserve">Rapport de synthèse de la 20ème réunion du </w:t>
              </w:r>
              <w:proofErr w:type="spellStart"/>
              <w:r w:rsidRPr="00D91D9A">
                <w:rPr>
                  <w:rStyle w:val="Hyperlink"/>
                  <w:rFonts w:eastAsia="Times New Roman" w:cs="Times New Roman"/>
                  <w:i/>
                  <w:iCs/>
                  <w:sz w:val="22"/>
                </w:rPr>
                <w:t>GTC-FHR</w:t>
              </w:r>
              <w:proofErr w:type="spellEnd"/>
            </w:hyperlink>
            <w:r w:rsidRPr="00D91D9A">
              <w:rPr>
                <w:i/>
                <w:iCs/>
                <w:sz w:val="22"/>
                <w:szCs w:val="22"/>
              </w:rPr>
              <w:t xml:space="preserve">; </w:t>
            </w:r>
            <w:hyperlink r:id="rId14" w:history="1">
              <w:r w:rsidRPr="00D91D9A">
                <w:rPr>
                  <w:rStyle w:val="Hyperlink"/>
                  <w:rFonts w:eastAsia="Times New Roman" w:cs="Times New Roman"/>
                  <w:i/>
                  <w:iCs/>
                  <w:sz w:val="22"/>
                </w:rPr>
                <w:t xml:space="preserve">Documents </w:t>
              </w:r>
              <w:proofErr w:type="spellStart"/>
              <w:r w:rsidRPr="00D91D9A">
                <w:rPr>
                  <w:rStyle w:val="Hyperlink"/>
                  <w:rFonts w:eastAsia="Times New Roman" w:cs="Times New Roman"/>
                  <w:i/>
                  <w:iCs/>
                  <w:sz w:val="22"/>
                </w:rPr>
                <w:t>CWG</w:t>
              </w:r>
              <w:proofErr w:type="spellEnd"/>
              <w:r w:rsidRPr="00D91D9A">
                <w:rPr>
                  <w:rStyle w:val="Hyperlink"/>
                  <w:rFonts w:eastAsia="Times New Roman" w:cs="Times New Roman"/>
                  <w:i/>
                  <w:iCs/>
                  <w:sz w:val="22"/>
                </w:rPr>
                <w:t>-</w:t>
              </w:r>
              <w:proofErr w:type="spellStart"/>
              <w:r w:rsidRPr="00D91D9A">
                <w:rPr>
                  <w:rStyle w:val="Hyperlink"/>
                  <w:rFonts w:eastAsia="Times New Roman" w:cs="Times New Roman"/>
                  <w:i/>
                  <w:iCs/>
                  <w:sz w:val="22"/>
                </w:rPr>
                <w:t>FHR</w:t>
              </w:r>
              <w:proofErr w:type="spellEnd"/>
              <w:r w:rsidRPr="00D91D9A">
                <w:rPr>
                  <w:rStyle w:val="Hyperlink"/>
                  <w:rFonts w:eastAsia="Times New Roman" w:cs="Times New Roman"/>
                  <w:i/>
                  <w:iCs/>
                  <w:sz w:val="22"/>
                </w:rPr>
                <w:t>-21/10</w:t>
              </w:r>
            </w:hyperlink>
            <w:r w:rsidRPr="00D91D9A">
              <w:rPr>
                <w:i/>
                <w:iCs/>
                <w:sz w:val="22"/>
                <w:szCs w:val="22"/>
              </w:rPr>
              <w:t xml:space="preserve">, </w:t>
            </w:r>
            <w:hyperlink r:id="rId15" w:history="1">
              <w:proofErr w:type="spellStart"/>
              <w:r w:rsidRPr="00D91D9A">
                <w:rPr>
                  <w:rStyle w:val="Hyperlink"/>
                  <w:rFonts w:eastAsia="Times New Roman" w:cs="Times New Roman"/>
                  <w:i/>
                  <w:iCs/>
                  <w:sz w:val="22"/>
                </w:rPr>
                <w:t>CWG</w:t>
              </w:r>
              <w:proofErr w:type="spellEnd"/>
              <w:r w:rsidRPr="00D91D9A">
                <w:rPr>
                  <w:rStyle w:val="Hyperlink"/>
                  <w:rFonts w:eastAsia="Times New Roman" w:cs="Times New Roman"/>
                  <w:i/>
                  <w:iCs/>
                  <w:sz w:val="22"/>
                </w:rPr>
                <w:t>-</w:t>
              </w:r>
              <w:proofErr w:type="spellStart"/>
              <w:r w:rsidRPr="00D91D9A">
                <w:rPr>
                  <w:rStyle w:val="Hyperlink"/>
                  <w:rFonts w:eastAsia="Times New Roman" w:cs="Times New Roman"/>
                  <w:i/>
                  <w:iCs/>
                  <w:sz w:val="22"/>
                </w:rPr>
                <w:t>FHR</w:t>
              </w:r>
              <w:proofErr w:type="spellEnd"/>
              <w:r w:rsidRPr="00D91D9A">
                <w:rPr>
                  <w:rStyle w:val="Hyperlink"/>
                  <w:rFonts w:eastAsia="Times New Roman" w:cs="Times New Roman"/>
                  <w:i/>
                  <w:iCs/>
                  <w:sz w:val="22"/>
                </w:rPr>
                <w:t>-21/25</w:t>
              </w:r>
            </w:hyperlink>
            <w:r w:rsidRPr="00D91D9A">
              <w:rPr>
                <w:i/>
                <w:iCs/>
                <w:sz w:val="22"/>
                <w:szCs w:val="22"/>
              </w:rPr>
              <w:t xml:space="preserve">, </w:t>
            </w:r>
            <w:hyperlink r:id="rId16" w:history="1">
              <w:proofErr w:type="spellStart"/>
              <w:r w:rsidRPr="00D91D9A">
                <w:rPr>
                  <w:rStyle w:val="Hyperlink"/>
                  <w:rFonts w:eastAsia="Times New Roman" w:cs="Times New Roman"/>
                  <w:i/>
                  <w:iCs/>
                  <w:sz w:val="22"/>
                </w:rPr>
                <w:t>CWG</w:t>
              </w:r>
              <w:proofErr w:type="spellEnd"/>
              <w:r w:rsidRPr="00D91D9A">
                <w:rPr>
                  <w:rStyle w:val="Hyperlink"/>
                  <w:rFonts w:eastAsia="Times New Roman" w:cs="Times New Roman"/>
                  <w:i/>
                  <w:iCs/>
                  <w:sz w:val="22"/>
                </w:rPr>
                <w:noBreakHyphen/>
              </w:r>
              <w:proofErr w:type="spellStart"/>
              <w:r w:rsidRPr="00D91D9A">
                <w:rPr>
                  <w:rStyle w:val="Hyperlink"/>
                  <w:rFonts w:eastAsia="Times New Roman" w:cs="Times New Roman"/>
                  <w:i/>
                  <w:iCs/>
                  <w:sz w:val="22"/>
                </w:rPr>
                <w:t>FHR</w:t>
              </w:r>
              <w:proofErr w:type="spellEnd"/>
              <w:r w:rsidRPr="00D91D9A">
                <w:rPr>
                  <w:rStyle w:val="Hyperlink"/>
                  <w:rFonts w:eastAsia="Times New Roman" w:cs="Times New Roman"/>
                  <w:i/>
                  <w:iCs/>
                  <w:sz w:val="22"/>
                </w:rPr>
                <w:noBreakHyphen/>
                <w:t>21/</w:t>
              </w:r>
              <w:proofErr w:type="spellStart"/>
              <w:r w:rsidRPr="00D91D9A">
                <w:rPr>
                  <w:rStyle w:val="Hyperlink"/>
                  <w:rFonts w:eastAsia="Times New Roman" w:cs="Times New Roman"/>
                  <w:i/>
                  <w:iCs/>
                  <w:sz w:val="22"/>
                </w:rPr>
                <w:t>INF</w:t>
              </w:r>
              <w:proofErr w:type="spellEnd"/>
              <w:r w:rsidRPr="00D91D9A">
                <w:rPr>
                  <w:rStyle w:val="Hyperlink"/>
                  <w:rFonts w:eastAsia="Times New Roman" w:cs="Times New Roman"/>
                  <w:i/>
                  <w:iCs/>
                  <w:sz w:val="22"/>
                </w:rPr>
                <w:t>/4</w:t>
              </w:r>
            </w:hyperlink>
            <w:r w:rsidRPr="00D91D9A">
              <w:rPr>
                <w:i/>
                <w:iCs/>
                <w:sz w:val="22"/>
                <w:szCs w:val="22"/>
              </w:rPr>
              <w:t xml:space="preserve">, </w:t>
            </w:r>
            <w:hyperlink r:id="rId17" w:history="1">
              <w:proofErr w:type="spellStart"/>
              <w:r w:rsidRPr="00D91D9A">
                <w:rPr>
                  <w:rStyle w:val="Hyperlink"/>
                  <w:rFonts w:eastAsia="Times New Roman" w:cs="Times New Roman"/>
                  <w:i/>
                  <w:iCs/>
                  <w:sz w:val="22"/>
                </w:rPr>
                <w:t>CWG</w:t>
              </w:r>
              <w:proofErr w:type="spellEnd"/>
              <w:r w:rsidRPr="00D91D9A">
                <w:rPr>
                  <w:rStyle w:val="Hyperlink"/>
                  <w:rFonts w:eastAsia="Times New Roman" w:cs="Times New Roman"/>
                  <w:i/>
                  <w:iCs/>
                  <w:sz w:val="22"/>
                </w:rPr>
                <w:t>-</w:t>
              </w:r>
              <w:proofErr w:type="spellStart"/>
              <w:r w:rsidRPr="00D91D9A">
                <w:rPr>
                  <w:rStyle w:val="Hyperlink"/>
                  <w:rFonts w:eastAsia="Times New Roman" w:cs="Times New Roman"/>
                  <w:i/>
                  <w:iCs/>
                  <w:sz w:val="22"/>
                </w:rPr>
                <w:t>FHR</w:t>
              </w:r>
              <w:proofErr w:type="spellEnd"/>
              <w:r w:rsidRPr="00D91D9A">
                <w:rPr>
                  <w:rStyle w:val="Hyperlink"/>
                  <w:rFonts w:eastAsia="Times New Roman" w:cs="Times New Roman"/>
                  <w:i/>
                  <w:iCs/>
                  <w:sz w:val="22"/>
                </w:rPr>
                <w:t>-22/13</w:t>
              </w:r>
            </w:hyperlink>
            <w:r w:rsidRPr="00D91D9A">
              <w:rPr>
                <w:i/>
                <w:iCs/>
                <w:sz w:val="22"/>
                <w:szCs w:val="22"/>
              </w:rPr>
              <w:t xml:space="preserve"> et </w:t>
            </w:r>
            <w:hyperlink r:id="rId18" w:history="1">
              <w:proofErr w:type="spellStart"/>
              <w:r w:rsidRPr="00D91D9A">
                <w:rPr>
                  <w:rStyle w:val="Hyperlink"/>
                  <w:rFonts w:eastAsia="Times New Roman" w:cs="Times New Roman"/>
                  <w:i/>
                  <w:iCs/>
                  <w:sz w:val="22"/>
                </w:rPr>
                <w:t>CWG</w:t>
              </w:r>
              <w:proofErr w:type="spellEnd"/>
              <w:r w:rsidRPr="00D91D9A">
                <w:rPr>
                  <w:rStyle w:val="Hyperlink"/>
                  <w:rFonts w:eastAsia="Times New Roman" w:cs="Times New Roman"/>
                  <w:i/>
                  <w:iCs/>
                  <w:sz w:val="22"/>
                </w:rPr>
                <w:t>-</w:t>
              </w:r>
              <w:proofErr w:type="spellStart"/>
              <w:r w:rsidRPr="00D91D9A">
                <w:rPr>
                  <w:rStyle w:val="Hyperlink"/>
                  <w:rFonts w:eastAsia="Times New Roman" w:cs="Times New Roman"/>
                  <w:i/>
                  <w:iCs/>
                  <w:sz w:val="22"/>
                </w:rPr>
                <w:t>FHR</w:t>
              </w:r>
              <w:proofErr w:type="spellEnd"/>
              <w:r w:rsidRPr="00D91D9A">
                <w:rPr>
                  <w:rStyle w:val="Hyperlink"/>
                  <w:rFonts w:eastAsia="Times New Roman" w:cs="Times New Roman"/>
                  <w:i/>
                  <w:iCs/>
                  <w:sz w:val="22"/>
                </w:rPr>
                <w:t>-22/36</w:t>
              </w:r>
            </w:hyperlink>
          </w:p>
        </w:tc>
      </w:tr>
    </w:tbl>
    <w:p w14:paraId="26DA3DD1" w14:textId="28DF7D36" w:rsidR="001A686C" w:rsidRPr="009F309D" w:rsidRDefault="001A686C">
      <w:pPr>
        <w:tabs>
          <w:tab w:val="clear" w:pos="567"/>
          <w:tab w:val="clear" w:pos="1134"/>
          <w:tab w:val="clear" w:pos="1701"/>
          <w:tab w:val="clear" w:pos="2268"/>
          <w:tab w:val="clear" w:pos="2835"/>
        </w:tabs>
        <w:overflowPunct/>
        <w:autoSpaceDE/>
        <w:autoSpaceDN/>
        <w:adjustRightInd/>
        <w:spacing w:before="0"/>
        <w:textAlignment w:val="auto"/>
        <w:rPr>
          <w:sz w:val="10"/>
          <w:szCs w:val="10"/>
        </w:rPr>
      </w:pPr>
      <w:r w:rsidRPr="009F309D">
        <w:rPr>
          <w:sz w:val="10"/>
          <w:szCs w:val="10"/>
        </w:rPr>
        <w:br w:type="page"/>
      </w:r>
    </w:p>
    <w:p w14:paraId="0E099C59" w14:textId="77777777" w:rsidR="00DB68EE" w:rsidRPr="00E31467" w:rsidRDefault="00DB68EE" w:rsidP="00DB68EE">
      <w:pPr>
        <w:pStyle w:val="Heading1"/>
      </w:pPr>
      <w:r w:rsidRPr="00E31467">
        <w:lastRenderedPageBreak/>
        <w:t>1</w:t>
      </w:r>
      <w:r w:rsidRPr="00E31467">
        <w:tab/>
        <w:t>Contexte</w:t>
      </w:r>
    </w:p>
    <w:p w14:paraId="21BFC40C" w14:textId="77777777" w:rsidR="00DB68EE" w:rsidRPr="00E31467" w:rsidRDefault="00DB68EE" w:rsidP="009F309D">
      <w:pPr>
        <w:jc w:val="both"/>
      </w:pPr>
      <w:r w:rsidRPr="00E31467">
        <w:t>L'UIT tient chaque année environ 60 à 65 réunions à son siège, et peut compter sur les capacités d'accueil supplémentaires offertes par le Centre international de conférences de Genève (</w:t>
      </w:r>
      <w:proofErr w:type="spellStart"/>
      <w:r w:rsidRPr="00E31467">
        <w:t>CICG</w:t>
      </w:r>
      <w:proofErr w:type="spellEnd"/>
      <w:r w:rsidRPr="00E31467">
        <w:t xml:space="preserve">) et le Centre de conférences de </w:t>
      </w:r>
      <w:proofErr w:type="spellStart"/>
      <w:r w:rsidRPr="00E31467">
        <w:t>Varembé</w:t>
      </w:r>
      <w:proofErr w:type="spellEnd"/>
      <w:r w:rsidRPr="00E31467">
        <w:t xml:space="preserve"> (CCV). Ces réunions comprennent des réunions techniques statutaires (commissions d'études et groupes de travail) pour tous les Secteurs (prévues par les documents constitutionnels de l'Union et des Secteurs, à caractère décisionnel et ayant une importance stratégique), ainsi que des réunions des groupes consultatifs, du Conseil et des groupes de travail du Conseil (</w:t>
      </w:r>
      <w:proofErr w:type="spellStart"/>
      <w:r w:rsidRPr="00E31467">
        <w:t>GTC</w:t>
      </w:r>
      <w:proofErr w:type="spellEnd"/>
      <w:r w:rsidRPr="00E31467">
        <w:t>).</w:t>
      </w:r>
    </w:p>
    <w:p w14:paraId="54D0BF4C" w14:textId="77777777" w:rsidR="00DB68EE" w:rsidRPr="00E31467" w:rsidRDefault="00DB68EE" w:rsidP="009F309D">
      <w:pPr>
        <w:jc w:val="both"/>
      </w:pPr>
      <w:r w:rsidRPr="00E31467">
        <w:t>En raison de la construction du nouveau bâtiment dans le cadre du projet de locaux du siège de l'UIT, il est nécessaire de trouver des lieux de réunion appropriés pour garantir la tenue des réunions de l'UIT qui se déroulent habituellement au siège de l'organisation, y compris pendant la période de perturbations majeures causées par les travaux de démolition et de construction.</w:t>
      </w:r>
    </w:p>
    <w:p w14:paraId="6747B6A0" w14:textId="5097B418" w:rsidR="00DB68EE" w:rsidRPr="00E31467" w:rsidRDefault="00DB68EE" w:rsidP="009F309D">
      <w:pPr>
        <w:jc w:val="both"/>
      </w:pPr>
      <w:r w:rsidRPr="00E31467">
        <w:t>Ces réunions pourront se tenir hors de Genève, à l'invitation d'un gouvernement ou d'une autre organisation hôte, conformément à la Résolution 5 (Kyoto, 1994) de la Conférence de plénipotentiaires, intitulée "Invitations à tenir des conférences ou réunions en dehors de Genève", aux termes de laquelle le pays hôte prend à sa charge les dépenses supplémentaires occasionnées à l'Union pour l'organisation de réunions ou de conférences hors de Genève.</w:t>
      </w:r>
    </w:p>
    <w:p w14:paraId="4536072B" w14:textId="77777777" w:rsidR="00DB68EE" w:rsidRPr="00E31467" w:rsidRDefault="00DB68EE" w:rsidP="009F309D">
      <w:pPr>
        <w:jc w:val="both"/>
      </w:pPr>
      <w:r w:rsidRPr="00E31467">
        <w:t>Il serait toutefois impossible d'organiser toutes les réunions au coup par coup dans différents lieux compte tenu des problèmes financiers, logistiques et organisationnels considérables qui découleraient d'une telle approche, notamment des coûts plus élevés, une moindre efficacité dans l'utilisation des ressources humaines et une plus grande incertitude dans la planification pour les délégués. La liste détaillée des réunions de l'UIT prévues pour la période allant d'octobre 2028 à août 2029 a été mise à jour avec les informations les plus récentes communiquées par les organisateurs des réunions des Secteurs et du Secrétariat général. Cette liste est disponible dans l'Annexe 1 du présent document et comprend des estimations concernant les dates des réunions, le nombre et la taille des salles.</w:t>
      </w:r>
    </w:p>
    <w:p w14:paraId="44BDDDCE" w14:textId="77777777" w:rsidR="00DB68EE" w:rsidRPr="00E31467" w:rsidRDefault="00DB68EE" w:rsidP="00DB68EE">
      <w:pPr>
        <w:pStyle w:val="Heading1"/>
      </w:pPr>
      <w:r w:rsidRPr="00E31467">
        <w:t>2</w:t>
      </w:r>
      <w:r w:rsidRPr="00E31467">
        <w:tab/>
        <w:t>Confirmation de la période de perturbation majeure</w:t>
      </w:r>
    </w:p>
    <w:p w14:paraId="42F2F1DE" w14:textId="0F3C5C3C" w:rsidR="00DB68EE" w:rsidRPr="00E31467" w:rsidRDefault="00DB68EE" w:rsidP="009F309D">
      <w:pPr>
        <w:jc w:val="both"/>
      </w:pPr>
      <w:r w:rsidRPr="00E31467">
        <w:t xml:space="preserve">À la suite des améliorations apportées par l'entreprise chargée de la conception du projet de bâtiment, il a été confirmé que la période de perturbation majeure pendant laquelle des salles de réunion de remplacement pourraient être nécessaires irait </w:t>
      </w:r>
      <w:r w:rsidRPr="00E31467">
        <w:rPr>
          <w:b/>
          <w:bCs/>
        </w:rPr>
        <w:t>du 1er octobre 2028 au 31 août 2029 inclus</w:t>
      </w:r>
      <w:r w:rsidRPr="00E31467">
        <w:t>.</w:t>
      </w:r>
    </w:p>
    <w:p w14:paraId="7D3596CE" w14:textId="77777777" w:rsidR="00DB68EE" w:rsidRPr="00E31467" w:rsidRDefault="00DB68EE" w:rsidP="00DB68EE">
      <w:pPr>
        <w:pStyle w:val="Heading1"/>
      </w:pPr>
      <w:r w:rsidRPr="00E31467">
        <w:t>3</w:t>
      </w:r>
      <w:r w:rsidRPr="00E31467">
        <w:tab/>
        <w:t>Disponibilité des salles de réunion de l'UIT pendant la période de perturbation majeure</w:t>
      </w:r>
    </w:p>
    <w:p w14:paraId="0BE74FC8" w14:textId="0EDC7BF7" w:rsidR="00DB68EE" w:rsidRPr="00E31467" w:rsidRDefault="00DB68EE" w:rsidP="009F309D">
      <w:pPr>
        <w:jc w:val="both"/>
      </w:pPr>
      <w:r w:rsidRPr="00E31467">
        <w:t>Des tests acoustiques ont été réalisés dans les bâtiments de la Tour et de Montbrillant afin d'évaluer les niveaux de perturbation pendant les travaux de démolition et de construction.</w:t>
      </w:r>
    </w:p>
    <w:p w14:paraId="43EC5158" w14:textId="77777777" w:rsidR="00DB68EE" w:rsidRPr="00E31467" w:rsidRDefault="00DB68EE" w:rsidP="009F309D">
      <w:pPr>
        <w:jc w:val="both"/>
      </w:pPr>
      <w:r w:rsidRPr="00E31467">
        <w:t xml:space="preserve">Des résultats préliminaires indiquent qu'il serait possible d'utiliser certaines salles du siège de l'UIT tout au long de la période de perturbation majeure due à des travaux de construction conséquents, sous réserve d'accepter des perturbations limitées. Toutefois, la poursuite de l'utilisation des salles du siège pourrait nécessiter une mise à niveau des infrastructures et des équipements pour garantir la continuité des activités et la qualité de service, étant donné que </w:t>
      </w:r>
      <w:r w:rsidRPr="00E31467">
        <w:lastRenderedPageBreak/>
        <w:t>certaines infrastructures et certains équipements arriveraient sinon en fin de vie avant ou pendant la période de construction prévue. Une évaluation est en cours pour déterminer l'ampleur de la rénovation et recenser les investissements supplémentaires nécessaires.</w:t>
      </w:r>
    </w:p>
    <w:p w14:paraId="5BF984D1" w14:textId="77777777" w:rsidR="00DB68EE" w:rsidRPr="00E31467" w:rsidRDefault="00DB68EE" w:rsidP="00DB68EE">
      <w:pPr>
        <w:pStyle w:val="Heading1"/>
      </w:pPr>
      <w:r w:rsidRPr="00E31467">
        <w:t>4</w:t>
      </w:r>
      <w:r w:rsidRPr="00E31467">
        <w:tab/>
        <w:t>Lieux de remplacement à Genève</w:t>
      </w:r>
    </w:p>
    <w:p w14:paraId="0E693CB1" w14:textId="77777777" w:rsidR="00DB68EE" w:rsidRPr="00E31467" w:rsidRDefault="00DB68EE" w:rsidP="009F309D">
      <w:pPr>
        <w:jc w:val="both"/>
      </w:pPr>
      <w:r w:rsidRPr="00E31467">
        <w:t>Le secrétariat a continué d'étudier diverses options pour assurer la continuité des activités pendant la période considérée, moyennant la location de salles de réunion dans d'autres lieux à Genève.</w:t>
      </w:r>
    </w:p>
    <w:p w14:paraId="764A01F4" w14:textId="77777777" w:rsidR="00DB68EE" w:rsidRPr="00E31467" w:rsidRDefault="00DB68EE" w:rsidP="00DB68EE">
      <w:pPr>
        <w:pStyle w:val="Headingb"/>
      </w:pPr>
      <w:r w:rsidRPr="00E31467">
        <w:t>Tenue des sessions de 2028 et 2029 du Conseil de l'UIT</w:t>
      </w:r>
    </w:p>
    <w:p w14:paraId="1039DB90" w14:textId="77777777" w:rsidR="00DB68EE" w:rsidRPr="00E31467" w:rsidRDefault="00DB68EE" w:rsidP="009F309D">
      <w:pPr>
        <w:jc w:val="both"/>
      </w:pPr>
      <w:r w:rsidRPr="00E31467">
        <w:t>Compte tenu de l'importance stratégique de la session annuelle du Conseil, et conformément au numéro 51 de l'article 4 de la Convention, qui dispose que le Conseil se réunit une fois par an en session ordinaire au siège de l'Union, il est prévu que les sessions de 2028 et 2029 du Conseil se tiennent à Genève.</w:t>
      </w:r>
    </w:p>
    <w:p w14:paraId="16A8E8C6" w14:textId="77777777" w:rsidR="00DB68EE" w:rsidRPr="00E31467" w:rsidRDefault="00DB68EE" w:rsidP="009F309D">
      <w:pPr>
        <w:jc w:val="both"/>
      </w:pPr>
      <w:r w:rsidRPr="00E31467">
        <w:t>La session de 2028 du Conseil devrait se tenir du 13 au 23 juin dans la salle Popov du bâtiment de la Tour du siège de l'UIT. Selon le calendrier actuel du projet de construction, aucun chantier de démolition majeur susceptible de causer des perturbations particulièrement importantes n'est prévu pendant cette période.</w:t>
      </w:r>
    </w:p>
    <w:p w14:paraId="68F6B604" w14:textId="77777777" w:rsidR="00DB68EE" w:rsidRPr="009F309D" w:rsidRDefault="00DB68EE" w:rsidP="009F309D">
      <w:pPr>
        <w:jc w:val="both"/>
        <w:rPr>
          <w:spacing w:val="-2"/>
        </w:rPr>
      </w:pPr>
      <w:r w:rsidRPr="009F309D">
        <w:rPr>
          <w:spacing w:val="-2"/>
        </w:rPr>
        <w:t xml:space="preserve">La session de 2029 du Conseil devait initialement se tenir en juin. Le </w:t>
      </w:r>
      <w:proofErr w:type="spellStart"/>
      <w:r w:rsidRPr="009F309D">
        <w:rPr>
          <w:spacing w:val="-2"/>
        </w:rPr>
        <w:t>CICG</w:t>
      </w:r>
      <w:proofErr w:type="spellEnd"/>
      <w:r w:rsidRPr="009F309D">
        <w:rPr>
          <w:spacing w:val="-2"/>
        </w:rPr>
        <w:t xml:space="preserve"> n'étant pas en mesure d'accueillir cette manifestation, celle-ci pourrait se tenir soit en juin 2029 dans la salle Popov (sous réserve des résultats définitifs des tests acoustiques), soit au siège de l'Organisation mondiale de la santé (OMS), qui a confirmé à ce jour la disponibilité de ses locaux.</w:t>
      </w:r>
    </w:p>
    <w:p w14:paraId="5BB1993C" w14:textId="13D6D042" w:rsidR="00DB68EE" w:rsidRPr="00E31467" w:rsidRDefault="00DB68EE" w:rsidP="009F309D">
      <w:pPr>
        <w:jc w:val="both"/>
      </w:pPr>
      <w:r w:rsidRPr="00E31467">
        <w:t xml:space="preserve">Une option plus prudente et plus économique consisterait à tenir la session de 2029 du Conseil dans la salle Popov en septembre, sous réserve de l'approbation des États Membres (voir le </w:t>
      </w:r>
      <w:hyperlink r:id="rId19" w:history="1">
        <w:r w:rsidRPr="00E31467">
          <w:rPr>
            <w:rStyle w:val="Hyperlink"/>
            <w:rFonts w:eastAsia="Times New Roman" w:cs="Times New Roman"/>
            <w:szCs w:val="20"/>
          </w:rPr>
          <w:t xml:space="preserve">Document </w:t>
        </w:r>
        <w:proofErr w:type="spellStart"/>
        <w:r w:rsidRPr="00E31467">
          <w:rPr>
            <w:rStyle w:val="Hyperlink"/>
            <w:rFonts w:eastAsia="Times New Roman" w:cs="Times New Roman"/>
            <w:szCs w:val="20"/>
          </w:rPr>
          <w:t>C26</w:t>
        </w:r>
        <w:proofErr w:type="spellEnd"/>
        <w:r w:rsidRPr="00E31467">
          <w:rPr>
            <w:rStyle w:val="Hyperlink"/>
            <w:rFonts w:eastAsia="Times New Roman" w:cs="Times New Roman"/>
            <w:szCs w:val="20"/>
          </w:rPr>
          <w:t>/2</w:t>
        </w:r>
      </w:hyperlink>
      <w:r w:rsidRPr="00E31467">
        <w:t>).</w:t>
      </w:r>
    </w:p>
    <w:p w14:paraId="47506E36" w14:textId="3B8C7352" w:rsidR="00DB68EE" w:rsidRPr="00E31467" w:rsidRDefault="00DB68EE" w:rsidP="00DB68EE">
      <w:pPr>
        <w:pStyle w:val="Headingb"/>
      </w:pPr>
      <w:r w:rsidRPr="00E31467">
        <w:t>Tenue des réunions des commissions d'études, des groupes de travail et des groupes consultatifs</w:t>
      </w:r>
    </w:p>
    <w:p w14:paraId="73A0D82B" w14:textId="77777777" w:rsidR="00DB68EE" w:rsidRPr="00E31467" w:rsidRDefault="00DB68EE" w:rsidP="00DB68EE">
      <w:pPr>
        <w:pStyle w:val="Headingi"/>
      </w:pPr>
      <w:proofErr w:type="spellStart"/>
      <w:r w:rsidRPr="00E31467">
        <w:t>CICG</w:t>
      </w:r>
      <w:proofErr w:type="spellEnd"/>
    </w:p>
    <w:p w14:paraId="7C91DF8E" w14:textId="7A82707F" w:rsidR="00DB68EE" w:rsidRPr="00E31467" w:rsidRDefault="00DB68EE" w:rsidP="009F309D">
      <w:pPr>
        <w:jc w:val="both"/>
      </w:pPr>
      <w:r w:rsidRPr="00E31467">
        <w:t xml:space="preserve">Compte tenu de sa collaboration de longue date avec l'UIT, de son emplacement pratique et de la familiarité des délégués avec les locaux, le </w:t>
      </w:r>
      <w:proofErr w:type="spellStart"/>
      <w:r w:rsidRPr="00E31467">
        <w:t>CICG</w:t>
      </w:r>
      <w:proofErr w:type="spellEnd"/>
      <w:r w:rsidRPr="00E31467">
        <w:t xml:space="preserve"> reste le lieu de réunion le plus approprié. Toutefois, en raison de travaux de rénovation prévus, le </w:t>
      </w:r>
      <w:proofErr w:type="spellStart"/>
      <w:r w:rsidRPr="00E31467">
        <w:t>CICG</w:t>
      </w:r>
      <w:proofErr w:type="spellEnd"/>
      <w:r w:rsidRPr="00E31467">
        <w:t xml:space="preserve"> sera fermé du 1er janvier au 31 octobre 2028, avec une disponibilité limitée fin 2028 et tout au long de 2029.</w:t>
      </w:r>
    </w:p>
    <w:p w14:paraId="033A4732" w14:textId="77777777" w:rsidR="00DB68EE" w:rsidRPr="00E31467" w:rsidRDefault="00DB68EE" w:rsidP="009F309D">
      <w:pPr>
        <w:jc w:val="both"/>
      </w:pPr>
      <w:r w:rsidRPr="00E31467">
        <w:t xml:space="preserve">Le secrétariat de l'UIT travaille en étroite collaboration avec le </w:t>
      </w:r>
      <w:proofErr w:type="spellStart"/>
      <w:r w:rsidRPr="00E31467">
        <w:t>CICG</w:t>
      </w:r>
      <w:proofErr w:type="spellEnd"/>
      <w:r w:rsidRPr="00E31467">
        <w:t xml:space="preserve"> pour déterminer s'il est faisable d'organiser le plus grand nombre possible de réunions de l'UIT entre octobre 2028 et août 2029. À l'heure actuelle, le </w:t>
      </w:r>
      <w:proofErr w:type="spellStart"/>
      <w:r w:rsidRPr="00E31467">
        <w:t>CICG</w:t>
      </w:r>
      <w:proofErr w:type="spellEnd"/>
      <w:r w:rsidRPr="00E31467">
        <w:t xml:space="preserve"> ne peut accueillir qu'un nombre limité de réunions pendant cette période, car pour toutes les autres réunions, soit le site n'est pas disponible, soit il ne peut offrir un espace à l'UIT qu'à titre de solution de secours, sous réserve d'une annulation par d'autres parties.</w:t>
      </w:r>
    </w:p>
    <w:p w14:paraId="6DC9FF56" w14:textId="67E6FDBF" w:rsidR="00DB68EE" w:rsidRPr="00E31467" w:rsidRDefault="00DB68EE" w:rsidP="009F309D">
      <w:pPr>
        <w:jc w:val="both"/>
      </w:pPr>
      <w:r w:rsidRPr="00E31467">
        <w:t xml:space="preserve">À compter de 2027, des frais de location et des frais fixes s'appliqueront à toutes les réunions organisées au </w:t>
      </w:r>
      <w:proofErr w:type="spellStart"/>
      <w:r w:rsidRPr="00E31467">
        <w:t>CICG</w:t>
      </w:r>
      <w:proofErr w:type="spellEnd"/>
      <w:r w:rsidRPr="00E31467">
        <w:t xml:space="preserve">. Bien que le </w:t>
      </w:r>
      <w:proofErr w:type="spellStart"/>
      <w:r w:rsidRPr="00E31467">
        <w:t>CICG</w:t>
      </w:r>
      <w:proofErr w:type="spellEnd"/>
      <w:r w:rsidRPr="00E31467">
        <w:t xml:space="preserve"> applique de nouveaux tarifs de location et des frais fixes depuis 2025, les coûts de location des réunions de l'UIT au </w:t>
      </w:r>
      <w:proofErr w:type="spellStart"/>
      <w:r w:rsidRPr="00E31467">
        <w:t>CICG</w:t>
      </w:r>
      <w:proofErr w:type="spellEnd"/>
      <w:r w:rsidRPr="00E31467">
        <w:t xml:space="preserve"> en 2025 et 2026 seront remboursés dans le cadre d'un généreux ensemble de mesures urgentes prises par la Suisse pour soutenir la Genève internationale, ce dont l'UIT reste très reconnaissante.</w:t>
      </w:r>
    </w:p>
    <w:p w14:paraId="79556C98" w14:textId="7922B1BE" w:rsidR="00DB68EE" w:rsidRPr="00E31467" w:rsidRDefault="00DB68EE" w:rsidP="00DB68EE">
      <w:pPr>
        <w:pStyle w:val="Headingi"/>
      </w:pPr>
      <w:r w:rsidRPr="00E31467">
        <w:lastRenderedPageBreak/>
        <w:t>Palexpo</w:t>
      </w:r>
    </w:p>
    <w:p w14:paraId="5D33F8C8" w14:textId="56294802" w:rsidR="00DB68EE" w:rsidRPr="00E31467" w:rsidRDefault="00DB68EE" w:rsidP="009F309D">
      <w:pPr>
        <w:jc w:val="both"/>
      </w:pPr>
      <w:r w:rsidRPr="00E31467">
        <w:t>De nouveaux échanges avec l'équipe de direction de Palexpo ont confirmé que seul un nombre limité de salles de réunion à Palexpo seront disponibles de manière ponctuelle entre</w:t>
      </w:r>
      <w:r w:rsidR="00263B29" w:rsidRPr="00E31467">
        <w:t> </w:t>
      </w:r>
      <w:r w:rsidRPr="00E31467">
        <w:t>octobre 2028 et août 2029. Cette option reste la plus coûteuse à Genève en raison des coûts élevés des services techniques. Le secrétariat s'efforce actuellement de faire correspondre les réunions de l'UIT qui nécessitent encore un lieu d'accueil avec les espaces disponibles à la location à Palexpo pendant cette période.</w:t>
      </w:r>
    </w:p>
    <w:p w14:paraId="2DDBEA59" w14:textId="4309BEBC" w:rsidR="00DB68EE" w:rsidRPr="00E31467" w:rsidRDefault="00DB68EE" w:rsidP="00DB68EE">
      <w:pPr>
        <w:pStyle w:val="Headingi"/>
      </w:pPr>
      <w:r w:rsidRPr="00E31467">
        <w:t>Office des Nations Unies à Genève</w:t>
      </w:r>
    </w:p>
    <w:p w14:paraId="68BA1C11" w14:textId="77777777" w:rsidR="00DB68EE" w:rsidRPr="00E31467" w:rsidRDefault="00DB68EE" w:rsidP="009F309D">
      <w:pPr>
        <w:jc w:val="both"/>
      </w:pPr>
      <w:r w:rsidRPr="00E31467">
        <w:t>Des discussions préliminaires avec l'Office des Nations Unies à Genève (</w:t>
      </w:r>
      <w:proofErr w:type="spellStart"/>
      <w:r w:rsidRPr="00E31467">
        <w:t>ONUG</w:t>
      </w:r>
      <w:proofErr w:type="spellEnd"/>
      <w:r w:rsidRPr="00E31467">
        <w:t>) indiquent que les possibilités d'accueil de réunions extérieures sont limitées et qu'aucune confirmation de disponibilité ne peut être donnée plus de six mois avant la réunion. L'UIT a néanmoins demandé, par voie officielle, si l'</w:t>
      </w:r>
      <w:proofErr w:type="spellStart"/>
      <w:r w:rsidRPr="00E31467">
        <w:t>ONUG</w:t>
      </w:r>
      <w:proofErr w:type="spellEnd"/>
      <w:r w:rsidRPr="00E31467">
        <w:t xml:space="preserve"> serait en mesure d'accueillir l'une de ses réunions au cours de la période en question et attend une réponse.</w:t>
      </w:r>
    </w:p>
    <w:p w14:paraId="46D399CF" w14:textId="77777777" w:rsidR="00DB68EE" w:rsidRPr="00E31467" w:rsidRDefault="00DB68EE" w:rsidP="009F309D">
      <w:pPr>
        <w:jc w:val="both"/>
      </w:pPr>
      <w:r w:rsidRPr="00E31467">
        <w:t>Le recours annuel à l'infrastructure temporaire pour les conférences "Tempus" de l'</w:t>
      </w:r>
      <w:proofErr w:type="spellStart"/>
      <w:r w:rsidRPr="00E31467">
        <w:t>ONUG</w:t>
      </w:r>
      <w:proofErr w:type="spellEnd"/>
      <w:r w:rsidRPr="00E31467">
        <w:t xml:space="preserve"> n'est pas une option viable, compte tenu de sa capacité limitée et de ses coûts élevés, notamment le coût de la reconfiguration des salles et du démontage de la structure à l'issue de la période de location. Le démontage à lui seul, dont l'</w:t>
      </w:r>
      <w:proofErr w:type="spellStart"/>
      <w:r w:rsidRPr="00E31467">
        <w:t>ONUG</w:t>
      </w:r>
      <w:proofErr w:type="spellEnd"/>
      <w:r w:rsidRPr="00E31467">
        <w:t xml:space="preserve"> a confirmé qu'il incomberait à l'UIT suivant cette approche, est estimé à 0,5 million CHF.</w:t>
      </w:r>
    </w:p>
    <w:p w14:paraId="3EC067AD" w14:textId="77777777" w:rsidR="00DB68EE" w:rsidRPr="00E31467" w:rsidRDefault="00DB68EE" w:rsidP="00DB68EE">
      <w:pPr>
        <w:pStyle w:val="Headingi"/>
      </w:pPr>
      <w:r w:rsidRPr="00E31467">
        <w:t>Autres entités des Nations Unies/internationales, sur une base ponctuelle</w:t>
      </w:r>
    </w:p>
    <w:p w14:paraId="76562AA4" w14:textId="0680805A" w:rsidR="00DB68EE" w:rsidRPr="009F309D" w:rsidRDefault="00DB68EE" w:rsidP="009F309D">
      <w:pPr>
        <w:jc w:val="both"/>
        <w:rPr>
          <w:spacing w:val="-2"/>
        </w:rPr>
      </w:pPr>
      <w:r w:rsidRPr="009F309D">
        <w:rPr>
          <w:spacing w:val="-2"/>
        </w:rPr>
        <w:t>Un nombre limité de salles pourraient être louées en 2028 et 2029 auprès d'autres organisations internationales à Genève, sur une base ponctuelle. L'OMS et l'Organisation internationale du travail (OIT) proposent toutes deux des installations adaptées aux réunions de taille moyenne, avec la possibilité de réserver bien à l'avance, ce qui permet de réserver en temps utile et d'avoir une visibilité à plus long terme. L'UIT tiendra pour la première fois en juin 2028 une réunion d'une commission d'études du Bureau des radiocommunications (BR) à l'OMS. Il convient de noter que l'OMS et l'OIT utilisent toutes deux les installations de l'</w:t>
      </w:r>
      <w:proofErr w:type="spellStart"/>
      <w:r w:rsidRPr="009F309D">
        <w:rPr>
          <w:spacing w:val="-2"/>
        </w:rPr>
        <w:t>ONUG</w:t>
      </w:r>
      <w:proofErr w:type="spellEnd"/>
      <w:r w:rsidRPr="009F309D">
        <w:rPr>
          <w:spacing w:val="-2"/>
        </w:rPr>
        <w:t xml:space="preserve"> pour des réunions de grande envergure, et que l'</w:t>
      </w:r>
      <w:proofErr w:type="spellStart"/>
      <w:r w:rsidRPr="009F309D">
        <w:rPr>
          <w:spacing w:val="-2"/>
        </w:rPr>
        <w:t>ONUG</w:t>
      </w:r>
      <w:proofErr w:type="spellEnd"/>
      <w:r w:rsidRPr="009F309D">
        <w:rPr>
          <w:spacing w:val="-2"/>
        </w:rPr>
        <w:t xml:space="preserve"> mène actuellement son propre programme de rénovation, de sorte que les salles de réunion disponibles sont peu nombreuses et très convoitées, en particulier à certaines périodes de l'année. D'autres organisations internationales n'acceptent les demandes de location de salles de réunion émanant de leurs États Membres que pour des manifestations relevant de leur mandat, ou ne disposent pas de salle de réunion suffisamment spacieuses pour accueillir les réunions de l'UIT.</w:t>
      </w:r>
    </w:p>
    <w:p w14:paraId="62AECAC4" w14:textId="77777777" w:rsidR="00DB68EE" w:rsidRPr="00E31467" w:rsidRDefault="00DB68EE" w:rsidP="009F309D">
      <w:pPr>
        <w:jc w:val="both"/>
      </w:pPr>
      <w:r w:rsidRPr="00E31467">
        <w:t xml:space="preserve">En parallèle, le secrétariat continue de renforcer sa collaboration et l'échange d'informations avec le pays hôte et la communauté des Nations Unies à Genève. Compte tenu du rôle de l'UIT en tant que coordinatrice conjointe du Groupe thématique sur les institutions spécialisées de l'Initiative </w:t>
      </w:r>
      <w:proofErr w:type="spellStart"/>
      <w:r w:rsidRPr="00E31467">
        <w:t>ONU80</w:t>
      </w:r>
      <w:proofErr w:type="spellEnd"/>
      <w:r w:rsidRPr="00E31467">
        <w:t>, aux côtés de l'OIT, la Secrétaire générale de l'Union a appelé à la mise en place d'un cadre coordonné pour les entités des Nations Unies basées à Genève afin de rationaliser l'utilisation des installations. À la suite d'une première réunion avec l'</w:t>
      </w:r>
      <w:proofErr w:type="spellStart"/>
      <w:r w:rsidRPr="00E31467">
        <w:t>ONUG</w:t>
      </w:r>
      <w:proofErr w:type="spellEnd"/>
      <w:r w:rsidRPr="00E31467">
        <w:t xml:space="preserve"> et l'OIT en décembre 2025, l'UIT élabore actuellement une première ébauche de projet assorti des prochaines étapes. L'Union participe également à des groupes de travail organisés par la Mission suisse pour faciliter la coordination des installations de conférence et des bureaux avec la Genève internationale. Il est attendu que ces efforts débouchent à terme sur des possibilités de synergies et sur une meilleure utilisation des ressources à l'échelle des entités des Nations Unies à Genève et au sein du Campus de l'UIT.</w:t>
      </w:r>
    </w:p>
    <w:p w14:paraId="66A59E56" w14:textId="77777777" w:rsidR="00DB68EE" w:rsidRPr="00E31467" w:rsidRDefault="00DB68EE" w:rsidP="00263B29">
      <w:pPr>
        <w:pStyle w:val="Headingi"/>
      </w:pPr>
      <w:r w:rsidRPr="00E31467">
        <w:lastRenderedPageBreak/>
        <w:t>Aperçu indicatif des coûts dans d'autres lieux à Genève, sur une base ponctuelle</w:t>
      </w:r>
    </w:p>
    <w:p w14:paraId="7AB840F9" w14:textId="19BFD75B" w:rsidR="00DB68EE" w:rsidRPr="00E31467" w:rsidRDefault="00DB68EE" w:rsidP="009F309D">
      <w:pPr>
        <w:jc w:val="both"/>
      </w:pPr>
      <w:r w:rsidRPr="00E31467">
        <w:t>Tous les espaces de réunion à Genève sont loués aux tarifs du marché, auxquels s'ajoutent des frais techniques et de service.</w:t>
      </w:r>
    </w:p>
    <w:p w14:paraId="60C39C3E" w14:textId="61D492D0" w:rsidR="00DB68EE" w:rsidRPr="00E31467" w:rsidRDefault="00DB68EE" w:rsidP="009F309D">
      <w:pPr>
        <w:spacing w:after="120"/>
        <w:jc w:val="both"/>
      </w:pPr>
      <w:r w:rsidRPr="00E31467">
        <w:t xml:space="preserve">On trouvera dans le tableau ci-dessous une comparaison indicative des frais de location pour un certain nombre de réunions distinctes organisées dans différents lieux, étant entendu que des frais techniques et de service s'appliqueront </w:t>
      </w:r>
      <w:proofErr w:type="gramStart"/>
      <w:r w:rsidRPr="00E31467">
        <w:t>également:</w:t>
      </w:r>
      <w:proofErr w:type="gramEnd"/>
    </w:p>
    <w:tbl>
      <w:tblPr>
        <w:tblStyle w:val="TableGrid"/>
        <w:tblW w:w="9080" w:type="dxa"/>
        <w:jc w:val="center"/>
        <w:tblLayout w:type="fixed"/>
        <w:tblCellMar>
          <w:left w:w="57" w:type="dxa"/>
          <w:right w:w="57" w:type="dxa"/>
        </w:tblCellMar>
        <w:tblLook w:val="04A0" w:firstRow="1" w:lastRow="0" w:firstColumn="1" w:lastColumn="0" w:noHBand="0" w:noVBand="1"/>
      </w:tblPr>
      <w:tblGrid>
        <w:gridCol w:w="1271"/>
        <w:gridCol w:w="851"/>
        <w:gridCol w:w="1842"/>
        <w:gridCol w:w="1418"/>
        <w:gridCol w:w="1417"/>
        <w:gridCol w:w="1134"/>
        <w:gridCol w:w="1147"/>
      </w:tblGrid>
      <w:tr w:rsidR="00A0207D" w:rsidRPr="00E31467" w14:paraId="2C74718E" w14:textId="77777777" w:rsidTr="00320242">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82EF44E" w14:textId="23290BD5" w:rsidR="00DB68EE" w:rsidRPr="00E31467" w:rsidRDefault="00DB68EE" w:rsidP="00DB68EE">
            <w:pPr>
              <w:pStyle w:val="Tablehead"/>
              <w:rPr>
                <w:rFonts w:ascii="Segoe UI" w:hAnsi="Segoe UI" w:cs="Segoe UI"/>
                <w:sz w:val="18"/>
                <w:szCs w:val="18"/>
              </w:rPr>
            </w:pPr>
            <w:r w:rsidRPr="00E31467">
              <w:rPr>
                <w:sz w:val="18"/>
                <w:szCs w:val="18"/>
              </w:rPr>
              <w:t>Réunion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5F1A3F" w14:textId="77777777" w:rsidR="00DB68EE" w:rsidRPr="00E31467" w:rsidRDefault="00DB68EE" w:rsidP="00DB68EE">
            <w:pPr>
              <w:pStyle w:val="Tablehead"/>
              <w:rPr>
                <w:rFonts w:ascii="Segoe UI" w:hAnsi="Segoe UI" w:cs="Segoe UI"/>
                <w:sz w:val="18"/>
                <w:szCs w:val="18"/>
              </w:rPr>
            </w:pPr>
            <w:r w:rsidRPr="00E31467">
              <w:rPr>
                <w:sz w:val="18"/>
                <w:szCs w:val="18"/>
              </w:rPr>
              <w:t>Nombre de jours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77EA86C" w14:textId="78B7B767" w:rsidR="00DB68EE" w:rsidRPr="00E31467" w:rsidRDefault="00DB68EE" w:rsidP="00DB68EE">
            <w:pPr>
              <w:pStyle w:val="Tablehead"/>
              <w:rPr>
                <w:rFonts w:ascii="Segoe UI" w:hAnsi="Segoe UI" w:cs="Segoe UI"/>
                <w:sz w:val="18"/>
                <w:szCs w:val="18"/>
              </w:rPr>
            </w:pPr>
            <w:r w:rsidRPr="00E31467">
              <w:rPr>
                <w:sz w:val="18"/>
                <w:szCs w:val="18"/>
              </w:rPr>
              <w:t>Salles et leur capacité</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10004B" w14:textId="77777777" w:rsidR="00DB68EE" w:rsidRPr="00E31467" w:rsidRDefault="00DB68EE" w:rsidP="00DB68EE">
            <w:pPr>
              <w:pStyle w:val="Tablehead"/>
              <w:rPr>
                <w:rFonts w:ascii="Segoe UI" w:hAnsi="Segoe UI" w:cs="Segoe UI"/>
                <w:sz w:val="18"/>
                <w:szCs w:val="18"/>
              </w:rPr>
            </w:pPr>
            <w:r w:rsidRPr="00E31467">
              <w:rPr>
                <w:sz w:val="18"/>
                <w:szCs w:val="18"/>
              </w:rPr>
              <w:t>Frais (CHF)</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E7F48B" w14:textId="3B03E022" w:rsidR="00DB68EE" w:rsidRPr="00E31467" w:rsidRDefault="00DB68EE" w:rsidP="00DB68EE">
            <w:pPr>
              <w:pStyle w:val="Tablehead"/>
              <w:rPr>
                <w:rFonts w:ascii="Segoe UI" w:hAnsi="Segoe UI" w:cs="Segoe UI"/>
                <w:sz w:val="18"/>
                <w:szCs w:val="18"/>
              </w:rPr>
            </w:pPr>
            <w:proofErr w:type="spellStart"/>
            <w:r w:rsidRPr="00E31467">
              <w:rPr>
                <w:sz w:val="18"/>
                <w:szCs w:val="18"/>
              </w:rPr>
              <w:t>CICG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69D5449" w14:textId="1EBA399E" w:rsidR="00DB68EE" w:rsidRPr="00E31467" w:rsidRDefault="00DB68EE" w:rsidP="00DB68EE">
            <w:pPr>
              <w:pStyle w:val="Tablehead"/>
              <w:rPr>
                <w:rFonts w:ascii="Segoe UI" w:hAnsi="Segoe UI" w:cs="Segoe UI"/>
                <w:sz w:val="18"/>
                <w:szCs w:val="18"/>
              </w:rPr>
            </w:pPr>
            <w:proofErr w:type="spellStart"/>
            <w:r w:rsidRPr="00E31467">
              <w:rPr>
                <w:sz w:val="18"/>
                <w:szCs w:val="18"/>
              </w:rPr>
              <w:t>ONUG</w:t>
            </w:r>
            <w:proofErr w:type="spellEnd"/>
          </w:p>
        </w:tc>
        <w:tc>
          <w:tcPr>
            <w:tcW w:w="1147" w:type="dxa"/>
            <w:tcBorders>
              <w:top w:val="single" w:sz="4" w:space="0" w:color="auto"/>
              <w:left w:val="single" w:sz="4" w:space="0" w:color="auto"/>
              <w:bottom w:val="single" w:sz="4" w:space="0" w:color="auto"/>
              <w:right w:val="single" w:sz="4" w:space="0" w:color="auto"/>
            </w:tcBorders>
            <w:vAlign w:val="center"/>
            <w:hideMark/>
          </w:tcPr>
          <w:p w14:paraId="4CB73B8D" w14:textId="69411DE4" w:rsidR="00DB68EE" w:rsidRPr="00E31467" w:rsidRDefault="00DB68EE" w:rsidP="00DB68EE">
            <w:pPr>
              <w:pStyle w:val="Tablehead"/>
              <w:rPr>
                <w:rFonts w:ascii="Segoe UI" w:hAnsi="Segoe UI" w:cs="Segoe UI"/>
                <w:sz w:val="18"/>
                <w:szCs w:val="18"/>
              </w:rPr>
            </w:pPr>
            <w:r w:rsidRPr="00E31467">
              <w:rPr>
                <w:sz w:val="18"/>
                <w:szCs w:val="18"/>
              </w:rPr>
              <w:t>Palexpo</w:t>
            </w:r>
          </w:p>
        </w:tc>
      </w:tr>
      <w:tr w:rsidR="00A0207D" w:rsidRPr="00E31467" w14:paraId="709B9C23" w14:textId="77777777" w:rsidTr="00320242">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A352C8E" w14:textId="77777777" w:rsidR="00DB68EE" w:rsidRPr="00E31467" w:rsidRDefault="00DB68EE" w:rsidP="00DB68EE">
            <w:pPr>
              <w:pStyle w:val="Tabletext"/>
              <w:rPr>
                <w:rFonts w:ascii="Segoe UI" w:hAnsi="Segoe UI" w:cs="Segoe UI"/>
                <w:sz w:val="18"/>
                <w:szCs w:val="18"/>
              </w:rPr>
            </w:pPr>
            <w:r w:rsidRPr="00E31467">
              <w:rPr>
                <w:b/>
                <w:sz w:val="18"/>
                <w:szCs w:val="18"/>
              </w:rPr>
              <w:t>Conseil</w:t>
            </w:r>
            <w:r w:rsidRPr="00E31467">
              <w:rPr>
                <w:sz w:val="18"/>
                <w:szCs w:val="18"/>
              </w:rPr>
              <w:t xml:space="preserve">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4FB0081" w14:textId="77777777" w:rsidR="00DB68EE" w:rsidRPr="00E31467" w:rsidRDefault="00DB68EE" w:rsidP="00DB68EE">
            <w:pPr>
              <w:pStyle w:val="Tabletext"/>
              <w:jc w:val="center"/>
              <w:rPr>
                <w:rFonts w:ascii="Segoe UI" w:hAnsi="Segoe UI" w:cs="Segoe UI"/>
                <w:sz w:val="18"/>
                <w:szCs w:val="18"/>
              </w:rPr>
            </w:pPr>
            <w:r w:rsidRPr="00E31467">
              <w:rPr>
                <w:sz w:val="18"/>
                <w:szCs w:val="18"/>
              </w:rPr>
              <w:t>12</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1C4F2231" w14:textId="382FC16E" w:rsidR="00DB68EE" w:rsidRPr="00E31467" w:rsidRDefault="00DB68EE" w:rsidP="00320242">
            <w:pPr>
              <w:pStyle w:val="Tabletext"/>
              <w:ind w:left="-11"/>
              <w:jc w:val="center"/>
              <w:rPr>
                <w:rFonts w:ascii="Segoe UI" w:hAnsi="Segoe UI" w:cs="Segoe UI"/>
                <w:sz w:val="18"/>
                <w:szCs w:val="18"/>
              </w:rPr>
            </w:pPr>
            <w:r w:rsidRPr="00E31467">
              <w:rPr>
                <w:sz w:val="18"/>
                <w:szCs w:val="18"/>
              </w:rPr>
              <w:t>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350, 1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150, 1</w:t>
            </w:r>
            <w:r w:rsidR="00320242" w:rsidRPr="00E31467">
              <w:rPr>
                <w:sz w:val="18"/>
                <w:szCs w:val="18"/>
              </w:rPr>
              <w:t xml:space="preserve"> </w:t>
            </w:r>
            <w:r w:rsidRPr="00E31467">
              <w:rPr>
                <w:sz w:val="18"/>
                <w:szCs w:val="18"/>
              </w:rPr>
              <w:t>×</w:t>
            </w:r>
            <w:r w:rsidR="00320242" w:rsidRPr="00E31467">
              <w:rPr>
                <w:sz w:val="18"/>
                <w:szCs w:val="18"/>
              </w:rPr>
              <w:t> </w:t>
            </w:r>
            <w:r w:rsidRPr="00E31467">
              <w:rPr>
                <w:sz w:val="18"/>
                <w:szCs w:val="18"/>
              </w:rPr>
              <w:t>80, 2</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30, 1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20</w:t>
            </w:r>
          </w:p>
        </w:tc>
        <w:tc>
          <w:tcPr>
            <w:tcW w:w="1418" w:type="dxa"/>
            <w:tcBorders>
              <w:top w:val="single" w:sz="4" w:space="0" w:color="auto"/>
              <w:left w:val="single" w:sz="4" w:space="0" w:color="auto"/>
              <w:bottom w:val="single" w:sz="4" w:space="0" w:color="auto"/>
              <w:right w:val="single" w:sz="4" w:space="0" w:color="auto"/>
            </w:tcBorders>
            <w:hideMark/>
          </w:tcPr>
          <w:p w14:paraId="22DF76A9" w14:textId="50A35C0D" w:rsidR="00DB68EE" w:rsidRPr="00E31467" w:rsidRDefault="00DB68EE" w:rsidP="00DB68EE">
            <w:pPr>
              <w:pStyle w:val="Tabletext"/>
              <w:rPr>
                <w:rFonts w:ascii="Segoe UI" w:hAnsi="Segoe UI" w:cs="Segoe UI"/>
                <w:sz w:val="18"/>
                <w:szCs w:val="18"/>
              </w:rPr>
            </w:pPr>
            <w:r w:rsidRPr="00E31467">
              <w:rPr>
                <w:sz w:val="18"/>
                <w:szCs w:val="18"/>
              </w:rPr>
              <w:t>Location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D80875" w14:textId="51648808" w:rsidR="00DB68EE" w:rsidRPr="00E31467" w:rsidRDefault="00DB68EE" w:rsidP="00DB68EE">
            <w:pPr>
              <w:pStyle w:val="Tabletext"/>
              <w:jc w:val="center"/>
              <w:rPr>
                <w:rFonts w:ascii="Segoe UI" w:hAnsi="Segoe UI" w:cs="Segoe UI"/>
                <w:sz w:val="18"/>
                <w:szCs w:val="18"/>
              </w:rPr>
            </w:pPr>
            <w:r w:rsidRPr="00E31467">
              <w:rPr>
                <w:sz w:val="18"/>
                <w:szCs w:val="18"/>
                <w:lang w:eastAsia="en-GB"/>
              </w:rPr>
              <w:t>27 368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C97342" w14:textId="18C36A55" w:rsidR="00DB68EE" w:rsidRPr="00E31467" w:rsidRDefault="00DB68EE" w:rsidP="00DB68EE">
            <w:pPr>
              <w:pStyle w:val="Tabletext"/>
              <w:jc w:val="center"/>
              <w:rPr>
                <w:rFonts w:ascii="Segoe UI" w:hAnsi="Segoe UI" w:cs="Segoe UI"/>
                <w:sz w:val="18"/>
                <w:szCs w:val="18"/>
              </w:rPr>
            </w:pPr>
            <w:r w:rsidRPr="00E31467">
              <w:rPr>
                <w:sz w:val="18"/>
                <w:szCs w:val="18"/>
                <w:lang w:eastAsia="en-GB"/>
              </w:rPr>
              <w:t>33 792</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6575D1A" w14:textId="1BD3070A" w:rsidR="00DB68EE" w:rsidRPr="00E31467" w:rsidRDefault="00DB68EE" w:rsidP="00DB68EE">
            <w:pPr>
              <w:pStyle w:val="Tabletext"/>
              <w:jc w:val="center"/>
              <w:rPr>
                <w:rFonts w:ascii="Segoe UI" w:hAnsi="Segoe UI" w:cs="Segoe UI"/>
                <w:sz w:val="18"/>
                <w:szCs w:val="18"/>
              </w:rPr>
            </w:pPr>
            <w:r w:rsidRPr="00E31467">
              <w:rPr>
                <w:sz w:val="18"/>
                <w:szCs w:val="18"/>
                <w:lang w:eastAsia="en-GB"/>
              </w:rPr>
              <w:t>95 400</w:t>
            </w:r>
          </w:p>
        </w:tc>
      </w:tr>
      <w:tr w:rsidR="00A0207D" w:rsidRPr="00E31467" w14:paraId="667B92DB"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CC1E7EC" w14:textId="77777777" w:rsidR="00DB68EE" w:rsidRPr="00E31467" w:rsidRDefault="00DB68EE" w:rsidP="00DB68EE">
            <w:pPr>
              <w:pStyle w:val="Tabletext"/>
              <w:rPr>
                <w:rFonts w:ascii="Segoe UI" w:hAnsi="Segoe UI" w:cs="Segoe U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EB104A"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5DCD2A1"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73894BF8" w14:textId="45436F11" w:rsidR="00DB68EE" w:rsidRPr="00E31467" w:rsidRDefault="00DB68EE" w:rsidP="00DB68EE">
            <w:pPr>
              <w:pStyle w:val="Tabletext"/>
              <w:rPr>
                <w:rFonts w:ascii="Segoe UI" w:hAnsi="Segoe UI" w:cs="Segoe UI"/>
                <w:sz w:val="18"/>
                <w:szCs w:val="18"/>
              </w:rPr>
            </w:pPr>
            <w:r w:rsidRPr="00E31467">
              <w:rPr>
                <w:sz w:val="18"/>
                <w:szCs w:val="18"/>
              </w:rPr>
              <w:t>Sécurité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344EFE" w14:textId="09C1BB0A" w:rsidR="00DB68EE" w:rsidRPr="00E31467" w:rsidRDefault="00DB68EE" w:rsidP="00DB68EE">
            <w:pPr>
              <w:pStyle w:val="Tabletext"/>
              <w:jc w:val="center"/>
              <w:rPr>
                <w:rFonts w:ascii="Segoe UI" w:hAnsi="Segoe UI" w:cs="Segoe UI"/>
                <w:sz w:val="18"/>
                <w:szCs w:val="18"/>
              </w:rPr>
            </w:pPr>
            <w:r w:rsidRPr="00E31467">
              <w:rPr>
                <w:sz w:val="18"/>
                <w:szCs w:val="18"/>
                <w:lang w:eastAsia="en-GB"/>
              </w:rPr>
              <w:t>10 220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C767AC" w14:textId="68312F25" w:rsidR="00DB68EE" w:rsidRPr="00E31467" w:rsidRDefault="00DB68EE" w:rsidP="00DB68EE">
            <w:pPr>
              <w:pStyle w:val="Tabletext"/>
              <w:jc w:val="center"/>
              <w:rPr>
                <w:rFonts w:ascii="Segoe UI" w:hAnsi="Segoe UI" w:cs="Segoe UI"/>
                <w:sz w:val="18"/>
                <w:szCs w:val="18"/>
              </w:rPr>
            </w:pPr>
            <w:r w:rsidRPr="00E31467">
              <w:rPr>
                <w:sz w:val="18"/>
                <w:szCs w:val="18"/>
                <w:lang w:eastAsia="en-GB"/>
              </w:rPr>
              <w:t>18 968</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6E125FF" w14:textId="41EA8757" w:rsidR="00DB68EE" w:rsidRPr="00E31467" w:rsidRDefault="00DB68EE" w:rsidP="00DB68EE">
            <w:pPr>
              <w:pStyle w:val="Tabletext"/>
              <w:jc w:val="center"/>
              <w:rPr>
                <w:rFonts w:ascii="Segoe UI" w:hAnsi="Segoe UI" w:cs="Segoe UI"/>
                <w:sz w:val="18"/>
                <w:szCs w:val="18"/>
              </w:rPr>
            </w:pPr>
            <w:r w:rsidRPr="00E31467">
              <w:rPr>
                <w:sz w:val="18"/>
                <w:szCs w:val="18"/>
                <w:lang w:eastAsia="en-GB"/>
              </w:rPr>
              <w:t>14 099</w:t>
            </w:r>
          </w:p>
        </w:tc>
      </w:tr>
      <w:tr w:rsidR="00A0207D" w:rsidRPr="00E31467" w14:paraId="7490633F"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DBDD8FD" w14:textId="77777777" w:rsidR="00DB68EE" w:rsidRPr="00E31467" w:rsidRDefault="00DB68EE" w:rsidP="00DB68EE">
            <w:pPr>
              <w:pStyle w:val="Tabletext"/>
              <w:rPr>
                <w:rFonts w:ascii="Segoe UI" w:hAnsi="Segoe UI" w:cs="Segoe U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3A3E4B"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074C206"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5A4446E8" w14:textId="4708BF3C" w:rsidR="00DB68EE" w:rsidRPr="00E31467" w:rsidRDefault="00DB68EE" w:rsidP="00DB68EE">
            <w:pPr>
              <w:pStyle w:val="Tabletext"/>
              <w:rPr>
                <w:rFonts w:ascii="Segoe UI" w:hAnsi="Segoe UI" w:cs="Segoe UI"/>
                <w:sz w:val="18"/>
                <w:szCs w:val="18"/>
              </w:rPr>
            </w:pPr>
            <w:r w:rsidRPr="00E31467">
              <w:rPr>
                <w:sz w:val="18"/>
                <w:szCs w:val="18"/>
              </w:rPr>
              <w:t>Technique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610D3F" w14:textId="5D56F9D5" w:rsidR="00DB68EE" w:rsidRPr="00E31467" w:rsidRDefault="00DB68EE" w:rsidP="00DB68EE">
            <w:pPr>
              <w:pStyle w:val="Tabletext"/>
              <w:jc w:val="center"/>
              <w:rPr>
                <w:rFonts w:ascii="Segoe UI" w:hAnsi="Segoe UI" w:cs="Segoe UI"/>
                <w:sz w:val="18"/>
                <w:szCs w:val="18"/>
              </w:rPr>
            </w:pPr>
            <w:r w:rsidRPr="00E31467">
              <w:rPr>
                <w:sz w:val="18"/>
                <w:szCs w:val="18"/>
                <w:lang w:eastAsia="en-GB"/>
              </w:rPr>
              <w:t>50 000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45F0FF" w14:textId="6CBB496D" w:rsidR="00DB68EE" w:rsidRPr="00E31467" w:rsidRDefault="00DB68EE" w:rsidP="00DB68EE">
            <w:pPr>
              <w:pStyle w:val="Tabletext"/>
              <w:jc w:val="center"/>
              <w:rPr>
                <w:rFonts w:ascii="Segoe UI" w:hAnsi="Segoe UI" w:cs="Segoe UI"/>
                <w:sz w:val="18"/>
                <w:szCs w:val="18"/>
              </w:rPr>
            </w:pPr>
            <w:r w:rsidRPr="00E31467">
              <w:rPr>
                <w:sz w:val="18"/>
                <w:szCs w:val="18"/>
                <w:lang w:eastAsia="en-GB"/>
              </w:rPr>
              <w:t>44 000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C3B2893" w14:textId="67FCCDC3" w:rsidR="00DB68EE" w:rsidRPr="00E31467" w:rsidRDefault="00DB68EE" w:rsidP="00DB68EE">
            <w:pPr>
              <w:pStyle w:val="Tabletext"/>
              <w:jc w:val="center"/>
              <w:rPr>
                <w:rFonts w:ascii="Segoe UI" w:hAnsi="Segoe UI" w:cs="Segoe UI"/>
                <w:sz w:val="18"/>
                <w:szCs w:val="18"/>
              </w:rPr>
            </w:pPr>
            <w:r w:rsidRPr="00E31467">
              <w:rPr>
                <w:sz w:val="18"/>
                <w:szCs w:val="18"/>
                <w:lang w:eastAsia="en-GB"/>
              </w:rPr>
              <w:t>151 167</w:t>
            </w:r>
          </w:p>
        </w:tc>
      </w:tr>
      <w:tr w:rsidR="00A0207D" w:rsidRPr="00E31467" w14:paraId="07590068" w14:textId="77777777" w:rsidTr="00320242">
        <w:trPr>
          <w:trHeight w:val="53"/>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23C4B8A" w14:textId="77777777" w:rsidR="00DB68EE" w:rsidRPr="00E31467" w:rsidRDefault="00DB68EE" w:rsidP="00DB68EE">
            <w:pPr>
              <w:pStyle w:val="Tabletext"/>
              <w:rPr>
                <w:rFonts w:ascii="Segoe UI" w:hAnsi="Segoe UI" w:cs="Segoe U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2ADD73"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D7E6956"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59BB294" w14:textId="02249637" w:rsidR="00DB68EE" w:rsidRPr="00E31467" w:rsidRDefault="00DB68EE" w:rsidP="00DB68EE">
            <w:pPr>
              <w:pStyle w:val="Tabletext"/>
              <w:jc w:val="right"/>
              <w:rPr>
                <w:rFonts w:ascii="Segoe UI" w:hAnsi="Segoe UI" w:cs="Segoe UI"/>
                <w:b/>
                <w:sz w:val="18"/>
                <w:szCs w:val="18"/>
              </w:rPr>
            </w:pPr>
            <w:proofErr w:type="gramStart"/>
            <w:r w:rsidRPr="00E31467">
              <w:rPr>
                <w:b/>
                <w:sz w:val="18"/>
                <w:szCs w:val="18"/>
              </w:rPr>
              <w:t>Total:</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011EA34C" w14:textId="686E92B8" w:rsidR="00DB68EE" w:rsidRPr="00E31467" w:rsidRDefault="00DB68EE" w:rsidP="00263B29">
            <w:pPr>
              <w:pStyle w:val="Tabletext"/>
              <w:jc w:val="right"/>
              <w:rPr>
                <w:rFonts w:ascii="Segoe UI" w:hAnsi="Segoe UI" w:cs="Segoe UI"/>
                <w:b/>
                <w:bCs/>
                <w:sz w:val="18"/>
                <w:szCs w:val="18"/>
              </w:rPr>
            </w:pPr>
            <w:r w:rsidRPr="00E31467">
              <w:rPr>
                <w:b/>
                <w:bCs/>
                <w:sz w:val="18"/>
                <w:szCs w:val="18"/>
                <w:lang w:eastAsia="en-GB"/>
              </w:rPr>
              <w:t>87 588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6B51AF" w14:textId="74FF97B9" w:rsidR="00DB68EE" w:rsidRPr="00E31467" w:rsidRDefault="00DB68EE" w:rsidP="00263B29">
            <w:pPr>
              <w:pStyle w:val="Tabletext"/>
              <w:jc w:val="right"/>
              <w:rPr>
                <w:rFonts w:ascii="Segoe UI" w:hAnsi="Segoe UI" w:cs="Segoe UI"/>
                <w:b/>
                <w:bCs/>
                <w:sz w:val="18"/>
                <w:szCs w:val="18"/>
              </w:rPr>
            </w:pPr>
            <w:r w:rsidRPr="00E31467">
              <w:rPr>
                <w:b/>
                <w:bCs/>
                <w:sz w:val="18"/>
                <w:szCs w:val="18"/>
                <w:lang w:eastAsia="en-GB"/>
              </w:rPr>
              <w:t>96 760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3296D76" w14:textId="0C6C9038" w:rsidR="00DB68EE" w:rsidRPr="00E31467" w:rsidRDefault="00DB68EE" w:rsidP="00263B29">
            <w:pPr>
              <w:pStyle w:val="Tabletext"/>
              <w:jc w:val="right"/>
              <w:rPr>
                <w:rFonts w:ascii="Segoe UI" w:hAnsi="Segoe UI" w:cs="Segoe UI"/>
                <w:b/>
                <w:bCs/>
                <w:sz w:val="18"/>
                <w:szCs w:val="18"/>
              </w:rPr>
            </w:pPr>
            <w:r w:rsidRPr="00E31467">
              <w:rPr>
                <w:b/>
                <w:bCs/>
                <w:sz w:val="18"/>
                <w:szCs w:val="18"/>
                <w:lang w:eastAsia="en-GB"/>
              </w:rPr>
              <w:t>260 666</w:t>
            </w:r>
          </w:p>
        </w:tc>
      </w:tr>
      <w:tr w:rsidR="00A0207D" w:rsidRPr="00E31467" w14:paraId="03C3127C" w14:textId="77777777" w:rsidTr="00320242">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C7137E8" w14:textId="77777777" w:rsidR="00DB68EE" w:rsidRPr="00E31467" w:rsidRDefault="00DB68EE" w:rsidP="00DB68EE">
            <w:pPr>
              <w:pStyle w:val="Tabletext"/>
              <w:rPr>
                <w:rFonts w:ascii="Segoe UI" w:hAnsi="Segoe UI" w:cs="Segoe UI"/>
                <w:sz w:val="18"/>
                <w:szCs w:val="18"/>
              </w:rPr>
            </w:pPr>
            <w:proofErr w:type="spellStart"/>
            <w:r w:rsidRPr="00E31467">
              <w:rPr>
                <w:b/>
                <w:sz w:val="18"/>
                <w:szCs w:val="18"/>
              </w:rPr>
              <w:t>GTC</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E7AC897" w14:textId="77777777" w:rsidR="00DB68EE" w:rsidRPr="00E31467" w:rsidRDefault="00DB68EE" w:rsidP="00DB68EE">
            <w:pPr>
              <w:pStyle w:val="Tabletext"/>
              <w:jc w:val="center"/>
              <w:rPr>
                <w:rFonts w:ascii="Segoe UI" w:hAnsi="Segoe UI" w:cs="Segoe UI"/>
                <w:sz w:val="18"/>
                <w:szCs w:val="18"/>
              </w:rPr>
            </w:pPr>
            <w:r w:rsidRPr="00E31467">
              <w:rPr>
                <w:sz w:val="18"/>
                <w:szCs w:val="18"/>
              </w:rPr>
              <w:t>12</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676E0A1E" w14:textId="754F02D3" w:rsidR="00DB68EE" w:rsidRPr="00E31467" w:rsidRDefault="00DB68EE" w:rsidP="00DB68EE">
            <w:pPr>
              <w:pStyle w:val="Tabletext"/>
              <w:jc w:val="center"/>
              <w:rPr>
                <w:rFonts w:ascii="Segoe UI" w:hAnsi="Segoe UI" w:cs="Segoe UI"/>
                <w:sz w:val="18"/>
                <w:szCs w:val="18"/>
              </w:rPr>
            </w:pPr>
            <w:r w:rsidRPr="00E31467">
              <w:rPr>
                <w:sz w:val="18"/>
                <w:szCs w:val="18"/>
              </w:rPr>
              <w:t>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150, 1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80</w:t>
            </w:r>
          </w:p>
        </w:tc>
        <w:tc>
          <w:tcPr>
            <w:tcW w:w="1418" w:type="dxa"/>
            <w:tcBorders>
              <w:top w:val="single" w:sz="4" w:space="0" w:color="auto"/>
              <w:left w:val="single" w:sz="4" w:space="0" w:color="auto"/>
              <w:bottom w:val="single" w:sz="4" w:space="0" w:color="auto"/>
              <w:right w:val="single" w:sz="4" w:space="0" w:color="auto"/>
            </w:tcBorders>
            <w:hideMark/>
          </w:tcPr>
          <w:p w14:paraId="038702C2" w14:textId="359D3564" w:rsidR="00DB68EE" w:rsidRPr="00E31467" w:rsidRDefault="00DB68EE" w:rsidP="00DB68EE">
            <w:pPr>
              <w:pStyle w:val="Tabletext"/>
              <w:rPr>
                <w:rFonts w:ascii="Segoe UI" w:hAnsi="Segoe UI" w:cs="Segoe UI"/>
                <w:sz w:val="18"/>
                <w:szCs w:val="18"/>
              </w:rPr>
            </w:pPr>
            <w:r w:rsidRPr="00E31467">
              <w:rPr>
                <w:sz w:val="18"/>
                <w:szCs w:val="18"/>
              </w:rPr>
              <w:t>Location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81887E" w14:textId="3BE55922" w:rsidR="00DB68EE" w:rsidRPr="00E31467" w:rsidRDefault="00DB68EE" w:rsidP="00DB68EE">
            <w:pPr>
              <w:pStyle w:val="Tabletext"/>
              <w:jc w:val="center"/>
              <w:rPr>
                <w:rFonts w:ascii="Segoe UI" w:hAnsi="Segoe UI" w:cs="Segoe UI"/>
                <w:sz w:val="18"/>
                <w:szCs w:val="18"/>
              </w:rPr>
            </w:pPr>
            <w:r w:rsidRPr="00E31467">
              <w:rPr>
                <w:sz w:val="18"/>
                <w:szCs w:val="18"/>
                <w:lang w:eastAsia="en-GB"/>
              </w:rPr>
              <w:t>21 560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5E3692" w14:textId="68994E4E" w:rsidR="00DB68EE" w:rsidRPr="00E31467" w:rsidRDefault="00DB68EE" w:rsidP="00DB68EE">
            <w:pPr>
              <w:pStyle w:val="Tabletext"/>
              <w:jc w:val="center"/>
              <w:rPr>
                <w:rFonts w:ascii="Segoe UI" w:hAnsi="Segoe UI" w:cs="Segoe UI"/>
                <w:sz w:val="18"/>
                <w:szCs w:val="18"/>
              </w:rPr>
            </w:pPr>
            <w:r w:rsidRPr="00E31467">
              <w:rPr>
                <w:sz w:val="18"/>
                <w:szCs w:val="18"/>
                <w:lang w:eastAsia="en-GB"/>
              </w:rPr>
              <w:t>14 784</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2604EFD" w14:textId="5C5E082F" w:rsidR="00DB68EE" w:rsidRPr="00E31467" w:rsidRDefault="00DB68EE" w:rsidP="00DB68EE">
            <w:pPr>
              <w:pStyle w:val="Tabletext"/>
              <w:jc w:val="center"/>
              <w:rPr>
                <w:rFonts w:ascii="Segoe UI" w:hAnsi="Segoe UI" w:cs="Segoe UI"/>
                <w:sz w:val="18"/>
                <w:szCs w:val="18"/>
              </w:rPr>
            </w:pPr>
            <w:r w:rsidRPr="00E31467">
              <w:rPr>
                <w:sz w:val="18"/>
                <w:szCs w:val="18"/>
                <w:lang w:eastAsia="en-GB"/>
              </w:rPr>
              <w:t>56 760</w:t>
            </w:r>
          </w:p>
        </w:tc>
      </w:tr>
      <w:tr w:rsidR="00A0207D" w:rsidRPr="00E31467" w14:paraId="5AA3B2AD"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DA8D8F7" w14:textId="77777777" w:rsidR="00DB68EE" w:rsidRPr="00E31467" w:rsidRDefault="00DB68EE" w:rsidP="00DB68EE">
            <w:pPr>
              <w:pStyle w:val="Tabletext"/>
              <w:rPr>
                <w:rFonts w:ascii="Segoe UI" w:hAnsi="Segoe UI" w:cs="Segoe U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98653C"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E7058AE"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4706F9A8" w14:textId="6B1619F0" w:rsidR="00DB68EE" w:rsidRPr="00E31467" w:rsidRDefault="00DB68EE" w:rsidP="00DB68EE">
            <w:pPr>
              <w:pStyle w:val="Tabletext"/>
              <w:rPr>
                <w:rFonts w:ascii="Segoe UI" w:hAnsi="Segoe UI" w:cs="Segoe UI"/>
                <w:sz w:val="18"/>
                <w:szCs w:val="18"/>
              </w:rPr>
            </w:pPr>
            <w:r w:rsidRPr="00E31467">
              <w:rPr>
                <w:sz w:val="18"/>
                <w:szCs w:val="18"/>
              </w:rPr>
              <w:t>Sécurité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A47D4B" w14:textId="1E6CEAF6" w:rsidR="00DB68EE" w:rsidRPr="00E31467" w:rsidRDefault="00DB68EE" w:rsidP="00DB68EE">
            <w:pPr>
              <w:pStyle w:val="Tabletext"/>
              <w:jc w:val="center"/>
              <w:rPr>
                <w:rFonts w:ascii="Segoe UI" w:hAnsi="Segoe UI" w:cs="Segoe UI"/>
                <w:sz w:val="18"/>
                <w:szCs w:val="18"/>
              </w:rPr>
            </w:pPr>
            <w:r w:rsidRPr="00E31467">
              <w:rPr>
                <w:sz w:val="18"/>
                <w:szCs w:val="18"/>
                <w:lang w:eastAsia="en-GB"/>
              </w:rPr>
              <w:t>10 220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67893A" w14:textId="537EAAD2" w:rsidR="00DB68EE" w:rsidRPr="00E31467" w:rsidRDefault="00DB68EE" w:rsidP="00DB68EE">
            <w:pPr>
              <w:pStyle w:val="Tabletext"/>
              <w:jc w:val="center"/>
              <w:rPr>
                <w:rFonts w:ascii="Segoe UI" w:hAnsi="Segoe UI" w:cs="Segoe UI"/>
                <w:sz w:val="18"/>
                <w:szCs w:val="18"/>
              </w:rPr>
            </w:pPr>
            <w:r w:rsidRPr="00E31467">
              <w:rPr>
                <w:sz w:val="18"/>
                <w:szCs w:val="18"/>
                <w:lang w:eastAsia="en-GB"/>
              </w:rPr>
              <w:t>600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5084DF5" w14:textId="3D6C10C2" w:rsidR="00DB68EE" w:rsidRPr="00E31467" w:rsidRDefault="00DB68EE" w:rsidP="00DB68EE">
            <w:pPr>
              <w:pStyle w:val="Tabletext"/>
              <w:jc w:val="center"/>
              <w:rPr>
                <w:rFonts w:ascii="Segoe UI" w:hAnsi="Segoe UI" w:cs="Segoe UI"/>
                <w:sz w:val="18"/>
                <w:szCs w:val="18"/>
              </w:rPr>
            </w:pPr>
            <w:r w:rsidRPr="00E31467">
              <w:rPr>
                <w:sz w:val="18"/>
                <w:szCs w:val="18"/>
                <w:lang w:eastAsia="en-GB"/>
              </w:rPr>
              <w:t>14 099</w:t>
            </w:r>
          </w:p>
        </w:tc>
      </w:tr>
      <w:tr w:rsidR="00A0207D" w:rsidRPr="00E31467" w14:paraId="4B5656FA"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50A8EA8" w14:textId="77777777" w:rsidR="00DB68EE" w:rsidRPr="00E31467" w:rsidRDefault="00DB68EE" w:rsidP="00DB68EE">
            <w:pPr>
              <w:pStyle w:val="Tabletext"/>
              <w:rPr>
                <w:rFonts w:ascii="Segoe UI" w:hAnsi="Segoe UI" w:cs="Segoe U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0FADE2"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18E6B54"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6FB84024" w14:textId="49EDF982" w:rsidR="00DB68EE" w:rsidRPr="00E31467" w:rsidRDefault="00DB68EE" w:rsidP="00DB68EE">
            <w:pPr>
              <w:pStyle w:val="Tabletext"/>
              <w:rPr>
                <w:rFonts w:ascii="Segoe UI" w:hAnsi="Segoe UI" w:cs="Segoe UI"/>
                <w:sz w:val="18"/>
                <w:szCs w:val="18"/>
              </w:rPr>
            </w:pPr>
            <w:r w:rsidRPr="00E31467">
              <w:rPr>
                <w:sz w:val="18"/>
                <w:szCs w:val="18"/>
              </w:rPr>
              <w:t>Technique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81A1FD" w14:textId="75CBAD7A" w:rsidR="00DB68EE" w:rsidRPr="00E31467" w:rsidRDefault="00DB68EE" w:rsidP="00DB68EE">
            <w:pPr>
              <w:pStyle w:val="Tabletext"/>
              <w:jc w:val="center"/>
              <w:rPr>
                <w:rFonts w:ascii="Segoe UI" w:hAnsi="Segoe UI" w:cs="Segoe UI"/>
                <w:sz w:val="18"/>
                <w:szCs w:val="18"/>
              </w:rPr>
            </w:pPr>
            <w:r w:rsidRPr="00E31467">
              <w:rPr>
                <w:sz w:val="18"/>
                <w:szCs w:val="18"/>
                <w:lang w:eastAsia="en-GB"/>
              </w:rPr>
              <w:t>35 000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01298" w14:textId="21CB1AB5" w:rsidR="00DB68EE" w:rsidRPr="00E31467" w:rsidRDefault="00DB68EE" w:rsidP="00DB68EE">
            <w:pPr>
              <w:pStyle w:val="Tabletext"/>
              <w:jc w:val="center"/>
              <w:rPr>
                <w:rFonts w:ascii="Segoe UI" w:hAnsi="Segoe UI" w:cs="Segoe UI"/>
                <w:sz w:val="18"/>
                <w:szCs w:val="18"/>
              </w:rPr>
            </w:pPr>
            <w:r w:rsidRPr="00E31467">
              <w:rPr>
                <w:sz w:val="18"/>
                <w:szCs w:val="18"/>
                <w:lang w:eastAsia="en-GB"/>
              </w:rPr>
              <w:t>28 800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1462717" w14:textId="07CC4F20" w:rsidR="00DB68EE" w:rsidRPr="00E31467" w:rsidRDefault="00DB68EE" w:rsidP="00DB68EE">
            <w:pPr>
              <w:pStyle w:val="Tabletext"/>
              <w:jc w:val="center"/>
              <w:rPr>
                <w:rFonts w:ascii="Segoe UI" w:hAnsi="Segoe UI" w:cs="Segoe UI"/>
                <w:sz w:val="18"/>
                <w:szCs w:val="18"/>
              </w:rPr>
            </w:pPr>
            <w:r w:rsidRPr="00E31467">
              <w:rPr>
                <w:sz w:val="18"/>
                <w:szCs w:val="18"/>
                <w:lang w:eastAsia="en-GB"/>
              </w:rPr>
              <w:t>93 542</w:t>
            </w:r>
          </w:p>
        </w:tc>
      </w:tr>
      <w:tr w:rsidR="00A0207D" w:rsidRPr="00E31467" w14:paraId="3D3846B8"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A538272" w14:textId="77777777" w:rsidR="00DB68EE" w:rsidRPr="00E31467" w:rsidRDefault="00DB68EE" w:rsidP="00DB68EE">
            <w:pPr>
              <w:pStyle w:val="Tabletext"/>
              <w:rPr>
                <w:rFonts w:ascii="Segoe UI" w:hAnsi="Segoe UI" w:cs="Segoe U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C03027"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803E863"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8F6FBD9" w14:textId="77777777" w:rsidR="00DB68EE" w:rsidRPr="00E31467" w:rsidRDefault="00DB68EE" w:rsidP="00DB68EE">
            <w:pPr>
              <w:pStyle w:val="Tabletext"/>
              <w:jc w:val="right"/>
              <w:rPr>
                <w:rFonts w:ascii="Segoe UI" w:hAnsi="Segoe UI" w:cs="Segoe UI"/>
                <w:b/>
                <w:sz w:val="18"/>
                <w:szCs w:val="18"/>
              </w:rPr>
            </w:pPr>
            <w:proofErr w:type="gramStart"/>
            <w:r w:rsidRPr="00E31467">
              <w:rPr>
                <w:b/>
                <w:sz w:val="18"/>
                <w:szCs w:val="18"/>
              </w:rPr>
              <w:t>Total:</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3628AFFD" w14:textId="610033BD" w:rsidR="00DB68EE" w:rsidRPr="00E31467" w:rsidRDefault="00DB68EE" w:rsidP="00DB68EE">
            <w:pPr>
              <w:pStyle w:val="Tabletext"/>
              <w:jc w:val="right"/>
              <w:rPr>
                <w:rFonts w:ascii="Segoe UI" w:hAnsi="Segoe UI" w:cs="Segoe UI"/>
                <w:b/>
                <w:sz w:val="18"/>
                <w:szCs w:val="18"/>
              </w:rPr>
            </w:pPr>
            <w:r w:rsidRPr="00E31467">
              <w:rPr>
                <w:b/>
                <w:sz w:val="18"/>
                <w:szCs w:val="18"/>
                <w:lang w:eastAsia="en-GB"/>
              </w:rPr>
              <w:t>66 780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45600" w14:textId="5858B10F" w:rsidR="00DB68EE" w:rsidRPr="00E31467" w:rsidRDefault="00DB68EE" w:rsidP="00DB68EE">
            <w:pPr>
              <w:pStyle w:val="Tabletext"/>
              <w:jc w:val="right"/>
              <w:rPr>
                <w:rFonts w:ascii="Segoe UI" w:hAnsi="Segoe UI" w:cs="Segoe UI"/>
                <w:b/>
                <w:sz w:val="18"/>
                <w:szCs w:val="18"/>
              </w:rPr>
            </w:pPr>
            <w:r w:rsidRPr="00E31467">
              <w:rPr>
                <w:b/>
                <w:sz w:val="18"/>
                <w:szCs w:val="18"/>
                <w:lang w:eastAsia="en-GB"/>
              </w:rPr>
              <w:t>44 184</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59416B8" w14:textId="252D1534" w:rsidR="00DB68EE" w:rsidRPr="00E31467" w:rsidRDefault="00DB68EE" w:rsidP="00DB68EE">
            <w:pPr>
              <w:pStyle w:val="Tabletext"/>
              <w:jc w:val="right"/>
              <w:rPr>
                <w:rFonts w:ascii="Segoe UI" w:hAnsi="Segoe UI" w:cs="Segoe UI"/>
                <w:b/>
                <w:sz w:val="18"/>
                <w:szCs w:val="18"/>
              </w:rPr>
            </w:pPr>
            <w:r w:rsidRPr="00E31467">
              <w:rPr>
                <w:b/>
                <w:sz w:val="18"/>
                <w:szCs w:val="18"/>
                <w:lang w:eastAsia="en-GB"/>
              </w:rPr>
              <w:t>164 401</w:t>
            </w:r>
          </w:p>
        </w:tc>
      </w:tr>
      <w:tr w:rsidR="00A0207D" w:rsidRPr="00E31467" w14:paraId="7EBE794E" w14:textId="77777777" w:rsidTr="00320242">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2FDCB53" w14:textId="50E829CA" w:rsidR="00DB68EE" w:rsidRPr="00E31467" w:rsidRDefault="00DB68EE" w:rsidP="00DB68EE">
            <w:pPr>
              <w:pStyle w:val="Tabletext"/>
              <w:rPr>
                <w:rFonts w:ascii="Segoe UI" w:hAnsi="Segoe UI" w:cs="Segoe UI"/>
                <w:b/>
                <w:sz w:val="18"/>
                <w:szCs w:val="18"/>
              </w:rPr>
            </w:pPr>
            <w:proofErr w:type="spellStart"/>
            <w:r w:rsidRPr="00E31467">
              <w:rPr>
                <w:b/>
                <w:sz w:val="18"/>
                <w:szCs w:val="18"/>
              </w:rPr>
              <w:t>GCNT</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D6DF7C2" w14:textId="77777777" w:rsidR="00DB68EE" w:rsidRPr="00E31467" w:rsidRDefault="00DB68EE" w:rsidP="00DB68EE">
            <w:pPr>
              <w:pStyle w:val="Tabletext"/>
              <w:jc w:val="center"/>
              <w:rPr>
                <w:rFonts w:ascii="Segoe UI" w:hAnsi="Segoe UI" w:cs="Segoe UI"/>
                <w:sz w:val="18"/>
                <w:szCs w:val="18"/>
              </w:rPr>
            </w:pPr>
            <w:r w:rsidRPr="00E31467">
              <w:rPr>
                <w:sz w:val="18"/>
                <w:szCs w:val="18"/>
              </w:rPr>
              <w:t>5</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0EC6A7B2" w14:textId="3F84D6C6" w:rsidR="00DB68EE" w:rsidRPr="00E31467" w:rsidRDefault="00DB68EE" w:rsidP="00DB68EE">
            <w:pPr>
              <w:pStyle w:val="Tabletext"/>
              <w:jc w:val="center"/>
              <w:rPr>
                <w:rFonts w:ascii="Segoe UI" w:hAnsi="Segoe UI" w:cs="Segoe UI"/>
                <w:sz w:val="18"/>
                <w:szCs w:val="18"/>
              </w:rPr>
            </w:pPr>
            <w:r w:rsidRPr="00E31467">
              <w:rPr>
                <w:sz w:val="18"/>
                <w:szCs w:val="18"/>
              </w:rPr>
              <w:t>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200, 1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50, 1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30, 1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20</w:t>
            </w:r>
          </w:p>
        </w:tc>
        <w:tc>
          <w:tcPr>
            <w:tcW w:w="1418" w:type="dxa"/>
            <w:tcBorders>
              <w:top w:val="single" w:sz="4" w:space="0" w:color="auto"/>
              <w:left w:val="single" w:sz="4" w:space="0" w:color="auto"/>
              <w:bottom w:val="single" w:sz="4" w:space="0" w:color="auto"/>
              <w:right w:val="single" w:sz="4" w:space="0" w:color="auto"/>
            </w:tcBorders>
            <w:hideMark/>
          </w:tcPr>
          <w:p w14:paraId="761BFF73" w14:textId="4989CAAA" w:rsidR="00DB68EE" w:rsidRPr="00E31467" w:rsidRDefault="00DB68EE" w:rsidP="00DB68EE">
            <w:pPr>
              <w:pStyle w:val="Tabletext"/>
              <w:rPr>
                <w:rFonts w:ascii="Segoe UI" w:hAnsi="Segoe UI" w:cs="Segoe UI"/>
                <w:sz w:val="18"/>
                <w:szCs w:val="18"/>
              </w:rPr>
            </w:pPr>
            <w:r w:rsidRPr="00E31467">
              <w:rPr>
                <w:sz w:val="18"/>
                <w:szCs w:val="18"/>
              </w:rPr>
              <w:t>Location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23C9ED" w14:textId="44042909" w:rsidR="00DB68EE" w:rsidRPr="00E31467" w:rsidRDefault="00DB68EE" w:rsidP="00DB68EE">
            <w:pPr>
              <w:pStyle w:val="Tabletext"/>
              <w:jc w:val="center"/>
              <w:rPr>
                <w:rFonts w:ascii="Segoe UI" w:hAnsi="Segoe UI" w:cs="Segoe UI"/>
                <w:sz w:val="18"/>
                <w:szCs w:val="18"/>
              </w:rPr>
            </w:pPr>
            <w:r w:rsidRPr="00E31467">
              <w:rPr>
                <w:sz w:val="18"/>
                <w:szCs w:val="18"/>
                <w:lang w:eastAsia="en-GB"/>
              </w:rPr>
              <w:t>14 050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065959" w14:textId="6EA710C3" w:rsidR="00DB68EE" w:rsidRPr="00E31467" w:rsidRDefault="00DB68EE" w:rsidP="00DB68EE">
            <w:pPr>
              <w:pStyle w:val="Tabletext"/>
              <w:jc w:val="center"/>
              <w:rPr>
                <w:rFonts w:ascii="Segoe UI" w:hAnsi="Segoe UI" w:cs="Segoe UI"/>
                <w:sz w:val="18"/>
                <w:szCs w:val="18"/>
              </w:rPr>
            </w:pPr>
            <w:r w:rsidRPr="00E31467">
              <w:rPr>
                <w:sz w:val="18"/>
                <w:szCs w:val="18"/>
                <w:lang w:eastAsia="en-GB"/>
              </w:rPr>
              <w:t>7 920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99E7369" w14:textId="1A3B0885" w:rsidR="00DB68EE" w:rsidRPr="00E31467" w:rsidRDefault="00DB68EE" w:rsidP="00DB68EE">
            <w:pPr>
              <w:pStyle w:val="Tabletext"/>
              <w:jc w:val="center"/>
              <w:rPr>
                <w:rFonts w:ascii="Segoe UI" w:hAnsi="Segoe UI" w:cs="Segoe UI"/>
                <w:sz w:val="18"/>
                <w:szCs w:val="18"/>
              </w:rPr>
            </w:pPr>
            <w:r w:rsidRPr="00E31467">
              <w:rPr>
                <w:sz w:val="18"/>
                <w:szCs w:val="18"/>
                <w:lang w:eastAsia="en-GB"/>
              </w:rPr>
              <w:t>26 400</w:t>
            </w:r>
          </w:p>
        </w:tc>
      </w:tr>
      <w:tr w:rsidR="00A0207D" w:rsidRPr="00E31467" w14:paraId="5B657165"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C409055"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EDF568"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AEC593E"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38287DC9" w14:textId="4630BED0" w:rsidR="00DB68EE" w:rsidRPr="00E31467" w:rsidRDefault="00DB68EE" w:rsidP="00DB68EE">
            <w:pPr>
              <w:pStyle w:val="Tabletext"/>
              <w:rPr>
                <w:rFonts w:ascii="Segoe UI" w:hAnsi="Segoe UI" w:cs="Segoe UI"/>
                <w:sz w:val="18"/>
                <w:szCs w:val="18"/>
              </w:rPr>
            </w:pPr>
            <w:r w:rsidRPr="00E31467">
              <w:rPr>
                <w:sz w:val="18"/>
                <w:szCs w:val="18"/>
              </w:rPr>
              <w:t>Sécurité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6E4ED5" w14:textId="65C29D92" w:rsidR="00DB68EE" w:rsidRPr="00E31467" w:rsidRDefault="00DB68EE" w:rsidP="00DB68EE">
            <w:pPr>
              <w:pStyle w:val="Tabletext"/>
              <w:jc w:val="center"/>
              <w:rPr>
                <w:rFonts w:ascii="Segoe UI" w:hAnsi="Segoe UI" w:cs="Segoe UI"/>
                <w:sz w:val="18"/>
                <w:szCs w:val="18"/>
              </w:rPr>
            </w:pPr>
            <w:r w:rsidRPr="00E31467">
              <w:rPr>
                <w:sz w:val="18"/>
                <w:szCs w:val="18"/>
                <w:lang w:eastAsia="en-GB"/>
              </w:rPr>
              <w:t>7 200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D2E772" w14:textId="7623E046" w:rsidR="00DB68EE" w:rsidRPr="00E31467" w:rsidRDefault="00DB68EE" w:rsidP="00DB68EE">
            <w:pPr>
              <w:pStyle w:val="Tabletext"/>
              <w:jc w:val="center"/>
              <w:rPr>
                <w:rFonts w:ascii="Segoe UI" w:hAnsi="Segoe UI" w:cs="Segoe UI"/>
                <w:sz w:val="18"/>
                <w:szCs w:val="18"/>
              </w:rPr>
            </w:pPr>
            <w:r w:rsidRPr="00E31467">
              <w:rPr>
                <w:sz w:val="18"/>
                <w:szCs w:val="18"/>
                <w:lang w:eastAsia="en-GB"/>
              </w:rPr>
              <w:t>800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405BE61" w14:textId="595FCF65" w:rsidR="00DB68EE" w:rsidRPr="00E31467" w:rsidRDefault="00DB68EE" w:rsidP="00DB68EE">
            <w:pPr>
              <w:pStyle w:val="Tabletext"/>
              <w:jc w:val="center"/>
              <w:rPr>
                <w:rFonts w:ascii="Segoe UI" w:hAnsi="Segoe UI" w:cs="Segoe UI"/>
                <w:sz w:val="18"/>
                <w:szCs w:val="18"/>
              </w:rPr>
            </w:pPr>
            <w:r w:rsidRPr="00E31467">
              <w:rPr>
                <w:sz w:val="18"/>
                <w:szCs w:val="18"/>
                <w:lang w:eastAsia="en-GB"/>
              </w:rPr>
              <w:t>7 242</w:t>
            </w:r>
          </w:p>
        </w:tc>
      </w:tr>
      <w:tr w:rsidR="00A0207D" w:rsidRPr="00E31467" w14:paraId="6BFCC773"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DBC0795"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7BBB72"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2D2AF7F"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77A385FB" w14:textId="57151059" w:rsidR="00DB68EE" w:rsidRPr="00E31467" w:rsidRDefault="00DB68EE" w:rsidP="00DB68EE">
            <w:pPr>
              <w:pStyle w:val="Tabletext"/>
              <w:rPr>
                <w:rFonts w:ascii="Segoe UI" w:hAnsi="Segoe UI" w:cs="Segoe UI"/>
                <w:sz w:val="18"/>
                <w:szCs w:val="18"/>
              </w:rPr>
            </w:pPr>
            <w:r w:rsidRPr="00E31467">
              <w:rPr>
                <w:sz w:val="18"/>
                <w:szCs w:val="18"/>
              </w:rPr>
              <w:t>Technique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57EF22" w14:textId="4BA43A2B" w:rsidR="00DB68EE" w:rsidRPr="00E31467" w:rsidRDefault="00DB68EE" w:rsidP="00DB68EE">
            <w:pPr>
              <w:pStyle w:val="Tabletext"/>
              <w:jc w:val="center"/>
              <w:rPr>
                <w:rFonts w:ascii="Segoe UI" w:hAnsi="Segoe UI" w:cs="Segoe UI"/>
                <w:sz w:val="18"/>
                <w:szCs w:val="18"/>
              </w:rPr>
            </w:pPr>
            <w:r w:rsidRPr="00E31467">
              <w:rPr>
                <w:sz w:val="18"/>
                <w:szCs w:val="18"/>
                <w:lang w:eastAsia="en-GB"/>
              </w:rPr>
              <w:t>18 000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7DDC6B" w14:textId="765873B6" w:rsidR="00DB68EE" w:rsidRPr="00E31467" w:rsidRDefault="00DB68EE" w:rsidP="00DB68EE">
            <w:pPr>
              <w:pStyle w:val="Tabletext"/>
              <w:jc w:val="center"/>
              <w:rPr>
                <w:rFonts w:ascii="Segoe UI" w:hAnsi="Segoe UI" w:cs="Segoe UI"/>
                <w:sz w:val="18"/>
                <w:szCs w:val="18"/>
              </w:rPr>
            </w:pPr>
            <w:r w:rsidRPr="00E31467">
              <w:rPr>
                <w:sz w:val="18"/>
                <w:szCs w:val="18"/>
                <w:lang w:eastAsia="en-GB"/>
              </w:rPr>
              <w:t>15 200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E7DD261" w14:textId="3A5C0321" w:rsidR="00DB68EE" w:rsidRPr="00E31467" w:rsidRDefault="00DB68EE" w:rsidP="00DB68EE">
            <w:pPr>
              <w:pStyle w:val="Tabletext"/>
              <w:jc w:val="center"/>
              <w:rPr>
                <w:rFonts w:ascii="Segoe UI" w:hAnsi="Segoe UI" w:cs="Segoe UI"/>
                <w:sz w:val="18"/>
                <w:szCs w:val="18"/>
              </w:rPr>
            </w:pPr>
            <w:r w:rsidRPr="00E31467">
              <w:rPr>
                <w:sz w:val="18"/>
                <w:szCs w:val="18"/>
                <w:lang w:eastAsia="en-GB"/>
              </w:rPr>
              <w:t>54 228</w:t>
            </w:r>
          </w:p>
        </w:tc>
      </w:tr>
      <w:tr w:rsidR="00A0207D" w:rsidRPr="00E31467" w14:paraId="67D0E410"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B7C7C7D"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C0AF09"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807CE20"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E7B8402" w14:textId="77777777" w:rsidR="00DB68EE" w:rsidRPr="00E31467" w:rsidRDefault="00DB68EE" w:rsidP="00DB68EE">
            <w:pPr>
              <w:pStyle w:val="Tabletext"/>
              <w:jc w:val="right"/>
              <w:rPr>
                <w:rFonts w:ascii="Segoe UI" w:hAnsi="Segoe UI" w:cs="Segoe UI"/>
                <w:b/>
                <w:sz w:val="18"/>
                <w:szCs w:val="18"/>
              </w:rPr>
            </w:pPr>
            <w:proofErr w:type="gramStart"/>
            <w:r w:rsidRPr="00E31467">
              <w:rPr>
                <w:b/>
                <w:sz w:val="18"/>
                <w:szCs w:val="18"/>
              </w:rPr>
              <w:t>Total:</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33840729" w14:textId="3834C111" w:rsidR="00DB68EE" w:rsidRPr="00E31467" w:rsidRDefault="00DB68EE" w:rsidP="00DB68EE">
            <w:pPr>
              <w:pStyle w:val="Tabletext"/>
              <w:jc w:val="right"/>
              <w:rPr>
                <w:rFonts w:ascii="Segoe UI" w:hAnsi="Segoe UI" w:cs="Segoe UI"/>
                <w:b/>
                <w:sz w:val="18"/>
                <w:szCs w:val="18"/>
              </w:rPr>
            </w:pPr>
            <w:r w:rsidRPr="00E31467">
              <w:rPr>
                <w:b/>
                <w:sz w:val="18"/>
                <w:szCs w:val="18"/>
                <w:lang w:eastAsia="en-GB"/>
              </w:rPr>
              <w:t>38 450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137FD7" w14:textId="5AE5B2A1" w:rsidR="00DB68EE" w:rsidRPr="00E31467" w:rsidRDefault="00DB68EE" w:rsidP="00DB68EE">
            <w:pPr>
              <w:pStyle w:val="Tabletext"/>
              <w:jc w:val="right"/>
              <w:rPr>
                <w:rFonts w:ascii="Segoe UI" w:hAnsi="Segoe UI" w:cs="Segoe UI"/>
                <w:b/>
                <w:sz w:val="18"/>
                <w:szCs w:val="18"/>
              </w:rPr>
            </w:pPr>
            <w:r w:rsidRPr="00E31467">
              <w:rPr>
                <w:b/>
                <w:sz w:val="18"/>
                <w:szCs w:val="18"/>
                <w:lang w:eastAsia="en-GB"/>
              </w:rPr>
              <w:t>23 920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61C540A" w14:textId="77777777" w:rsidR="00DB68EE" w:rsidRPr="00E31467" w:rsidRDefault="00DB68EE" w:rsidP="00DB68EE">
            <w:pPr>
              <w:pStyle w:val="Tabletext"/>
              <w:jc w:val="right"/>
              <w:rPr>
                <w:rFonts w:ascii="Segoe UI" w:hAnsi="Segoe UI" w:cs="Segoe UI"/>
                <w:b/>
                <w:sz w:val="18"/>
                <w:szCs w:val="18"/>
              </w:rPr>
            </w:pPr>
            <w:r w:rsidRPr="00E31467">
              <w:rPr>
                <w:b/>
                <w:sz w:val="18"/>
                <w:szCs w:val="18"/>
                <w:lang w:eastAsia="en-GB"/>
              </w:rPr>
              <w:t>87 870</w:t>
            </w:r>
          </w:p>
        </w:tc>
      </w:tr>
      <w:tr w:rsidR="00A0207D" w:rsidRPr="00E31467" w14:paraId="55D102FA" w14:textId="77777777" w:rsidTr="00320242">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3CA313F" w14:textId="77777777" w:rsidR="00DB68EE" w:rsidRPr="00E31467" w:rsidRDefault="00DB68EE" w:rsidP="00DB68EE">
            <w:pPr>
              <w:pStyle w:val="Tabletext"/>
              <w:rPr>
                <w:rFonts w:ascii="Segoe UI" w:hAnsi="Segoe UI" w:cs="Segoe UI"/>
                <w:b/>
                <w:sz w:val="18"/>
                <w:szCs w:val="18"/>
              </w:rPr>
            </w:pPr>
            <w:r w:rsidRPr="00E31467">
              <w:rPr>
                <w:b/>
                <w:sz w:val="18"/>
                <w:szCs w:val="18"/>
              </w:rPr>
              <w:t xml:space="preserve">GT </w:t>
            </w:r>
            <w:proofErr w:type="spellStart"/>
            <w:r w:rsidRPr="00E31467">
              <w:rPr>
                <w:b/>
                <w:sz w:val="18"/>
                <w:szCs w:val="18"/>
              </w:rPr>
              <w:t>5A</w:t>
            </w:r>
            <w:proofErr w:type="spellEnd"/>
            <w:r w:rsidRPr="00E31467">
              <w:rPr>
                <w:b/>
                <w:sz w:val="18"/>
                <w:szCs w:val="18"/>
              </w:rPr>
              <w:t xml:space="preserve">, </w:t>
            </w:r>
            <w:proofErr w:type="spellStart"/>
            <w:r w:rsidRPr="00E31467">
              <w:rPr>
                <w:b/>
                <w:sz w:val="18"/>
                <w:szCs w:val="18"/>
              </w:rPr>
              <w:t>5B</w:t>
            </w:r>
            <w:proofErr w:type="spellEnd"/>
            <w:r w:rsidRPr="00E31467">
              <w:rPr>
                <w:b/>
                <w:sz w:val="18"/>
                <w:szCs w:val="18"/>
              </w:rPr>
              <w:t xml:space="preserve">, </w:t>
            </w:r>
            <w:proofErr w:type="spellStart"/>
            <w:r w:rsidRPr="00E31467">
              <w:rPr>
                <w:b/>
                <w:sz w:val="18"/>
                <w:szCs w:val="18"/>
              </w:rPr>
              <w:t>5C</w:t>
            </w:r>
            <w:proofErr w:type="spellEnd"/>
            <w:r w:rsidRPr="00E31467">
              <w:rPr>
                <w:b/>
                <w:sz w:val="18"/>
                <w:szCs w:val="18"/>
              </w:rPr>
              <w:t xml:space="preserve"> du BR</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D02C42" w14:textId="77777777" w:rsidR="00DB68EE" w:rsidRPr="00E31467" w:rsidRDefault="00DB68EE" w:rsidP="00DB68EE">
            <w:pPr>
              <w:pStyle w:val="Tabletext"/>
              <w:jc w:val="center"/>
              <w:rPr>
                <w:rFonts w:ascii="Segoe UI" w:hAnsi="Segoe UI" w:cs="Segoe UI"/>
                <w:sz w:val="18"/>
                <w:szCs w:val="18"/>
              </w:rPr>
            </w:pPr>
            <w:r w:rsidRPr="00E31467">
              <w:rPr>
                <w:sz w:val="18"/>
                <w:szCs w:val="18"/>
              </w:rPr>
              <w:t>12</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633EA8CE" w14:textId="129BF67A" w:rsidR="00DB68EE" w:rsidRPr="00E31467" w:rsidRDefault="00DB68EE" w:rsidP="00320242">
            <w:pPr>
              <w:pStyle w:val="Tabletext"/>
              <w:ind w:left="-25"/>
              <w:jc w:val="center"/>
              <w:rPr>
                <w:rFonts w:ascii="Segoe UI" w:hAnsi="Segoe UI" w:cs="Segoe UI"/>
                <w:sz w:val="18"/>
                <w:szCs w:val="18"/>
              </w:rPr>
            </w:pPr>
            <w:r w:rsidRPr="00E31467">
              <w:rPr>
                <w:sz w:val="18"/>
                <w:szCs w:val="18"/>
              </w:rPr>
              <w:t>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200, 1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120, 1</w:t>
            </w:r>
            <w:r w:rsidR="00320242" w:rsidRPr="00E31467">
              <w:rPr>
                <w:sz w:val="18"/>
                <w:szCs w:val="18"/>
              </w:rPr>
              <w:t xml:space="preserve"> </w:t>
            </w:r>
            <w:r w:rsidRPr="00E31467">
              <w:rPr>
                <w:sz w:val="18"/>
                <w:szCs w:val="18"/>
              </w:rPr>
              <w:t>×</w:t>
            </w:r>
            <w:r w:rsidR="00320242" w:rsidRPr="00E31467">
              <w:rPr>
                <w:sz w:val="18"/>
                <w:szCs w:val="18"/>
              </w:rPr>
              <w:t> </w:t>
            </w:r>
            <w:r w:rsidRPr="00E31467">
              <w:rPr>
                <w:sz w:val="18"/>
                <w:szCs w:val="18"/>
              </w:rPr>
              <w:t>80, 1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50, 1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30</w:t>
            </w:r>
          </w:p>
        </w:tc>
        <w:tc>
          <w:tcPr>
            <w:tcW w:w="1418" w:type="dxa"/>
            <w:tcBorders>
              <w:top w:val="single" w:sz="4" w:space="0" w:color="auto"/>
              <w:left w:val="single" w:sz="4" w:space="0" w:color="auto"/>
              <w:bottom w:val="single" w:sz="4" w:space="0" w:color="auto"/>
              <w:right w:val="single" w:sz="4" w:space="0" w:color="auto"/>
            </w:tcBorders>
            <w:hideMark/>
          </w:tcPr>
          <w:p w14:paraId="75DED5F4" w14:textId="5E20F78E" w:rsidR="00DB68EE" w:rsidRPr="00E31467" w:rsidRDefault="00DB68EE" w:rsidP="00DB68EE">
            <w:pPr>
              <w:pStyle w:val="Tabletext"/>
              <w:rPr>
                <w:rFonts w:ascii="Segoe UI" w:hAnsi="Segoe UI" w:cs="Segoe UI"/>
                <w:sz w:val="18"/>
                <w:szCs w:val="18"/>
              </w:rPr>
            </w:pPr>
            <w:r w:rsidRPr="00E31467">
              <w:rPr>
                <w:sz w:val="18"/>
                <w:szCs w:val="18"/>
              </w:rPr>
              <w:t>Location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C2D9CC" w14:textId="76F0E61F" w:rsidR="00DB68EE" w:rsidRPr="00E31467" w:rsidRDefault="00DB68EE" w:rsidP="00DB68EE">
            <w:pPr>
              <w:pStyle w:val="Tabletext"/>
              <w:jc w:val="center"/>
              <w:rPr>
                <w:rFonts w:ascii="Segoe UI" w:hAnsi="Segoe UI" w:cs="Segoe UI"/>
                <w:sz w:val="18"/>
                <w:szCs w:val="18"/>
              </w:rPr>
            </w:pPr>
            <w:r w:rsidRPr="00E31467">
              <w:rPr>
                <w:sz w:val="18"/>
                <w:szCs w:val="18"/>
                <w:lang w:eastAsia="en-GB"/>
              </w:rPr>
              <w:t>27 128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2A06CE" w14:textId="12B92B00" w:rsidR="00DB68EE" w:rsidRPr="00E31467" w:rsidRDefault="00DB68EE" w:rsidP="00DB68EE">
            <w:pPr>
              <w:pStyle w:val="Tabletext"/>
              <w:jc w:val="center"/>
              <w:rPr>
                <w:rFonts w:ascii="Segoe UI" w:hAnsi="Segoe UI" w:cs="Segoe UI"/>
                <w:sz w:val="18"/>
                <w:szCs w:val="18"/>
              </w:rPr>
            </w:pPr>
            <w:r w:rsidRPr="00E31467">
              <w:rPr>
                <w:sz w:val="18"/>
                <w:szCs w:val="18"/>
                <w:lang w:eastAsia="en-GB"/>
              </w:rPr>
              <w:t>31 488</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D53E04F" w14:textId="64B35CAA" w:rsidR="00DB68EE" w:rsidRPr="00E31467" w:rsidRDefault="00DB68EE" w:rsidP="00DB68EE">
            <w:pPr>
              <w:pStyle w:val="Tabletext"/>
              <w:jc w:val="center"/>
              <w:rPr>
                <w:rFonts w:ascii="Segoe UI" w:hAnsi="Segoe UI" w:cs="Segoe UI"/>
                <w:sz w:val="18"/>
                <w:szCs w:val="18"/>
              </w:rPr>
            </w:pPr>
            <w:r w:rsidRPr="00E31467">
              <w:rPr>
                <w:sz w:val="18"/>
                <w:szCs w:val="18"/>
                <w:lang w:eastAsia="en-GB"/>
              </w:rPr>
              <w:t>90 720</w:t>
            </w:r>
          </w:p>
        </w:tc>
      </w:tr>
      <w:tr w:rsidR="00A0207D" w:rsidRPr="00E31467" w14:paraId="08C621E3"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E6C0736"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D8D04"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CF7A999"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64320F92" w14:textId="31C5D888" w:rsidR="00DB68EE" w:rsidRPr="00E31467" w:rsidRDefault="00DB68EE" w:rsidP="00DB68EE">
            <w:pPr>
              <w:pStyle w:val="Tabletext"/>
              <w:rPr>
                <w:rFonts w:ascii="Segoe UI" w:hAnsi="Segoe UI" w:cs="Segoe UI"/>
                <w:sz w:val="18"/>
                <w:szCs w:val="18"/>
              </w:rPr>
            </w:pPr>
            <w:r w:rsidRPr="00E31467">
              <w:rPr>
                <w:sz w:val="18"/>
                <w:szCs w:val="18"/>
              </w:rPr>
              <w:t>Sécurité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8C4EB2" w14:textId="4FF6D267" w:rsidR="00DB68EE" w:rsidRPr="00E31467" w:rsidRDefault="00DB68EE" w:rsidP="00DB68EE">
            <w:pPr>
              <w:pStyle w:val="Tabletext"/>
              <w:jc w:val="center"/>
              <w:rPr>
                <w:rFonts w:ascii="Segoe UI" w:hAnsi="Segoe UI" w:cs="Segoe UI"/>
                <w:sz w:val="18"/>
                <w:szCs w:val="18"/>
              </w:rPr>
            </w:pPr>
            <w:r w:rsidRPr="00E31467">
              <w:rPr>
                <w:sz w:val="18"/>
                <w:szCs w:val="18"/>
                <w:lang w:eastAsia="en-GB"/>
              </w:rPr>
              <w:t>10 220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B3E9C3" w14:textId="4AF2A1CB" w:rsidR="00DB68EE" w:rsidRPr="00E31467" w:rsidRDefault="00DB68EE" w:rsidP="00DB68EE">
            <w:pPr>
              <w:pStyle w:val="Tabletext"/>
              <w:jc w:val="center"/>
              <w:rPr>
                <w:rFonts w:ascii="Segoe UI" w:hAnsi="Segoe UI" w:cs="Segoe UI"/>
                <w:sz w:val="18"/>
                <w:szCs w:val="18"/>
              </w:rPr>
            </w:pPr>
            <w:r w:rsidRPr="00E31467">
              <w:rPr>
                <w:sz w:val="18"/>
                <w:szCs w:val="18"/>
                <w:lang w:eastAsia="en-GB"/>
              </w:rPr>
              <w:t>1 280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51BDBA5" w14:textId="5935C38F" w:rsidR="00DB68EE" w:rsidRPr="00E31467" w:rsidRDefault="00DB68EE" w:rsidP="00DB68EE">
            <w:pPr>
              <w:pStyle w:val="Tabletext"/>
              <w:jc w:val="center"/>
              <w:rPr>
                <w:rFonts w:ascii="Segoe UI" w:hAnsi="Segoe UI" w:cs="Segoe UI"/>
                <w:sz w:val="18"/>
                <w:szCs w:val="18"/>
              </w:rPr>
            </w:pPr>
            <w:r w:rsidRPr="00E31467">
              <w:rPr>
                <w:sz w:val="18"/>
                <w:szCs w:val="18"/>
                <w:lang w:eastAsia="en-GB"/>
              </w:rPr>
              <w:t>14 099</w:t>
            </w:r>
          </w:p>
        </w:tc>
      </w:tr>
      <w:tr w:rsidR="00A0207D" w:rsidRPr="00E31467" w14:paraId="4B2C9EA2"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40EA5E2"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FE8D38"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07C6713"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F8B138D" w14:textId="0E1099FF" w:rsidR="00DB68EE" w:rsidRPr="00E31467" w:rsidRDefault="00DB68EE" w:rsidP="00DB68EE">
            <w:pPr>
              <w:pStyle w:val="Tabletext"/>
              <w:rPr>
                <w:rFonts w:ascii="Segoe UI" w:hAnsi="Segoe UI" w:cs="Segoe UI"/>
                <w:sz w:val="18"/>
                <w:szCs w:val="18"/>
              </w:rPr>
            </w:pPr>
            <w:r w:rsidRPr="00E31467">
              <w:rPr>
                <w:sz w:val="18"/>
                <w:szCs w:val="18"/>
              </w:rPr>
              <w:t>Technique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79E54A" w14:textId="7E9C247B" w:rsidR="00DB68EE" w:rsidRPr="00E31467" w:rsidRDefault="00DB68EE" w:rsidP="00DB68EE">
            <w:pPr>
              <w:pStyle w:val="Tabletext"/>
              <w:jc w:val="center"/>
              <w:rPr>
                <w:rFonts w:ascii="Segoe UI" w:hAnsi="Segoe UI" w:cs="Segoe UI"/>
                <w:sz w:val="18"/>
                <w:szCs w:val="18"/>
              </w:rPr>
            </w:pPr>
            <w:r w:rsidRPr="00E31467">
              <w:rPr>
                <w:sz w:val="18"/>
                <w:szCs w:val="18"/>
                <w:lang w:eastAsia="en-GB"/>
              </w:rPr>
              <w:t>75 000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DEBED" w14:textId="4730733A" w:rsidR="00DB68EE" w:rsidRPr="00E31467" w:rsidRDefault="00DB68EE" w:rsidP="00DB68EE">
            <w:pPr>
              <w:pStyle w:val="Tabletext"/>
              <w:jc w:val="center"/>
              <w:rPr>
                <w:rFonts w:ascii="Segoe UI" w:hAnsi="Segoe UI" w:cs="Segoe UI"/>
                <w:sz w:val="18"/>
                <w:szCs w:val="18"/>
              </w:rPr>
            </w:pPr>
            <w:r w:rsidRPr="00E31467">
              <w:rPr>
                <w:sz w:val="18"/>
                <w:szCs w:val="18"/>
                <w:lang w:eastAsia="en-GB"/>
              </w:rPr>
              <w:t>101 600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E30A4BD" w14:textId="28C14B51" w:rsidR="00DB68EE" w:rsidRPr="00E31467" w:rsidRDefault="00DB68EE" w:rsidP="00DB68EE">
            <w:pPr>
              <w:pStyle w:val="Tabletext"/>
              <w:jc w:val="center"/>
              <w:rPr>
                <w:rFonts w:ascii="Segoe UI" w:hAnsi="Segoe UI" w:cs="Segoe UI"/>
                <w:sz w:val="18"/>
                <w:szCs w:val="18"/>
              </w:rPr>
            </w:pPr>
            <w:r w:rsidRPr="00E31467">
              <w:rPr>
                <w:sz w:val="18"/>
                <w:szCs w:val="18"/>
                <w:lang w:eastAsia="en-GB"/>
              </w:rPr>
              <w:t>131 853</w:t>
            </w:r>
          </w:p>
        </w:tc>
      </w:tr>
      <w:tr w:rsidR="00A0207D" w:rsidRPr="00E31467" w14:paraId="6016184E"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9CE7AA1"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433ACB"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B336274"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D54B46A" w14:textId="77777777" w:rsidR="00DB68EE" w:rsidRPr="00E31467" w:rsidRDefault="00DB68EE" w:rsidP="00DB68EE">
            <w:pPr>
              <w:pStyle w:val="Tabletext"/>
              <w:jc w:val="right"/>
              <w:rPr>
                <w:rFonts w:ascii="Segoe UI" w:hAnsi="Segoe UI" w:cs="Segoe UI"/>
                <w:b/>
                <w:sz w:val="18"/>
                <w:szCs w:val="18"/>
              </w:rPr>
            </w:pPr>
            <w:proofErr w:type="gramStart"/>
            <w:r w:rsidRPr="00E31467">
              <w:rPr>
                <w:b/>
                <w:sz w:val="18"/>
                <w:szCs w:val="18"/>
              </w:rPr>
              <w:t>Total:</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59A09CB" w14:textId="2D796485" w:rsidR="00DB68EE" w:rsidRPr="00E31467" w:rsidRDefault="00DB68EE" w:rsidP="00DB68EE">
            <w:pPr>
              <w:pStyle w:val="Tabletext"/>
              <w:jc w:val="right"/>
              <w:rPr>
                <w:b/>
                <w:sz w:val="18"/>
                <w:szCs w:val="18"/>
                <w:lang w:eastAsia="en-GB"/>
              </w:rPr>
            </w:pPr>
            <w:r w:rsidRPr="00E31467">
              <w:rPr>
                <w:b/>
                <w:sz w:val="18"/>
                <w:szCs w:val="18"/>
                <w:lang w:eastAsia="en-GB"/>
              </w:rPr>
              <w:t>112 348</w:t>
            </w:r>
          </w:p>
        </w:tc>
        <w:tc>
          <w:tcPr>
            <w:tcW w:w="1134" w:type="dxa"/>
            <w:tcBorders>
              <w:top w:val="single" w:sz="4" w:space="0" w:color="auto"/>
              <w:left w:val="single" w:sz="4" w:space="0" w:color="auto"/>
              <w:bottom w:val="single" w:sz="4" w:space="0" w:color="auto"/>
              <w:right w:val="single" w:sz="4" w:space="0" w:color="auto"/>
            </w:tcBorders>
            <w:hideMark/>
          </w:tcPr>
          <w:p w14:paraId="11768EEF" w14:textId="77777777" w:rsidR="00DB68EE" w:rsidRPr="00E31467" w:rsidRDefault="00DB68EE" w:rsidP="00DB68EE">
            <w:pPr>
              <w:pStyle w:val="Tabletext"/>
              <w:jc w:val="right"/>
              <w:rPr>
                <w:b/>
                <w:sz w:val="18"/>
                <w:szCs w:val="18"/>
                <w:lang w:eastAsia="en-GB"/>
              </w:rPr>
            </w:pPr>
            <w:r w:rsidRPr="00E31467">
              <w:rPr>
                <w:b/>
                <w:sz w:val="18"/>
                <w:szCs w:val="18"/>
                <w:lang w:eastAsia="en-GB"/>
              </w:rPr>
              <w:t>134 368</w:t>
            </w:r>
          </w:p>
        </w:tc>
        <w:tc>
          <w:tcPr>
            <w:tcW w:w="1147" w:type="dxa"/>
            <w:tcBorders>
              <w:top w:val="single" w:sz="4" w:space="0" w:color="auto"/>
              <w:left w:val="single" w:sz="4" w:space="0" w:color="auto"/>
              <w:bottom w:val="single" w:sz="4" w:space="0" w:color="auto"/>
              <w:right w:val="single" w:sz="4" w:space="0" w:color="auto"/>
            </w:tcBorders>
            <w:hideMark/>
          </w:tcPr>
          <w:p w14:paraId="0C5626AB" w14:textId="44F515E0" w:rsidR="00DB68EE" w:rsidRPr="00E31467" w:rsidRDefault="00DB68EE" w:rsidP="00DB68EE">
            <w:pPr>
              <w:pStyle w:val="Tabletext"/>
              <w:jc w:val="right"/>
              <w:rPr>
                <w:b/>
                <w:sz w:val="18"/>
                <w:szCs w:val="18"/>
                <w:lang w:eastAsia="en-GB"/>
              </w:rPr>
            </w:pPr>
            <w:r w:rsidRPr="00E31467">
              <w:rPr>
                <w:b/>
                <w:sz w:val="18"/>
                <w:szCs w:val="18"/>
                <w:lang w:eastAsia="en-GB"/>
              </w:rPr>
              <w:t>236 672</w:t>
            </w:r>
          </w:p>
        </w:tc>
      </w:tr>
      <w:tr w:rsidR="00A0207D" w:rsidRPr="00E31467" w14:paraId="7080AEB7" w14:textId="77777777" w:rsidTr="00320242">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AAF4C4A" w14:textId="77777777" w:rsidR="00DB68EE" w:rsidRPr="00E31467" w:rsidRDefault="00DB68EE" w:rsidP="00DB68EE">
            <w:pPr>
              <w:pStyle w:val="Tabletext"/>
              <w:rPr>
                <w:rFonts w:ascii="Segoe UI" w:hAnsi="Segoe UI" w:cs="Segoe UI"/>
                <w:b/>
                <w:sz w:val="18"/>
                <w:szCs w:val="18"/>
              </w:rPr>
            </w:pPr>
            <w:r w:rsidRPr="00E31467">
              <w:rPr>
                <w:b/>
                <w:sz w:val="18"/>
                <w:szCs w:val="18"/>
              </w:rPr>
              <w:t>CE 17 du TSB</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20E9890" w14:textId="77777777" w:rsidR="00DB68EE" w:rsidRPr="00E31467" w:rsidRDefault="00DB68EE" w:rsidP="00DB68EE">
            <w:pPr>
              <w:pStyle w:val="Tabletext"/>
              <w:jc w:val="center"/>
              <w:rPr>
                <w:rFonts w:ascii="Segoe UI" w:hAnsi="Segoe UI" w:cs="Segoe UI"/>
                <w:sz w:val="18"/>
                <w:szCs w:val="18"/>
              </w:rPr>
            </w:pPr>
            <w:r w:rsidRPr="00E31467">
              <w:rPr>
                <w:sz w:val="18"/>
                <w:szCs w:val="18"/>
              </w:rPr>
              <w:t>12</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4FF9272" w14:textId="636247A5" w:rsidR="00DB68EE" w:rsidRPr="00E31467" w:rsidRDefault="00DB68EE" w:rsidP="00DB68EE">
            <w:pPr>
              <w:pStyle w:val="Tabletext"/>
              <w:jc w:val="center"/>
              <w:rPr>
                <w:rFonts w:ascii="Segoe UI" w:hAnsi="Segoe UI" w:cs="Segoe UI"/>
                <w:sz w:val="18"/>
                <w:szCs w:val="18"/>
              </w:rPr>
            </w:pPr>
            <w:r w:rsidRPr="00E31467">
              <w:rPr>
                <w:sz w:val="18"/>
                <w:szCs w:val="18"/>
              </w:rPr>
              <w:t>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200, 2</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50, 1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30, 3</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20, 3</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15</w:t>
            </w:r>
          </w:p>
        </w:tc>
        <w:tc>
          <w:tcPr>
            <w:tcW w:w="1418" w:type="dxa"/>
            <w:tcBorders>
              <w:top w:val="single" w:sz="4" w:space="0" w:color="auto"/>
              <w:left w:val="single" w:sz="4" w:space="0" w:color="auto"/>
              <w:bottom w:val="single" w:sz="4" w:space="0" w:color="auto"/>
              <w:right w:val="single" w:sz="4" w:space="0" w:color="auto"/>
            </w:tcBorders>
            <w:hideMark/>
          </w:tcPr>
          <w:p w14:paraId="1BA1F9DB" w14:textId="2DF09525" w:rsidR="00DB68EE" w:rsidRPr="00E31467" w:rsidRDefault="00DB68EE" w:rsidP="00DB68EE">
            <w:pPr>
              <w:pStyle w:val="Tabletext"/>
              <w:rPr>
                <w:rFonts w:ascii="Segoe UI" w:hAnsi="Segoe UI" w:cs="Segoe UI"/>
                <w:sz w:val="18"/>
                <w:szCs w:val="18"/>
              </w:rPr>
            </w:pPr>
            <w:r w:rsidRPr="00E31467">
              <w:rPr>
                <w:sz w:val="18"/>
                <w:szCs w:val="18"/>
              </w:rPr>
              <w:t>Location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FB0340" w14:textId="1A7334B3" w:rsidR="00DB68EE" w:rsidRPr="00E31467" w:rsidRDefault="00DB68EE" w:rsidP="00DB68EE">
            <w:pPr>
              <w:pStyle w:val="Tabletext"/>
              <w:jc w:val="center"/>
              <w:rPr>
                <w:rFonts w:ascii="Segoe UI" w:hAnsi="Segoe UI" w:cs="Segoe UI"/>
                <w:sz w:val="18"/>
                <w:szCs w:val="18"/>
              </w:rPr>
            </w:pPr>
            <w:r w:rsidRPr="00E31467">
              <w:rPr>
                <w:sz w:val="18"/>
                <w:szCs w:val="18"/>
                <w:lang w:eastAsia="en-GB"/>
              </w:rPr>
              <w:t>23 720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B88D09" w14:textId="50B97B70" w:rsidR="00DB68EE" w:rsidRPr="00E31467" w:rsidRDefault="00DB68EE" w:rsidP="00DB68EE">
            <w:pPr>
              <w:pStyle w:val="Tabletext"/>
              <w:jc w:val="center"/>
              <w:rPr>
                <w:rFonts w:ascii="Segoe UI" w:hAnsi="Segoe UI" w:cs="Segoe UI"/>
                <w:sz w:val="18"/>
                <w:szCs w:val="18"/>
              </w:rPr>
            </w:pPr>
            <w:r w:rsidRPr="00E31467">
              <w:rPr>
                <w:sz w:val="18"/>
                <w:szCs w:val="18"/>
                <w:lang w:eastAsia="en-GB"/>
              </w:rPr>
              <w:t>63 360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207637F" w14:textId="76C14B4E" w:rsidR="00DB68EE" w:rsidRPr="00E31467" w:rsidRDefault="00DB68EE" w:rsidP="00DB68EE">
            <w:pPr>
              <w:pStyle w:val="Tabletext"/>
              <w:jc w:val="center"/>
              <w:rPr>
                <w:rFonts w:ascii="Segoe UI" w:hAnsi="Segoe UI" w:cs="Segoe UI"/>
                <w:sz w:val="18"/>
                <w:szCs w:val="18"/>
              </w:rPr>
            </w:pPr>
            <w:r w:rsidRPr="00E31467">
              <w:rPr>
                <w:sz w:val="18"/>
                <w:szCs w:val="18"/>
                <w:lang w:eastAsia="en-GB"/>
              </w:rPr>
              <w:t>102 240</w:t>
            </w:r>
          </w:p>
        </w:tc>
      </w:tr>
      <w:tr w:rsidR="00A0207D" w:rsidRPr="00E31467" w14:paraId="74EFCD57"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3BB8970"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9447E9"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F976E49"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6F6EF302" w14:textId="01966730" w:rsidR="00DB68EE" w:rsidRPr="00E31467" w:rsidRDefault="00DB68EE" w:rsidP="00DB68EE">
            <w:pPr>
              <w:pStyle w:val="Tabletext"/>
              <w:rPr>
                <w:rFonts w:ascii="Segoe UI" w:hAnsi="Segoe UI" w:cs="Segoe UI"/>
                <w:sz w:val="18"/>
                <w:szCs w:val="18"/>
              </w:rPr>
            </w:pPr>
            <w:r w:rsidRPr="00E31467">
              <w:rPr>
                <w:sz w:val="18"/>
                <w:szCs w:val="18"/>
              </w:rPr>
              <w:t>Sécurité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6D83BF" w14:textId="7072E472" w:rsidR="00DB68EE" w:rsidRPr="00E31467" w:rsidRDefault="00DB68EE" w:rsidP="00DB68EE">
            <w:pPr>
              <w:pStyle w:val="Tabletext"/>
              <w:jc w:val="center"/>
              <w:rPr>
                <w:rFonts w:ascii="Segoe UI" w:hAnsi="Segoe UI" w:cs="Segoe UI"/>
                <w:sz w:val="18"/>
                <w:szCs w:val="18"/>
              </w:rPr>
            </w:pPr>
            <w:r w:rsidRPr="00E31467">
              <w:rPr>
                <w:sz w:val="18"/>
                <w:szCs w:val="18"/>
                <w:lang w:eastAsia="en-GB"/>
              </w:rPr>
              <w:t>10 220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63FF25" w14:textId="02B2E606" w:rsidR="00DB68EE" w:rsidRPr="00E31467" w:rsidRDefault="00DB68EE" w:rsidP="00DB68EE">
            <w:pPr>
              <w:pStyle w:val="Tabletext"/>
              <w:jc w:val="center"/>
              <w:rPr>
                <w:rFonts w:ascii="Segoe UI" w:hAnsi="Segoe UI" w:cs="Segoe UI"/>
                <w:sz w:val="18"/>
                <w:szCs w:val="18"/>
              </w:rPr>
            </w:pPr>
            <w:r w:rsidRPr="00E31467">
              <w:rPr>
                <w:sz w:val="18"/>
                <w:szCs w:val="18"/>
                <w:lang w:eastAsia="en-GB"/>
              </w:rPr>
              <w:t>1 000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93FF03B" w14:textId="242F2A5B" w:rsidR="00DB68EE" w:rsidRPr="00E31467" w:rsidRDefault="00DB68EE" w:rsidP="00DB68EE">
            <w:pPr>
              <w:pStyle w:val="Tabletext"/>
              <w:jc w:val="center"/>
              <w:rPr>
                <w:rFonts w:ascii="Segoe UI" w:hAnsi="Segoe UI" w:cs="Segoe UI"/>
                <w:sz w:val="18"/>
                <w:szCs w:val="18"/>
              </w:rPr>
            </w:pPr>
            <w:r w:rsidRPr="00E31467">
              <w:rPr>
                <w:sz w:val="18"/>
                <w:szCs w:val="18"/>
                <w:lang w:eastAsia="en-GB"/>
              </w:rPr>
              <w:t>14 099</w:t>
            </w:r>
          </w:p>
        </w:tc>
      </w:tr>
      <w:tr w:rsidR="00A0207D" w:rsidRPr="00E31467" w14:paraId="59CC9B2B"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EA56E81"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8D13EC"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E41FC09"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146E9AB2" w14:textId="02015F81" w:rsidR="00DB68EE" w:rsidRPr="00E31467" w:rsidRDefault="00DB68EE" w:rsidP="00DB68EE">
            <w:pPr>
              <w:pStyle w:val="Tabletext"/>
              <w:rPr>
                <w:rFonts w:ascii="Segoe UI" w:hAnsi="Segoe UI" w:cs="Segoe UI"/>
                <w:sz w:val="18"/>
                <w:szCs w:val="18"/>
              </w:rPr>
            </w:pPr>
            <w:r w:rsidRPr="00E31467">
              <w:rPr>
                <w:sz w:val="18"/>
                <w:szCs w:val="18"/>
              </w:rPr>
              <w:t>Technique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3165B1" w14:textId="4078A50D" w:rsidR="00DB68EE" w:rsidRPr="00E31467" w:rsidRDefault="00DB68EE" w:rsidP="00DB68EE">
            <w:pPr>
              <w:pStyle w:val="Tabletext"/>
              <w:jc w:val="center"/>
              <w:rPr>
                <w:rFonts w:ascii="Segoe UI" w:hAnsi="Segoe UI" w:cs="Segoe UI"/>
                <w:sz w:val="18"/>
                <w:szCs w:val="18"/>
              </w:rPr>
            </w:pPr>
            <w:r w:rsidRPr="00E31467">
              <w:rPr>
                <w:sz w:val="18"/>
                <w:szCs w:val="18"/>
                <w:lang w:eastAsia="en-GB"/>
              </w:rPr>
              <w:t>120 000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173EFE" w14:textId="6F60B2D8" w:rsidR="00DB68EE" w:rsidRPr="00E31467" w:rsidRDefault="00DB68EE" w:rsidP="00DB68EE">
            <w:pPr>
              <w:pStyle w:val="Tabletext"/>
              <w:jc w:val="center"/>
              <w:rPr>
                <w:rFonts w:ascii="Segoe UI" w:hAnsi="Segoe UI" w:cs="Segoe UI"/>
                <w:sz w:val="18"/>
                <w:szCs w:val="18"/>
              </w:rPr>
            </w:pPr>
            <w:r w:rsidRPr="00E31467">
              <w:rPr>
                <w:sz w:val="18"/>
                <w:szCs w:val="18"/>
                <w:lang w:eastAsia="en-GB"/>
              </w:rPr>
              <w:t>178 400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2D894AD" w14:textId="6BBA017A" w:rsidR="00DB68EE" w:rsidRPr="00E31467" w:rsidRDefault="00DB68EE" w:rsidP="00DB68EE">
            <w:pPr>
              <w:pStyle w:val="Tabletext"/>
              <w:jc w:val="center"/>
              <w:rPr>
                <w:rFonts w:ascii="Segoe UI" w:hAnsi="Segoe UI" w:cs="Segoe UI"/>
                <w:sz w:val="18"/>
                <w:szCs w:val="18"/>
              </w:rPr>
            </w:pPr>
            <w:r w:rsidRPr="00E31467">
              <w:rPr>
                <w:sz w:val="18"/>
                <w:szCs w:val="18"/>
                <w:lang w:eastAsia="en-GB"/>
              </w:rPr>
              <w:t>108 774</w:t>
            </w:r>
          </w:p>
        </w:tc>
      </w:tr>
      <w:tr w:rsidR="00A0207D" w:rsidRPr="00E31467" w14:paraId="73B7F8A2"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969B729"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A46103" w14:textId="77777777" w:rsidR="00DB68EE" w:rsidRPr="00E31467" w:rsidRDefault="00DB68EE" w:rsidP="00DB68EE">
            <w:pPr>
              <w:pStyle w:val="Tabletext"/>
              <w:jc w:val="center"/>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82A5DA5" w14:textId="77777777" w:rsidR="00DB68EE" w:rsidRPr="00E31467" w:rsidRDefault="00DB68EE" w:rsidP="00DB68EE">
            <w:pPr>
              <w:pStyle w:val="Tabletext"/>
              <w:jc w:val="center"/>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C576D91" w14:textId="77777777" w:rsidR="00DB68EE" w:rsidRPr="00E31467" w:rsidRDefault="00DB68EE" w:rsidP="00DB68EE">
            <w:pPr>
              <w:pStyle w:val="Tabletext"/>
              <w:jc w:val="right"/>
              <w:rPr>
                <w:rFonts w:ascii="Segoe UI" w:hAnsi="Segoe UI" w:cs="Segoe UI"/>
                <w:b/>
                <w:sz w:val="18"/>
                <w:szCs w:val="18"/>
              </w:rPr>
            </w:pPr>
            <w:proofErr w:type="gramStart"/>
            <w:r w:rsidRPr="00E31467">
              <w:rPr>
                <w:b/>
                <w:sz w:val="18"/>
                <w:szCs w:val="18"/>
              </w:rPr>
              <w:t>Total:</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6113195B" w14:textId="0AEA84D7" w:rsidR="00DB68EE" w:rsidRPr="00E31467" w:rsidRDefault="00DB68EE" w:rsidP="00DB68EE">
            <w:pPr>
              <w:pStyle w:val="Tabletext"/>
              <w:jc w:val="right"/>
              <w:rPr>
                <w:b/>
                <w:sz w:val="18"/>
                <w:szCs w:val="18"/>
                <w:lang w:eastAsia="en-GB"/>
              </w:rPr>
            </w:pPr>
            <w:r w:rsidRPr="00E31467">
              <w:rPr>
                <w:b/>
                <w:sz w:val="18"/>
                <w:szCs w:val="18"/>
                <w:lang w:eastAsia="en-GB"/>
              </w:rPr>
              <w:t>153 940</w:t>
            </w:r>
          </w:p>
        </w:tc>
        <w:tc>
          <w:tcPr>
            <w:tcW w:w="1134" w:type="dxa"/>
            <w:tcBorders>
              <w:top w:val="single" w:sz="4" w:space="0" w:color="auto"/>
              <w:left w:val="single" w:sz="4" w:space="0" w:color="auto"/>
              <w:bottom w:val="single" w:sz="4" w:space="0" w:color="auto"/>
              <w:right w:val="single" w:sz="4" w:space="0" w:color="auto"/>
            </w:tcBorders>
            <w:hideMark/>
          </w:tcPr>
          <w:p w14:paraId="34C0B56A" w14:textId="04276DDA" w:rsidR="00DB68EE" w:rsidRPr="00E31467" w:rsidRDefault="00DB68EE" w:rsidP="00DB68EE">
            <w:pPr>
              <w:pStyle w:val="Tabletext"/>
              <w:jc w:val="right"/>
              <w:rPr>
                <w:b/>
                <w:sz w:val="18"/>
                <w:szCs w:val="18"/>
                <w:lang w:eastAsia="en-GB"/>
              </w:rPr>
            </w:pPr>
            <w:r w:rsidRPr="00E31467">
              <w:rPr>
                <w:b/>
                <w:sz w:val="18"/>
                <w:szCs w:val="18"/>
                <w:lang w:eastAsia="en-GB"/>
              </w:rPr>
              <w:t>242 760</w:t>
            </w:r>
          </w:p>
        </w:tc>
        <w:tc>
          <w:tcPr>
            <w:tcW w:w="1147" w:type="dxa"/>
            <w:tcBorders>
              <w:top w:val="single" w:sz="4" w:space="0" w:color="auto"/>
              <w:left w:val="single" w:sz="4" w:space="0" w:color="auto"/>
              <w:bottom w:val="single" w:sz="4" w:space="0" w:color="auto"/>
              <w:right w:val="single" w:sz="4" w:space="0" w:color="auto"/>
            </w:tcBorders>
            <w:hideMark/>
          </w:tcPr>
          <w:p w14:paraId="5FFC78ED" w14:textId="1CCB761B" w:rsidR="00DB68EE" w:rsidRPr="00E31467" w:rsidRDefault="00DB68EE" w:rsidP="00DB68EE">
            <w:pPr>
              <w:pStyle w:val="Tabletext"/>
              <w:jc w:val="right"/>
              <w:rPr>
                <w:b/>
                <w:sz w:val="18"/>
                <w:szCs w:val="18"/>
                <w:lang w:eastAsia="en-GB"/>
              </w:rPr>
            </w:pPr>
            <w:r w:rsidRPr="00E31467">
              <w:rPr>
                <w:b/>
                <w:sz w:val="18"/>
                <w:szCs w:val="18"/>
                <w:lang w:eastAsia="en-GB"/>
              </w:rPr>
              <w:t>225 113</w:t>
            </w:r>
          </w:p>
        </w:tc>
      </w:tr>
      <w:tr w:rsidR="00A0207D" w:rsidRPr="00E31467" w14:paraId="284F044D" w14:textId="77777777" w:rsidTr="00320242">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3CA4533" w14:textId="76C8F980" w:rsidR="00DB68EE" w:rsidRPr="00E31467" w:rsidRDefault="00DB68EE" w:rsidP="00DB68EE">
            <w:pPr>
              <w:pStyle w:val="Tabletext"/>
              <w:rPr>
                <w:rFonts w:ascii="Segoe UI" w:hAnsi="Segoe UI" w:cs="Segoe UI"/>
                <w:b/>
                <w:sz w:val="18"/>
                <w:szCs w:val="18"/>
              </w:rPr>
            </w:pPr>
            <w:r w:rsidRPr="00E31467">
              <w:rPr>
                <w:b/>
                <w:sz w:val="18"/>
                <w:szCs w:val="18"/>
              </w:rPr>
              <w:t>CE 1 et 2 du BDT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1CDBA87" w14:textId="77777777" w:rsidR="00DB68EE" w:rsidRPr="00E31467" w:rsidRDefault="00DB68EE" w:rsidP="00DB68EE">
            <w:pPr>
              <w:pStyle w:val="Tabletext"/>
              <w:jc w:val="center"/>
              <w:rPr>
                <w:rFonts w:ascii="Segoe UI" w:hAnsi="Segoe UI" w:cs="Segoe UI"/>
                <w:sz w:val="18"/>
                <w:szCs w:val="18"/>
              </w:rPr>
            </w:pPr>
            <w:r w:rsidRPr="00E31467">
              <w:rPr>
                <w:sz w:val="18"/>
                <w:szCs w:val="18"/>
              </w:rPr>
              <w:t>12</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3C799067" w14:textId="56A7DC0D" w:rsidR="00DB68EE" w:rsidRPr="00E31467" w:rsidRDefault="00DB68EE" w:rsidP="00DB68EE">
            <w:pPr>
              <w:pStyle w:val="Tabletext"/>
              <w:jc w:val="center"/>
              <w:rPr>
                <w:rFonts w:ascii="Segoe UI" w:hAnsi="Segoe UI" w:cs="Segoe UI"/>
                <w:sz w:val="18"/>
                <w:szCs w:val="18"/>
              </w:rPr>
            </w:pPr>
            <w:r w:rsidRPr="00E31467">
              <w:rPr>
                <w:sz w:val="18"/>
                <w:szCs w:val="18"/>
              </w:rPr>
              <w:t>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250, 1</w:t>
            </w:r>
            <w:r w:rsidR="00320242" w:rsidRPr="00E31467">
              <w:rPr>
                <w:sz w:val="18"/>
                <w:szCs w:val="18"/>
              </w:rPr>
              <w:t xml:space="preserve"> </w:t>
            </w:r>
            <w:r w:rsidRPr="00E31467">
              <w:rPr>
                <w:sz w:val="18"/>
                <w:szCs w:val="18"/>
              </w:rPr>
              <w:t>×</w:t>
            </w:r>
            <w:r w:rsidR="00320242" w:rsidRPr="00E31467">
              <w:rPr>
                <w:sz w:val="18"/>
                <w:szCs w:val="18"/>
              </w:rPr>
              <w:t xml:space="preserve"> </w:t>
            </w:r>
            <w:r w:rsidRPr="00E31467">
              <w:rPr>
                <w:sz w:val="18"/>
                <w:szCs w:val="18"/>
              </w:rPr>
              <w:t>30</w:t>
            </w:r>
          </w:p>
        </w:tc>
        <w:tc>
          <w:tcPr>
            <w:tcW w:w="1418" w:type="dxa"/>
            <w:tcBorders>
              <w:top w:val="single" w:sz="4" w:space="0" w:color="auto"/>
              <w:left w:val="single" w:sz="4" w:space="0" w:color="auto"/>
              <w:bottom w:val="single" w:sz="4" w:space="0" w:color="auto"/>
              <w:right w:val="single" w:sz="4" w:space="0" w:color="auto"/>
            </w:tcBorders>
            <w:hideMark/>
          </w:tcPr>
          <w:p w14:paraId="1EA5A493" w14:textId="09B97AC9" w:rsidR="00DB68EE" w:rsidRPr="00E31467" w:rsidRDefault="00DB68EE" w:rsidP="00DB68EE">
            <w:pPr>
              <w:pStyle w:val="Tabletext"/>
              <w:rPr>
                <w:rFonts w:ascii="Segoe UI" w:hAnsi="Segoe UI" w:cs="Segoe UI"/>
                <w:sz w:val="18"/>
                <w:szCs w:val="18"/>
              </w:rPr>
            </w:pPr>
            <w:r w:rsidRPr="00E31467">
              <w:rPr>
                <w:sz w:val="18"/>
                <w:szCs w:val="18"/>
              </w:rPr>
              <w:t>Location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A7571F" w14:textId="59D78CA5" w:rsidR="00DB68EE" w:rsidRPr="00E31467" w:rsidRDefault="00DB68EE" w:rsidP="00DB68EE">
            <w:pPr>
              <w:pStyle w:val="Tabletext"/>
              <w:jc w:val="center"/>
              <w:rPr>
                <w:rFonts w:ascii="Segoe UI" w:hAnsi="Segoe UI" w:cs="Segoe UI"/>
                <w:sz w:val="18"/>
                <w:szCs w:val="18"/>
              </w:rPr>
            </w:pPr>
            <w:r w:rsidRPr="00E31467">
              <w:rPr>
                <w:sz w:val="18"/>
                <w:szCs w:val="18"/>
                <w:lang w:eastAsia="en-GB"/>
              </w:rPr>
              <w:t>20 120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C6112F" w14:textId="3D3B825D" w:rsidR="00DB68EE" w:rsidRPr="00E31467" w:rsidRDefault="00DB68EE" w:rsidP="00DB68EE">
            <w:pPr>
              <w:pStyle w:val="Tabletext"/>
              <w:jc w:val="center"/>
              <w:rPr>
                <w:rFonts w:ascii="Segoe UI" w:hAnsi="Segoe UI" w:cs="Segoe UI"/>
                <w:sz w:val="18"/>
                <w:szCs w:val="18"/>
              </w:rPr>
            </w:pPr>
            <w:r w:rsidRPr="00E31467">
              <w:rPr>
                <w:sz w:val="18"/>
                <w:szCs w:val="18"/>
                <w:lang w:eastAsia="en-GB"/>
              </w:rPr>
              <w:t>14 400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A8E1882" w14:textId="2F04FD42" w:rsidR="00DB68EE" w:rsidRPr="00E31467" w:rsidRDefault="00DB68EE" w:rsidP="00DB68EE">
            <w:pPr>
              <w:pStyle w:val="Tabletext"/>
              <w:jc w:val="center"/>
              <w:rPr>
                <w:rFonts w:ascii="Segoe UI" w:hAnsi="Segoe UI" w:cs="Segoe UI"/>
                <w:sz w:val="18"/>
                <w:szCs w:val="18"/>
              </w:rPr>
            </w:pPr>
            <w:r w:rsidRPr="00E31467">
              <w:rPr>
                <w:sz w:val="18"/>
                <w:szCs w:val="18"/>
                <w:lang w:eastAsia="en-GB"/>
              </w:rPr>
              <w:t>39 600</w:t>
            </w:r>
          </w:p>
        </w:tc>
      </w:tr>
      <w:tr w:rsidR="00A0207D" w:rsidRPr="00E31467" w14:paraId="78D4EE3F"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A64C5FA"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0BF705" w14:textId="77777777" w:rsidR="00DB68EE" w:rsidRPr="00E31467" w:rsidRDefault="00DB68EE" w:rsidP="00DB68EE">
            <w:pPr>
              <w:pStyle w:val="Tabletext"/>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101D35" w14:textId="77777777" w:rsidR="00DB68EE" w:rsidRPr="00E31467" w:rsidRDefault="00DB68EE" w:rsidP="00DB68EE">
            <w:pPr>
              <w:pStyle w:val="Tabletext"/>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123D6268" w14:textId="2BA8225C" w:rsidR="00DB68EE" w:rsidRPr="00E31467" w:rsidRDefault="00DB68EE" w:rsidP="00DB68EE">
            <w:pPr>
              <w:pStyle w:val="Tabletext"/>
              <w:rPr>
                <w:rFonts w:ascii="Segoe UI" w:hAnsi="Segoe UI" w:cs="Segoe UI"/>
                <w:sz w:val="18"/>
                <w:szCs w:val="18"/>
              </w:rPr>
            </w:pPr>
            <w:r w:rsidRPr="00E31467">
              <w:rPr>
                <w:sz w:val="18"/>
                <w:szCs w:val="18"/>
              </w:rPr>
              <w:t>Sécurité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F4F5D7" w14:textId="6D748DC9" w:rsidR="00DB68EE" w:rsidRPr="00E31467" w:rsidRDefault="00DB68EE" w:rsidP="00DB68EE">
            <w:pPr>
              <w:pStyle w:val="Tabletext"/>
              <w:jc w:val="center"/>
              <w:rPr>
                <w:rFonts w:ascii="Segoe UI" w:hAnsi="Segoe UI" w:cs="Segoe UI"/>
                <w:sz w:val="18"/>
                <w:szCs w:val="18"/>
              </w:rPr>
            </w:pPr>
            <w:r w:rsidRPr="00E31467">
              <w:rPr>
                <w:sz w:val="18"/>
                <w:szCs w:val="18"/>
                <w:lang w:eastAsia="en-GB"/>
              </w:rPr>
              <w:t>10 220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880C93" w14:textId="2B705CCB" w:rsidR="00DB68EE" w:rsidRPr="00E31467" w:rsidRDefault="00DB68EE" w:rsidP="00DB68EE">
            <w:pPr>
              <w:pStyle w:val="Tabletext"/>
              <w:jc w:val="center"/>
              <w:rPr>
                <w:rFonts w:ascii="Segoe UI" w:hAnsi="Segoe UI" w:cs="Segoe UI"/>
                <w:sz w:val="18"/>
                <w:szCs w:val="18"/>
              </w:rPr>
            </w:pPr>
            <w:r w:rsidRPr="00E31467">
              <w:rPr>
                <w:sz w:val="18"/>
                <w:szCs w:val="18"/>
                <w:lang w:eastAsia="en-GB"/>
              </w:rPr>
              <w:t>1 000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D574A94" w14:textId="10A4AC7E" w:rsidR="00DB68EE" w:rsidRPr="00E31467" w:rsidRDefault="00DB68EE" w:rsidP="00DB68EE">
            <w:pPr>
              <w:pStyle w:val="Tabletext"/>
              <w:jc w:val="center"/>
              <w:rPr>
                <w:rFonts w:ascii="Segoe UI" w:hAnsi="Segoe UI" w:cs="Segoe UI"/>
                <w:sz w:val="18"/>
                <w:szCs w:val="18"/>
              </w:rPr>
            </w:pPr>
            <w:r w:rsidRPr="00E31467">
              <w:rPr>
                <w:sz w:val="18"/>
                <w:szCs w:val="18"/>
                <w:lang w:eastAsia="en-GB"/>
              </w:rPr>
              <w:t>14 099</w:t>
            </w:r>
          </w:p>
        </w:tc>
      </w:tr>
      <w:tr w:rsidR="00A0207D" w:rsidRPr="00E31467" w14:paraId="00B0CD1D"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BC4E8F7"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2A0BCB" w14:textId="77777777" w:rsidR="00DB68EE" w:rsidRPr="00E31467" w:rsidRDefault="00DB68EE" w:rsidP="00DB68EE">
            <w:pPr>
              <w:pStyle w:val="Tabletext"/>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4135033" w14:textId="77777777" w:rsidR="00DB68EE" w:rsidRPr="00E31467" w:rsidRDefault="00DB68EE" w:rsidP="00DB68EE">
            <w:pPr>
              <w:pStyle w:val="Tabletext"/>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13F88C45" w14:textId="6C3AEA80" w:rsidR="00DB68EE" w:rsidRPr="00E31467" w:rsidRDefault="00DB68EE" w:rsidP="00DB68EE">
            <w:pPr>
              <w:pStyle w:val="Tabletext"/>
              <w:rPr>
                <w:rFonts w:ascii="Segoe UI" w:hAnsi="Segoe UI" w:cs="Segoe UI"/>
                <w:sz w:val="18"/>
                <w:szCs w:val="18"/>
              </w:rPr>
            </w:pPr>
            <w:r w:rsidRPr="00E31467">
              <w:rPr>
                <w:sz w:val="18"/>
                <w:szCs w:val="18"/>
              </w:rPr>
              <w:t>Technique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2A0171" w14:textId="187A21F6" w:rsidR="00DB68EE" w:rsidRPr="00E31467" w:rsidRDefault="00DB68EE" w:rsidP="00DB68EE">
            <w:pPr>
              <w:pStyle w:val="Tabletext"/>
              <w:jc w:val="center"/>
              <w:rPr>
                <w:rFonts w:ascii="Segoe UI" w:hAnsi="Segoe UI" w:cs="Segoe UI"/>
                <w:sz w:val="18"/>
                <w:szCs w:val="18"/>
              </w:rPr>
            </w:pPr>
            <w:r w:rsidRPr="00E31467">
              <w:rPr>
                <w:sz w:val="18"/>
                <w:szCs w:val="18"/>
                <w:lang w:eastAsia="en-GB"/>
              </w:rPr>
              <w:t>30 000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8625BE" w14:textId="20759916" w:rsidR="00DB68EE" w:rsidRPr="00E31467" w:rsidRDefault="00DB68EE" w:rsidP="00DB68EE">
            <w:pPr>
              <w:pStyle w:val="Tabletext"/>
              <w:jc w:val="center"/>
              <w:rPr>
                <w:rFonts w:ascii="Segoe UI" w:hAnsi="Segoe UI" w:cs="Segoe UI"/>
                <w:sz w:val="18"/>
                <w:szCs w:val="18"/>
              </w:rPr>
            </w:pPr>
            <w:r w:rsidRPr="00E31467">
              <w:rPr>
                <w:sz w:val="18"/>
                <w:szCs w:val="18"/>
                <w:lang w:eastAsia="en-GB"/>
              </w:rPr>
              <w:t>44 000</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62ADC2" w14:textId="5A7E95BE" w:rsidR="00DB68EE" w:rsidRPr="00E31467" w:rsidRDefault="00DB68EE" w:rsidP="00DB68EE">
            <w:pPr>
              <w:pStyle w:val="Tabletext"/>
              <w:jc w:val="center"/>
              <w:rPr>
                <w:rFonts w:ascii="Segoe UI" w:hAnsi="Segoe UI" w:cs="Segoe UI"/>
                <w:sz w:val="18"/>
                <w:szCs w:val="18"/>
              </w:rPr>
            </w:pPr>
            <w:r w:rsidRPr="00E31467">
              <w:rPr>
                <w:sz w:val="18"/>
                <w:szCs w:val="18"/>
                <w:lang w:eastAsia="en-GB"/>
              </w:rPr>
              <w:t>97 530</w:t>
            </w:r>
          </w:p>
        </w:tc>
      </w:tr>
      <w:tr w:rsidR="00A0207D" w:rsidRPr="00E31467" w14:paraId="1AC7ECF2" w14:textId="77777777" w:rsidTr="00320242">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9B978A7" w14:textId="77777777" w:rsidR="00DB68EE" w:rsidRPr="00E31467" w:rsidRDefault="00DB68EE" w:rsidP="00DB68EE">
            <w:pPr>
              <w:pStyle w:val="Tabletext"/>
              <w:rPr>
                <w:rFonts w:ascii="Segoe UI" w:hAnsi="Segoe UI" w:cs="Segoe UI"/>
                <w:b/>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564B19" w14:textId="77777777" w:rsidR="00DB68EE" w:rsidRPr="00E31467" w:rsidRDefault="00DB68EE" w:rsidP="00DB68EE">
            <w:pPr>
              <w:pStyle w:val="Tabletext"/>
              <w:rPr>
                <w:rFonts w:ascii="Segoe UI" w:hAnsi="Segoe UI" w:cs="Segoe UI"/>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88BFEC6" w14:textId="77777777" w:rsidR="00DB68EE" w:rsidRPr="00E31467" w:rsidRDefault="00DB68EE" w:rsidP="00DB68EE">
            <w:pPr>
              <w:pStyle w:val="Tabletext"/>
              <w:rPr>
                <w:rFonts w:ascii="Segoe UI" w:hAnsi="Segoe UI" w:cs="Segoe UI"/>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DB9B763" w14:textId="77777777" w:rsidR="00DB68EE" w:rsidRPr="00E31467" w:rsidRDefault="00DB68EE" w:rsidP="00DB68EE">
            <w:pPr>
              <w:pStyle w:val="Tabletext"/>
              <w:jc w:val="right"/>
              <w:rPr>
                <w:rFonts w:ascii="Segoe UI" w:hAnsi="Segoe UI" w:cs="Segoe UI"/>
                <w:b/>
                <w:sz w:val="18"/>
                <w:szCs w:val="18"/>
              </w:rPr>
            </w:pPr>
            <w:proofErr w:type="gramStart"/>
            <w:r w:rsidRPr="00E31467">
              <w:rPr>
                <w:b/>
                <w:sz w:val="18"/>
                <w:szCs w:val="18"/>
              </w:rPr>
              <w:t>Total:</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08BD396B" w14:textId="2A35D4D7" w:rsidR="00DB68EE" w:rsidRPr="00E31467" w:rsidRDefault="00DB68EE" w:rsidP="00DB68EE">
            <w:pPr>
              <w:pStyle w:val="Tabletext"/>
              <w:jc w:val="right"/>
              <w:rPr>
                <w:b/>
                <w:sz w:val="18"/>
                <w:szCs w:val="18"/>
                <w:lang w:eastAsia="en-GB"/>
              </w:rPr>
            </w:pPr>
            <w:r w:rsidRPr="00E31467">
              <w:rPr>
                <w:b/>
                <w:sz w:val="18"/>
                <w:szCs w:val="18"/>
                <w:lang w:eastAsia="en-GB"/>
              </w:rPr>
              <w:t>60 340</w:t>
            </w:r>
          </w:p>
        </w:tc>
        <w:tc>
          <w:tcPr>
            <w:tcW w:w="1134" w:type="dxa"/>
            <w:tcBorders>
              <w:top w:val="single" w:sz="4" w:space="0" w:color="auto"/>
              <w:left w:val="single" w:sz="4" w:space="0" w:color="auto"/>
              <w:bottom w:val="single" w:sz="4" w:space="0" w:color="auto"/>
              <w:right w:val="single" w:sz="4" w:space="0" w:color="auto"/>
            </w:tcBorders>
            <w:hideMark/>
          </w:tcPr>
          <w:p w14:paraId="5E507970" w14:textId="77777777" w:rsidR="00DB68EE" w:rsidRPr="00E31467" w:rsidRDefault="00DB68EE" w:rsidP="00DB68EE">
            <w:pPr>
              <w:pStyle w:val="Tabletext"/>
              <w:jc w:val="right"/>
              <w:rPr>
                <w:b/>
                <w:sz w:val="18"/>
                <w:szCs w:val="18"/>
                <w:lang w:eastAsia="en-GB"/>
              </w:rPr>
            </w:pPr>
            <w:r w:rsidRPr="00E31467">
              <w:rPr>
                <w:b/>
                <w:sz w:val="18"/>
                <w:szCs w:val="18"/>
                <w:lang w:eastAsia="en-GB"/>
              </w:rPr>
              <w:t>59 400</w:t>
            </w:r>
          </w:p>
        </w:tc>
        <w:tc>
          <w:tcPr>
            <w:tcW w:w="1147" w:type="dxa"/>
            <w:tcBorders>
              <w:top w:val="single" w:sz="4" w:space="0" w:color="auto"/>
              <w:left w:val="single" w:sz="4" w:space="0" w:color="auto"/>
              <w:bottom w:val="single" w:sz="4" w:space="0" w:color="auto"/>
              <w:right w:val="single" w:sz="4" w:space="0" w:color="auto"/>
            </w:tcBorders>
            <w:hideMark/>
          </w:tcPr>
          <w:p w14:paraId="504FA709" w14:textId="4E35092D" w:rsidR="00DB68EE" w:rsidRPr="00E31467" w:rsidRDefault="00DB68EE" w:rsidP="00DB68EE">
            <w:pPr>
              <w:pStyle w:val="Tabletext"/>
              <w:jc w:val="right"/>
              <w:rPr>
                <w:b/>
                <w:sz w:val="18"/>
                <w:szCs w:val="18"/>
                <w:lang w:eastAsia="en-GB"/>
              </w:rPr>
            </w:pPr>
            <w:r w:rsidRPr="00E31467">
              <w:rPr>
                <w:b/>
                <w:sz w:val="18"/>
                <w:szCs w:val="18"/>
                <w:lang w:eastAsia="en-GB"/>
              </w:rPr>
              <w:t>151 229</w:t>
            </w:r>
          </w:p>
        </w:tc>
      </w:tr>
      <w:tr w:rsidR="00A0207D" w:rsidRPr="00E31467" w14:paraId="381990B1" w14:textId="77777777" w:rsidTr="00320242">
        <w:trPr>
          <w:jc w:val="center"/>
        </w:trPr>
        <w:tc>
          <w:tcPr>
            <w:tcW w:w="9080" w:type="dxa"/>
            <w:gridSpan w:val="7"/>
            <w:tcBorders>
              <w:top w:val="single" w:sz="4" w:space="0" w:color="auto"/>
              <w:left w:val="nil"/>
              <w:bottom w:val="nil"/>
              <w:right w:val="nil"/>
            </w:tcBorders>
            <w:hideMark/>
          </w:tcPr>
          <w:p w14:paraId="02D9D03E" w14:textId="77777777" w:rsidR="00DB68EE" w:rsidRPr="00E31467" w:rsidRDefault="00DB68EE" w:rsidP="00DB68EE">
            <w:pPr>
              <w:pStyle w:val="Tablelegend"/>
              <w:rPr>
                <w:rFonts w:ascii="Segoe UI" w:hAnsi="Segoe UI" w:cs="Segoe UI"/>
                <w:sz w:val="18"/>
                <w:szCs w:val="20"/>
              </w:rPr>
            </w:pPr>
            <w:proofErr w:type="gramStart"/>
            <w:r w:rsidRPr="00E31467">
              <w:rPr>
                <w:sz w:val="18"/>
                <w:szCs w:val="20"/>
              </w:rPr>
              <w:t>Notes:</w:t>
            </w:r>
            <w:proofErr w:type="gramEnd"/>
          </w:p>
          <w:p w14:paraId="79168335" w14:textId="77777777" w:rsidR="00DB68EE" w:rsidRPr="00E31467" w:rsidRDefault="00DB68EE" w:rsidP="00DB68EE">
            <w:pPr>
              <w:pStyle w:val="Tablelegend"/>
              <w:rPr>
                <w:rFonts w:ascii="Segoe UI" w:hAnsi="Segoe UI" w:cs="Segoe UI"/>
                <w:sz w:val="18"/>
                <w:szCs w:val="20"/>
              </w:rPr>
            </w:pPr>
            <w:r w:rsidRPr="00E31467">
              <w:rPr>
                <w:sz w:val="18"/>
                <w:szCs w:val="20"/>
                <w:vertAlign w:val="superscript"/>
              </w:rPr>
              <w:t>(1)</w:t>
            </w:r>
            <w:r w:rsidRPr="00E31467">
              <w:rPr>
                <w:sz w:val="18"/>
                <w:szCs w:val="20"/>
              </w:rPr>
              <w:tab/>
              <w:t>Les week-ends sont inclus dans le prix, le cas échéant.</w:t>
            </w:r>
          </w:p>
          <w:p w14:paraId="6FB47A4B" w14:textId="77777777" w:rsidR="00DB68EE" w:rsidRPr="00E31467" w:rsidRDefault="00DB68EE" w:rsidP="00DB68EE">
            <w:pPr>
              <w:pStyle w:val="Tablelegend"/>
              <w:rPr>
                <w:rFonts w:ascii="Segoe UI" w:hAnsi="Segoe UI" w:cs="Segoe UI"/>
                <w:sz w:val="18"/>
                <w:szCs w:val="20"/>
              </w:rPr>
            </w:pPr>
            <w:r w:rsidRPr="00E31467">
              <w:rPr>
                <w:sz w:val="18"/>
                <w:szCs w:val="20"/>
                <w:vertAlign w:val="superscript"/>
              </w:rPr>
              <w:t>(2)</w:t>
            </w:r>
            <w:r w:rsidRPr="00E31467">
              <w:rPr>
                <w:sz w:val="18"/>
                <w:szCs w:val="20"/>
              </w:rPr>
              <w:tab/>
              <w:t>Les frais de sécurité sont calculés sur la base des coûts marginaux et comprennent le coût d'un agent de sécurité non armé de l'</w:t>
            </w:r>
            <w:proofErr w:type="spellStart"/>
            <w:r w:rsidRPr="00E31467">
              <w:rPr>
                <w:sz w:val="18"/>
                <w:szCs w:val="20"/>
              </w:rPr>
              <w:t>ONUG</w:t>
            </w:r>
            <w:proofErr w:type="spellEnd"/>
            <w:r w:rsidRPr="00E31467">
              <w:rPr>
                <w:sz w:val="18"/>
                <w:szCs w:val="20"/>
              </w:rPr>
              <w:t xml:space="preserve"> (79 USD = 61 CHF/H) et, le cas échéant, le coût du personnel chargé de la délivrance des badges. Les coûts de l'</w:t>
            </w:r>
            <w:proofErr w:type="spellStart"/>
            <w:r w:rsidRPr="00E31467">
              <w:rPr>
                <w:sz w:val="18"/>
                <w:szCs w:val="20"/>
              </w:rPr>
              <w:t>ONUG</w:t>
            </w:r>
            <w:proofErr w:type="spellEnd"/>
            <w:r w:rsidRPr="00E31467">
              <w:rPr>
                <w:sz w:val="18"/>
                <w:szCs w:val="20"/>
              </w:rPr>
              <w:t xml:space="preserve"> comprennent également un montant de 4 CHF par badge imprimé (au moyen du système de badges de l'</w:t>
            </w:r>
            <w:proofErr w:type="spellStart"/>
            <w:r w:rsidRPr="00E31467">
              <w:rPr>
                <w:sz w:val="18"/>
                <w:szCs w:val="20"/>
              </w:rPr>
              <w:t>ONUG</w:t>
            </w:r>
            <w:proofErr w:type="spellEnd"/>
            <w:r w:rsidRPr="00E31467">
              <w:rPr>
                <w:sz w:val="18"/>
                <w:szCs w:val="20"/>
              </w:rPr>
              <w:t>).</w:t>
            </w:r>
          </w:p>
          <w:p w14:paraId="79C491B1" w14:textId="77777777" w:rsidR="00DB68EE" w:rsidRPr="00E31467" w:rsidRDefault="00DB68EE" w:rsidP="00DB68EE">
            <w:pPr>
              <w:pStyle w:val="Tablelegend"/>
              <w:rPr>
                <w:rFonts w:ascii="Segoe UI" w:hAnsi="Segoe UI" w:cs="Segoe UI"/>
                <w:sz w:val="18"/>
                <w:szCs w:val="20"/>
              </w:rPr>
            </w:pPr>
            <w:r w:rsidRPr="00E31467">
              <w:rPr>
                <w:sz w:val="18"/>
                <w:szCs w:val="20"/>
                <w:vertAlign w:val="superscript"/>
              </w:rPr>
              <w:t>(3)</w:t>
            </w:r>
            <w:r w:rsidRPr="00E31467">
              <w:rPr>
                <w:sz w:val="18"/>
                <w:szCs w:val="20"/>
              </w:rPr>
              <w:tab/>
              <w:t>Les frais de location et les frais techniques de l'</w:t>
            </w:r>
            <w:proofErr w:type="spellStart"/>
            <w:r w:rsidRPr="00E31467">
              <w:rPr>
                <w:sz w:val="18"/>
                <w:szCs w:val="20"/>
              </w:rPr>
              <w:t>ONUG</w:t>
            </w:r>
            <w:proofErr w:type="spellEnd"/>
            <w:r w:rsidRPr="00E31467">
              <w:rPr>
                <w:sz w:val="18"/>
                <w:szCs w:val="20"/>
              </w:rPr>
              <w:t xml:space="preserve">, initialement indiqués en USD, sont convertis ici en CHF aux fins de comparaison uniquement, selon un taux de change de 1 USD = 0,8 CHF. Ce coût peut augmenter en fonction des taux de </w:t>
            </w:r>
            <w:proofErr w:type="gramStart"/>
            <w:r w:rsidRPr="00E31467">
              <w:rPr>
                <w:sz w:val="18"/>
                <w:szCs w:val="20"/>
              </w:rPr>
              <w:t>change;</w:t>
            </w:r>
            <w:proofErr w:type="gramEnd"/>
            <w:r w:rsidRPr="00E31467">
              <w:rPr>
                <w:sz w:val="18"/>
                <w:szCs w:val="20"/>
              </w:rPr>
              <w:t xml:space="preserve"> les salles de l'</w:t>
            </w:r>
            <w:proofErr w:type="spellStart"/>
            <w:r w:rsidRPr="00E31467">
              <w:rPr>
                <w:sz w:val="18"/>
                <w:szCs w:val="20"/>
              </w:rPr>
              <w:t>ONUG</w:t>
            </w:r>
            <w:proofErr w:type="spellEnd"/>
            <w:r w:rsidRPr="00E31467">
              <w:rPr>
                <w:sz w:val="18"/>
                <w:szCs w:val="20"/>
              </w:rPr>
              <w:t xml:space="preserve"> seront disponibles à la dernière minute.</w:t>
            </w:r>
          </w:p>
          <w:p w14:paraId="05163CA6" w14:textId="117B3BEC" w:rsidR="00DB68EE" w:rsidRPr="00E31467" w:rsidRDefault="00DB68EE" w:rsidP="00DB68EE">
            <w:pPr>
              <w:pStyle w:val="Tablelegend"/>
              <w:rPr>
                <w:rFonts w:ascii="Segoe UI" w:hAnsi="Segoe UI" w:cs="Segoe UI"/>
                <w:sz w:val="18"/>
                <w:szCs w:val="20"/>
              </w:rPr>
            </w:pPr>
            <w:r w:rsidRPr="00E31467">
              <w:rPr>
                <w:sz w:val="18"/>
                <w:szCs w:val="20"/>
                <w:vertAlign w:val="superscript"/>
              </w:rPr>
              <w:t>(4)</w:t>
            </w:r>
            <w:r w:rsidRPr="00E31467">
              <w:rPr>
                <w:sz w:val="18"/>
                <w:szCs w:val="20"/>
              </w:rPr>
              <w:tab/>
              <w:t xml:space="preserve">Les tarifs de Palexpo pour les sessions du Conseil et les réunions des </w:t>
            </w:r>
            <w:proofErr w:type="spellStart"/>
            <w:r w:rsidRPr="00E31467">
              <w:rPr>
                <w:sz w:val="18"/>
                <w:szCs w:val="20"/>
              </w:rPr>
              <w:t>GTC</w:t>
            </w:r>
            <w:proofErr w:type="spellEnd"/>
            <w:r w:rsidRPr="00E31467">
              <w:rPr>
                <w:sz w:val="18"/>
                <w:szCs w:val="20"/>
              </w:rPr>
              <w:t xml:space="preserve"> sont proposés avec une remise estimée à</w:t>
            </w:r>
            <w:r w:rsidR="00320242" w:rsidRPr="00E31467">
              <w:rPr>
                <w:sz w:val="18"/>
                <w:szCs w:val="20"/>
              </w:rPr>
              <w:t> </w:t>
            </w:r>
            <w:r w:rsidRPr="00E31467">
              <w:rPr>
                <w:sz w:val="18"/>
                <w:szCs w:val="20"/>
              </w:rPr>
              <w:t>40% par rapport au prix catalogue et ne s'appliquent qu'aux réservations groupées.</w:t>
            </w:r>
          </w:p>
          <w:p w14:paraId="41215DD5" w14:textId="77777777" w:rsidR="00DB68EE" w:rsidRPr="00E31467" w:rsidRDefault="00DB68EE" w:rsidP="00DB68EE">
            <w:pPr>
              <w:pStyle w:val="Tablelegend"/>
              <w:rPr>
                <w:rFonts w:ascii="Segoe UI" w:hAnsi="Segoe UI" w:cs="Segoe UI"/>
              </w:rPr>
            </w:pPr>
            <w:r w:rsidRPr="00E31467">
              <w:rPr>
                <w:sz w:val="18"/>
                <w:szCs w:val="20"/>
                <w:vertAlign w:val="superscript"/>
              </w:rPr>
              <w:t>(5)</w:t>
            </w:r>
            <w:r w:rsidRPr="00E31467">
              <w:rPr>
                <w:sz w:val="18"/>
                <w:szCs w:val="20"/>
              </w:rPr>
              <w:tab/>
              <w:t xml:space="preserve">Les tarifs de l'OMS et de l'OIT n'étaient pas disponibles au moment de la soumission du présent </w:t>
            </w:r>
            <w:proofErr w:type="gramStart"/>
            <w:r w:rsidRPr="00E31467">
              <w:rPr>
                <w:sz w:val="18"/>
                <w:szCs w:val="20"/>
              </w:rPr>
              <w:t>rapport;</w:t>
            </w:r>
            <w:proofErr w:type="gramEnd"/>
            <w:r w:rsidRPr="00E31467">
              <w:rPr>
                <w:sz w:val="18"/>
                <w:szCs w:val="20"/>
              </w:rPr>
              <w:t xml:space="preserve"> un complément d'information à ce sujet sera fourni verbalement le cas échéant.</w:t>
            </w:r>
          </w:p>
        </w:tc>
      </w:tr>
    </w:tbl>
    <w:p w14:paraId="245D4173" w14:textId="77777777" w:rsidR="00DB68EE" w:rsidRPr="00E31467" w:rsidRDefault="00DB68EE" w:rsidP="00DB68EE">
      <w:pPr>
        <w:pStyle w:val="Heading1"/>
      </w:pPr>
      <w:r w:rsidRPr="00E31467">
        <w:lastRenderedPageBreak/>
        <w:t>5</w:t>
      </w:r>
      <w:r w:rsidRPr="00E31467">
        <w:tab/>
        <w:t>Autres modalités de continuité des activités</w:t>
      </w:r>
    </w:p>
    <w:p w14:paraId="28A49432" w14:textId="77777777" w:rsidR="00DB68EE" w:rsidRPr="00E31467" w:rsidRDefault="00DB68EE" w:rsidP="009F309D">
      <w:pPr>
        <w:pStyle w:val="Headingb"/>
        <w:spacing w:before="140"/>
      </w:pPr>
      <w:r w:rsidRPr="00E31467">
        <w:t>Lieux de remplacement hors de Genève</w:t>
      </w:r>
    </w:p>
    <w:p w14:paraId="4CD61D93" w14:textId="5E247E32" w:rsidR="00DB68EE" w:rsidRPr="009F309D" w:rsidRDefault="00DB68EE" w:rsidP="00BD653D">
      <w:pPr>
        <w:spacing w:before="100"/>
        <w:jc w:val="both"/>
        <w:rPr>
          <w:spacing w:val="-2"/>
        </w:rPr>
      </w:pPr>
      <w:r w:rsidRPr="009F309D">
        <w:rPr>
          <w:spacing w:val="-2"/>
        </w:rPr>
        <w:t xml:space="preserve">À la demande du </w:t>
      </w:r>
      <w:proofErr w:type="spellStart"/>
      <w:r w:rsidRPr="009F309D">
        <w:rPr>
          <w:spacing w:val="-2"/>
        </w:rPr>
        <w:t>GTC-FHR</w:t>
      </w:r>
      <w:proofErr w:type="spellEnd"/>
      <w:r w:rsidRPr="009F309D">
        <w:rPr>
          <w:spacing w:val="-2"/>
        </w:rPr>
        <w:t xml:space="preserve"> formulée à sa 21ème réunion, le secrétariat de l'UIT a procédé à une première évaluation des sites de conférence à Lausanne, qui est le pôle international de réunions le plus proche doté d'infrastructures comparables. À l'issue d'une première évaluation, il a été conclu que les deux sites suivants pourraient offrir des installations adaptées pour accueillir un nombre limité de réunions de </w:t>
      </w:r>
      <w:proofErr w:type="gramStart"/>
      <w:r w:rsidRPr="009F309D">
        <w:rPr>
          <w:spacing w:val="-2"/>
        </w:rPr>
        <w:t>l'UIT:</w:t>
      </w:r>
      <w:proofErr w:type="gramEnd"/>
      <w:r w:rsidRPr="009F309D">
        <w:rPr>
          <w:spacing w:val="-2"/>
        </w:rPr>
        <w:t xml:space="preserve"> le </w:t>
      </w:r>
      <w:proofErr w:type="spellStart"/>
      <w:r w:rsidRPr="009F309D">
        <w:rPr>
          <w:spacing w:val="-2"/>
        </w:rPr>
        <w:t>SwissTech</w:t>
      </w:r>
      <w:proofErr w:type="spellEnd"/>
      <w:r w:rsidRPr="009F309D">
        <w:rPr>
          <w:spacing w:val="-2"/>
        </w:rPr>
        <w:t xml:space="preserve"> Convention Center, l'un des plus grands centres de congrès de la région du lac Léman, et le Beaulieu, un complexe multifonctionnel pouvant accueillir des manifestations réunissant 50 à 4 000 personnes. Toutefois, compte tenu des coûts financiers et opérationnels supplémentaires attribuables à la tenue de réunions hors de Genève, de la disponibilité potentielle de salles au siège de l'UIT et des financements reçus de la Suisse, d'autres options pour assurer la continuité des activités sont désormais plus envisageables et il n'y a aucun avantage comparatif à retenir cette option pour assurer la continuité des activités à ce stade.</w:t>
      </w:r>
    </w:p>
    <w:p w14:paraId="4D398152" w14:textId="77777777" w:rsidR="00DB68EE" w:rsidRPr="00E31467" w:rsidRDefault="00DB68EE" w:rsidP="009F309D">
      <w:pPr>
        <w:pStyle w:val="Headingb"/>
        <w:spacing w:before="140"/>
      </w:pPr>
      <w:r w:rsidRPr="00E31467">
        <w:t>Accueil ponctuel par les États Membres</w:t>
      </w:r>
    </w:p>
    <w:p w14:paraId="3222F65D" w14:textId="2F4A8C52" w:rsidR="00DB68EE" w:rsidRPr="00E31467" w:rsidRDefault="00DB68EE" w:rsidP="00BD653D">
      <w:pPr>
        <w:spacing w:before="100"/>
        <w:jc w:val="both"/>
      </w:pPr>
      <w:r w:rsidRPr="00E31467">
        <w:t>Un nombre limité de réunions distinctes de commissions d'étude pourra continuer à être organisé par les États Membres au cours de cette période, à titre ponctuel, conformément à la pratique habituelle prévue en vertu de la Résolution 5 (Kyoto, 1994) de la Conférence de plénipotentiaires, par laquelle l'État Membre concerné prend à sa charge les frais supplémentaires liés à la tenue d'une réunion en dehors du siège de Genève.</w:t>
      </w:r>
    </w:p>
    <w:p w14:paraId="025223E2" w14:textId="77777777" w:rsidR="00DB68EE" w:rsidRPr="00E31467" w:rsidRDefault="00DB68EE" w:rsidP="009F309D">
      <w:pPr>
        <w:pStyle w:val="Headingb"/>
        <w:spacing w:before="140"/>
      </w:pPr>
      <w:r w:rsidRPr="00E31467">
        <w:t>Centre de réunions de l'UIT</w:t>
      </w:r>
    </w:p>
    <w:p w14:paraId="24373D44" w14:textId="4A0C9AF0" w:rsidR="00DB68EE" w:rsidRPr="00E31467" w:rsidRDefault="00DB68EE" w:rsidP="00BD653D">
      <w:pPr>
        <w:spacing w:before="100"/>
        <w:jc w:val="both"/>
      </w:pPr>
      <w:r w:rsidRPr="00E31467">
        <w:t xml:space="preserve">Le concept du centre de réunions de l'UIT consiste à ce qu'un pays hôte prenne en charge le coût lié au site, aux équipements, aux services techniques et à la gestion de toutes les réunions techniques de l'UIT pendant toute la période où les installations doivent être utilisées (ou pendant une année), en plus des charges de personnel de l'UIT sur place, conformément à la </w:t>
      </w:r>
      <w:hyperlink r:id="rId20" w:history="1">
        <w:r w:rsidRPr="00E31467">
          <w:rPr>
            <w:rStyle w:val="Hyperlink"/>
            <w:rFonts w:eastAsia="Times New Roman" w:cs="Times New Roman"/>
            <w:szCs w:val="20"/>
          </w:rPr>
          <w:t>Résolution 5</w:t>
        </w:r>
      </w:hyperlink>
      <w:r w:rsidRPr="00E31467">
        <w:t xml:space="preserve"> (Kyoto, 1994) de la Conférence de plénipotentiaires et aux Résolutions applicables des Secteurs.</w:t>
      </w:r>
    </w:p>
    <w:p w14:paraId="76361AF7" w14:textId="60F71742" w:rsidR="00DB68EE" w:rsidRPr="00E31467" w:rsidRDefault="00DB68EE" w:rsidP="00BD653D">
      <w:pPr>
        <w:spacing w:before="100"/>
        <w:jc w:val="both"/>
      </w:pPr>
      <w:r w:rsidRPr="00E31467">
        <w:t>À la session de 2025 du Conseil, plusieurs États Membres ont manifesté leur intérêt d'approfondir l'étude de cette solution. En conséquence, le secrétariat a publié en</w:t>
      </w:r>
      <w:r w:rsidR="00896E2C" w:rsidRPr="00E31467">
        <w:t> </w:t>
      </w:r>
      <w:r w:rsidRPr="00E31467">
        <w:t>août</w:t>
      </w:r>
      <w:r w:rsidR="00896E2C" w:rsidRPr="00E31467">
        <w:t> </w:t>
      </w:r>
      <w:r w:rsidRPr="00E31467">
        <w:t xml:space="preserve">2025, par la </w:t>
      </w:r>
      <w:hyperlink r:id="rId21" w:history="1">
        <w:r w:rsidRPr="00E31467">
          <w:rPr>
            <w:rStyle w:val="Hyperlink"/>
            <w:rFonts w:eastAsia="Times New Roman" w:cs="Times New Roman"/>
            <w:szCs w:val="20"/>
          </w:rPr>
          <w:t xml:space="preserve">Lettre Circulaire </w:t>
        </w:r>
        <w:proofErr w:type="spellStart"/>
        <w:r w:rsidRPr="00E31467">
          <w:rPr>
            <w:rStyle w:val="Hyperlink"/>
            <w:rFonts w:eastAsia="Times New Roman" w:cs="Times New Roman"/>
            <w:szCs w:val="20"/>
          </w:rPr>
          <w:t>CL-25</w:t>
        </w:r>
        <w:proofErr w:type="spellEnd"/>
        <w:r w:rsidRPr="00E31467">
          <w:rPr>
            <w:rStyle w:val="Hyperlink"/>
            <w:rFonts w:eastAsia="Times New Roman" w:cs="Times New Roman"/>
            <w:szCs w:val="20"/>
          </w:rPr>
          <w:t>/38</w:t>
        </w:r>
      </w:hyperlink>
      <w:r w:rsidRPr="00E31467">
        <w:t>, un appel à propositions pour l'accueil d'un Centre de réunions de l'UIT pendant la période de construction du nouveau bâtiment du siège de l'Union en 2028-2029. Deux États Membres ont répondu favorablement, mais après de nouvelles discussions et la présentation de besoins détaillés et d'estimations financières, aucune proposition concrète n'a été reçue. Par conséquent, le secrétariat estime qu'il n'est pas possible de conserver cette option à ce stade.</w:t>
      </w:r>
    </w:p>
    <w:p w14:paraId="14B56E98" w14:textId="77777777" w:rsidR="00DB68EE" w:rsidRPr="00E31467" w:rsidRDefault="00DB68EE" w:rsidP="009F309D">
      <w:pPr>
        <w:pStyle w:val="Headingb"/>
        <w:spacing w:before="140"/>
      </w:pPr>
      <w:r w:rsidRPr="00E31467">
        <w:t>Réunions virtuelles</w:t>
      </w:r>
    </w:p>
    <w:p w14:paraId="0F607040" w14:textId="12188A59" w:rsidR="00DB68EE" w:rsidRPr="00E31467" w:rsidRDefault="00DB68EE" w:rsidP="00BD653D">
      <w:pPr>
        <w:spacing w:before="100"/>
        <w:jc w:val="both"/>
      </w:pPr>
      <w:r w:rsidRPr="00E31467">
        <w:t xml:space="preserve">Il reste techniquement possible d'organiser des réunions techniques entièrement virtuelles, compte tenu en particulier des </w:t>
      </w:r>
      <w:hyperlink r:id="rId22" w:anchor="/fr" w:history="1">
        <w:r w:rsidRPr="00E31467">
          <w:rPr>
            <w:rStyle w:val="Hyperlink"/>
            <w:rFonts w:eastAsia="Times New Roman" w:cs="Times New Roman"/>
            <w:szCs w:val="20"/>
          </w:rPr>
          <w:t>lignes directrices établies pour les réunions avec participation à distance</w:t>
        </w:r>
      </w:hyperlink>
      <w:r w:rsidRPr="00E31467">
        <w:t xml:space="preserve">. Néanmoins, suivant la pratique actuelle, il est possible d'organiser ce type de réunions pendant une durée maximale de trois heures par jour aux alentours de 12 heures (heure de Genève). Cette contrainte aurait une incidence sur la flexibilité et la durée des réunions techniques, qui se déroulent généralement sur cinq à huit jours. En outre, la difficulté d'organiser des réunions virtuelles avec des participants situés dans des fuseaux horaires </w:t>
      </w:r>
      <w:r w:rsidRPr="00E31467">
        <w:lastRenderedPageBreak/>
        <w:t xml:space="preserve">différents a été soulevée à plusieurs reprises lors des sessions du Conseil et des réunions du </w:t>
      </w:r>
      <w:proofErr w:type="spellStart"/>
      <w:r w:rsidRPr="00E31467">
        <w:t>GTC-FHR</w:t>
      </w:r>
      <w:proofErr w:type="spellEnd"/>
      <w:r w:rsidRPr="00E31467">
        <w:t>. Cette option ne constitue donc qu'une solution de repli.</w:t>
      </w:r>
    </w:p>
    <w:p w14:paraId="01BEEF1E" w14:textId="77777777" w:rsidR="00DB68EE" w:rsidRPr="00E31467" w:rsidRDefault="00DB68EE" w:rsidP="009F309D">
      <w:pPr>
        <w:pStyle w:val="Heading1"/>
        <w:spacing w:before="240"/>
        <w:jc w:val="both"/>
      </w:pPr>
      <w:r w:rsidRPr="00E31467">
        <w:t>6</w:t>
      </w:r>
      <w:r w:rsidRPr="00E31467">
        <w:tab/>
        <w:t>Continuité des activités du siège de l'UIT</w:t>
      </w:r>
    </w:p>
    <w:p w14:paraId="14E7F74A" w14:textId="0F356455" w:rsidR="00DB68EE" w:rsidRPr="00E31467" w:rsidRDefault="00DB68EE" w:rsidP="00BD653D">
      <w:pPr>
        <w:spacing w:before="100"/>
        <w:jc w:val="both"/>
      </w:pPr>
      <w:r w:rsidRPr="00E31467">
        <w:t>On trouvera des renseignements détaillés sur les mesures de continuité des activités dans des domaines autres que les réunions de l'UIT dans le document "</w:t>
      </w:r>
      <w:r w:rsidR="00CA592C" w:rsidRPr="00E31467">
        <w:t>Informations mises à jour concernant le projet de locaux du siège de l'union</w:t>
      </w:r>
      <w:r w:rsidRPr="00E31467">
        <w:t>" (</w:t>
      </w:r>
      <w:hyperlink r:id="rId23" w:history="1">
        <w:r w:rsidRPr="00E31467">
          <w:rPr>
            <w:rStyle w:val="Hyperlink"/>
            <w:rFonts w:eastAsia="Times New Roman" w:cs="Times New Roman"/>
            <w:szCs w:val="20"/>
          </w:rPr>
          <w:t xml:space="preserve">Document </w:t>
        </w:r>
        <w:proofErr w:type="spellStart"/>
        <w:r w:rsidRPr="00E31467">
          <w:rPr>
            <w:rStyle w:val="Hyperlink"/>
            <w:rFonts w:eastAsia="Times New Roman" w:cs="Times New Roman"/>
            <w:szCs w:val="20"/>
          </w:rPr>
          <w:t>C26</w:t>
        </w:r>
        <w:proofErr w:type="spellEnd"/>
        <w:r w:rsidRPr="00E31467">
          <w:rPr>
            <w:rStyle w:val="Hyperlink"/>
            <w:rFonts w:eastAsia="Times New Roman" w:cs="Times New Roman"/>
            <w:szCs w:val="20"/>
          </w:rPr>
          <w:t>/7</w:t>
        </w:r>
      </w:hyperlink>
      <w:r w:rsidRPr="00E31467">
        <w:t>).</w:t>
      </w:r>
    </w:p>
    <w:p w14:paraId="22069DDD" w14:textId="77777777" w:rsidR="00DB68EE" w:rsidRPr="00E31467" w:rsidRDefault="00DB68EE" w:rsidP="009F309D">
      <w:pPr>
        <w:pStyle w:val="Heading1"/>
        <w:spacing w:before="240"/>
        <w:jc w:val="both"/>
      </w:pPr>
      <w:r w:rsidRPr="00E31467">
        <w:t>7</w:t>
      </w:r>
      <w:r w:rsidRPr="00E31467">
        <w:tab/>
        <w:t>Financement</w:t>
      </w:r>
    </w:p>
    <w:p w14:paraId="72E2F8CE" w14:textId="71C4C668" w:rsidR="00DB68EE" w:rsidRPr="00E31467" w:rsidRDefault="00DB68EE" w:rsidP="00BD653D">
      <w:pPr>
        <w:spacing w:before="100"/>
        <w:jc w:val="both"/>
      </w:pPr>
      <w:r w:rsidRPr="00E31467">
        <w:t xml:space="preserve">À la 22ème réunion du </w:t>
      </w:r>
      <w:proofErr w:type="spellStart"/>
      <w:r w:rsidRPr="00E31467">
        <w:t>GTC-FHR</w:t>
      </w:r>
      <w:proofErr w:type="spellEnd"/>
      <w:r w:rsidRPr="00E31467">
        <w:t xml:space="preserve"> en janvier 2026, la Suisse a confirmé que l'UIT bénéficierait d'une exonération de deux ans (2025 et 2026) des remboursements des prêts immobiliers éligibles précédemment accordés par la Confédération suisse (</w:t>
      </w:r>
      <w:hyperlink r:id="rId24" w:history="1">
        <w:r w:rsidRPr="00E31467">
          <w:rPr>
            <w:rStyle w:val="Hyperlink"/>
            <w:rFonts w:eastAsia="Times New Roman" w:cs="Times New Roman"/>
            <w:szCs w:val="20"/>
          </w:rPr>
          <w:t xml:space="preserve">Document </w:t>
        </w:r>
        <w:proofErr w:type="spellStart"/>
        <w:r w:rsidRPr="00E31467">
          <w:rPr>
            <w:rStyle w:val="Hyperlink"/>
            <w:rFonts w:eastAsia="Times New Roman" w:cs="Times New Roman"/>
            <w:szCs w:val="20"/>
          </w:rPr>
          <w:t>CWG</w:t>
        </w:r>
        <w:proofErr w:type="spellEnd"/>
        <w:r w:rsidRPr="00E31467">
          <w:rPr>
            <w:rStyle w:val="Hyperlink"/>
            <w:rFonts w:eastAsia="Times New Roman" w:cs="Times New Roman"/>
            <w:szCs w:val="20"/>
          </w:rPr>
          <w:t>-</w:t>
        </w:r>
        <w:proofErr w:type="spellStart"/>
        <w:r w:rsidRPr="00E31467">
          <w:rPr>
            <w:rStyle w:val="Hyperlink"/>
            <w:rFonts w:eastAsia="Times New Roman" w:cs="Times New Roman"/>
            <w:szCs w:val="20"/>
          </w:rPr>
          <w:t>FHR</w:t>
        </w:r>
        <w:proofErr w:type="spellEnd"/>
        <w:r w:rsidRPr="00E31467">
          <w:rPr>
            <w:rStyle w:val="Hyperlink"/>
            <w:rFonts w:eastAsia="Times New Roman" w:cs="Times New Roman"/>
            <w:szCs w:val="20"/>
          </w:rPr>
          <w:t>-22/23</w:t>
        </w:r>
      </w:hyperlink>
      <w:r w:rsidRPr="00E31467">
        <w:t xml:space="preserve">), l'objectif étant d'affecter les économies ainsi réalisées, d'un montant de 2 782 600 CHF, au fonds pour la continuité des activités afin de couvrir les coûts liés à l'organisation de réunions en Suisse pendant la période où les bâtiments du siège de l'UIT et le </w:t>
      </w:r>
      <w:proofErr w:type="spellStart"/>
      <w:r w:rsidRPr="00E31467">
        <w:t>CICG</w:t>
      </w:r>
      <w:proofErr w:type="spellEnd"/>
      <w:r w:rsidRPr="00E31467">
        <w:t xml:space="preserve"> seront entièrement ou partiellement indisponibles. Grâce à cette généreuse contribution, le fonds pour la continuité des activités pour la période de construction du nouveau bâtiment du siège de l'UIT s'élève désormais à 3,171 millions CHF, montant qui inclut l'affectation au fonds pour la continuité des économies réalisées en 2024 s'élevant à 389 000 (</w:t>
      </w:r>
      <w:hyperlink r:id="rId25" w:history="1">
        <w:r w:rsidRPr="00E31467">
          <w:rPr>
            <w:rStyle w:val="Hyperlink"/>
            <w:rFonts w:eastAsia="Times New Roman" w:cs="Times New Roman"/>
            <w:szCs w:val="20"/>
          </w:rPr>
          <w:t>Résolution</w:t>
        </w:r>
        <w:r w:rsidR="00896E2C" w:rsidRPr="00E31467">
          <w:rPr>
            <w:rStyle w:val="Hyperlink"/>
            <w:rFonts w:eastAsia="Times New Roman" w:cs="Times New Roman"/>
            <w:szCs w:val="20"/>
          </w:rPr>
          <w:t> </w:t>
        </w:r>
        <w:r w:rsidRPr="00E31467">
          <w:rPr>
            <w:rStyle w:val="Hyperlink"/>
            <w:rFonts w:eastAsia="Times New Roman" w:cs="Times New Roman"/>
            <w:szCs w:val="20"/>
          </w:rPr>
          <w:t>1434</w:t>
        </w:r>
      </w:hyperlink>
      <w:r w:rsidRPr="00E31467">
        <w:t xml:space="preserve"> (</w:t>
      </w:r>
      <w:proofErr w:type="spellStart"/>
      <w:r w:rsidRPr="00E31467">
        <w:t>C25</w:t>
      </w:r>
      <w:proofErr w:type="spellEnd"/>
      <w:r w:rsidRPr="00E31467">
        <w:t>)).</w:t>
      </w:r>
    </w:p>
    <w:p w14:paraId="086FE8A8" w14:textId="68412A45" w:rsidR="00DB68EE" w:rsidRPr="00E31467" w:rsidRDefault="00DB68EE" w:rsidP="00BD653D">
      <w:pPr>
        <w:spacing w:before="100"/>
        <w:jc w:val="both"/>
      </w:pPr>
      <w:r w:rsidRPr="00E31467">
        <w:t xml:space="preserve">L'affectation de 1,5 million CHF provenant des économies, présentée dans le </w:t>
      </w:r>
      <w:hyperlink r:id="rId26" w:history="1">
        <w:r w:rsidRPr="00E31467">
          <w:rPr>
            <w:rStyle w:val="Hyperlink"/>
            <w:rFonts w:eastAsia="Times New Roman" w:cs="Times New Roman"/>
            <w:szCs w:val="20"/>
          </w:rPr>
          <w:t>Document</w:t>
        </w:r>
        <w:r w:rsidR="00896E2C" w:rsidRPr="00E31467">
          <w:rPr>
            <w:rStyle w:val="Hyperlink"/>
            <w:rFonts w:eastAsia="Times New Roman" w:cs="Times New Roman"/>
            <w:szCs w:val="20"/>
          </w:rPr>
          <w:t> </w:t>
        </w:r>
        <w:proofErr w:type="spellStart"/>
        <w:r w:rsidRPr="00E31467">
          <w:rPr>
            <w:rStyle w:val="Hyperlink"/>
            <w:rFonts w:eastAsia="Times New Roman" w:cs="Times New Roman"/>
            <w:szCs w:val="20"/>
          </w:rPr>
          <w:t>C26</w:t>
        </w:r>
        <w:proofErr w:type="spellEnd"/>
        <w:r w:rsidRPr="00E31467">
          <w:rPr>
            <w:rStyle w:val="Hyperlink"/>
            <w:rFonts w:eastAsia="Times New Roman" w:cs="Times New Roman"/>
            <w:szCs w:val="20"/>
          </w:rPr>
          <w:t>/42</w:t>
        </w:r>
      </w:hyperlink>
      <w:r w:rsidRPr="00E31467">
        <w:t>, concerne la continuité des activités du siège de l'Union.</w:t>
      </w:r>
    </w:p>
    <w:p w14:paraId="483D2536" w14:textId="77777777" w:rsidR="00DB68EE" w:rsidRPr="00E31467" w:rsidRDefault="00DB68EE" w:rsidP="009F309D">
      <w:pPr>
        <w:pStyle w:val="Heading1"/>
        <w:spacing w:before="240"/>
      </w:pPr>
      <w:r w:rsidRPr="00E31467">
        <w:t>8</w:t>
      </w:r>
      <w:r w:rsidRPr="00E31467">
        <w:tab/>
        <w:t>Conclusion</w:t>
      </w:r>
    </w:p>
    <w:p w14:paraId="6CC95A96" w14:textId="77777777" w:rsidR="00DB68EE" w:rsidRPr="00E31467" w:rsidRDefault="00DB68EE" w:rsidP="00BD653D">
      <w:pPr>
        <w:spacing w:before="100"/>
        <w:jc w:val="both"/>
      </w:pPr>
      <w:r w:rsidRPr="00E31467">
        <w:t>Il a été confirmé que la période de perturbation majeure des réunions de l'UIT en raison d'importants travaux de démolition et de construction sur le site du siège de l'UIT s'étendrait du 1er octobre 2028 au 31 août 2029 inclus. La liste des réunions statutaires prévues pour cette période a été mise à jour afin de refléter de manière plus fidèle les salles de réunion et les services nécessaires.</w:t>
      </w:r>
    </w:p>
    <w:p w14:paraId="03A521C2" w14:textId="61433F94" w:rsidR="00DB68EE" w:rsidRPr="00E31467" w:rsidRDefault="00DB68EE" w:rsidP="00BD653D">
      <w:pPr>
        <w:keepLines/>
        <w:spacing w:before="100"/>
        <w:jc w:val="both"/>
      </w:pPr>
      <w:r w:rsidRPr="00E31467">
        <w:t>Compte tenu des résultats des tests acoustiques effectués en février 2026, les évaluations préliminaires indiquent que certaines salles de réunion pourraient être utilisées pendant toute la durée des travaux. Le secrétariat s'emploie actuellement à dresser une liste détaillée de toutes les réunions concernées, afin de garantir que le plus grand nombre possible d'</w:t>
      </w:r>
      <w:proofErr w:type="spellStart"/>
      <w:r w:rsidRPr="00E31467">
        <w:t>entre</w:t>
      </w:r>
      <w:proofErr w:type="spellEnd"/>
      <w:r w:rsidRPr="00E31467">
        <w:t xml:space="preserve"> elles puissent être organisées à l'UIT et d'identifier celles qui nécessitent un lieu externe à l'UIT. Ce processus exhaustif d'inventaire permettra de proposer des lieux potentiels à Genève susceptibles d'accueillir les réunions qui ne pourront pas se tenir à l'UIT, avec une estimation des frais de location et des dépenses associées. Il sera alors possible d'estimer plus précisément le montant total nécessaire et de déterminer si le fonds pour la continuité des activités, d'un montant de 3,1 millions CHF, est suffisant.</w:t>
      </w:r>
    </w:p>
    <w:p w14:paraId="710CCD4A" w14:textId="77777777" w:rsidR="00DB68EE" w:rsidRPr="00E31467" w:rsidRDefault="00DB68EE" w:rsidP="00BD653D">
      <w:pPr>
        <w:spacing w:before="100"/>
        <w:jc w:val="both"/>
      </w:pPr>
      <w:r w:rsidRPr="00E31467">
        <w:t>Un aperçu complet des salles de réunion inventoriées et des coûts associés, y compris la modernisation de l'infrastructure des salles de réunion de l'UIT, le cas échéant, sera présenté à la Conférence de plénipotentiaires en novembre 2026.</w:t>
      </w:r>
    </w:p>
    <w:p w14:paraId="132C8A78" w14:textId="524701B2" w:rsidR="00DB68EE" w:rsidRPr="00E31467" w:rsidRDefault="00DB68EE" w:rsidP="00BD653D">
      <w:pPr>
        <w:spacing w:before="100"/>
        <w:jc w:val="both"/>
      </w:pPr>
      <w:r w:rsidRPr="00E31467">
        <w:t>Les mesures de continuité des activités du siège de l'UIT couvriront la totalité de la période de construction (2028-2031) et sont présentées dans les documents relatifs au projet de locaux du siège (</w:t>
      </w:r>
      <w:hyperlink r:id="rId27" w:history="1">
        <w:r w:rsidRPr="00E31467">
          <w:rPr>
            <w:rStyle w:val="Hyperlink"/>
            <w:rFonts w:eastAsia="Times New Roman" w:cs="Times New Roman"/>
            <w:szCs w:val="20"/>
          </w:rPr>
          <w:t xml:space="preserve">Document </w:t>
        </w:r>
        <w:proofErr w:type="spellStart"/>
        <w:r w:rsidRPr="00E31467">
          <w:rPr>
            <w:rStyle w:val="Hyperlink"/>
            <w:rFonts w:eastAsia="Times New Roman" w:cs="Times New Roman"/>
            <w:szCs w:val="20"/>
          </w:rPr>
          <w:t>C26</w:t>
        </w:r>
        <w:proofErr w:type="spellEnd"/>
        <w:r w:rsidRPr="00E31467">
          <w:rPr>
            <w:rStyle w:val="Hyperlink"/>
            <w:rFonts w:eastAsia="Times New Roman" w:cs="Times New Roman"/>
            <w:szCs w:val="20"/>
          </w:rPr>
          <w:t>/7</w:t>
        </w:r>
      </w:hyperlink>
      <w:r w:rsidRPr="00E31467">
        <w:t>).</w:t>
      </w:r>
    </w:p>
    <w:p w14:paraId="67A60C68" w14:textId="4B19A5EB" w:rsidR="00896E2C" w:rsidRPr="00E31467" w:rsidRDefault="00DB68EE" w:rsidP="009F309D">
      <w:proofErr w:type="gramStart"/>
      <w:r w:rsidRPr="00E31467">
        <w:rPr>
          <w:b/>
          <w:bCs/>
        </w:rPr>
        <w:t>Annexes</w:t>
      </w:r>
      <w:r w:rsidRPr="00E31467">
        <w:t>:</w:t>
      </w:r>
      <w:proofErr w:type="gramEnd"/>
      <w:r w:rsidRPr="00E31467">
        <w:t xml:space="preserve"> 2</w:t>
      </w:r>
      <w:r w:rsidR="00896E2C" w:rsidRPr="00E31467">
        <w:br w:type="page"/>
      </w:r>
    </w:p>
    <w:p w14:paraId="6252F5A6" w14:textId="77777777" w:rsidR="00896E2C" w:rsidRPr="00E31467" w:rsidRDefault="00896E2C" w:rsidP="00896E2C">
      <w:pPr>
        <w:pStyle w:val="AnnexNo"/>
      </w:pPr>
      <w:r w:rsidRPr="00E31467">
        <w:lastRenderedPageBreak/>
        <w:t>Annexe 1</w:t>
      </w:r>
    </w:p>
    <w:p w14:paraId="057EB5C8" w14:textId="20F0CE31" w:rsidR="00896E2C" w:rsidRPr="00E31467" w:rsidRDefault="00896E2C" w:rsidP="00896E2C">
      <w:pPr>
        <w:pStyle w:val="Annextitle"/>
      </w:pPr>
      <w:r w:rsidRPr="00E31467">
        <w:t>Liste des réunions techniques de l'UIT prévues</w:t>
      </w:r>
      <w:r w:rsidR="00AE3873">
        <w:br/>
      </w:r>
      <w:r w:rsidRPr="00E31467">
        <w:t>d'octobre 2028 à août 2029</w:t>
      </w:r>
    </w:p>
    <w:tbl>
      <w:tblPr>
        <w:tblStyle w:val="TableGrid"/>
        <w:tblW w:w="9057" w:type="dxa"/>
        <w:jc w:val="center"/>
        <w:tblLayout w:type="fixed"/>
        <w:tblCellMar>
          <w:left w:w="28" w:type="dxa"/>
          <w:right w:w="28" w:type="dxa"/>
        </w:tblCellMar>
        <w:tblLook w:val="04A0" w:firstRow="1" w:lastRow="0" w:firstColumn="1" w:lastColumn="0" w:noHBand="0" w:noVBand="1"/>
      </w:tblPr>
      <w:tblGrid>
        <w:gridCol w:w="704"/>
        <w:gridCol w:w="2268"/>
        <w:gridCol w:w="1276"/>
        <w:gridCol w:w="1134"/>
        <w:gridCol w:w="2190"/>
        <w:gridCol w:w="1485"/>
      </w:tblGrid>
      <w:tr w:rsidR="00A0207D" w:rsidRPr="00E31467" w14:paraId="20572839" w14:textId="77777777" w:rsidTr="001D5D9F">
        <w:trPr>
          <w:cantSplit/>
          <w:tblHeader/>
          <w:jc w:val="center"/>
        </w:trPr>
        <w:tc>
          <w:tcPr>
            <w:tcW w:w="704" w:type="dxa"/>
            <w:vMerge w:val="restart"/>
            <w:tcBorders>
              <w:top w:val="single" w:sz="4" w:space="0" w:color="auto"/>
              <w:left w:val="single" w:sz="4" w:space="0" w:color="auto"/>
              <w:bottom w:val="single" w:sz="4" w:space="0" w:color="auto"/>
              <w:right w:val="single" w:sz="4" w:space="0" w:color="auto"/>
            </w:tcBorders>
            <w:noWrap/>
            <w:vAlign w:val="center"/>
            <w:hideMark/>
          </w:tcPr>
          <w:p w14:paraId="2B1922F8" w14:textId="77777777" w:rsidR="00896E2C" w:rsidRPr="00E31467" w:rsidRDefault="00896E2C" w:rsidP="001D5D9F">
            <w:pPr>
              <w:pStyle w:val="Tablehead"/>
              <w:rPr>
                <w:sz w:val="18"/>
                <w:szCs w:val="18"/>
              </w:rPr>
            </w:pPr>
            <w:r w:rsidRPr="00E31467">
              <w:rPr>
                <w:sz w:val="18"/>
                <w:szCs w:val="18"/>
              </w:rPr>
              <w:t>Secteur</w:t>
            </w:r>
          </w:p>
        </w:tc>
        <w:tc>
          <w:tcPr>
            <w:tcW w:w="2268" w:type="dxa"/>
            <w:vMerge w:val="restart"/>
            <w:tcBorders>
              <w:top w:val="single" w:sz="4" w:space="0" w:color="auto"/>
              <w:left w:val="single" w:sz="4" w:space="0" w:color="auto"/>
              <w:bottom w:val="single" w:sz="4" w:space="0" w:color="auto"/>
              <w:right w:val="single" w:sz="4" w:space="0" w:color="auto"/>
            </w:tcBorders>
            <w:noWrap/>
            <w:vAlign w:val="center"/>
            <w:hideMark/>
          </w:tcPr>
          <w:p w14:paraId="7E5F5C6E" w14:textId="77777777" w:rsidR="00896E2C" w:rsidRPr="00E31467" w:rsidRDefault="00896E2C" w:rsidP="001D5D9F">
            <w:pPr>
              <w:pStyle w:val="Tablehead"/>
              <w:ind w:left="102"/>
              <w:rPr>
                <w:sz w:val="18"/>
                <w:szCs w:val="18"/>
              </w:rPr>
            </w:pPr>
            <w:r w:rsidRPr="00E31467">
              <w:rPr>
                <w:sz w:val="18"/>
                <w:szCs w:val="18"/>
              </w:rPr>
              <w:t>Réunion</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B69EE16" w14:textId="77777777" w:rsidR="00896E2C" w:rsidRPr="00E31467" w:rsidRDefault="00896E2C" w:rsidP="003D76DA">
            <w:pPr>
              <w:pStyle w:val="Tablehead"/>
              <w:ind w:left="-26"/>
              <w:rPr>
                <w:sz w:val="18"/>
                <w:szCs w:val="18"/>
              </w:rPr>
            </w:pPr>
            <w:r w:rsidRPr="00E31467">
              <w:rPr>
                <w:sz w:val="18"/>
                <w:szCs w:val="18"/>
              </w:rPr>
              <w:t>Date de début</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9DF7ADE" w14:textId="77777777" w:rsidR="00896E2C" w:rsidRPr="00E31467" w:rsidRDefault="00896E2C" w:rsidP="003D76DA">
            <w:pPr>
              <w:pStyle w:val="Tablehead"/>
              <w:ind w:left="-39"/>
              <w:rPr>
                <w:sz w:val="18"/>
                <w:szCs w:val="18"/>
              </w:rPr>
            </w:pPr>
            <w:r w:rsidRPr="00E31467">
              <w:rPr>
                <w:sz w:val="18"/>
                <w:szCs w:val="18"/>
              </w:rPr>
              <w:t>Date de fin</w:t>
            </w:r>
          </w:p>
        </w:tc>
        <w:tc>
          <w:tcPr>
            <w:tcW w:w="3675" w:type="dxa"/>
            <w:gridSpan w:val="2"/>
            <w:tcBorders>
              <w:top w:val="single" w:sz="4" w:space="0" w:color="auto"/>
              <w:left w:val="single" w:sz="4" w:space="0" w:color="auto"/>
              <w:bottom w:val="single" w:sz="4" w:space="0" w:color="auto"/>
              <w:right w:val="single" w:sz="4" w:space="0" w:color="auto"/>
            </w:tcBorders>
            <w:vAlign w:val="center"/>
            <w:hideMark/>
          </w:tcPr>
          <w:p w14:paraId="2D7944F5" w14:textId="77777777" w:rsidR="00896E2C" w:rsidRPr="00E31467" w:rsidRDefault="00896E2C" w:rsidP="00896E2C">
            <w:pPr>
              <w:pStyle w:val="Tablehead"/>
              <w:rPr>
                <w:sz w:val="18"/>
                <w:szCs w:val="18"/>
                <w:lang w:eastAsia="en-GB"/>
              </w:rPr>
            </w:pPr>
            <w:r w:rsidRPr="00E31467">
              <w:rPr>
                <w:sz w:val="18"/>
                <w:szCs w:val="18"/>
                <w:lang w:eastAsia="en-GB"/>
              </w:rPr>
              <w:t>Nombre de salles</w:t>
            </w:r>
          </w:p>
        </w:tc>
      </w:tr>
      <w:tr w:rsidR="00A0207D" w:rsidRPr="00E31467" w14:paraId="71F37292" w14:textId="77777777" w:rsidTr="001D5D9F">
        <w:trPr>
          <w:cantSplit/>
          <w:tblHeader/>
          <w:jc w:val="center"/>
        </w:trPr>
        <w:tc>
          <w:tcPr>
            <w:tcW w:w="704" w:type="dxa"/>
            <w:vMerge/>
            <w:tcBorders>
              <w:top w:val="single" w:sz="4" w:space="0" w:color="auto"/>
              <w:left w:val="single" w:sz="4" w:space="0" w:color="auto"/>
              <w:bottom w:val="single" w:sz="4" w:space="0" w:color="auto"/>
              <w:right w:val="single" w:sz="4" w:space="0" w:color="auto"/>
            </w:tcBorders>
            <w:hideMark/>
          </w:tcPr>
          <w:p w14:paraId="4AAED58B" w14:textId="77777777" w:rsidR="00896E2C" w:rsidRPr="00E31467" w:rsidRDefault="00896E2C" w:rsidP="001D5D9F">
            <w:pPr>
              <w:pStyle w:val="Tablehead"/>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43103C" w14:textId="77777777" w:rsidR="00896E2C" w:rsidRPr="00E31467" w:rsidRDefault="00896E2C" w:rsidP="001D5D9F">
            <w:pPr>
              <w:pStyle w:val="Tablehead"/>
              <w:ind w:left="102"/>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D2A65D" w14:textId="77777777" w:rsidR="00896E2C" w:rsidRPr="00E31467" w:rsidRDefault="00896E2C" w:rsidP="003D76DA">
            <w:pPr>
              <w:pStyle w:val="Tablehead"/>
              <w:ind w:left="-26"/>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450C17" w14:textId="77777777" w:rsidR="00896E2C" w:rsidRPr="00E31467" w:rsidRDefault="00896E2C" w:rsidP="003D76DA">
            <w:pPr>
              <w:pStyle w:val="Tablehead"/>
              <w:ind w:left="-39"/>
              <w:rPr>
                <w:sz w:val="18"/>
                <w:szCs w:val="18"/>
              </w:rPr>
            </w:pPr>
          </w:p>
        </w:tc>
        <w:tc>
          <w:tcPr>
            <w:tcW w:w="2190" w:type="dxa"/>
            <w:tcBorders>
              <w:top w:val="single" w:sz="4" w:space="0" w:color="auto"/>
              <w:left w:val="single" w:sz="4" w:space="0" w:color="auto"/>
              <w:bottom w:val="single" w:sz="4" w:space="0" w:color="auto"/>
              <w:right w:val="single" w:sz="4" w:space="0" w:color="auto"/>
            </w:tcBorders>
            <w:vAlign w:val="center"/>
            <w:hideMark/>
          </w:tcPr>
          <w:p w14:paraId="7EED7AB6" w14:textId="0F750C1D" w:rsidR="00896E2C" w:rsidRPr="00E31467" w:rsidRDefault="00896E2C" w:rsidP="00896E2C">
            <w:pPr>
              <w:pStyle w:val="Tablehead"/>
              <w:rPr>
                <w:sz w:val="18"/>
                <w:szCs w:val="18"/>
              </w:rPr>
            </w:pPr>
            <w:r w:rsidRPr="00E31467">
              <w:rPr>
                <w:sz w:val="18"/>
                <w:szCs w:val="18"/>
              </w:rPr>
              <w:t>Topologie de type "salle</w:t>
            </w:r>
            <w:r w:rsidR="001D5D9F" w:rsidRPr="00E31467">
              <w:rPr>
                <w:sz w:val="18"/>
                <w:szCs w:val="18"/>
              </w:rPr>
              <w:t> </w:t>
            </w:r>
            <w:r w:rsidRPr="00E31467">
              <w:rPr>
                <w:sz w:val="18"/>
                <w:szCs w:val="18"/>
              </w:rPr>
              <w:t>de</w:t>
            </w:r>
            <w:r w:rsidR="001D5D9F" w:rsidRPr="00E31467">
              <w:rPr>
                <w:sz w:val="18"/>
                <w:szCs w:val="18"/>
              </w:rPr>
              <w:t> </w:t>
            </w:r>
            <w:r w:rsidRPr="00E31467">
              <w:rPr>
                <w:sz w:val="18"/>
                <w:szCs w:val="18"/>
              </w:rPr>
              <w:t>classe"</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7898655" w14:textId="77777777" w:rsidR="00896E2C" w:rsidRPr="00E31467" w:rsidRDefault="00896E2C" w:rsidP="00896E2C">
            <w:pPr>
              <w:pStyle w:val="Tablehead"/>
              <w:rPr>
                <w:sz w:val="18"/>
                <w:szCs w:val="18"/>
              </w:rPr>
            </w:pPr>
            <w:r w:rsidRPr="00E31467">
              <w:rPr>
                <w:sz w:val="18"/>
                <w:szCs w:val="18"/>
              </w:rPr>
              <w:t>Topologie de type "salle de réunion"</w:t>
            </w:r>
          </w:p>
        </w:tc>
      </w:tr>
      <w:tr w:rsidR="00A0207D" w:rsidRPr="00E31467" w14:paraId="4E0E0080" w14:textId="77777777" w:rsidTr="001D5D9F">
        <w:trPr>
          <w:cantSplit/>
          <w:trHeight w:val="293"/>
          <w:jc w:val="center"/>
        </w:trPr>
        <w:tc>
          <w:tcPr>
            <w:tcW w:w="704" w:type="dxa"/>
            <w:vMerge w:val="restart"/>
            <w:tcBorders>
              <w:top w:val="single" w:sz="4" w:space="0" w:color="auto"/>
              <w:left w:val="single" w:sz="4" w:space="0" w:color="auto"/>
              <w:bottom w:val="single" w:sz="4" w:space="0" w:color="auto"/>
              <w:right w:val="single" w:sz="4" w:space="0" w:color="auto"/>
            </w:tcBorders>
            <w:noWrap/>
            <w:hideMark/>
          </w:tcPr>
          <w:p w14:paraId="237F4972" w14:textId="77777777" w:rsidR="00896E2C" w:rsidRPr="00E31467" w:rsidRDefault="00896E2C" w:rsidP="001D5D9F">
            <w:pPr>
              <w:pStyle w:val="Tabletext"/>
              <w:jc w:val="center"/>
              <w:rPr>
                <w:sz w:val="18"/>
                <w:szCs w:val="18"/>
              </w:rPr>
            </w:pPr>
            <w:r w:rsidRPr="00E31467">
              <w:rPr>
                <w:sz w:val="18"/>
                <w:szCs w:val="18"/>
              </w:rPr>
              <w:t>BDT</w:t>
            </w:r>
          </w:p>
        </w:tc>
        <w:tc>
          <w:tcPr>
            <w:tcW w:w="2268" w:type="dxa"/>
            <w:vMerge w:val="restart"/>
            <w:tcBorders>
              <w:top w:val="single" w:sz="4" w:space="0" w:color="auto"/>
              <w:left w:val="single" w:sz="4" w:space="0" w:color="auto"/>
              <w:bottom w:val="single" w:sz="4" w:space="0" w:color="auto"/>
              <w:right w:val="single" w:sz="4" w:space="0" w:color="auto"/>
            </w:tcBorders>
            <w:noWrap/>
            <w:hideMark/>
          </w:tcPr>
          <w:p w14:paraId="65315E5F" w14:textId="77777777" w:rsidR="00896E2C" w:rsidRPr="00E31467" w:rsidRDefault="00896E2C" w:rsidP="001D5D9F">
            <w:pPr>
              <w:pStyle w:val="Tabletext"/>
              <w:ind w:left="102"/>
              <w:rPr>
                <w:sz w:val="18"/>
                <w:szCs w:val="18"/>
              </w:rPr>
            </w:pPr>
            <w:r w:rsidRPr="00E31467">
              <w:rPr>
                <w:sz w:val="18"/>
                <w:szCs w:val="18"/>
              </w:rPr>
              <w:t>Réunion du Groupe du Rapporteur (</w:t>
            </w:r>
            <w:proofErr w:type="spellStart"/>
            <w:r w:rsidRPr="00E31467">
              <w:rPr>
                <w:sz w:val="18"/>
                <w:szCs w:val="18"/>
              </w:rPr>
              <w:t>RGM</w:t>
            </w:r>
            <w:proofErr w:type="spellEnd"/>
            <w:r w:rsidRPr="00E31467">
              <w:rPr>
                <w:sz w:val="18"/>
                <w:szCs w:val="18"/>
              </w:rPr>
              <w:t>-1)</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1FE590D" w14:textId="77777777" w:rsidR="00896E2C" w:rsidRPr="00E31467" w:rsidRDefault="00896E2C" w:rsidP="003D76DA">
            <w:pPr>
              <w:pStyle w:val="Tabletext"/>
              <w:ind w:left="-26"/>
              <w:jc w:val="center"/>
              <w:rPr>
                <w:sz w:val="18"/>
                <w:szCs w:val="18"/>
              </w:rPr>
            </w:pPr>
            <w:r w:rsidRPr="00E31467">
              <w:rPr>
                <w:sz w:val="18"/>
                <w:szCs w:val="18"/>
                <w:lang w:eastAsia="en-GB"/>
              </w:rPr>
              <w:t>02/10/2028</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05AB08D7" w14:textId="77777777" w:rsidR="00896E2C" w:rsidRPr="00E31467" w:rsidRDefault="00896E2C" w:rsidP="003D76DA">
            <w:pPr>
              <w:pStyle w:val="Tabletext"/>
              <w:ind w:left="-39"/>
              <w:jc w:val="center"/>
              <w:rPr>
                <w:sz w:val="18"/>
                <w:szCs w:val="18"/>
              </w:rPr>
            </w:pPr>
            <w:r w:rsidRPr="00E31467">
              <w:rPr>
                <w:sz w:val="18"/>
                <w:szCs w:val="18"/>
                <w:lang w:eastAsia="en-GB"/>
              </w:rPr>
              <w:t>11/10/2028</w:t>
            </w:r>
          </w:p>
        </w:tc>
        <w:tc>
          <w:tcPr>
            <w:tcW w:w="2190" w:type="dxa"/>
            <w:vMerge w:val="restart"/>
            <w:tcBorders>
              <w:top w:val="single" w:sz="4" w:space="0" w:color="auto"/>
              <w:left w:val="single" w:sz="4" w:space="0" w:color="auto"/>
              <w:bottom w:val="single" w:sz="4" w:space="0" w:color="auto"/>
              <w:right w:val="single" w:sz="4" w:space="0" w:color="auto"/>
            </w:tcBorders>
            <w:noWrap/>
            <w:vAlign w:val="center"/>
            <w:hideMark/>
          </w:tcPr>
          <w:p w14:paraId="0D7ECDAA" w14:textId="39D50F22" w:rsidR="00896E2C" w:rsidRPr="00E31467" w:rsidRDefault="00896E2C" w:rsidP="001D5D9F">
            <w:pPr>
              <w:pStyle w:val="Tabletext"/>
              <w:jc w:val="center"/>
              <w:rPr>
                <w:sz w:val="18"/>
                <w:szCs w:val="18"/>
              </w:rPr>
            </w:pPr>
            <w:r w:rsidRPr="00E31467">
              <w:rPr>
                <w:sz w:val="18"/>
                <w:szCs w:val="18"/>
                <w:lang w:eastAsia="en-GB"/>
              </w:rPr>
              <w:t>1</w:t>
            </w:r>
            <w:r w:rsidR="00AB578E" w:rsidRPr="00E31467">
              <w:rPr>
                <w:sz w:val="18"/>
                <w:szCs w:val="18"/>
                <w:lang w:eastAsia="en-GB"/>
              </w:rPr>
              <w:t xml:space="preserve"> </w:t>
            </w:r>
            <w:r w:rsidRPr="00E31467">
              <w:rPr>
                <w:rFonts w:cs="Calibri"/>
                <w:sz w:val="18"/>
                <w:szCs w:val="18"/>
                <w:lang w:eastAsia="en-GB"/>
              </w:rPr>
              <w:t>×</w:t>
            </w:r>
            <w:r w:rsidR="00AB578E" w:rsidRPr="00E31467">
              <w:rPr>
                <w:rFonts w:cs="Calibri"/>
                <w:sz w:val="18"/>
                <w:szCs w:val="18"/>
                <w:lang w:eastAsia="en-GB"/>
              </w:rPr>
              <w:t xml:space="preserve"> </w:t>
            </w:r>
            <w:r w:rsidRPr="00E31467">
              <w:rPr>
                <w:sz w:val="18"/>
                <w:szCs w:val="18"/>
                <w:lang w:eastAsia="en-GB"/>
              </w:rPr>
              <w:t>100</w:t>
            </w:r>
          </w:p>
        </w:tc>
        <w:tc>
          <w:tcPr>
            <w:tcW w:w="1485" w:type="dxa"/>
            <w:vMerge w:val="restart"/>
            <w:tcBorders>
              <w:top w:val="single" w:sz="4" w:space="0" w:color="auto"/>
              <w:left w:val="single" w:sz="4" w:space="0" w:color="auto"/>
              <w:bottom w:val="single" w:sz="4" w:space="0" w:color="auto"/>
              <w:right w:val="single" w:sz="4" w:space="0" w:color="auto"/>
            </w:tcBorders>
            <w:vAlign w:val="center"/>
            <w:hideMark/>
          </w:tcPr>
          <w:p w14:paraId="54A4B704" w14:textId="2A2F1C9D" w:rsidR="00896E2C" w:rsidRPr="00E31467" w:rsidRDefault="00896E2C" w:rsidP="001D5D9F">
            <w:pPr>
              <w:pStyle w:val="Tabletext"/>
              <w:jc w:val="center"/>
              <w:rPr>
                <w:sz w:val="18"/>
                <w:szCs w:val="18"/>
                <w:lang w:eastAsia="en-GB"/>
              </w:rPr>
            </w:pPr>
            <w:r w:rsidRPr="00E31467">
              <w:rPr>
                <w:sz w:val="18"/>
                <w:szCs w:val="18"/>
                <w:lang w:eastAsia="en-GB"/>
              </w:rPr>
              <w:t>1</w:t>
            </w:r>
            <w:r w:rsidR="00AB578E" w:rsidRPr="00E31467">
              <w:rPr>
                <w:sz w:val="18"/>
                <w:szCs w:val="18"/>
                <w:lang w:eastAsia="en-GB"/>
              </w:rPr>
              <w:t xml:space="preserve"> </w:t>
            </w:r>
            <w:r w:rsidRPr="00E31467">
              <w:rPr>
                <w:sz w:val="18"/>
                <w:szCs w:val="18"/>
                <w:lang w:eastAsia="en-GB"/>
              </w:rPr>
              <w:t>×</w:t>
            </w:r>
            <w:r w:rsidR="00AB578E" w:rsidRPr="00E31467">
              <w:rPr>
                <w:sz w:val="18"/>
                <w:szCs w:val="18"/>
                <w:lang w:eastAsia="en-GB"/>
              </w:rPr>
              <w:t xml:space="preserve"> </w:t>
            </w:r>
            <w:r w:rsidRPr="00E31467">
              <w:rPr>
                <w:sz w:val="18"/>
                <w:szCs w:val="18"/>
                <w:lang w:eastAsia="en-GB"/>
              </w:rPr>
              <w:t>15</w:t>
            </w:r>
          </w:p>
        </w:tc>
      </w:tr>
      <w:tr w:rsidR="00A0207D" w:rsidRPr="00E31467" w14:paraId="531E0A77" w14:textId="77777777" w:rsidTr="001D5D9F">
        <w:trPr>
          <w:cantSplit/>
          <w:trHeight w:val="293"/>
          <w:jc w:val="center"/>
        </w:trPr>
        <w:tc>
          <w:tcPr>
            <w:tcW w:w="704" w:type="dxa"/>
            <w:vMerge/>
            <w:tcBorders>
              <w:top w:val="single" w:sz="4" w:space="0" w:color="auto"/>
              <w:left w:val="single" w:sz="4" w:space="0" w:color="auto"/>
              <w:bottom w:val="single" w:sz="4" w:space="0" w:color="auto"/>
              <w:right w:val="single" w:sz="4" w:space="0" w:color="auto"/>
            </w:tcBorders>
            <w:hideMark/>
          </w:tcPr>
          <w:p w14:paraId="0A36057F" w14:textId="77777777" w:rsidR="00896E2C" w:rsidRPr="00E31467" w:rsidRDefault="00896E2C" w:rsidP="001D5D9F">
            <w:pPr>
              <w:pStyle w:val="Tabletext"/>
              <w:jc w:val="cente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57D8831" w14:textId="77777777" w:rsidR="00896E2C" w:rsidRPr="00E31467" w:rsidRDefault="00896E2C" w:rsidP="001D5D9F">
            <w:pPr>
              <w:pStyle w:val="Tabletext"/>
              <w:ind w:left="102"/>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DE9C56" w14:textId="77777777" w:rsidR="00896E2C" w:rsidRPr="00E31467" w:rsidRDefault="00896E2C" w:rsidP="003D76DA">
            <w:pPr>
              <w:pStyle w:val="Tabletext"/>
              <w:ind w:left="-26"/>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207598" w14:textId="77777777" w:rsidR="00896E2C" w:rsidRPr="00E31467" w:rsidRDefault="00896E2C" w:rsidP="003D76DA">
            <w:pPr>
              <w:pStyle w:val="Tabletext"/>
              <w:ind w:left="-39"/>
              <w:jc w:val="center"/>
              <w:rPr>
                <w:sz w:val="18"/>
                <w:szCs w:val="18"/>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164C26B5" w14:textId="77777777" w:rsidR="00896E2C" w:rsidRPr="00E31467" w:rsidRDefault="00896E2C" w:rsidP="001D5D9F">
            <w:pPr>
              <w:pStyle w:val="Tabletext"/>
              <w:jc w:val="center"/>
              <w:rPr>
                <w:sz w:val="18"/>
                <w:szCs w:val="18"/>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0275A31B" w14:textId="77777777" w:rsidR="00896E2C" w:rsidRPr="00E31467" w:rsidRDefault="00896E2C" w:rsidP="001D5D9F">
            <w:pPr>
              <w:pStyle w:val="Tabletext"/>
              <w:jc w:val="center"/>
              <w:rPr>
                <w:sz w:val="18"/>
                <w:szCs w:val="18"/>
                <w:lang w:eastAsia="en-GB"/>
              </w:rPr>
            </w:pPr>
          </w:p>
        </w:tc>
      </w:tr>
      <w:tr w:rsidR="00A0207D" w:rsidRPr="00E31467" w14:paraId="187601E0"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28465E6" w14:textId="77777777" w:rsidR="00896E2C" w:rsidRPr="00E31467" w:rsidRDefault="00896E2C"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6C460D42" w14:textId="77777777" w:rsidR="00896E2C" w:rsidRPr="00E31467" w:rsidRDefault="00896E2C" w:rsidP="001D5D9F">
            <w:pPr>
              <w:pStyle w:val="Tabletext"/>
              <w:ind w:left="102"/>
              <w:rPr>
                <w:sz w:val="18"/>
                <w:szCs w:val="18"/>
              </w:rPr>
            </w:pPr>
            <w:r w:rsidRPr="00E31467">
              <w:rPr>
                <w:sz w:val="18"/>
                <w:szCs w:val="18"/>
              </w:rPr>
              <w:t>Forum sur la durabilité spatiale (</w:t>
            </w:r>
            <w:proofErr w:type="spellStart"/>
            <w:r w:rsidRPr="00E31467">
              <w:rPr>
                <w:sz w:val="18"/>
                <w:szCs w:val="18"/>
              </w:rPr>
              <w:t>SSF</w:t>
            </w:r>
            <w:proofErr w:type="spellEnd"/>
            <w:r w:rsidRPr="00E31467">
              <w:rPr>
                <w:sz w:val="18"/>
                <w:szCs w:val="18"/>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6777B9C" w14:textId="77777777" w:rsidR="00896E2C" w:rsidRPr="00E31467" w:rsidRDefault="00896E2C" w:rsidP="003D76DA">
            <w:pPr>
              <w:pStyle w:val="Tabletext"/>
              <w:ind w:left="-26"/>
              <w:jc w:val="center"/>
              <w:rPr>
                <w:sz w:val="18"/>
                <w:szCs w:val="18"/>
              </w:rPr>
            </w:pPr>
            <w:r w:rsidRPr="00E31467">
              <w:rPr>
                <w:sz w:val="18"/>
                <w:szCs w:val="18"/>
                <w:lang w:eastAsia="en-GB"/>
              </w:rPr>
              <w:t>04/10/2028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0CDF965" w14:textId="77777777" w:rsidR="00896E2C" w:rsidRPr="00E31467" w:rsidRDefault="00896E2C" w:rsidP="003D76DA">
            <w:pPr>
              <w:pStyle w:val="Tabletext"/>
              <w:ind w:left="-39"/>
              <w:jc w:val="center"/>
              <w:rPr>
                <w:sz w:val="18"/>
                <w:szCs w:val="18"/>
              </w:rPr>
            </w:pPr>
            <w:r w:rsidRPr="00E31467">
              <w:rPr>
                <w:sz w:val="18"/>
                <w:szCs w:val="18"/>
                <w:lang w:eastAsia="en-GB"/>
              </w:rPr>
              <w:t>06/10/2028</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38E57CD8" w14:textId="7B9E1232" w:rsidR="00896E2C" w:rsidRPr="00E31467" w:rsidRDefault="00896E2C" w:rsidP="001D5D9F">
            <w:pPr>
              <w:pStyle w:val="Tabletext"/>
              <w:jc w:val="center"/>
              <w:rPr>
                <w:sz w:val="18"/>
                <w:szCs w:val="18"/>
                <w:lang w:eastAsia="en-GB"/>
              </w:rPr>
            </w:pPr>
            <w:r w:rsidRPr="00E31467">
              <w:rPr>
                <w:sz w:val="18"/>
                <w:szCs w:val="18"/>
                <w:lang w:eastAsia="en-GB"/>
              </w:rPr>
              <w:t>1</w:t>
            </w:r>
            <w:r w:rsidR="00975C8B" w:rsidRPr="00E31467">
              <w:rPr>
                <w:sz w:val="18"/>
                <w:szCs w:val="18"/>
                <w:lang w:eastAsia="en-GB"/>
              </w:rPr>
              <w:t xml:space="preserve"> x </w:t>
            </w:r>
            <w:r w:rsidRPr="00E31467">
              <w:rPr>
                <w:sz w:val="18"/>
                <w:szCs w:val="18"/>
                <w:lang w:eastAsia="en-GB"/>
              </w:rPr>
              <w:t>250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6F34C8C" w14:textId="77777777" w:rsidR="00896E2C" w:rsidRPr="00E31467" w:rsidRDefault="00896E2C" w:rsidP="001D5D9F">
            <w:pPr>
              <w:pStyle w:val="Tabletext"/>
              <w:jc w:val="center"/>
              <w:rPr>
                <w:sz w:val="18"/>
                <w:szCs w:val="18"/>
                <w:lang w:eastAsia="en-GB"/>
              </w:rPr>
            </w:pPr>
          </w:p>
        </w:tc>
      </w:tr>
      <w:tr w:rsidR="00A0207D" w:rsidRPr="00E31467" w14:paraId="49BCA891"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232BF74" w14:textId="77777777" w:rsidR="00896E2C" w:rsidRPr="00E31467" w:rsidRDefault="00896E2C"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6FE766C8" w14:textId="77777777" w:rsidR="00896E2C" w:rsidRPr="00E31467" w:rsidRDefault="00896E2C" w:rsidP="001D5D9F">
            <w:pPr>
              <w:pStyle w:val="Tabletext"/>
              <w:ind w:left="102"/>
              <w:rPr>
                <w:sz w:val="18"/>
                <w:szCs w:val="18"/>
              </w:rPr>
            </w:pPr>
            <w:r w:rsidRPr="00E31467">
              <w:rPr>
                <w:sz w:val="18"/>
                <w:szCs w:val="18"/>
              </w:rPr>
              <w:t xml:space="preserve">GT </w:t>
            </w:r>
            <w:proofErr w:type="spellStart"/>
            <w:r w:rsidRPr="00E31467">
              <w:rPr>
                <w:sz w:val="18"/>
                <w:szCs w:val="18"/>
              </w:rPr>
              <w:t>4A</w:t>
            </w:r>
            <w:proofErr w:type="spellEnd"/>
            <w:r w:rsidRPr="00E31467">
              <w:rPr>
                <w:sz w:val="18"/>
                <w:szCs w:val="18"/>
              </w:rPr>
              <w:t xml:space="preserve">, </w:t>
            </w:r>
            <w:proofErr w:type="spellStart"/>
            <w:r w:rsidRPr="00E31467">
              <w:rPr>
                <w:sz w:val="18"/>
                <w:szCs w:val="18"/>
              </w:rPr>
              <w:t>4B</w:t>
            </w:r>
            <w:proofErr w:type="spellEnd"/>
            <w:r w:rsidRPr="00E31467">
              <w:rPr>
                <w:sz w:val="18"/>
                <w:szCs w:val="18"/>
              </w:rPr>
              <w:t xml:space="preserve">, </w:t>
            </w:r>
            <w:proofErr w:type="spellStart"/>
            <w:r w:rsidRPr="00E31467">
              <w:rPr>
                <w:sz w:val="18"/>
                <w:szCs w:val="18"/>
              </w:rPr>
              <w:t>4C</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5EF5DB" w14:textId="77777777" w:rsidR="00896E2C" w:rsidRPr="00E31467" w:rsidRDefault="00896E2C" w:rsidP="003D76DA">
            <w:pPr>
              <w:pStyle w:val="Tabletext"/>
              <w:ind w:left="-26"/>
              <w:jc w:val="center"/>
              <w:rPr>
                <w:sz w:val="18"/>
                <w:szCs w:val="18"/>
              </w:rPr>
            </w:pPr>
            <w:r w:rsidRPr="00E31467">
              <w:rPr>
                <w:sz w:val="18"/>
                <w:szCs w:val="18"/>
                <w:lang w:eastAsia="en-GB"/>
              </w:rPr>
              <w:t>11/10/2028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0A8C08" w14:textId="77777777" w:rsidR="00896E2C" w:rsidRPr="00E31467" w:rsidRDefault="00896E2C" w:rsidP="003D76DA">
            <w:pPr>
              <w:pStyle w:val="Tabletext"/>
              <w:ind w:left="-39"/>
              <w:jc w:val="center"/>
              <w:rPr>
                <w:sz w:val="18"/>
                <w:szCs w:val="18"/>
              </w:rPr>
            </w:pPr>
            <w:r w:rsidRPr="00E31467">
              <w:rPr>
                <w:sz w:val="18"/>
                <w:szCs w:val="18"/>
                <w:lang w:eastAsia="en-GB"/>
              </w:rPr>
              <w:t>26/10/2028</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20AACE99" w14:textId="06CC674E" w:rsidR="00896E2C" w:rsidRPr="00E31467" w:rsidRDefault="00896E2C" w:rsidP="001D5D9F">
            <w:pPr>
              <w:pStyle w:val="Tabletext"/>
              <w:jc w:val="center"/>
              <w:rPr>
                <w:sz w:val="18"/>
                <w:szCs w:val="18"/>
              </w:rPr>
            </w:pPr>
            <w:r w:rsidRPr="00E31467">
              <w:rPr>
                <w:sz w:val="18"/>
                <w:szCs w:val="18"/>
                <w:lang w:eastAsia="en-GB"/>
              </w:rPr>
              <w:t>1</w:t>
            </w:r>
            <w:r w:rsidR="00975C8B" w:rsidRPr="00E31467">
              <w:rPr>
                <w:sz w:val="18"/>
                <w:szCs w:val="18"/>
                <w:lang w:eastAsia="en-GB"/>
              </w:rPr>
              <w:t xml:space="preserve"> x </w:t>
            </w:r>
            <w:r w:rsidRPr="00E31467">
              <w:rPr>
                <w:sz w:val="18"/>
                <w:szCs w:val="18"/>
                <w:lang w:eastAsia="en-GB"/>
              </w:rPr>
              <w:t>250, 2</w:t>
            </w:r>
            <w:r w:rsidR="00975C8B" w:rsidRPr="00E31467">
              <w:rPr>
                <w:sz w:val="18"/>
                <w:szCs w:val="18"/>
                <w:lang w:eastAsia="en-GB"/>
              </w:rPr>
              <w:t xml:space="preserve"> x </w:t>
            </w:r>
            <w:r w:rsidRPr="00E31467">
              <w:rPr>
                <w:sz w:val="18"/>
                <w:szCs w:val="18"/>
                <w:lang w:eastAsia="en-GB"/>
              </w:rPr>
              <w:t>100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3C48631" w14:textId="711857A6" w:rsidR="00896E2C" w:rsidRPr="00E31467" w:rsidRDefault="00896E2C" w:rsidP="001D5D9F">
            <w:pPr>
              <w:pStyle w:val="Tabletext"/>
              <w:jc w:val="center"/>
              <w:rPr>
                <w:sz w:val="18"/>
                <w:szCs w:val="18"/>
                <w:lang w:eastAsia="en-GB"/>
              </w:rPr>
            </w:pPr>
            <w:r w:rsidRPr="00E31467">
              <w:rPr>
                <w:sz w:val="18"/>
                <w:szCs w:val="18"/>
                <w:lang w:eastAsia="en-GB"/>
              </w:rPr>
              <w:t>2</w:t>
            </w:r>
            <w:r w:rsidR="00975C8B" w:rsidRPr="00E31467">
              <w:rPr>
                <w:sz w:val="18"/>
                <w:szCs w:val="18"/>
                <w:lang w:eastAsia="en-GB"/>
              </w:rPr>
              <w:t xml:space="preserve"> x </w:t>
            </w:r>
            <w:r w:rsidRPr="00E31467">
              <w:rPr>
                <w:sz w:val="18"/>
                <w:szCs w:val="18"/>
                <w:lang w:eastAsia="en-GB"/>
              </w:rPr>
              <w:t>30</w:t>
            </w:r>
          </w:p>
        </w:tc>
      </w:tr>
      <w:tr w:rsidR="00A0207D" w:rsidRPr="00E31467" w14:paraId="0DA7AF3C" w14:textId="77777777" w:rsidTr="001D5D9F">
        <w:trPr>
          <w:cantSplit/>
          <w:trHeight w:val="293"/>
          <w:jc w:val="center"/>
        </w:trPr>
        <w:tc>
          <w:tcPr>
            <w:tcW w:w="704" w:type="dxa"/>
            <w:vMerge w:val="restart"/>
            <w:tcBorders>
              <w:top w:val="single" w:sz="4" w:space="0" w:color="auto"/>
              <w:left w:val="single" w:sz="4" w:space="0" w:color="auto"/>
              <w:bottom w:val="single" w:sz="4" w:space="0" w:color="auto"/>
              <w:right w:val="single" w:sz="4" w:space="0" w:color="auto"/>
            </w:tcBorders>
            <w:noWrap/>
            <w:hideMark/>
          </w:tcPr>
          <w:p w14:paraId="659B8FDA" w14:textId="77777777" w:rsidR="00896E2C" w:rsidRPr="00E31467" w:rsidRDefault="00896E2C" w:rsidP="001D5D9F">
            <w:pPr>
              <w:pStyle w:val="Tabletext"/>
              <w:jc w:val="center"/>
              <w:rPr>
                <w:sz w:val="18"/>
                <w:szCs w:val="18"/>
              </w:rPr>
            </w:pPr>
            <w:r w:rsidRPr="00E31467">
              <w:rPr>
                <w:sz w:val="18"/>
                <w:szCs w:val="18"/>
              </w:rPr>
              <w:t>BDT</w:t>
            </w:r>
          </w:p>
        </w:tc>
        <w:tc>
          <w:tcPr>
            <w:tcW w:w="2268" w:type="dxa"/>
            <w:vMerge w:val="restart"/>
            <w:tcBorders>
              <w:top w:val="single" w:sz="4" w:space="0" w:color="auto"/>
              <w:left w:val="single" w:sz="4" w:space="0" w:color="auto"/>
              <w:bottom w:val="single" w:sz="4" w:space="0" w:color="auto"/>
              <w:right w:val="single" w:sz="4" w:space="0" w:color="auto"/>
            </w:tcBorders>
            <w:noWrap/>
            <w:hideMark/>
          </w:tcPr>
          <w:p w14:paraId="1BEA7B7C" w14:textId="77777777" w:rsidR="00896E2C" w:rsidRPr="00E31467" w:rsidRDefault="00896E2C" w:rsidP="001D5D9F">
            <w:pPr>
              <w:pStyle w:val="Tabletext"/>
              <w:ind w:left="102"/>
              <w:rPr>
                <w:sz w:val="18"/>
                <w:szCs w:val="18"/>
              </w:rPr>
            </w:pPr>
            <w:r w:rsidRPr="00E31467">
              <w:rPr>
                <w:sz w:val="18"/>
                <w:szCs w:val="18"/>
              </w:rPr>
              <w:t>Réunion du Groupe du Rapporteur (</w:t>
            </w:r>
            <w:proofErr w:type="spellStart"/>
            <w:r w:rsidRPr="00E31467">
              <w:rPr>
                <w:sz w:val="18"/>
                <w:szCs w:val="18"/>
              </w:rPr>
              <w:t>RGM</w:t>
            </w:r>
            <w:proofErr w:type="spellEnd"/>
            <w:r w:rsidRPr="00E31467">
              <w:rPr>
                <w:sz w:val="18"/>
                <w:szCs w:val="18"/>
              </w:rPr>
              <w:t>-2)</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0D8FFCFF" w14:textId="77777777" w:rsidR="00896E2C" w:rsidRPr="00E31467" w:rsidRDefault="00896E2C" w:rsidP="003D76DA">
            <w:pPr>
              <w:pStyle w:val="Tabletext"/>
              <w:ind w:left="-26"/>
              <w:jc w:val="center"/>
              <w:rPr>
                <w:sz w:val="18"/>
                <w:szCs w:val="18"/>
              </w:rPr>
            </w:pPr>
            <w:r w:rsidRPr="00E31467">
              <w:rPr>
                <w:sz w:val="18"/>
                <w:szCs w:val="18"/>
                <w:lang w:eastAsia="en-GB"/>
              </w:rPr>
              <w:t>11/10/2028</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7E977E9" w14:textId="77777777" w:rsidR="00896E2C" w:rsidRPr="00E31467" w:rsidRDefault="00896E2C" w:rsidP="003D76DA">
            <w:pPr>
              <w:pStyle w:val="Tabletext"/>
              <w:ind w:left="-39"/>
              <w:jc w:val="center"/>
              <w:rPr>
                <w:sz w:val="18"/>
                <w:szCs w:val="18"/>
              </w:rPr>
            </w:pPr>
            <w:r w:rsidRPr="00E31467">
              <w:rPr>
                <w:sz w:val="18"/>
                <w:szCs w:val="18"/>
                <w:lang w:eastAsia="en-GB"/>
              </w:rPr>
              <w:t>20/10/2028</w:t>
            </w:r>
          </w:p>
        </w:tc>
        <w:tc>
          <w:tcPr>
            <w:tcW w:w="2190" w:type="dxa"/>
            <w:vMerge w:val="restart"/>
            <w:tcBorders>
              <w:top w:val="single" w:sz="4" w:space="0" w:color="auto"/>
              <w:left w:val="single" w:sz="4" w:space="0" w:color="auto"/>
              <w:bottom w:val="single" w:sz="4" w:space="0" w:color="auto"/>
              <w:right w:val="single" w:sz="4" w:space="0" w:color="auto"/>
            </w:tcBorders>
            <w:noWrap/>
            <w:vAlign w:val="center"/>
            <w:hideMark/>
          </w:tcPr>
          <w:p w14:paraId="02AA051B" w14:textId="591DC96D" w:rsidR="00896E2C" w:rsidRPr="00E31467" w:rsidRDefault="00896E2C" w:rsidP="001D5D9F">
            <w:pPr>
              <w:pStyle w:val="Tabletext"/>
              <w:jc w:val="center"/>
              <w:rPr>
                <w:sz w:val="18"/>
                <w:szCs w:val="18"/>
              </w:rPr>
            </w:pPr>
            <w:r w:rsidRPr="00E31467">
              <w:rPr>
                <w:sz w:val="18"/>
                <w:szCs w:val="18"/>
                <w:lang w:eastAsia="en-GB"/>
              </w:rPr>
              <w:t>1</w:t>
            </w:r>
            <w:r w:rsidR="00975C8B" w:rsidRPr="00E31467">
              <w:rPr>
                <w:sz w:val="18"/>
                <w:szCs w:val="18"/>
                <w:lang w:eastAsia="en-GB"/>
              </w:rPr>
              <w:t xml:space="preserve"> x </w:t>
            </w:r>
            <w:r w:rsidRPr="00E31467">
              <w:rPr>
                <w:sz w:val="18"/>
                <w:szCs w:val="18"/>
                <w:lang w:eastAsia="en-GB"/>
              </w:rPr>
              <w:t>100</w:t>
            </w:r>
          </w:p>
        </w:tc>
        <w:tc>
          <w:tcPr>
            <w:tcW w:w="1485" w:type="dxa"/>
            <w:vMerge w:val="restart"/>
            <w:tcBorders>
              <w:top w:val="single" w:sz="4" w:space="0" w:color="auto"/>
              <w:left w:val="single" w:sz="4" w:space="0" w:color="auto"/>
              <w:bottom w:val="single" w:sz="4" w:space="0" w:color="auto"/>
              <w:right w:val="single" w:sz="4" w:space="0" w:color="auto"/>
            </w:tcBorders>
            <w:vAlign w:val="center"/>
            <w:hideMark/>
          </w:tcPr>
          <w:p w14:paraId="4F92A005" w14:textId="4F2AE64B" w:rsidR="00896E2C" w:rsidRPr="00E31467" w:rsidRDefault="00896E2C" w:rsidP="001D5D9F">
            <w:pPr>
              <w:pStyle w:val="Tabletext"/>
              <w:jc w:val="center"/>
              <w:rPr>
                <w:sz w:val="18"/>
                <w:szCs w:val="18"/>
                <w:lang w:eastAsia="en-GB"/>
              </w:rPr>
            </w:pPr>
            <w:r w:rsidRPr="00E31467">
              <w:rPr>
                <w:sz w:val="18"/>
                <w:szCs w:val="18"/>
                <w:lang w:eastAsia="en-GB"/>
              </w:rPr>
              <w:t>1</w:t>
            </w:r>
            <w:r w:rsidR="00975C8B" w:rsidRPr="00E31467">
              <w:rPr>
                <w:sz w:val="18"/>
                <w:szCs w:val="18"/>
                <w:lang w:eastAsia="en-GB"/>
              </w:rPr>
              <w:t xml:space="preserve"> x </w:t>
            </w:r>
            <w:r w:rsidRPr="00E31467">
              <w:rPr>
                <w:sz w:val="18"/>
                <w:szCs w:val="18"/>
                <w:lang w:eastAsia="en-GB"/>
              </w:rPr>
              <w:t>15</w:t>
            </w:r>
          </w:p>
        </w:tc>
      </w:tr>
      <w:tr w:rsidR="00A0207D" w:rsidRPr="00E31467" w14:paraId="58945B00" w14:textId="77777777" w:rsidTr="001D5D9F">
        <w:trPr>
          <w:cantSplit/>
          <w:trHeight w:val="293"/>
          <w:jc w:val="center"/>
        </w:trPr>
        <w:tc>
          <w:tcPr>
            <w:tcW w:w="704" w:type="dxa"/>
            <w:vMerge/>
            <w:tcBorders>
              <w:top w:val="single" w:sz="4" w:space="0" w:color="auto"/>
              <w:left w:val="single" w:sz="4" w:space="0" w:color="auto"/>
              <w:bottom w:val="single" w:sz="4" w:space="0" w:color="auto"/>
              <w:right w:val="single" w:sz="4" w:space="0" w:color="auto"/>
            </w:tcBorders>
            <w:hideMark/>
          </w:tcPr>
          <w:p w14:paraId="74FA57E7" w14:textId="77777777" w:rsidR="00896E2C" w:rsidRPr="00E31467" w:rsidRDefault="00896E2C" w:rsidP="001D5D9F">
            <w:pPr>
              <w:pStyle w:val="Tabletext"/>
              <w:jc w:val="cente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0B2138" w14:textId="77777777" w:rsidR="00896E2C" w:rsidRPr="00E31467" w:rsidRDefault="00896E2C" w:rsidP="001D5D9F">
            <w:pPr>
              <w:pStyle w:val="Tabletext"/>
              <w:ind w:left="102"/>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063531" w14:textId="77777777" w:rsidR="00896E2C" w:rsidRPr="00E31467" w:rsidRDefault="00896E2C" w:rsidP="003D76DA">
            <w:pPr>
              <w:pStyle w:val="Tabletext"/>
              <w:ind w:left="-26"/>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335618" w14:textId="77777777" w:rsidR="00896E2C" w:rsidRPr="00E31467" w:rsidRDefault="00896E2C" w:rsidP="003D76DA">
            <w:pPr>
              <w:pStyle w:val="Tabletext"/>
              <w:ind w:left="-39"/>
              <w:jc w:val="center"/>
              <w:rPr>
                <w:sz w:val="18"/>
                <w:szCs w:val="18"/>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567AA086" w14:textId="77777777" w:rsidR="00896E2C" w:rsidRPr="00E31467" w:rsidRDefault="00896E2C" w:rsidP="001D5D9F">
            <w:pPr>
              <w:pStyle w:val="Tabletext"/>
              <w:jc w:val="center"/>
              <w:rPr>
                <w:sz w:val="18"/>
                <w:szCs w:val="18"/>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396D0B4C" w14:textId="77777777" w:rsidR="00896E2C" w:rsidRPr="00E31467" w:rsidRDefault="00896E2C" w:rsidP="001D5D9F">
            <w:pPr>
              <w:pStyle w:val="Tabletext"/>
              <w:jc w:val="center"/>
              <w:rPr>
                <w:sz w:val="18"/>
                <w:szCs w:val="18"/>
                <w:lang w:eastAsia="en-GB"/>
              </w:rPr>
            </w:pPr>
          </w:p>
        </w:tc>
      </w:tr>
      <w:tr w:rsidR="00A0207D" w:rsidRPr="00E31467" w14:paraId="0B7E8B20"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E73F37A" w14:textId="77777777" w:rsidR="00896E2C" w:rsidRPr="00E31467" w:rsidRDefault="00896E2C"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51507F6A" w14:textId="77777777" w:rsidR="00896E2C" w:rsidRPr="00E31467" w:rsidRDefault="00896E2C" w:rsidP="001D5D9F">
            <w:pPr>
              <w:pStyle w:val="Tabletext"/>
              <w:ind w:left="102"/>
              <w:rPr>
                <w:sz w:val="18"/>
                <w:szCs w:val="18"/>
              </w:rPr>
            </w:pPr>
            <w:r w:rsidRPr="00E31467">
              <w:rPr>
                <w:sz w:val="18"/>
                <w:szCs w:val="18"/>
              </w:rPr>
              <w:t>CE 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34D529" w14:textId="77777777" w:rsidR="00896E2C" w:rsidRPr="00E31467" w:rsidRDefault="00896E2C" w:rsidP="003D76DA">
            <w:pPr>
              <w:pStyle w:val="Tabletext"/>
              <w:ind w:left="-26"/>
              <w:jc w:val="center"/>
              <w:rPr>
                <w:sz w:val="18"/>
                <w:szCs w:val="18"/>
              </w:rPr>
            </w:pPr>
            <w:r w:rsidRPr="00E31467">
              <w:rPr>
                <w:sz w:val="18"/>
                <w:szCs w:val="18"/>
                <w:lang w:eastAsia="en-GB"/>
              </w:rPr>
              <w:t>27/10/2028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E23C98" w14:textId="77777777" w:rsidR="00896E2C" w:rsidRPr="00E31467" w:rsidRDefault="00896E2C" w:rsidP="003D76DA">
            <w:pPr>
              <w:pStyle w:val="Tabletext"/>
              <w:ind w:left="-39"/>
              <w:jc w:val="center"/>
              <w:rPr>
                <w:sz w:val="18"/>
                <w:szCs w:val="18"/>
              </w:rPr>
            </w:pPr>
            <w:r w:rsidRPr="00E31467">
              <w:rPr>
                <w:sz w:val="18"/>
                <w:szCs w:val="18"/>
                <w:lang w:eastAsia="en-GB"/>
              </w:rPr>
              <w:t>27/10/2028</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2B3B5DA0" w14:textId="4B9EE770" w:rsidR="00896E2C" w:rsidRPr="00E31467" w:rsidRDefault="00896E2C" w:rsidP="001D5D9F">
            <w:pPr>
              <w:pStyle w:val="Tabletext"/>
              <w:jc w:val="center"/>
              <w:rPr>
                <w:sz w:val="18"/>
                <w:szCs w:val="18"/>
              </w:rPr>
            </w:pPr>
            <w:r w:rsidRPr="00E31467">
              <w:rPr>
                <w:sz w:val="18"/>
                <w:szCs w:val="18"/>
                <w:lang w:eastAsia="en-GB"/>
              </w:rPr>
              <w:t>1</w:t>
            </w:r>
            <w:r w:rsidR="00975C8B" w:rsidRPr="00E31467">
              <w:rPr>
                <w:sz w:val="18"/>
                <w:szCs w:val="18"/>
                <w:lang w:eastAsia="en-GB"/>
              </w:rPr>
              <w:t xml:space="preserve"> x </w:t>
            </w:r>
            <w:r w:rsidRPr="00E31467">
              <w:rPr>
                <w:sz w:val="18"/>
                <w:szCs w:val="18"/>
                <w:lang w:eastAsia="en-GB"/>
              </w:rPr>
              <w:t>200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F8384C4" w14:textId="77777777" w:rsidR="00896E2C" w:rsidRPr="00E31467" w:rsidRDefault="00896E2C" w:rsidP="001D5D9F">
            <w:pPr>
              <w:pStyle w:val="Tabletext"/>
              <w:jc w:val="center"/>
              <w:rPr>
                <w:sz w:val="18"/>
                <w:szCs w:val="18"/>
              </w:rPr>
            </w:pPr>
          </w:p>
        </w:tc>
      </w:tr>
      <w:tr w:rsidR="00A0207D" w:rsidRPr="00E31467" w14:paraId="057BD42A"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0AC12EF" w14:textId="77777777" w:rsidR="00896E2C" w:rsidRPr="00E31467" w:rsidRDefault="00896E2C"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345F192A" w14:textId="2BF1DE18" w:rsidR="00896E2C" w:rsidRPr="00E31467" w:rsidRDefault="00896E2C" w:rsidP="001D5D9F">
            <w:pPr>
              <w:pStyle w:val="Tabletext"/>
              <w:ind w:left="102"/>
              <w:rPr>
                <w:sz w:val="18"/>
                <w:szCs w:val="18"/>
              </w:rPr>
            </w:pPr>
            <w:r w:rsidRPr="00E31467">
              <w:rPr>
                <w:sz w:val="18"/>
                <w:szCs w:val="18"/>
              </w:rPr>
              <w:t xml:space="preserve">Réunion </w:t>
            </w:r>
            <w:proofErr w:type="spellStart"/>
            <w:r w:rsidRPr="00E31467">
              <w:rPr>
                <w:sz w:val="18"/>
                <w:szCs w:val="18"/>
              </w:rPr>
              <w:t>RRB28</w:t>
            </w:r>
            <w:proofErr w:type="spellEnd"/>
            <w:r w:rsidRPr="00E31467">
              <w:rPr>
                <w:sz w:val="18"/>
                <w:szCs w:val="18"/>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F553EE5" w14:textId="77777777" w:rsidR="00896E2C" w:rsidRPr="00E31467" w:rsidRDefault="00896E2C" w:rsidP="003D76DA">
            <w:pPr>
              <w:pStyle w:val="Tabletext"/>
              <w:ind w:left="-26"/>
              <w:jc w:val="center"/>
              <w:rPr>
                <w:sz w:val="18"/>
                <w:szCs w:val="18"/>
              </w:rPr>
            </w:pPr>
            <w:r w:rsidRPr="00E31467">
              <w:rPr>
                <w:sz w:val="18"/>
                <w:szCs w:val="18"/>
                <w:lang w:eastAsia="en-GB"/>
              </w:rPr>
              <w:t>30/10/2028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5A9A7A" w14:textId="77777777" w:rsidR="00896E2C" w:rsidRPr="00E31467" w:rsidRDefault="00896E2C" w:rsidP="003D76DA">
            <w:pPr>
              <w:pStyle w:val="Tabletext"/>
              <w:ind w:left="-39"/>
              <w:jc w:val="center"/>
              <w:rPr>
                <w:sz w:val="18"/>
                <w:szCs w:val="18"/>
              </w:rPr>
            </w:pPr>
            <w:r w:rsidRPr="00E31467">
              <w:rPr>
                <w:sz w:val="18"/>
                <w:szCs w:val="18"/>
                <w:lang w:eastAsia="en-GB"/>
              </w:rPr>
              <w:t>07/11/2028</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62E51881" w14:textId="3E9B40B2" w:rsidR="00896E2C" w:rsidRPr="00E31467" w:rsidRDefault="00896E2C" w:rsidP="001D5D9F">
            <w:pPr>
              <w:pStyle w:val="Tabletext"/>
              <w:jc w:val="center"/>
              <w:rPr>
                <w:sz w:val="18"/>
                <w:szCs w:val="18"/>
              </w:rPr>
            </w:pPr>
            <w:r w:rsidRPr="00E31467">
              <w:rPr>
                <w:sz w:val="18"/>
                <w:szCs w:val="18"/>
                <w:lang w:eastAsia="en-GB"/>
              </w:rPr>
              <w:t>1</w:t>
            </w:r>
            <w:r w:rsidR="00975C8B" w:rsidRPr="00E31467">
              <w:rPr>
                <w:sz w:val="18"/>
                <w:szCs w:val="18"/>
                <w:lang w:eastAsia="en-GB"/>
              </w:rPr>
              <w:t xml:space="preserve"> x </w:t>
            </w:r>
            <w:r w:rsidRPr="00E31467">
              <w:rPr>
                <w:sz w:val="18"/>
                <w:szCs w:val="18"/>
                <w:lang w:eastAsia="en-GB"/>
              </w:rPr>
              <w:t>40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9E9F312" w14:textId="77777777" w:rsidR="00896E2C" w:rsidRPr="00E31467" w:rsidRDefault="00896E2C" w:rsidP="001D5D9F">
            <w:pPr>
              <w:pStyle w:val="Tabletext"/>
              <w:jc w:val="center"/>
              <w:rPr>
                <w:sz w:val="18"/>
                <w:szCs w:val="18"/>
              </w:rPr>
            </w:pPr>
          </w:p>
        </w:tc>
      </w:tr>
      <w:tr w:rsidR="001D5D9F" w:rsidRPr="00E31467" w14:paraId="6F7D184B"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tcPr>
          <w:p w14:paraId="4E7A9159" w14:textId="52E0C64B"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tcPr>
          <w:p w14:paraId="4F26DA53" w14:textId="14240563" w:rsidR="001D5D9F" w:rsidRPr="00E31467" w:rsidRDefault="001D5D9F" w:rsidP="001D5D9F">
            <w:pPr>
              <w:pStyle w:val="Tabletext"/>
              <w:ind w:left="102"/>
              <w:rPr>
                <w:sz w:val="18"/>
                <w:szCs w:val="18"/>
              </w:rPr>
            </w:pPr>
            <w:r w:rsidRPr="00E31467">
              <w:rPr>
                <w:sz w:val="18"/>
                <w:szCs w:val="18"/>
              </w:rPr>
              <w:t xml:space="preserve">GT </w:t>
            </w:r>
            <w:proofErr w:type="spellStart"/>
            <w:r w:rsidRPr="00E31467">
              <w:rPr>
                <w:sz w:val="18"/>
                <w:szCs w:val="18"/>
              </w:rPr>
              <w:t>1A</w:t>
            </w:r>
            <w:proofErr w:type="spellEnd"/>
            <w:r w:rsidRPr="00E31467">
              <w:rPr>
                <w:sz w:val="18"/>
                <w:szCs w:val="18"/>
              </w:rPr>
              <w:t xml:space="preserve">, </w:t>
            </w:r>
            <w:proofErr w:type="spellStart"/>
            <w:r w:rsidRPr="00E31467">
              <w:rPr>
                <w:sz w:val="18"/>
                <w:szCs w:val="18"/>
              </w:rPr>
              <w:t>1B</w:t>
            </w:r>
            <w:proofErr w:type="spellEnd"/>
            <w:r w:rsidRPr="00E31467">
              <w:rPr>
                <w:sz w:val="18"/>
                <w:szCs w:val="18"/>
              </w:rPr>
              <w:t xml:space="preserve">, </w:t>
            </w:r>
            <w:proofErr w:type="spellStart"/>
            <w:r w:rsidRPr="00E31467">
              <w:rPr>
                <w:sz w:val="18"/>
                <w:szCs w:val="18"/>
              </w:rPr>
              <w:t>1C</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14:paraId="20927793" w14:textId="44EF6E26" w:rsidR="001D5D9F" w:rsidRPr="00E31467" w:rsidRDefault="001D5D9F" w:rsidP="003D76DA">
            <w:pPr>
              <w:pStyle w:val="Tabletext"/>
              <w:ind w:left="-26"/>
              <w:jc w:val="center"/>
              <w:rPr>
                <w:sz w:val="18"/>
                <w:szCs w:val="18"/>
                <w:lang w:eastAsia="en-GB"/>
              </w:rPr>
            </w:pPr>
            <w:r w:rsidRPr="00E31467">
              <w:rPr>
                <w:sz w:val="18"/>
                <w:szCs w:val="18"/>
                <w:lang w:eastAsia="en-GB"/>
              </w:rPr>
              <w:t>01/11/2028</w:t>
            </w:r>
          </w:p>
        </w:tc>
        <w:tc>
          <w:tcPr>
            <w:tcW w:w="1134" w:type="dxa"/>
            <w:tcBorders>
              <w:top w:val="single" w:sz="4" w:space="0" w:color="auto"/>
              <w:left w:val="single" w:sz="4" w:space="0" w:color="auto"/>
              <w:bottom w:val="single" w:sz="4" w:space="0" w:color="auto"/>
              <w:right w:val="single" w:sz="4" w:space="0" w:color="auto"/>
            </w:tcBorders>
            <w:noWrap/>
            <w:vAlign w:val="center"/>
          </w:tcPr>
          <w:p w14:paraId="2E01F894" w14:textId="306170B6" w:rsidR="001D5D9F" w:rsidRPr="00E31467" w:rsidRDefault="001D5D9F" w:rsidP="003D76DA">
            <w:pPr>
              <w:pStyle w:val="Tabletext"/>
              <w:ind w:left="-39"/>
              <w:jc w:val="center"/>
              <w:rPr>
                <w:sz w:val="18"/>
                <w:szCs w:val="18"/>
                <w:lang w:eastAsia="en-GB"/>
              </w:rPr>
            </w:pPr>
            <w:r w:rsidRPr="00E31467">
              <w:rPr>
                <w:sz w:val="18"/>
                <w:szCs w:val="18"/>
                <w:lang w:eastAsia="en-GB"/>
              </w:rPr>
              <w:t>09/11/2028</w:t>
            </w:r>
          </w:p>
        </w:tc>
        <w:tc>
          <w:tcPr>
            <w:tcW w:w="2190" w:type="dxa"/>
            <w:tcBorders>
              <w:top w:val="single" w:sz="4" w:space="0" w:color="auto"/>
              <w:left w:val="single" w:sz="4" w:space="0" w:color="auto"/>
              <w:bottom w:val="single" w:sz="4" w:space="0" w:color="auto"/>
              <w:right w:val="single" w:sz="4" w:space="0" w:color="auto"/>
            </w:tcBorders>
            <w:noWrap/>
            <w:vAlign w:val="center"/>
          </w:tcPr>
          <w:p w14:paraId="1CAA05C2" w14:textId="252DC5D8" w:rsidR="001D5D9F" w:rsidRPr="00E31467" w:rsidRDefault="001D5D9F" w:rsidP="001D5D9F">
            <w:pPr>
              <w:pStyle w:val="Tabletext"/>
              <w:jc w:val="center"/>
              <w:rPr>
                <w:sz w:val="18"/>
                <w:szCs w:val="18"/>
                <w:lang w:eastAsia="en-GB"/>
              </w:rPr>
            </w:pPr>
            <w:r w:rsidRPr="00E31467">
              <w:rPr>
                <w:sz w:val="18"/>
                <w:szCs w:val="18"/>
                <w:lang w:eastAsia="en-GB"/>
              </w:rPr>
              <w:t>1 x 120, 2 x 80</w:t>
            </w:r>
          </w:p>
        </w:tc>
        <w:tc>
          <w:tcPr>
            <w:tcW w:w="1485" w:type="dxa"/>
            <w:tcBorders>
              <w:top w:val="single" w:sz="4" w:space="0" w:color="auto"/>
              <w:left w:val="single" w:sz="4" w:space="0" w:color="auto"/>
              <w:bottom w:val="single" w:sz="4" w:space="0" w:color="auto"/>
              <w:right w:val="single" w:sz="4" w:space="0" w:color="auto"/>
            </w:tcBorders>
            <w:vAlign w:val="center"/>
          </w:tcPr>
          <w:p w14:paraId="41AB9B99" w14:textId="680BAD22" w:rsidR="001D5D9F" w:rsidRPr="00E31467" w:rsidRDefault="001D5D9F" w:rsidP="001D5D9F">
            <w:pPr>
              <w:pStyle w:val="Tabletext"/>
              <w:jc w:val="center"/>
              <w:rPr>
                <w:sz w:val="18"/>
                <w:szCs w:val="18"/>
              </w:rPr>
            </w:pPr>
            <w:r w:rsidRPr="00E31467">
              <w:rPr>
                <w:sz w:val="18"/>
                <w:szCs w:val="18"/>
                <w:lang w:eastAsia="en-GB"/>
              </w:rPr>
              <w:t>1 x 30</w:t>
            </w:r>
          </w:p>
        </w:tc>
      </w:tr>
      <w:tr w:rsidR="001D5D9F" w:rsidRPr="00E31467" w14:paraId="40F2E429"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tcPr>
          <w:p w14:paraId="08C7BF3B" w14:textId="25525C52"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tcPr>
          <w:p w14:paraId="71FFE9EF" w14:textId="63AC7CBF" w:rsidR="001D5D9F" w:rsidRPr="00E31467" w:rsidRDefault="001D5D9F" w:rsidP="001D5D9F">
            <w:pPr>
              <w:pStyle w:val="Tabletext"/>
              <w:ind w:left="102"/>
              <w:rPr>
                <w:sz w:val="18"/>
                <w:szCs w:val="18"/>
              </w:rPr>
            </w:pPr>
            <w:r w:rsidRPr="00E31467">
              <w:rPr>
                <w:sz w:val="18"/>
                <w:szCs w:val="18"/>
              </w:rPr>
              <w:t>CE 1</w:t>
            </w:r>
          </w:p>
        </w:tc>
        <w:tc>
          <w:tcPr>
            <w:tcW w:w="1276" w:type="dxa"/>
            <w:tcBorders>
              <w:top w:val="single" w:sz="4" w:space="0" w:color="auto"/>
              <w:left w:val="single" w:sz="4" w:space="0" w:color="auto"/>
              <w:bottom w:val="single" w:sz="4" w:space="0" w:color="auto"/>
              <w:right w:val="single" w:sz="4" w:space="0" w:color="auto"/>
            </w:tcBorders>
            <w:noWrap/>
            <w:vAlign w:val="center"/>
          </w:tcPr>
          <w:p w14:paraId="01BE7C2D" w14:textId="6B3A85BF" w:rsidR="001D5D9F" w:rsidRPr="00E31467" w:rsidRDefault="001D5D9F" w:rsidP="003D76DA">
            <w:pPr>
              <w:pStyle w:val="Tabletext"/>
              <w:ind w:left="-26"/>
              <w:jc w:val="center"/>
              <w:rPr>
                <w:sz w:val="18"/>
                <w:szCs w:val="18"/>
                <w:lang w:eastAsia="en-GB"/>
              </w:rPr>
            </w:pPr>
            <w:r w:rsidRPr="00E31467">
              <w:rPr>
                <w:sz w:val="18"/>
                <w:szCs w:val="18"/>
                <w:lang w:eastAsia="en-GB"/>
              </w:rPr>
              <w:t>10/11/2028</w:t>
            </w:r>
          </w:p>
        </w:tc>
        <w:tc>
          <w:tcPr>
            <w:tcW w:w="1134" w:type="dxa"/>
            <w:tcBorders>
              <w:top w:val="single" w:sz="4" w:space="0" w:color="auto"/>
              <w:left w:val="single" w:sz="4" w:space="0" w:color="auto"/>
              <w:bottom w:val="single" w:sz="4" w:space="0" w:color="auto"/>
              <w:right w:val="single" w:sz="4" w:space="0" w:color="auto"/>
            </w:tcBorders>
            <w:noWrap/>
            <w:vAlign w:val="center"/>
          </w:tcPr>
          <w:p w14:paraId="03AE71B0" w14:textId="3F29F2D6" w:rsidR="001D5D9F" w:rsidRPr="00E31467" w:rsidRDefault="001D5D9F" w:rsidP="003D76DA">
            <w:pPr>
              <w:pStyle w:val="Tabletext"/>
              <w:ind w:left="-39"/>
              <w:jc w:val="center"/>
              <w:rPr>
                <w:sz w:val="18"/>
                <w:szCs w:val="18"/>
                <w:lang w:eastAsia="en-GB"/>
              </w:rPr>
            </w:pPr>
            <w:r w:rsidRPr="00E31467">
              <w:rPr>
                <w:sz w:val="18"/>
                <w:szCs w:val="18"/>
                <w:lang w:eastAsia="en-GB"/>
              </w:rPr>
              <w:t>10/11/2028</w:t>
            </w:r>
          </w:p>
        </w:tc>
        <w:tc>
          <w:tcPr>
            <w:tcW w:w="2190" w:type="dxa"/>
            <w:tcBorders>
              <w:top w:val="single" w:sz="4" w:space="0" w:color="auto"/>
              <w:left w:val="single" w:sz="4" w:space="0" w:color="auto"/>
              <w:bottom w:val="single" w:sz="4" w:space="0" w:color="auto"/>
              <w:right w:val="single" w:sz="4" w:space="0" w:color="auto"/>
            </w:tcBorders>
            <w:noWrap/>
            <w:vAlign w:val="center"/>
          </w:tcPr>
          <w:p w14:paraId="564C2E47" w14:textId="4755DEB9" w:rsidR="001D5D9F" w:rsidRPr="00E31467" w:rsidRDefault="001D5D9F" w:rsidP="001D5D9F">
            <w:pPr>
              <w:pStyle w:val="Tabletext"/>
              <w:jc w:val="center"/>
              <w:rPr>
                <w:sz w:val="18"/>
                <w:szCs w:val="18"/>
                <w:lang w:eastAsia="en-GB"/>
              </w:rPr>
            </w:pPr>
            <w:r w:rsidRPr="00E31467">
              <w:rPr>
                <w:sz w:val="18"/>
                <w:szCs w:val="18"/>
                <w:lang w:eastAsia="en-GB"/>
              </w:rPr>
              <w:t>1 x 150</w:t>
            </w:r>
          </w:p>
        </w:tc>
        <w:tc>
          <w:tcPr>
            <w:tcW w:w="1485" w:type="dxa"/>
            <w:tcBorders>
              <w:top w:val="single" w:sz="4" w:space="0" w:color="auto"/>
              <w:left w:val="single" w:sz="4" w:space="0" w:color="auto"/>
              <w:bottom w:val="single" w:sz="4" w:space="0" w:color="auto"/>
              <w:right w:val="single" w:sz="4" w:space="0" w:color="auto"/>
            </w:tcBorders>
            <w:vAlign w:val="center"/>
          </w:tcPr>
          <w:p w14:paraId="43983340" w14:textId="77777777" w:rsidR="001D5D9F" w:rsidRPr="00E31467" w:rsidRDefault="001D5D9F" w:rsidP="001D5D9F">
            <w:pPr>
              <w:pStyle w:val="Tabletext"/>
              <w:jc w:val="center"/>
              <w:rPr>
                <w:sz w:val="18"/>
                <w:szCs w:val="18"/>
                <w:lang w:eastAsia="en-GB"/>
              </w:rPr>
            </w:pPr>
          </w:p>
        </w:tc>
      </w:tr>
      <w:tr w:rsidR="00A0207D" w:rsidRPr="00E31467" w14:paraId="10391501"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34B057F"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001EC33D" w14:textId="77777777" w:rsidR="001D5D9F" w:rsidRPr="00E31467" w:rsidRDefault="001D5D9F" w:rsidP="001D5D9F">
            <w:pPr>
              <w:pStyle w:val="Tabletext"/>
              <w:ind w:left="102"/>
              <w:rPr>
                <w:sz w:val="18"/>
                <w:szCs w:val="18"/>
              </w:rPr>
            </w:pPr>
            <w:r w:rsidRPr="00E31467">
              <w:rPr>
                <w:sz w:val="18"/>
                <w:szCs w:val="18"/>
              </w:rPr>
              <w:t xml:space="preserve">GT </w:t>
            </w:r>
            <w:proofErr w:type="spellStart"/>
            <w:r w:rsidRPr="00E31467">
              <w:rPr>
                <w:sz w:val="18"/>
                <w:szCs w:val="18"/>
              </w:rPr>
              <w:t>5A</w:t>
            </w:r>
            <w:proofErr w:type="spellEnd"/>
            <w:r w:rsidRPr="00E31467">
              <w:rPr>
                <w:sz w:val="18"/>
                <w:szCs w:val="18"/>
              </w:rPr>
              <w:t xml:space="preserve">, </w:t>
            </w:r>
            <w:proofErr w:type="spellStart"/>
            <w:r w:rsidRPr="00E31467">
              <w:rPr>
                <w:sz w:val="18"/>
                <w:szCs w:val="18"/>
              </w:rPr>
              <w:t>5B</w:t>
            </w:r>
            <w:proofErr w:type="spellEnd"/>
            <w:r w:rsidRPr="00E31467">
              <w:rPr>
                <w:sz w:val="18"/>
                <w:szCs w:val="18"/>
              </w:rPr>
              <w:t xml:space="preserve">, </w:t>
            </w:r>
            <w:proofErr w:type="spellStart"/>
            <w:r w:rsidRPr="00E31467">
              <w:rPr>
                <w:sz w:val="18"/>
                <w:szCs w:val="18"/>
              </w:rPr>
              <w:t>5C</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34B66E" w14:textId="77777777" w:rsidR="001D5D9F" w:rsidRPr="00E31467" w:rsidRDefault="001D5D9F" w:rsidP="003D76DA">
            <w:pPr>
              <w:pStyle w:val="Tabletext"/>
              <w:ind w:left="-26"/>
              <w:jc w:val="center"/>
              <w:rPr>
                <w:sz w:val="18"/>
                <w:szCs w:val="18"/>
              </w:rPr>
            </w:pPr>
            <w:r w:rsidRPr="00E31467">
              <w:rPr>
                <w:sz w:val="18"/>
                <w:szCs w:val="18"/>
                <w:lang w:eastAsia="en-GB"/>
              </w:rPr>
              <w:t>20/11/2028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47676F" w14:textId="77777777" w:rsidR="001D5D9F" w:rsidRPr="00E31467" w:rsidRDefault="001D5D9F" w:rsidP="003D76DA">
            <w:pPr>
              <w:pStyle w:val="Tabletext"/>
              <w:ind w:left="-39"/>
              <w:jc w:val="center"/>
              <w:rPr>
                <w:sz w:val="18"/>
                <w:szCs w:val="18"/>
              </w:rPr>
            </w:pPr>
            <w:r w:rsidRPr="00E31467">
              <w:rPr>
                <w:sz w:val="18"/>
                <w:szCs w:val="18"/>
                <w:lang w:eastAsia="en-GB"/>
              </w:rPr>
              <w:t>29/11/2028</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5A5814DE" w14:textId="7868DDCB" w:rsidR="001D5D9F" w:rsidRPr="00E31467" w:rsidRDefault="001D5D9F" w:rsidP="001D5D9F">
            <w:pPr>
              <w:pStyle w:val="Tabletext"/>
              <w:jc w:val="center"/>
              <w:rPr>
                <w:sz w:val="18"/>
                <w:szCs w:val="18"/>
              </w:rPr>
            </w:pPr>
            <w:r w:rsidRPr="00E31467">
              <w:rPr>
                <w:sz w:val="18"/>
                <w:szCs w:val="18"/>
                <w:lang w:eastAsia="en-GB"/>
              </w:rPr>
              <w:t>1 x 200, 1 x 120, 1 x 80, 2 x 50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025791F" w14:textId="78E887B3" w:rsidR="001D5D9F" w:rsidRPr="00E31467" w:rsidRDefault="001D5D9F" w:rsidP="001D5D9F">
            <w:pPr>
              <w:pStyle w:val="Tabletext"/>
              <w:jc w:val="center"/>
              <w:rPr>
                <w:sz w:val="18"/>
                <w:szCs w:val="18"/>
                <w:lang w:eastAsia="en-GB"/>
              </w:rPr>
            </w:pPr>
            <w:r w:rsidRPr="00E31467">
              <w:rPr>
                <w:sz w:val="18"/>
                <w:szCs w:val="18"/>
                <w:lang w:eastAsia="en-GB"/>
              </w:rPr>
              <w:t>1 x 30</w:t>
            </w:r>
          </w:p>
        </w:tc>
      </w:tr>
      <w:tr w:rsidR="00A0207D" w:rsidRPr="00E31467" w14:paraId="13DAC367"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8E77BA9"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637FFA5A" w14:textId="77777777" w:rsidR="001D5D9F" w:rsidRPr="00E31467" w:rsidRDefault="001D5D9F" w:rsidP="001D5D9F">
            <w:pPr>
              <w:pStyle w:val="Tabletext"/>
              <w:ind w:left="102"/>
              <w:rPr>
                <w:sz w:val="18"/>
                <w:szCs w:val="18"/>
              </w:rPr>
            </w:pPr>
            <w:r w:rsidRPr="00E31467">
              <w:rPr>
                <w:sz w:val="18"/>
                <w:szCs w:val="18"/>
              </w:rPr>
              <w:t xml:space="preserve">CE 5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FB4478E" w14:textId="77777777" w:rsidR="001D5D9F" w:rsidRPr="00E31467" w:rsidRDefault="001D5D9F" w:rsidP="003D76DA">
            <w:pPr>
              <w:pStyle w:val="Tabletext"/>
              <w:ind w:left="-26"/>
              <w:jc w:val="center"/>
              <w:rPr>
                <w:sz w:val="18"/>
                <w:szCs w:val="18"/>
              </w:rPr>
            </w:pPr>
            <w:r w:rsidRPr="00E31467">
              <w:rPr>
                <w:sz w:val="18"/>
                <w:szCs w:val="18"/>
                <w:lang w:eastAsia="en-GB"/>
              </w:rPr>
              <w:t>30/11/2028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229EBE8" w14:textId="77777777" w:rsidR="001D5D9F" w:rsidRPr="00E31467" w:rsidRDefault="001D5D9F" w:rsidP="003D76DA">
            <w:pPr>
              <w:pStyle w:val="Tabletext"/>
              <w:ind w:left="-39"/>
              <w:jc w:val="center"/>
              <w:rPr>
                <w:sz w:val="18"/>
                <w:szCs w:val="18"/>
              </w:rPr>
            </w:pPr>
            <w:r w:rsidRPr="00E31467">
              <w:rPr>
                <w:sz w:val="18"/>
                <w:szCs w:val="18"/>
                <w:lang w:eastAsia="en-GB"/>
              </w:rPr>
              <w:t>01/12/2028</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1D4BC42D" w14:textId="18A1674D" w:rsidR="001D5D9F" w:rsidRPr="00E31467" w:rsidRDefault="001D5D9F" w:rsidP="001D5D9F">
            <w:pPr>
              <w:pStyle w:val="Tabletext"/>
              <w:jc w:val="center"/>
              <w:rPr>
                <w:sz w:val="18"/>
                <w:szCs w:val="18"/>
              </w:rPr>
            </w:pPr>
            <w:r w:rsidRPr="00E31467">
              <w:rPr>
                <w:sz w:val="18"/>
                <w:szCs w:val="18"/>
                <w:lang w:eastAsia="en-GB"/>
              </w:rPr>
              <w:t>1 x 200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EB1C238" w14:textId="77777777" w:rsidR="001D5D9F" w:rsidRPr="00E31467" w:rsidRDefault="001D5D9F" w:rsidP="001D5D9F">
            <w:pPr>
              <w:pStyle w:val="Tabletext"/>
              <w:jc w:val="center"/>
              <w:rPr>
                <w:sz w:val="18"/>
                <w:szCs w:val="18"/>
              </w:rPr>
            </w:pPr>
          </w:p>
        </w:tc>
      </w:tr>
      <w:tr w:rsidR="00A0207D" w:rsidRPr="00E31467" w14:paraId="47CD7287" w14:textId="77777777" w:rsidTr="001D5D9F">
        <w:trPr>
          <w:cantSplit/>
          <w:trHeight w:val="293"/>
          <w:jc w:val="center"/>
        </w:trPr>
        <w:tc>
          <w:tcPr>
            <w:tcW w:w="704" w:type="dxa"/>
            <w:vMerge w:val="restart"/>
            <w:tcBorders>
              <w:top w:val="single" w:sz="4" w:space="0" w:color="auto"/>
              <w:left w:val="single" w:sz="4" w:space="0" w:color="auto"/>
              <w:bottom w:val="single" w:sz="4" w:space="0" w:color="auto"/>
              <w:right w:val="single" w:sz="4" w:space="0" w:color="auto"/>
            </w:tcBorders>
            <w:noWrap/>
            <w:hideMark/>
          </w:tcPr>
          <w:p w14:paraId="4A870A01" w14:textId="77777777" w:rsidR="001D5D9F" w:rsidRPr="00E31467" w:rsidRDefault="001D5D9F" w:rsidP="001D5D9F">
            <w:pPr>
              <w:pStyle w:val="Tabletext"/>
              <w:jc w:val="center"/>
              <w:rPr>
                <w:sz w:val="18"/>
                <w:szCs w:val="18"/>
              </w:rPr>
            </w:pPr>
            <w:r w:rsidRPr="00E31467">
              <w:rPr>
                <w:sz w:val="18"/>
                <w:szCs w:val="18"/>
              </w:rPr>
              <w:t>BR</w:t>
            </w:r>
          </w:p>
        </w:tc>
        <w:tc>
          <w:tcPr>
            <w:tcW w:w="2268" w:type="dxa"/>
            <w:vMerge w:val="restart"/>
            <w:tcBorders>
              <w:top w:val="single" w:sz="4" w:space="0" w:color="auto"/>
              <w:left w:val="single" w:sz="4" w:space="0" w:color="auto"/>
              <w:bottom w:val="single" w:sz="4" w:space="0" w:color="auto"/>
              <w:right w:val="single" w:sz="4" w:space="0" w:color="auto"/>
            </w:tcBorders>
            <w:noWrap/>
            <w:hideMark/>
          </w:tcPr>
          <w:p w14:paraId="39979C0F" w14:textId="77777777" w:rsidR="001D5D9F" w:rsidRPr="00E31467" w:rsidRDefault="001D5D9F" w:rsidP="001D5D9F">
            <w:pPr>
              <w:pStyle w:val="Tabletext"/>
              <w:ind w:left="102"/>
              <w:rPr>
                <w:sz w:val="18"/>
                <w:szCs w:val="18"/>
              </w:rPr>
            </w:pPr>
            <w:proofErr w:type="spellStart"/>
            <w:r w:rsidRPr="00E31467">
              <w:rPr>
                <w:sz w:val="18"/>
                <w:szCs w:val="18"/>
              </w:rPr>
              <w:t>WRS</w:t>
            </w:r>
            <w:proofErr w:type="spellEnd"/>
            <w:r w:rsidRPr="00E31467">
              <w:rPr>
                <w:sz w:val="18"/>
                <w:szCs w:val="18"/>
              </w:rPr>
              <w:t>-28 – Plénière</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084AC12C" w14:textId="77777777" w:rsidR="001D5D9F" w:rsidRPr="00E31467" w:rsidRDefault="001D5D9F" w:rsidP="003D76DA">
            <w:pPr>
              <w:pStyle w:val="Tabletext"/>
              <w:ind w:left="-26"/>
              <w:jc w:val="center"/>
              <w:rPr>
                <w:sz w:val="18"/>
                <w:szCs w:val="18"/>
              </w:rPr>
            </w:pPr>
            <w:r w:rsidRPr="00E31467">
              <w:rPr>
                <w:sz w:val="18"/>
                <w:szCs w:val="18"/>
                <w:lang w:eastAsia="en-GB"/>
              </w:rPr>
              <w:t>04/12/2028</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6E160AB" w14:textId="77777777" w:rsidR="001D5D9F" w:rsidRPr="00E31467" w:rsidRDefault="001D5D9F" w:rsidP="003D76DA">
            <w:pPr>
              <w:pStyle w:val="Tabletext"/>
              <w:ind w:left="-39"/>
              <w:jc w:val="center"/>
              <w:rPr>
                <w:sz w:val="18"/>
                <w:szCs w:val="18"/>
              </w:rPr>
            </w:pPr>
            <w:r w:rsidRPr="00E31467">
              <w:rPr>
                <w:sz w:val="18"/>
                <w:szCs w:val="18"/>
                <w:lang w:eastAsia="en-GB"/>
              </w:rPr>
              <w:t>05/12/2028</w:t>
            </w:r>
          </w:p>
        </w:tc>
        <w:tc>
          <w:tcPr>
            <w:tcW w:w="2190" w:type="dxa"/>
            <w:vMerge w:val="restart"/>
            <w:tcBorders>
              <w:top w:val="single" w:sz="4" w:space="0" w:color="auto"/>
              <w:left w:val="single" w:sz="4" w:space="0" w:color="auto"/>
              <w:bottom w:val="single" w:sz="4" w:space="0" w:color="auto"/>
              <w:right w:val="single" w:sz="4" w:space="0" w:color="auto"/>
            </w:tcBorders>
            <w:noWrap/>
            <w:vAlign w:val="center"/>
            <w:hideMark/>
          </w:tcPr>
          <w:p w14:paraId="7F4655FC" w14:textId="0EFA4A8A" w:rsidR="001D5D9F" w:rsidRPr="00E31467" w:rsidRDefault="001D5D9F" w:rsidP="001D5D9F">
            <w:pPr>
              <w:pStyle w:val="Tabletext"/>
              <w:jc w:val="center"/>
              <w:rPr>
                <w:sz w:val="18"/>
                <w:szCs w:val="18"/>
              </w:rPr>
            </w:pPr>
            <w:r w:rsidRPr="00E31467">
              <w:rPr>
                <w:sz w:val="18"/>
                <w:szCs w:val="18"/>
                <w:lang w:eastAsia="en-GB"/>
              </w:rPr>
              <w:t>1 x 400</w:t>
            </w:r>
          </w:p>
        </w:tc>
        <w:tc>
          <w:tcPr>
            <w:tcW w:w="1485" w:type="dxa"/>
            <w:vMerge w:val="restart"/>
            <w:tcBorders>
              <w:top w:val="single" w:sz="4" w:space="0" w:color="auto"/>
              <w:left w:val="single" w:sz="4" w:space="0" w:color="auto"/>
              <w:bottom w:val="single" w:sz="4" w:space="0" w:color="auto"/>
              <w:right w:val="single" w:sz="4" w:space="0" w:color="auto"/>
            </w:tcBorders>
            <w:vAlign w:val="center"/>
            <w:hideMark/>
          </w:tcPr>
          <w:p w14:paraId="485DAAE5" w14:textId="77777777" w:rsidR="001D5D9F" w:rsidRPr="00E31467" w:rsidRDefault="001D5D9F" w:rsidP="001D5D9F">
            <w:pPr>
              <w:pStyle w:val="Tabletext"/>
              <w:jc w:val="center"/>
              <w:rPr>
                <w:sz w:val="18"/>
                <w:szCs w:val="18"/>
              </w:rPr>
            </w:pPr>
          </w:p>
        </w:tc>
      </w:tr>
      <w:tr w:rsidR="00A0207D" w:rsidRPr="00E31467" w14:paraId="395D43F0" w14:textId="77777777" w:rsidTr="001D5D9F">
        <w:trPr>
          <w:cantSplit/>
          <w:trHeight w:val="293"/>
          <w:jc w:val="center"/>
        </w:trPr>
        <w:tc>
          <w:tcPr>
            <w:tcW w:w="704" w:type="dxa"/>
            <w:vMerge/>
            <w:tcBorders>
              <w:top w:val="single" w:sz="4" w:space="0" w:color="auto"/>
              <w:left w:val="single" w:sz="4" w:space="0" w:color="auto"/>
              <w:bottom w:val="single" w:sz="4" w:space="0" w:color="auto"/>
              <w:right w:val="single" w:sz="4" w:space="0" w:color="auto"/>
            </w:tcBorders>
            <w:hideMark/>
          </w:tcPr>
          <w:p w14:paraId="2FAF8DDE" w14:textId="77777777" w:rsidR="001D5D9F" w:rsidRPr="00E31467" w:rsidRDefault="001D5D9F" w:rsidP="001D5D9F">
            <w:pPr>
              <w:pStyle w:val="Tabletext"/>
              <w:jc w:val="cente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CE25BE8" w14:textId="77777777" w:rsidR="001D5D9F" w:rsidRPr="00E31467" w:rsidRDefault="001D5D9F" w:rsidP="001D5D9F">
            <w:pPr>
              <w:pStyle w:val="Tabletext"/>
              <w:ind w:left="102"/>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ECC074" w14:textId="77777777" w:rsidR="001D5D9F" w:rsidRPr="00E31467" w:rsidRDefault="001D5D9F" w:rsidP="003D76DA">
            <w:pPr>
              <w:pStyle w:val="Tabletext"/>
              <w:ind w:left="-26"/>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9FEEA5" w14:textId="77777777" w:rsidR="001D5D9F" w:rsidRPr="00E31467" w:rsidRDefault="001D5D9F" w:rsidP="003D76DA">
            <w:pPr>
              <w:pStyle w:val="Tabletext"/>
              <w:ind w:left="-39"/>
              <w:jc w:val="center"/>
              <w:rPr>
                <w:sz w:val="18"/>
                <w:szCs w:val="18"/>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5592F4E0" w14:textId="77777777" w:rsidR="001D5D9F" w:rsidRPr="00E31467" w:rsidRDefault="001D5D9F" w:rsidP="001D5D9F">
            <w:pPr>
              <w:pStyle w:val="Tabletext"/>
              <w:jc w:val="center"/>
              <w:rPr>
                <w:sz w:val="18"/>
                <w:szCs w:val="18"/>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01C9136A" w14:textId="77777777" w:rsidR="001D5D9F" w:rsidRPr="00E31467" w:rsidRDefault="001D5D9F" w:rsidP="001D5D9F">
            <w:pPr>
              <w:pStyle w:val="Tabletext"/>
              <w:jc w:val="center"/>
              <w:rPr>
                <w:sz w:val="18"/>
                <w:szCs w:val="18"/>
              </w:rPr>
            </w:pPr>
          </w:p>
        </w:tc>
      </w:tr>
      <w:tr w:rsidR="00A0207D" w:rsidRPr="00E31467" w14:paraId="623B9521"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A042208"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1B9A7090" w14:textId="77777777" w:rsidR="001D5D9F" w:rsidRPr="00E31467" w:rsidRDefault="001D5D9F" w:rsidP="001D5D9F">
            <w:pPr>
              <w:pStyle w:val="Tabletext"/>
              <w:ind w:left="102"/>
              <w:rPr>
                <w:sz w:val="18"/>
                <w:szCs w:val="18"/>
              </w:rPr>
            </w:pPr>
            <w:proofErr w:type="spellStart"/>
            <w:r w:rsidRPr="00E31467">
              <w:rPr>
                <w:sz w:val="18"/>
                <w:szCs w:val="18"/>
              </w:rPr>
              <w:t>WRS</w:t>
            </w:r>
            <w:proofErr w:type="spellEnd"/>
            <w:r w:rsidRPr="00E31467">
              <w:rPr>
                <w:sz w:val="18"/>
                <w:szCs w:val="18"/>
              </w:rPr>
              <w:t>-28 – Ateliers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EDD0E1F" w14:textId="77777777" w:rsidR="001D5D9F" w:rsidRPr="00E31467" w:rsidRDefault="001D5D9F" w:rsidP="003D76DA">
            <w:pPr>
              <w:pStyle w:val="Tabletext"/>
              <w:ind w:left="-26"/>
              <w:jc w:val="center"/>
              <w:rPr>
                <w:sz w:val="18"/>
                <w:szCs w:val="18"/>
              </w:rPr>
            </w:pPr>
            <w:r w:rsidRPr="00E31467">
              <w:rPr>
                <w:sz w:val="18"/>
                <w:szCs w:val="18"/>
                <w:lang w:eastAsia="en-GB"/>
              </w:rPr>
              <w:t>06/12/2028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736B84" w14:textId="77777777" w:rsidR="001D5D9F" w:rsidRPr="00E31467" w:rsidRDefault="001D5D9F" w:rsidP="003D76DA">
            <w:pPr>
              <w:pStyle w:val="Tabletext"/>
              <w:ind w:left="-39"/>
              <w:jc w:val="center"/>
              <w:rPr>
                <w:sz w:val="18"/>
                <w:szCs w:val="18"/>
              </w:rPr>
            </w:pPr>
            <w:r w:rsidRPr="00E31467">
              <w:rPr>
                <w:sz w:val="18"/>
                <w:szCs w:val="18"/>
                <w:lang w:eastAsia="en-GB"/>
              </w:rPr>
              <w:t>08/12/2028</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53F07FE4" w14:textId="5981F364" w:rsidR="001D5D9F" w:rsidRPr="00E31467" w:rsidRDefault="001D5D9F" w:rsidP="001D5D9F">
            <w:pPr>
              <w:pStyle w:val="Tabletext"/>
              <w:jc w:val="center"/>
              <w:rPr>
                <w:sz w:val="18"/>
                <w:szCs w:val="18"/>
              </w:rPr>
            </w:pPr>
            <w:r w:rsidRPr="00E31467">
              <w:rPr>
                <w:sz w:val="18"/>
                <w:szCs w:val="18"/>
                <w:lang w:eastAsia="en-GB"/>
              </w:rPr>
              <w:t>2 x 200, 2 x 100, 2 x 60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C673EF8" w14:textId="7F42CDCE" w:rsidR="001D5D9F" w:rsidRPr="00E31467" w:rsidRDefault="001D5D9F" w:rsidP="001D5D9F">
            <w:pPr>
              <w:pStyle w:val="Tabletext"/>
              <w:jc w:val="center"/>
              <w:rPr>
                <w:sz w:val="18"/>
                <w:szCs w:val="18"/>
                <w:lang w:eastAsia="en-GB"/>
              </w:rPr>
            </w:pPr>
            <w:r w:rsidRPr="00E31467">
              <w:rPr>
                <w:sz w:val="18"/>
                <w:szCs w:val="18"/>
                <w:lang w:eastAsia="en-GB"/>
              </w:rPr>
              <w:t>1 x 30</w:t>
            </w:r>
          </w:p>
        </w:tc>
      </w:tr>
      <w:tr w:rsidR="00A0207D" w:rsidRPr="00E31467" w14:paraId="078301E3"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2D50901"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61C7220F" w14:textId="7D9FD996" w:rsidR="001D5D9F" w:rsidRPr="00E31467" w:rsidRDefault="001D5D9F" w:rsidP="001D5D9F">
            <w:pPr>
              <w:pStyle w:val="Tabletext"/>
              <w:ind w:left="102"/>
              <w:rPr>
                <w:sz w:val="18"/>
                <w:szCs w:val="18"/>
              </w:rPr>
            </w:pPr>
            <w:r w:rsidRPr="00E31467">
              <w:rPr>
                <w:sz w:val="18"/>
                <w:szCs w:val="18"/>
              </w:rPr>
              <w:t>Nouvelle commission après l'</w:t>
            </w:r>
            <w:proofErr w:type="spellStart"/>
            <w:r w:rsidRPr="00E31467">
              <w:rPr>
                <w:sz w:val="18"/>
                <w:szCs w:val="18"/>
              </w:rPr>
              <w:t>AR-27</w:t>
            </w:r>
            <w:proofErr w:type="spellEnd"/>
            <w:r w:rsidRPr="00E31467">
              <w:rPr>
                <w:sz w:val="18"/>
                <w:szCs w:val="18"/>
              </w:rPr>
              <w:t>/la CMR-27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728A38" w14:textId="77777777" w:rsidR="001D5D9F" w:rsidRPr="00E31467" w:rsidRDefault="001D5D9F" w:rsidP="003D76DA">
            <w:pPr>
              <w:pStyle w:val="Tabletext"/>
              <w:ind w:left="-26"/>
              <w:jc w:val="center"/>
              <w:rPr>
                <w:sz w:val="18"/>
                <w:szCs w:val="18"/>
              </w:rPr>
            </w:pPr>
            <w:r w:rsidRPr="00E31467">
              <w:rPr>
                <w:sz w:val="18"/>
                <w:szCs w:val="18"/>
                <w:lang w:eastAsia="en-GB"/>
              </w:rPr>
              <w:t>11/12/2028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2D47FB" w14:textId="77777777" w:rsidR="001D5D9F" w:rsidRPr="00E31467" w:rsidRDefault="001D5D9F" w:rsidP="003D76DA">
            <w:pPr>
              <w:pStyle w:val="Tabletext"/>
              <w:ind w:left="-39"/>
              <w:jc w:val="center"/>
              <w:rPr>
                <w:sz w:val="18"/>
                <w:szCs w:val="18"/>
              </w:rPr>
            </w:pPr>
            <w:r w:rsidRPr="00E31467">
              <w:rPr>
                <w:sz w:val="18"/>
                <w:szCs w:val="18"/>
                <w:lang w:eastAsia="en-GB"/>
              </w:rPr>
              <w:t>15/12/2028</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5C2F4684" w14:textId="27A98EFD" w:rsidR="001D5D9F" w:rsidRPr="00E31467" w:rsidRDefault="001D5D9F" w:rsidP="001D5D9F">
            <w:pPr>
              <w:pStyle w:val="Tabletext"/>
              <w:jc w:val="center"/>
              <w:rPr>
                <w:sz w:val="18"/>
                <w:szCs w:val="18"/>
                <w:lang w:eastAsia="en-GB"/>
              </w:rPr>
            </w:pPr>
            <w:r w:rsidRPr="00E31467">
              <w:rPr>
                <w:sz w:val="18"/>
                <w:szCs w:val="18"/>
                <w:lang w:eastAsia="en-GB"/>
              </w:rPr>
              <w:t>1 x 250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CB12A18" w14:textId="3E66C5B6" w:rsidR="001D5D9F" w:rsidRPr="00E31467" w:rsidRDefault="001D5D9F" w:rsidP="001D5D9F">
            <w:pPr>
              <w:pStyle w:val="Tabletext"/>
              <w:jc w:val="center"/>
              <w:rPr>
                <w:sz w:val="18"/>
                <w:szCs w:val="18"/>
                <w:lang w:eastAsia="en-GB"/>
              </w:rPr>
            </w:pPr>
            <w:r w:rsidRPr="00E31467">
              <w:rPr>
                <w:sz w:val="18"/>
                <w:szCs w:val="18"/>
                <w:lang w:eastAsia="en-GB"/>
              </w:rPr>
              <w:t>1 x 30</w:t>
            </w:r>
          </w:p>
        </w:tc>
      </w:tr>
      <w:tr w:rsidR="00A0207D" w:rsidRPr="00E31467" w14:paraId="71CFA9DB"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7EC19BC"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47A42AF2" w14:textId="77777777" w:rsidR="001D5D9F" w:rsidRPr="00E31467" w:rsidRDefault="001D5D9F" w:rsidP="001D5D9F">
            <w:pPr>
              <w:pStyle w:val="Tabletext"/>
              <w:ind w:left="102"/>
              <w:rPr>
                <w:sz w:val="18"/>
                <w:szCs w:val="18"/>
              </w:rPr>
            </w:pPr>
            <w:r w:rsidRPr="00E31467">
              <w:rPr>
                <w:sz w:val="18"/>
                <w:szCs w:val="18"/>
              </w:rPr>
              <w:t>CE 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010641A" w14:textId="77777777" w:rsidR="001D5D9F" w:rsidRPr="00E31467" w:rsidRDefault="001D5D9F" w:rsidP="003D76DA">
            <w:pPr>
              <w:pStyle w:val="Tabletext"/>
              <w:ind w:left="-26"/>
              <w:jc w:val="center"/>
              <w:rPr>
                <w:sz w:val="18"/>
                <w:szCs w:val="18"/>
              </w:rPr>
            </w:pPr>
            <w:r w:rsidRPr="00E31467">
              <w:rPr>
                <w:sz w:val="18"/>
                <w:szCs w:val="18"/>
                <w:lang w:eastAsia="en-GB"/>
              </w:rPr>
              <w:t>10/01/2029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DCF94A" w14:textId="77777777" w:rsidR="001D5D9F" w:rsidRPr="00E31467" w:rsidRDefault="001D5D9F" w:rsidP="003D76DA">
            <w:pPr>
              <w:pStyle w:val="Tabletext"/>
              <w:ind w:left="-39"/>
              <w:jc w:val="center"/>
              <w:rPr>
                <w:sz w:val="18"/>
                <w:szCs w:val="18"/>
              </w:rPr>
            </w:pPr>
            <w:r w:rsidRPr="00E31467">
              <w:rPr>
                <w:sz w:val="18"/>
                <w:szCs w:val="18"/>
                <w:lang w:eastAsia="en-GB"/>
              </w:rPr>
              <w:t>18/01/2029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B543612" w14:textId="4DD37CD0" w:rsidR="001D5D9F" w:rsidRPr="00E31467" w:rsidRDefault="001D5D9F" w:rsidP="001D5D9F">
            <w:pPr>
              <w:pStyle w:val="Tabletext"/>
              <w:jc w:val="center"/>
              <w:rPr>
                <w:sz w:val="18"/>
                <w:szCs w:val="18"/>
              </w:rPr>
            </w:pPr>
            <w:r w:rsidRPr="00E31467">
              <w:rPr>
                <w:sz w:val="18"/>
                <w:szCs w:val="18"/>
                <w:lang w:eastAsia="en-GB"/>
              </w:rPr>
              <w:t>1 x 150 (ouverture et fermeture), 3 x 30,</w:t>
            </w:r>
            <w:r w:rsidRPr="00E31467">
              <w:rPr>
                <w:sz w:val="18"/>
                <w:szCs w:val="18"/>
                <w:lang w:eastAsia="en-GB"/>
              </w:rPr>
              <w:br/>
              <w:t>2 x 15, 2 x 10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8AB1BC9" w14:textId="77777777" w:rsidR="001D5D9F" w:rsidRPr="00E31467" w:rsidRDefault="001D5D9F" w:rsidP="001D5D9F">
            <w:pPr>
              <w:pStyle w:val="Tabletext"/>
              <w:jc w:val="center"/>
              <w:rPr>
                <w:sz w:val="18"/>
                <w:szCs w:val="18"/>
              </w:rPr>
            </w:pPr>
          </w:p>
        </w:tc>
      </w:tr>
      <w:tr w:rsidR="00A0207D" w:rsidRPr="00E31467" w14:paraId="21781FD5"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6B43988"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0B1003BB" w14:textId="77777777" w:rsidR="001D5D9F" w:rsidRPr="00E31467" w:rsidRDefault="001D5D9F" w:rsidP="001D5D9F">
            <w:pPr>
              <w:pStyle w:val="Tabletext"/>
              <w:ind w:left="102"/>
              <w:rPr>
                <w:sz w:val="18"/>
                <w:szCs w:val="18"/>
              </w:rPr>
            </w:pPr>
            <w:r w:rsidRPr="00E31467">
              <w:rPr>
                <w:sz w:val="18"/>
                <w:szCs w:val="18"/>
              </w:rPr>
              <w:t>CE 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06BD0F0" w14:textId="77777777" w:rsidR="001D5D9F" w:rsidRPr="00E31467" w:rsidRDefault="001D5D9F" w:rsidP="003D76DA">
            <w:pPr>
              <w:pStyle w:val="Tabletext"/>
              <w:ind w:left="-26"/>
              <w:jc w:val="center"/>
              <w:rPr>
                <w:sz w:val="18"/>
                <w:szCs w:val="18"/>
              </w:rPr>
            </w:pPr>
            <w:r w:rsidRPr="00E31467">
              <w:rPr>
                <w:sz w:val="18"/>
                <w:szCs w:val="18"/>
                <w:lang w:eastAsia="en-GB"/>
              </w:rPr>
              <w:t>22/01/2029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3B3CE9" w14:textId="77777777" w:rsidR="001D5D9F" w:rsidRPr="00E31467" w:rsidRDefault="001D5D9F" w:rsidP="003D76DA">
            <w:pPr>
              <w:pStyle w:val="Tabletext"/>
              <w:ind w:left="-39"/>
              <w:jc w:val="center"/>
              <w:rPr>
                <w:sz w:val="18"/>
                <w:szCs w:val="18"/>
              </w:rPr>
            </w:pPr>
            <w:r w:rsidRPr="00E31467">
              <w:rPr>
                <w:sz w:val="18"/>
                <w:szCs w:val="18"/>
                <w:lang w:eastAsia="en-GB"/>
              </w:rPr>
              <w:t>02/02/2029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29C998D" w14:textId="538A3748" w:rsidR="001D5D9F" w:rsidRPr="00E31467" w:rsidRDefault="001D5D9F" w:rsidP="001D5D9F">
            <w:pPr>
              <w:pStyle w:val="Tabletext"/>
              <w:jc w:val="center"/>
              <w:rPr>
                <w:sz w:val="18"/>
                <w:szCs w:val="18"/>
              </w:rPr>
            </w:pPr>
            <w:r w:rsidRPr="00E31467">
              <w:rPr>
                <w:sz w:val="18"/>
                <w:szCs w:val="18"/>
                <w:lang w:eastAsia="en-GB"/>
              </w:rPr>
              <w:t>1 x 150, 1 x 30, 2 x 20, 2 x 15</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CBB9288" w14:textId="77777777" w:rsidR="001D5D9F" w:rsidRPr="00E31467" w:rsidRDefault="001D5D9F" w:rsidP="001D5D9F">
            <w:pPr>
              <w:pStyle w:val="Tabletext"/>
              <w:jc w:val="center"/>
              <w:rPr>
                <w:sz w:val="18"/>
                <w:szCs w:val="18"/>
              </w:rPr>
            </w:pPr>
          </w:p>
        </w:tc>
      </w:tr>
      <w:tr w:rsidR="00A0207D" w:rsidRPr="00E31467" w14:paraId="766F0A99"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869E29B"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31271EF0" w14:textId="77777777" w:rsidR="001D5D9F" w:rsidRPr="00E31467" w:rsidRDefault="001D5D9F" w:rsidP="001D5D9F">
            <w:pPr>
              <w:pStyle w:val="Tabletext"/>
              <w:ind w:left="102"/>
              <w:rPr>
                <w:sz w:val="18"/>
                <w:szCs w:val="18"/>
              </w:rPr>
            </w:pPr>
            <w:r w:rsidRPr="00E31467">
              <w:rPr>
                <w:sz w:val="18"/>
                <w:szCs w:val="18"/>
              </w:rPr>
              <w:t xml:space="preserve">Équipe </w:t>
            </w:r>
            <w:proofErr w:type="spellStart"/>
            <w:r w:rsidRPr="00E31467">
              <w:rPr>
                <w:sz w:val="18"/>
                <w:szCs w:val="18"/>
              </w:rPr>
              <w:t>JVET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4DAB3BB" w14:textId="77777777" w:rsidR="001D5D9F" w:rsidRPr="00E31467" w:rsidRDefault="001D5D9F" w:rsidP="003D76DA">
            <w:pPr>
              <w:pStyle w:val="Tabletext"/>
              <w:ind w:left="-26"/>
              <w:jc w:val="center"/>
              <w:rPr>
                <w:sz w:val="18"/>
                <w:szCs w:val="18"/>
              </w:rPr>
            </w:pPr>
            <w:r w:rsidRPr="00E31467">
              <w:rPr>
                <w:sz w:val="18"/>
                <w:szCs w:val="18"/>
                <w:lang w:eastAsia="en-GB"/>
              </w:rPr>
              <w:t>23/01/2029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2DDEE8" w14:textId="77777777" w:rsidR="001D5D9F" w:rsidRPr="00E31467" w:rsidRDefault="001D5D9F" w:rsidP="003D76DA">
            <w:pPr>
              <w:pStyle w:val="Tabletext"/>
              <w:ind w:left="-39"/>
              <w:jc w:val="center"/>
              <w:rPr>
                <w:sz w:val="18"/>
                <w:szCs w:val="18"/>
              </w:rPr>
            </w:pPr>
            <w:r w:rsidRPr="00E31467">
              <w:rPr>
                <w:sz w:val="18"/>
                <w:szCs w:val="18"/>
                <w:lang w:eastAsia="en-GB"/>
              </w:rPr>
              <w:t>30/01/2029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BCD392F" w14:textId="7F18DDE5" w:rsidR="001D5D9F" w:rsidRPr="00E31467" w:rsidRDefault="001D5D9F" w:rsidP="001D5D9F">
            <w:pPr>
              <w:pStyle w:val="Tabletext"/>
              <w:jc w:val="center"/>
              <w:rPr>
                <w:sz w:val="18"/>
                <w:szCs w:val="18"/>
              </w:rPr>
            </w:pPr>
            <w:r w:rsidRPr="00E31467">
              <w:rPr>
                <w:sz w:val="18"/>
                <w:szCs w:val="18"/>
                <w:lang w:eastAsia="en-GB"/>
              </w:rPr>
              <w:t xml:space="preserve">Équipe </w:t>
            </w:r>
            <w:proofErr w:type="spellStart"/>
            <w:r w:rsidRPr="00E31467">
              <w:rPr>
                <w:sz w:val="18"/>
                <w:szCs w:val="18"/>
                <w:lang w:eastAsia="en-GB"/>
              </w:rPr>
              <w:t>JVET</w:t>
            </w:r>
            <w:proofErr w:type="spellEnd"/>
            <w:r w:rsidRPr="00E31467">
              <w:rPr>
                <w:sz w:val="18"/>
                <w:szCs w:val="18"/>
                <w:lang w:eastAsia="en-GB"/>
              </w:rPr>
              <w:t xml:space="preserve"> 1 x 200, 1 x 100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B177DD1" w14:textId="77777777" w:rsidR="001D5D9F" w:rsidRPr="00E31467" w:rsidRDefault="001D5D9F" w:rsidP="001D5D9F">
            <w:pPr>
              <w:pStyle w:val="Tabletext"/>
              <w:jc w:val="center"/>
              <w:rPr>
                <w:sz w:val="18"/>
                <w:szCs w:val="18"/>
              </w:rPr>
            </w:pPr>
          </w:p>
        </w:tc>
      </w:tr>
      <w:tr w:rsidR="00A0207D" w:rsidRPr="00E31467" w14:paraId="2837E8AB"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CF69123"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3A2AA170" w14:textId="77777777" w:rsidR="001D5D9F" w:rsidRPr="00E31467" w:rsidRDefault="001D5D9F" w:rsidP="001D5D9F">
            <w:pPr>
              <w:pStyle w:val="Tabletext"/>
              <w:ind w:left="102"/>
              <w:rPr>
                <w:sz w:val="18"/>
                <w:szCs w:val="18"/>
              </w:rPr>
            </w:pPr>
            <w:r w:rsidRPr="00E31467">
              <w:rPr>
                <w:sz w:val="18"/>
                <w:szCs w:val="18"/>
              </w:rPr>
              <w:t xml:space="preserve">GT </w:t>
            </w:r>
            <w:proofErr w:type="spellStart"/>
            <w:r w:rsidRPr="00E31467">
              <w:rPr>
                <w:sz w:val="18"/>
                <w:szCs w:val="18"/>
              </w:rPr>
              <w:t>5D</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0802899" w14:textId="77777777" w:rsidR="001D5D9F" w:rsidRPr="00E31467" w:rsidRDefault="001D5D9F" w:rsidP="003D76DA">
            <w:pPr>
              <w:pStyle w:val="Tabletext"/>
              <w:ind w:left="-26"/>
              <w:jc w:val="center"/>
              <w:rPr>
                <w:sz w:val="18"/>
                <w:szCs w:val="18"/>
              </w:rPr>
            </w:pPr>
            <w:r w:rsidRPr="00E31467">
              <w:rPr>
                <w:sz w:val="18"/>
                <w:szCs w:val="18"/>
                <w:lang w:eastAsia="en-GB"/>
              </w:rPr>
              <w:t>30/01/2029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FA22012" w14:textId="77777777" w:rsidR="001D5D9F" w:rsidRPr="00E31467" w:rsidRDefault="001D5D9F" w:rsidP="003D76DA">
            <w:pPr>
              <w:pStyle w:val="Tabletext"/>
              <w:ind w:left="-39"/>
              <w:jc w:val="center"/>
              <w:rPr>
                <w:sz w:val="18"/>
                <w:szCs w:val="18"/>
              </w:rPr>
            </w:pPr>
            <w:r w:rsidRPr="00E31467">
              <w:rPr>
                <w:sz w:val="18"/>
                <w:szCs w:val="18"/>
                <w:lang w:eastAsia="en-GB"/>
              </w:rPr>
              <w:t>08/02/2029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29B505A4" w14:textId="69EE4628" w:rsidR="001D5D9F" w:rsidRPr="00E31467" w:rsidRDefault="001D5D9F" w:rsidP="001D5D9F">
            <w:pPr>
              <w:pStyle w:val="Tabletext"/>
              <w:jc w:val="center"/>
              <w:rPr>
                <w:sz w:val="18"/>
                <w:szCs w:val="18"/>
              </w:rPr>
            </w:pPr>
            <w:r w:rsidRPr="00E31467">
              <w:rPr>
                <w:sz w:val="18"/>
                <w:szCs w:val="18"/>
                <w:lang w:eastAsia="en-GB"/>
              </w:rPr>
              <w:t>1 x 250, 2 x 80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0A639C6" w14:textId="55D13DCB" w:rsidR="001D5D9F" w:rsidRPr="00E31467" w:rsidRDefault="001D5D9F" w:rsidP="001D5D9F">
            <w:pPr>
              <w:pStyle w:val="Tabletext"/>
              <w:jc w:val="center"/>
              <w:rPr>
                <w:sz w:val="18"/>
                <w:szCs w:val="18"/>
                <w:lang w:eastAsia="en-GB"/>
              </w:rPr>
            </w:pPr>
            <w:r w:rsidRPr="00E31467">
              <w:rPr>
                <w:sz w:val="18"/>
                <w:szCs w:val="18"/>
                <w:lang w:eastAsia="en-GB"/>
              </w:rPr>
              <w:t>2 x 30</w:t>
            </w:r>
          </w:p>
        </w:tc>
      </w:tr>
      <w:tr w:rsidR="00A0207D" w:rsidRPr="00E31467" w14:paraId="1C2DC74A" w14:textId="77777777" w:rsidTr="001D5D9F">
        <w:trPr>
          <w:cantSplit/>
          <w:trHeight w:val="293"/>
          <w:jc w:val="center"/>
        </w:trPr>
        <w:tc>
          <w:tcPr>
            <w:tcW w:w="704" w:type="dxa"/>
            <w:vMerge w:val="restart"/>
            <w:tcBorders>
              <w:top w:val="single" w:sz="4" w:space="0" w:color="auto"/>
              <w:left w:val="single" w:sz="4" w:space="0" w:color="auto"/>
              <w:bottom w:val="single" w:sz="4" w:space="0" w:color="auto"/>
              <w:right w:val="single" w:sz="4" w:space="0" w:color="auto"/>
            </w:tcBorders>
            <w:noWrap/>
            <w:hideMark/>
          </w:tcPr>
          <w:p w14:paraId="03E59F1F" w14:textId="77777777" w:rsidR="001D5D9F" w:rsidRPr="00E31467" w:rsidRDefault="001D5D9F" w:rsidP="001D5D9F">
            <w:pPr>
              <w:pStyle w:val="Tabletext"/>
              <w:jc w:val="center"/>
              <w:rPr>
                <w:sz w:val="18"/>
                <w:szCs w:val="18"/>
              </w:rPr>
            </w:pPr>
            <w:r w:rsidRPr="00E31467">
              <w:rPr>
                <w:sz w:val="18"/>
                <w:szCs w:val="18"/>
              </w:rPr>
              <w:t>TSB</w:t>
            </w:r>
          </w:p>
        </w:tc>
        <w:tc>
          <w:tcPr>
            <w:tcW w:w="2268" w:type="dxa"/>
            <w:vMerge w:val="restart"/>
            <w:tcBorders>
              <w:top w:val="single" w:sz="4" w:space="0" w:color="auto"/>
              <w:left w:val="single" w:sz="4" w:space="0" w:color="auto"/>
              <w:bottom w:val="single" w:sz="4" w:space="0" w:color="auto"/>
              <w:right w:val="single" w:sz="4" w:space="0" w:color="auto"/>
            </w:tcBorders>
            <w:noWrap/>
            <w:hideMark/>
          </w:tcPr>
          <w:p w14:paraId="1B16282E" w14:textId="77777777" w:rsidR="001D5D9F" w:rsidRPr="00E31467" w:rsidRDefault="001D5D9F" w:rsidP="001D5D9F">
            <w:pPr>
              <w:pStyle w:val="Tabletext"/>
              <w:ind w:left="102"/>
              <w:rPr>
                <w:sz w:val="18"/>
                <w:szCs w:val="18"/>
              </w:rPr>
            </w:pPr>
            <w:r w:rsidRPr="00E31467">
              <w:rPr>
                <w:sz w:val="18"/>
                <w:szCs w:val="18"/>
              </w:rPr>
              <w:t>CE 5</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3C101DDD" w14:textId="77777777" w:rsidR="001D5D9F" w:rsidRPr="00E31467" w:rsidRDefault="001D5D9F" w:rsidP="003D76DA">
            <w:pPr>
              <w:pStyle w:val="Tabletext"/>
              <w:ind w:left="-26"/>
              <w:jc w:val="center"/>
              <w:rPr>
                <w:sz w:val="18"/>
                <w:szCs w:val="18"/>
              </w:rPr>
            </w:pPr>
            <w:r w:rsidRPr="00E31467">
              <w:rPr>
                <w:sz w:val="18"/>
                <w:szCs w:val="18"/>
                <w:lang w:eastAsia="en-GB"/>
              </w:rPr>
              <w:t>05/02/2029</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156871E" w14:textId="77777777" w:rsidR="001D5D9F" w:rsidRPr="00E31467" w:rsidRDefault="001D5D9F" w:rsidP="003D76DA">
            <w:pPr>
              <w:pStyle w:val="Tabletext"/>
              <w:ind w:left="-39"/>
              <w:jc w:val="center"/>
              <w:rPr>
                <w:sz w:val="18"/>
                <w:szCs w:val="18"/>
              </w:rPr>
            </w:pPr>
            <w:r w:rsidRPr="00E31467">
              <w:rPr>
                <w:sz w:val="18"/>
                <w:szCs w:val="18"/>
                <w:lang w:eastAsia="en-GB"/>
              </w:rPr>
              <w:t>13/02/2029</w:t>
            </w:r>
          </w:p>
        </w:tc>
        <w:tc>
          <w:tcPr>
            <w:tcW w:w="2190" w:type="dxa"/>
            <w:vMerge w:val="restart"/>
            <w:tcBorders>
              <w:top w:val="single" w:sz="4" w:space="0" w:color="auto"/>
              <w:left w:val="single" w:sz="4" w:space="0" w:color="auto"/>
              <w:bottom w:val="single" w:sz="4" w:space="0" w:color="auto"/>
              <w:right w:val="single" w:sz="4" w:space="0" w:color="auto"/>
            </w:tcBorders>
            <w:noWrap/>
            <w:vAlign w:val="center"/>
            <w:hideMark/>
          </w:tcPr>
          <w:p w14:paraId="7F8A6FF2" w14:textId="4881821F" w:rsidR="001D5D9F" w:rsidRPr="00E31467" w:rsidRDefault="001D5D9F" w:rsidP="001D5D9F">
            <w:pPr>
              <w:pStyle w:val="Tabletext"/>
              <w:jc w:val="center"/>
              <w:rPr>
                <w:sz w:val="18"/>
                <w:szCs w:val="18"/>
              </w:rPr>
            </w:pPr>
            <w:r w:rsidRPr="00E31467">
              <w:rPr>
                <w:sz w:val="18"/>
                <w:szCs w:val="18"/>
                <w:lang w:eastAsia="en-GB"/>
              </w:rPr>
              <w:t>1 x 150, 2 x 50, 3 x 30, 2 x 15</w:t>
            </w:r>
          </w:p>
        </w:tc>
        <w:tc>
          <w:tcPr>
            <w:tcW w:w="1485" w:type="dxa"/>
            <w:vMerge w:val="restart"/>
            <w:tcBorders>
              <w:top w:val="single" w:sz="4" w:space="0" w:color="auto"/>
              <w:left w:val="single" w:sz="4" w:space="0" w:color="auto"/>
              <w:bottom w:val="single" w:sz="4" w:space="0" w:color="auto"/>
              <w:right w:val="single" w:sz="4" w:space="0" w:color="auto"/>
            </w:tcBorders>
            <w:vAlign w:val="center"/>
            <w:hideMark/>
          </w:tcPr>
          <w:p w14:paraId="7CF5A640" w14:textId="77777777" w:rsidR="001D5D9F" w:rsidRPr="00E31467" w:rsidRDefault="001D5D9F" w:rsidP="001D5D9F">
            <w:pPr>
              <w:pStyle w:val="Tabletext"/>
              <w:jc w:val="center"/>
              <w:rPr>
                <w:sz w:val="18"/>
                <w:szCs w:val="18"/>
              </w:rPr>
            </w:pPr>
          </w:p>
        </w:tc>
      </w:tr>
      <w:tr w:rsidR="00A0207D" w:rsidRPr="00E31467" w14:paraId="5D6C5A94" w14:textId="77777777" w:rsidTr="001D5D9F">
        <w:trPr>
          <w:cantSplit/>
          <w:trHeight w:val="293"/>
          <w:jc w:val="center"/>
        </w:trPr>
        <w:tc>
          <w:tcPr>
            <w:tcW w:w="704" w:type="dxa"/>
            <w:vMerge/>
            <w:tcBorders>
              <w:top w:val="single" w:sz="4" w:space="0" w:color="auto"/>
              <w:left w:val="single" w:sz="4" w:space="0" w:color="auto"/>
              <w:bottom w:val="single" w:sz="4" w:space="0" w:color="auto"/>
              <w:right w:val="single" w:sz="4" w:space="0" w:color="auto"/>
            </w:tcBorders>
            <w:hideMark/>
          </w:tcPr>
          <w:p w14:paraId="234331FC" w14:textId="77777777" w:rsidR="001D5D9F" w:rsidRPr="00E31467" w:rsidRDefault="001D5D9F" w:rsidP="001D5D9F">
            <w:pPr>
              <w:pStyle w:val="Tabletext"/>
              <w:jc w:val="cente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3E14AB0" w14:textId="77777777" w:rsidR="001D5D9F" w:rsidRPr="00E31467" w:rsidRDefault="001D5D9F" w:rsidP="001D5D9F">
            <w:pPr>
              <w:pStyle w:val="Tabletext"/>
              <w:ind w:left="102"/>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FB4057" w14:textId="77777777" w:rsidR="001D5D9F" w:rsidRPr="00E31467" w:rsidRDefault="001D5D9F" w:rsidP="003D76DA">
            <w:pPr>
              <w:pStyle w:val="Tabletext"/>
              <w:ind w:left="-26"/>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E033DB" w14:textId="77777777" w:rsidR="001D5D9F" w:rsidRPr="00E31467" w:rsidRDefault="001D5D9F" w:rsidP="003D76DA">
            <w:pPr>
              <w:pStyle w:val="Tabletext"/>
              <w:ind w:left="-39"/>
              <w:jc w:val="center"/>
              <w:rPr>
                <w:sz w:val="18"/>
                <w:szCs w:val="18"/>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453221C3" w14:textId="77777777" w:rsidR="001D5D9F" w:rsidRPr="00E31467" w:rsidRDefault="001D5D9F" w:rsidP="001D5D9F">
            <w:pPr>
              <w:pStyle w:val="Tabletext"/>
              <w:jc w:val="center"/>
              <w:rPr>
                <w:sz w:val="18"/>
                <w:szCs w:val="18"/>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2F462170" w14:textId="77777777" w:rsidR="001D5D9F" w:rsidRPr="00E31467" w:rsidRDefault="001D5D9F" w:rsidP="001D5D9F">
            <w:pPr>
              <w:pStyle w:val="Tabletext"/>
              <w:jc w:val="center"/>
              <w:rPr>
                <w:sz w:val="18"/>
                <w:szCs w:val="18"/>
              </w:rPr>
            </w:pPr>
          </w:p>
        </w:tc>
      </w:tr>
      <w:tr w:rsidR="00A0207D" w:rsidRPr="00E31467" w14:paraId="31FA53F5"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0DBBA0E"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287D8035" w14:textId="77777777" w:rsidR="001D5D9F" w:rsidRPr="00AE3873" w:rsidRDefault="001D5D9F" w:rsidP="001D5D9F">
            <w:pPr>
              <w:pStyle w:val="Tabletext"/>
              <w:ind w:left="102"/>
              <w:rPr>
                <w:sz w:val="18"/>
                <w:szCs w:val="18"/>
              </w:rPr>
            </w:pPr>
            <w:r w:rsidRPr="00AE3873">
              <w:rPr>
                <w:sz w:val="18"/>
                <w:szCs w:val="18"/>
              </w:rPr>
              <w:t xml:space="preserve">GT </w:t>
            </w:r>
            <w:proofErr w:type="spellStart"/>
            <w:r w:rsidRPr="00AE3873">
              <w:rPr>
                <w:sz w:val="18"/>
                <w:szCs w:val="18"/>
              </w:rPr>
              <w:t>3J</w:t>
            </w:r>
            <w:proofErr w:type="spellEnd"/>
            <w:r w:rsidRPr="00AE3873">
              <w:rPr>
                <w:sz w:val="18"/>
                <w:szCs w:val="18"/>
              </w:rPr>
              <w:t xml:space="preserve">, </w:t>
            </w:r>
            <w:proofErr w:type="spellStart"/>
            <w:r w:rsidRPr="00AE3873">
              <w:rPr>
                <w:sz w:val="18"/>
                <w:szCs w:val="18"/>
              </w:rPr>
              <w:t>3K</w:t>
            </w:r>
            <w:proofErr w:type="spellEnd"/>
            <w:r w:rsidRPr="00AE3873">
              <w:rPr>
                <w:sz w:val="18"/>
                <w:szCs w:val="18"/>
              </w:rPr>
              <w:t xml:space="preserve">, </w:t>
            </w:r>
            <w:proofErr w:type="spellStart"/>
            <w:r w:rsidRPr="00AE3873">
              <w:rPr>
                <w:sz w:val="18"/>
                <w:szCs w:val="18"/>
              </w:rPr>
              <w:t>3L</w:t>
            </w:r>
            <w:proofErr w:type="spellEnd"/>
            <w:r w:rsidRPr="00AE3873">
              <w:rPr>
                <w:sz w:val="18"/>
                <w:szCs w:val="18"/>
              </w:rPr>
              <w:t>, 3M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AC31EA" w14:textId="77777777" w:rsidR="001D5D9F" w:rsidRPr="00E31467" w:rsidRDefault="001D5D9F" w:rsidP="003D76DA">
            <w:pPr>
              <w:pStyle w:val="Tabletext"/>
              <w:ind w:left="-26"/>
              <w:jc w:val="center"/>
              <w:rPr>
                <w:sz w:val="18"/>
                <w:szCs w:val="18"/>
                <w:lang w:eastAsia="en-GB"/>
              </w:rPr>
            </w:pPr>
            <w:r w:rsidRPr="00E31467">
              <w:rPr>
                <w:sz w:val="18"/>
                <w:szCs w:val="18"/>
                <w:lang w:eastAsia="en-GB"/>
              </w:rPr>
              <w:t>19/02/2029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03D4D7" w14:textId="77777777" w:rsidR="001D5D9F" w:rsidRPr="00E31467" w:rsidRDefault="001D5D9F" w:rsidP="003D76DA">
            <w:pPr>
              <w:pStyle w:val="Tabletext"/>
              <w:ind w:left="-39"/>
              <w:jc w:val="center"/>
              <w:rPr>
                <w:sz w:val="18"/>
                <w:szCs w:val="18"/>
              </w:rPr>
            </w:pPr>
            <w:r w:rsidRPr="00E31467">
              <w:rPr>
                <w:sz w:val="18"/>
                <w:szCs w:val="18"/>
                <w:lang w:eastAsia="en-GB"/>
              </w:rPr>
              <w:t>23/02/2029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0C093F9C" w14:textId="724E253D" w:rsidR="001D5D9F" w:rsidRPr="00E31467" w:rsidRDefault="001D5D9F" w:rsidP="001D5D9F">
            <w:pPr>
              <w:pStyle w:val="Tabletext"/>
              <w:jc w:val="center"/>
              <w:rPr>
                <w:sz w:val="18"/>
                <w:szCs w:val="18"/>
              </w:rPr>
            </w:pPr>
            <w:r w:rsidRPr="00E31467">
              <w:rPr>
                <w:sz w:val="18"/>
                <w:szCs w:val="18"/>
                <w:lang w:eastAsia="en-GB"/>
              </w:rPr>
              <w:t>1 x 100, 2 x 50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9D9EEC1" w14:textId="61318689" w:rsidR="001D5D9F" w:rsidRPr="00E31467" w:rsidRDefault="001D5D9F" w:rsidP="001D5D9F">
            <w:pPr>
              <w:pStyle w:val="Tabletext"/>
              <w:jc w:val="center"/>
              <w:rPr>
                <w:sz w:val="18"/>
                <w:szCs w:val="18"/>
                <w:lang w:eastAsia="en-GB"/>
              </w:rPr>
            </w:pPr>
            <w:r w:rsidRPr="00E31467">
              <w:rPr>
                <w:sz w:val="18"/>
                <w:szCs w:val="18"/>
                <w:lang w:eastAsia="en-GB"/>
              </w:rPr>
              <w:t>2 x 30</w:t>
            </w:r>
          </w:p>
        </w:tc>
      </w:tr>
      <w:tr w:rsidR="00A0207D" w:rsidRPr="00E31467" w14:paraId="27220DA5" w14:textId="77777777" w:rsidTr="001D5D9F">
        <w:trPr>
          <w:cantSplit/>
          <w:trHeight w:val="293"/>
          <w:jc w:val="center"/>
        </w:trPr>
        <w:tc>
          <w:tcPr>
            <w:tcW w:w="704" w:type="dxa"/>
            <w:vMerge w:val="restart"/>
            <w:tcBorders>
              <w:top w:val="single" w:sz="4" w:space="0" w:color="auto"/>
              <w:left w:val="single" w:sz="4" w:space="0" w:color="auto"/>
              <w:bottom w:val="single" w:sz="4" w:space="0" w:color="auto"/>
              <w:right w:val="single" w:sz="4" w:space="0" w:color="auto"/>
            </w:tcBorders>
            <w:noWrap/>
            <w:hideMark/>
          </w:tcPr>
          <w:p w14:paraId="6B73A8A1" w14:textId="77777777" w:rsidR="001D5D9F" w:rsidRPr="00E31467" w:rsidRDefault="001D5D9F" w:rsidP="001D5D9F">
            <w:pPr>
              <w:pStyle w:val="Tabletext"/>
              <w:jc w:val="center"/>
              <w:rPr>
                <w:sz w:val="18"/>
                <w:szCs w:val="18"/>
              </w:rPr>
            </w:pPr>
            <w:r w:rsidRPr="00E31467">
              <w:rPr>
                <w:sz w:val="18"/>
                <w:szCs w:val="18"/>
              </w:rPr>
              <w:t>SG</w:t>
            </w:r>
          </w:p>
        </w:tc>
        <w:tc>
          <w:tcPr>
            <w:tcW w:w="2268" w:type="dxa"/>
            <w:vMerge w:val="restart"/>
            <w:tcBorders>
              <w:top w:val="single" w:sz="4" w:space="0" w:color="auto"/>
              <w:left w:val="single" w:sz="4" w:space="0" w:color="auto"/>
              <w:bottom w:val="single" w:sz="4" w:space="0" w:color="auto"/>
              <w:right w:val="single" w:sz="4" w:space="0" w:color="auto"/>
            </w:tcBorders>
            <w:noWrap/>
            <w:hideMark/>
          </w:tcPr>
          <w:p w14:paraId="4F192565" w14:textId="10055843" w:rsidR="001D5D9F" w:rsidRPr="00AE3873" w:rsidRDefault="001D5D9F" w:rsidP="001D5D9F">
            <w:pPr>
              <w:pStyle w:val="Tabletext"/>
              <w:ind w:left="102"/>
              <w:rPr>
                <w:sz w:val="18"/>
                <w:szCs w:val="18"/>
              </w:rPr>
            </w:pPr>
            <w:proofErr w:type="spellStart"/>
            <w:r w:rsidRPr="00AE3873">
              <w:rPr>
                <w:sz w:val="18"/>
                <w:szCs w:val="18"/>
              </w:rPr>
              <w:t>GTC</w:t>
            </w:r>
            <w:proofErr w:type="spellEnd"/>
            <w:r w:rsidR="00AE3873" w:rsidRPr="00AE3873">
              <w:rPr>
                <w:sz w:val="18"/>
                <w:szCs w:val="18"/>
              </w:rPr>
              <w:t xml:space="preserve"> 29-1</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2BC65BE" w14:textId="77777777" w:rsidR="001D5D9F" w:rsidRPr="00E31467" w:rsidRDefault="001D5D9F" w:rsidP="003D76DA">
            <w:pPr>
              <w:pStyle w:val="Tabletext"/>
              <w:ind w:left="-26"/>
              <w:jc w:val="center"/>
              <w:rPr>
                <w:sz w:val="18"/>
                <w:szCs w:val="18"/>
                <w:lang w:eastAsia="en-GB"/>
              </w:rPr>
            </w:pPr>
            <w:r w:rsidRPr="00E31467">
              <w:rPr>
                <w:sz w:val="18"/>
                <w:szCs w:val="18"/>
                <w:lang w:eastAsia="en-GB"/>
              </w:rPr>
              <w:t>19/02/2029</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097D987" w14:textId="77777777" w:rsidR="001D5D9F" w:rsidRPr="00E31467" w:rsidRDefault="001D5D9F" w:rsidP="003D76DA">
            <w:pPr>
              <w:pStyle w:val="Tabletext"/>
              <w:ind w:left="-39"/>
              <w:jc w:val="center"/>
              <w:rPr>
                <w:sz w:val="18"/>
                <w:szCs w:val="18"/>
                <w:lang w:eastAsia="en-GB"/>
              </w:rPr>
            </w:pPr>
            <w:r w:rsidRPr="00E31467">
              <w:rPr>
                <w:sz w:val="18"/>
                <w:szCs w:val="18"/>
                <w:lang w:eastAsia="en-GB"/>
              </w:rPr>
              <w:t>02/03/2029</w:t>
            </w:r>
          </w:p>
        </w:tc>
        <w:tc>
          <w:tcPr>
            <w:tcW w:w="2190" w:type="dxa"/>
            <w:vMerge w:val="restart"/>
            <w:tcBorders>
              <w:top w:val="single" w:sz="4" w:space="0" w:color="auto"/>
              <w:left w:val="single" w:sz="4" w:space="0" w:color="auto"/>
              <w:bottom w:val="single" w:sz="4" w:space="0" w:color="auto"/>
              <w:right w:val="single" w:sz="4" w:space="0" w:color="auto"/>
            </w:tcBorders>
            <w:noWrap/>
            <w:vAlign w:val="center"/>
            <w:hideMark/>
          </w:tcPr>
          <w:p w14:paraId="3C80F007" w14:textId="19CD6A4C" w:rsidR="001D5D9F" w:rsidRPr="00E31467" w:rsidRDefault="001D5D9F" w:rsidP="001D5D9F">
            <w:pPr>
              <w:pStyle w:val="Tabletext"/>
              <w:jc w:val="center"/>
              <w:rPr>
                <w:sz w:val="18"/>
                <w:szCs w:val="18"/>
              </w:rPr>
            </w:pPr>
            <w:r w:rsidRPr="00E31467">
              <w:rPr>
                <w:sz w:val="18"/>
                <w:szCs w:val="18"/>
                <w:lang w:eastAsia="en-GB"/>
              </w:rPr>
              <w:t>1 x 150, 1 x 80</w:t>
            </w:r>
          </w:p>
        </w:tc>
        <w:tc>
          <w:tcPr>
            <w:tcW w:w="1485" w:type="dxa"/>
            <w:vMerge w:val="restart"/>
            <w:tcBorders>
              <w:top w:val="single" w:sz="4" w:space="0" w:color="auto"/>
              <w:left w:val="single" w:sz="4" w:space="0" w:color="auto"/>
              <w:bottom w:val="single" w:sz="4" w:space="0" w:color="auto"/>
              <w:right w:val="single" w:sz="4" w:space="0" w:color="auto"/>
            </w:tcBorders>
            <w:noWrap/>
            <w:vAlign w:val="center"/>
            <w:hideMark/>
          </w:tcPr>
          <w:p w14:paraId="39850A2B" w14:textId="77777777" w:rsidR="001D5D9F" w:rsidRPr="00E31467" w:rsidRDefault="001D5D9F" w:rsidP="001D5D9F">
            <w:pPr>
              <w:pStyle w:val="Tabletext"/>
              <w:jc w:val="center"/>
              <w:rPr>
                <w:sz w:val="18"/>
                <w:szCs w:val="18"/>
              </w:rPr>
            </w:pPr>
          </w:p>
        </w:tc>
      </w:tr>
      <w:tr w:rsidR="00A0207D" w:rsidRPr="00E31467" w14:paraId="2AF6D308" w14:textId="77777777" w:rsidTr="001D5D9F">
        <w:trPr>
          <w:cantSplit/>
          <w:trHeight w:val="293"/>
          <w:jc w:val="center"/>
        </w:trPr>
        <w:tc>
          <w:tcPr>
            <w:tcW w:w="704" w:type="dxa"/>
            <w:vMerge/>
            <w:tcBorders>
              <w:top w:val="single" w:sz="4" w:space="0" w:color="auto"/>
              <w:left w:val="single" w:sz="4" w:space="0" w:color="auto"/>
              <w:bottom w:val="single" w:sz="4" w:space="0" w:color="auto"/>
              <w:right w:val="single" w:sz="4" w:space="0" w:color="auto"/>
            </w:tcBorders>
            <w:hideMark/>
          </w:tcPr>
          <w:p w14:paraId="60722A76" w14:textId="77777777" w:rsidR="001D5D9F" w:rsidRPr="00E31467" w:rsidRDefault="001D5D9F" w:rsidP="001D5D9F">
            <w:pPr>
              <w:pStyle w:val="Tabletext"/>
              <w:jc w:val="cente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6D3E190" w14:textId="77777777" w:rsidR="001D5D9F" w:rsidRPr="00E31467" w:rsidRDefault="001D5D9F" w:rsidP="001D5D9F">
            <w:pPr>
              <w:pStyle w:val="Tabletext"/>
              <w:ind w:left="102"/>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9810BFB" w14:textId="77777777" w:rsidR="001D5D9F" w:rsidRPr="00E31467" w:rsidRDefault="001D5D9F" w:rsidP="003D76DA">
            <w:pPr>
              <w:pStyle w:val="Tabletext"/>
              <w:ind w:left="-26"/>
              <w:jc w:val="center"/>
              <w:rPr>
                <w:sz w:val="18"/>
                <w:szCs w:val="18"/>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B57EA4" w14:textId="77777777" w:rsidR="001D5D9F" w:rsidRPr="00E31467" w:rsidRDefault="001D5D9F" w:rsidP="003D76DA">
            <w:pPr>
              <w:pStyle w:val="Tabletext"/>
              <w:ind w:left="-39"/>
              <w:jc w:val="center"/>
              <w:rPr>
                <w:sz w:val="18"/>
                <w:szCs w:val="18"/>
                <w:lang w:eastAsia="en-GB"/>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3BC826FB" w14:textId="77777777" w:rsidR="001D5D9F" w:rsidRPr="00E31467" w:rsidRDefault="001D5D9F" w:rsidP="001D5D9F">
            <w:pPr>
              <w:pStyle w:val="Tabletext"/>
              <w:jc w:val="center"/>
              <w:rPr>
                <w:sz w:val="18"/>
                <w:szCs w:val="18"/>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088C3704" w14:textId="77777777" w:rsidR="001D5D9F" w:rsidRPr="00E31467" w:rsidRDefault="001D5D9F" w:rsidP="001D5D9F">
            <w:pPr>
              <w:pStyle w:val="Tabletext"/>
              <w:jc w:val="center"/>
              <w:rPr>
                <w:sz w:val="18"/>
                <w:szCs w:val="18"/>
              </w:rPr>
            </w:pPr>
          </w:p>
        </w:tc>
      </w:tr>
      <w:tr w:rsidR="00A0207D" w:rsidRPr="00E31467" w14:paraId="26BE4827"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A0AAECC"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66E0C098" w14:textId="77777777" w:rsidR="001D5D9F" w:rsidRPr="00E31467" w:rsidRDefault="001D5D9F" w:rsidP="001D5D9F">
            <w:pPr>
              <w:pStyle w:val="Tabletext"/>
              <w:ind w:left="102"/>
              <w:rPr>
                <w:sz w:val="18"/>
                <w:szCs w:val="18"/>
              </w:rPr>
            </w:pPr>
            <w:r w:rsidRPr="00E31467">
              <w:rPr>
                <w:sz w:val="18"/>
                <w:szCs w:val="18"/>
              </w:rPr>
              <w:t xml:space="preserve">GT </w:t>
            </w:r>
            <w:proofErr w:type="spellStart"/>
            <w:r w:rsidRPr="00E31467">
              <w:rPr>
                <w:sz w:val="18"/>
                <w:szCs w:val="18"/>
              </w:rPr>
              <w:t>7A</w:t>
            </w:r>
            <w:proofErr w:type="spellEnd"/>
            <w:r w:rsidRPr="00E31467">
              <w:rPr>
                <w:sz w:val="18"/>
                <w:szCs w:val="18"/>
              </w:rPr>
              <w:t xml:space="preserve">, 7B, </w:t>
            </w:r>
            <w:proofErr w:type="spellStart"/>
            <w:r w:rsidRPr="00E31467">
              <w:rPr>
                <w:sz w:val="18"/>
                <w:szCs w:val="18"/>
              </w:rPr>
              <w:t>7C</w:t>
            </w:r>
            <w:proofErr w:type="spellEnd"/>
            <w:r w:rsidRPr="00E31467">
              <w:rPr>
                <w:sz w:val="18"/>
                <w:szCs w:val="18"/>
              </w:rPr>
              <w:t xml:space="preserve">, </w:t>
            </w:r>
            <w:proofErr w:type="spellStart"/>
            <w:r w:rsidRPr="00E31467">
              <w:rPr>
                <w:sz w:val="18"/>
                <w:szCs w:val="18"/>
              </w:rPr>
              <w:t>7D</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749640E" w14:textId="77777777" w:rsidR="001D5D9F" w:rsidRPr="00E31467" w:rsidRDefault="001D5D9F" w:rsidP="003D76DA">
            <w:pPr>
              <w:pStyle w:val="Tabletext"/>
              <w:ind w:left="-26"/>
              <w:jc w:val="center"/>
              <w:rPr>
                <w:sz w:val="18"/>
                <w:szCs w:val="18"/>
              </w:rPr>
            </w:pPr>
            <w:r w:rsidRPr="00E31467">
              <w:rPr>
                <w:sz w:val="18"/>
                <w:szCs w:val="18"/>
                <w:lang w:eastAsia="en-GB"/>
              </w:rPr>
              <w:t>26/02/2029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59048F3" w14:textId="77777777" w:rsidR="001D5D9F" w:rsidRPr="00E31467" w:rsidRDefault="001D5D9F" w:rsidP="003D76DA">
            <w:pPr>
              <w:pStyle w:val="Tabletext"/>
              <w:ind w:left="-39"/>
              <w:jc w:val="center"/>
              <w:rPr>
                <w:sz w:val="18"/>
                <w:szCs w:val="18"/>
              </w:rPr>
            </w:pPr>
            <w:r w:rsidRPr="00E31467">
              <w:rPr>
                <w:sz w:val="18"/>
                <w:szCs w:val="18"/>
                <w:lang w:eastAsia="en-GB"/>
              </w:rPr>
              <w:t>08/03/2029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7B4B6046" w14:textId="55130B49" w:rsidR="001D5D9F" w:rsidRPr="00E31467" w:rsidRDefault="001D5D9F" w:rsidP="001D5D9F">
            <w:pPr>
              <w:pStyle w:val="Tabletext"/>
              <w:jc w:val="center"/>
              <w:rPr>
                <w:sz w:val="18"/>
                <w:szCs w:val="18"/>
              </w:rPr>
            </w:pPr>
            <w:r w:rsidRPr="00E31467">
              <w:rPr>
                <w:sz w:val="18"/>
                <w:szCs w:val="18"/>
                <w:lang w:eastAsia="en-GB"/>
              </w:rPr>
              <w:t>2 x 80, 2 x 40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5B96102" w14:textId="43A90B62" w:rsidR="001D5D9F" w:rsidRPr="00E31467" w:rsidRDefault="001D5D9F" w:rsidP="001D5D9F">
            <w:pPr>
              <w:pStyle w:val="Tabletext"/>
              <w:jc w:val="center"/>
              <w:rPr>
                <w:sz w:val="18"/>
                <w:szCs w:val="18"/>
                <w:lang w:eastAsia="en-GB"/>
              </w:rPr>
            </w:pPr>
            <w:r w:rsidRPr="00E31467">
              <w:rPr>
                <w:sz w:val="18"/>
                <w:szCs w:val="18"/>
                <w:lang w:eastAsia="en-GB"/>
              </w:rPr>
              <w:t>1 x 30</w:t>
            </w:r>
          </w:p>
        </w:tc>
      </w:tr>
      <w:tr w:rsidR="00A0207D" w:rsidRPr="00E31467" w14:paraId="03C21DA3"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6CE2B8E3"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50DBC98F" w14:textId="77777777" w:rsidR="001D5D9F" w:rsidRPr="00E31467" w:rsidRDefault="001D5D9F" w:rsidP="001D5D9F">
            <w:pPr>
              <w:pStyle w:val="Tabletext"/>
              <w:ind w:left="102"/>
              <w:rPr>
                <w:sz w:val="18"/>
                <w:szCs w:val="18"/>
              </w:rPr>
            </w:pPr>
            <w:r w:rsidRPr="00E31467">
              <w:rPr>
                <w:sz w:val="18"/>
                <w:szCs w:val="18"/>
              </w:rPr>
              <w:t>CE 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D05EC6" w14:textId="77777777" w:rsidR="001D5D9F" w:rsidRPr="00E31467" w:rsidRDefault="001D5D9F" w:rsidP="003D76DA">
            <w:pPr>
              <w:pStyle w:val="Tabletext"/>
              <w:ind w:left="-26"/>
              <w:jc w:val="center"/>
              <w:rPr>
                <w:sz w:val="18"/>
                <w:szCs w:val="18"/>
              </w:rPr>
            </w:pPr>
            <w:r w:rsidRPr="00E31467">
              <w:rPr>
                <w:sz w:val="18"/>
                <w:szCs w:val="18"/>
                <w:lang w:eastAsia="en-GB"/>
              </w:rPr>
              <w:t>28/02/2029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D09404" w14:textId="77777777" w:rsidR="001D5D9F" w:rsidRPr="00E31467" w:rsidRDefault="001D5D9F" w:rsidP="003D76DA">
            <w:pPr>
              <w:pStyle w:val="Tabletext"/>
              <w:ind w:left="-39"/>
              <w:jc w:val="center"/>
              <w:rPr>
                <w:sz w:val="18"/>
                <w:szCs w:val="18"/>
              </w:rPr>
            </w:pPr>
            <w:r w:rsidRPr="00E31467">
              <w:rPr>
                <w:sz w:val="18"/>
                <w:szCs w:val="18"/>
                <w:lang w:eastAsia="en-GB"/>
              </w:rPr>
              <w:t>08/03/2029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ACB3F3C" w14:textId="48306DD0" w:rsidR="001D5D9F" w:rsidRPr="00E31467" w:rsidRDefault="001D5D9F" w:rsidP="001D5D9F">
            <w:pPr>
              <w:pStyle w:val="Tabletext"/>
              <w:jc w:val="center"/>
              <w:rPr>
                <w:sz w:val="18"/>
                <w:szCs w:val="18"/>
              </w:rPr>
            </w:pPr>
            <w:r w:rsidRPr="00E31467">
              <w:rPr>
                <w:sz w:val="18"/>
                <w:szCs w:val="18"/>
                <w:lang w:eastAsia="en-GB"/>
              </w:rPr>
              <w:t>1 x 120 (ouverture et fermeture), 3 x 30,</w:t>
            </w:r>
            <w:r w:rsidRPr="00E31467">
              <w:rPr>
                <w:sz w:val="18"/>
                <w:szCs w:val="18"/>
                <w:lang w:eastAsia="en-GB"/>
              </w:rPr>
              <w:br/>
              <w:t>2 x 15, 2 x 10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7245BC35" w14:textId="77777777" w:rsidR="001D5D9F" w:rsidRPr="00E31467" w:rsidRDefault="001D5D9F" w:rsidP="001D5D9F">
            <w:pPr>
              <w:pStyle w:val="Tabletext"/>
              <w:jc w:val="center"/>
              <w:rPr>
                <w:sz w:val="18"/>
                <w:szCs w:val="18"/>
              </w:rPr>
            </w:pPr>
          </w:p>
        </w:tc>
      </w:tr>
      <w:tr w:rsidR="00A0207D" w:rsidRPr="00E31467" w14:paraId="4A16DA6F"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8F7ACFD"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60B43748" w14:textId="77777777" w:rsidR="001D5D9F" w:rsidRPr="00E31467" w:rsidRDefault="001D5D9F" w:rsidP="001D5D9F">
            <w:pPr>
              <w:pStyle w:val="Tabletext"/>
              <w:ind w:left="102"/>
              <w:rPr>
                <w:sz w:val="18"/>
                <w:szCs w:val="18"/>
              </w:rPr>
            </w:pPr>
            <w:r w:rsidRPr="00E31467">
              <w:rPr>
                <w:sz w:val="18"/>
                <w:szCs w:val="18"/>
              </w:rPr>
              <w:t>CE 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CB9A908" w14:textId="77777777" w:rsidR="001D5D9F" w:rsidRPr="00E31467" w:rsidRDefault="001D5D9F" w:rsidP="003D76DA">
            <w:pPr>
              <w:pStyle w:val="Tabletext"/>
              <w:ind w:left="-26"/>
              <w:jc w:val="center"/>
              <w:rPr>
                <w:sz w:val="18"/>
                <w:szCs w:val="18"/>
              </w:rPr>
            </w:pPr>
            <w:r w:rsidRPr="00E31467">
              <w:rPr>
                <w:sz w:val="18"/>
                <w:szCs w:val="18"/>
                <w:lang w:eastAsia="en-GB"/>
              </w:rPr>
              <w:t>09/03/2029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969CFA" w14:textId="77777777" w:rsidR="001D5D9F" w:rsidRPr="00E31467" w:rsidRDefault="001D5D9F" w:rsidP="003D76DA">
            <w:pPr>
              <w:pStyle w:val="Tabletext"/>
              <w:ind w:left="-39"/>
              <w:jc w:val="center"/>
              <w:rPr>
                <w:sz w:val="18"/>
                <w:szCs w:val="18"/>
              </w:rPr>
            </w:pPr>
            <w:r w:rsidRPr="00E31467">
              <w:rPr>
                <w:sz w:val="18"/>
                <w:szCs w:val="18"/>
                <w:lang w:eastAsia="en-GB"/>
              </w:rPr>
              <w:t>09/03/2029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22111371" w14:textId="262DB414" w:rsidR="001D5D9F" w:rsidRPr="00E31467" w:rsidRDefault="001D5D9F" w:rsidP="001D5D9F">
            <w:pPr>
              <w:pStyle w:val="Tabletext"/>
              <w:jc w:val="center"/>
              <w:rPr>
                <w:sz w:val="18"/>
                <w:szCs w:val="18"/>
              </w:rPr>
            </w:pPr>
            <w:r w:rsidRPr="00E31467">
              <w:rPr>
                <w:sz w:val="18"/>
                <w:szCs w:val="18"/>
                <w:lang w:eastAsia="en-GB"/>
              </w:rPr>
              <w:t>1 x 100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42389D5" w14:textId="77777777" w:rsidR="001D5D9F" w:rsidRPr="00E31467" w:rsidRDefault="001D5D9F" w:rsidP="001D5D9F">
            <w:pPr>
              <w:pStyle w:val="Tabletext"/>
              <w:jc w:val="center"/>
              <w:rPr>
                <w:sz w:val="18"/>
                <w:szCs w:val="18"/>
              </w:rPr>
            </w:pPr>
          </w:p>
        </w:tc>
      </w:tr>
      <w:tr w:rsidR="00A0207D" w:rsidRPr="00E31467" w14:paraId="10B73C3C" w14:textId="77777777" w:rsidTr="001D5D9F">
        <w:trPr>
          <w:cantSplit/>
          <w:trHeight w:val="293"/>
          <w:jc w:val="center"/>
        </w:trPr>
        <w:tc>
          <w:tcPr>
            <w:tcW w:w="704" w:type="dxa"/>
            <w:vMerge w:val="restart"/>
            <w:tcBorders>
              <w:top w:val="single" w:sz="4" w:space="0" w:color="auto"/>
              <w:left w:val="single" w:sz="4" w:space="0" w:color="auto"/>
              <w:bottom w:val="single" w:sz="4" w:space="0" w:color="auto"/>
              <w:right w:val="single" w:sz="4" w:space="0" w:color="auto"/>
            </w:tcBorders>
            <w:noWrap/>
            <w:hideMark/>
          </w:tcPr>
          <w:p w14:paraId="69C6A40C" w14:textId="77777777" w:rsidR="001D5D9F" w:rsidRPr="00E31467" w:rsidRDefault="001D5D9F" w:rsidP="001D5D9F">
            <w:pPr>
              <w:pStyle w:val="Tabletext"/>
              <w:jc w:val="center"/>
              <w:rPr>
                <w:sz w:val="18"/>
                <w:szCs w:val="18"/>
              </w:rPr>
            </w:pPr>
            <w:r w:rsidRPr="00E31467">
              <w:rPr>
                <w:sz w:val="18"/>
                <w:szCs w:val="18"/>
              </w:rPr>
              <w:t>BR</w:t>
            </w:r>
          </w:p>
        </w:tc>
        <w:tc>
          <w:tcPr>
            <w:tcW w:w="2268" w:type="dxa"/>
            <w:vMerge w:val="restart"/>
            <w:tcBorders>
              <w:top w:val="single" w:sz="4" w:space="0" w:color="auto"/>
              <w:left w:val="single" w:sz="4" w:space="0" w:color="auto"/>
              <w:bottom w:val="single" w:sz="4" w:space="0" w:color="auto"/>
              <w:right w:val="single" w:sz="4" w:space="0" w:color="auto"/>
            </w:tcBorders>
            <w:noWrap/>
            <w:hideMark/>
          </w:tcPr>
          <w:p w14:paraId="04904465" w14:textId="77777777" w:rsidR="001D5D9F" w:rsidRPr="00E31467" w:rsidRDefault="001D5D9F" w:rsidP="001D5D9F">
            <w:pPr>
              <w:pStyle w:val="Tabletext"/>
              <w:ind w:left="102"/>
              <w:rPr>
                <w:sz w:val="18"/>
                <w:szCs w:val="18"/>
              </w:rPr>
            </w:pPr>
            <w:r w:rsidRPr="00E31467">
              <w:rPr>
                <w:sz w:val="18"/>
                <w:szCs w:val="18"/>
              </w:rPr>
              <w:t xml:space="preserve">GT </w:t>
            </w:r>
            <w:proofErr w:type="spellStart"/>
            <w:r w:rsidRPr="00E31467">
              <w:rPr>
                <w:sz w:val="18"/>
                <w:szCs w:val="18"/>
              </w:rPr>
              <w:t>6A</w:t>
            </w:r>
            <w:proofErr w:type="spellEnd"/>
            <w:r w:rsidRPr="00E31467">
              <w:rPr>
                <w:sz w:val="18"/>
                <w:szCs w:val="18"/>
              </w:rPr>
              <w:t xml:space="preserve">, </w:t>
            </w:r>
            <w:proofErr w:type="spellStart"/>
            <w:r w:rsidRPr="00E31467">
              <w:rPr>
                <w:sz w:val="18"/>
                <w:szCs w:val="18"/>
              </w:rPr>
              <w:t>6B</w:t>
            </w:r>
            <w:proofErr w:type="spellEnd"/>
            <w:r w:rsidRPr="00E31467">
              <w:rPr>
                <w:sz w:val="18"/>
                <w:szCs w:val="18"/>
              </w:rPr>
              <w:t xml:space="preserve">, </w:t>
            </w:r>
            <w:proofErr w:type="spellStart"/>
            <w:r w:rsidRPr="00E31467">
              <w:rPr>
                <w:sz w:val="18"/>
                <w:szCs w:val="18"/>
              </w:rPr>
              <w:t>6C</w:t>
            </w:r>
            <w:proofErr w:type="spellEnd"/>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2D9C769D" w14:textId="77777777" w:rsidR="001D5D9F" w:rsidRPr="00E31467" w:rsidRDefault="001D5D9F" w:rsidP="003D76DA">
            <w:pPr>
              <w:pStyle w:val="Tabletext"/>
              <w:ind w:left="-26"/>
              <w:jc w:val="center"/>
              <w:rPr>
                <w:sz w:val="18"/>
                <w:szCs w:val="18"/>
              </w:rPr>
            </w:pPr>
            <w:r w:rsidRPr="00E31467">
              <w:rPr>
                <w:sz w:val="18"/>
                <w:szCs w:val="18"/>
                <w:lang w:eastAsia="en-GB"/>
              </w:rPr>
              <w:t>12/03/2029</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667F270C" w14:textId="77777777" w:rsidR="001D5D9F" w:rsidRPr="00E31467" w:rsidRDefault="001D5D9F" w:rsidP="003D76DA">
            <w:pPr>
              <w:pStyle w:val="Tabletext"/>
              <w:ind w:left="-39"/>
              <w:jc w:val="center"/>
              <w:rPr>
                <w:sz w:val="18"/>
                <w:szCs w:val="18"/>
              </w:rPr>
            </w:pPr>
            <w:r w:rsidRPr="00E31467">
              <w:rPr>
                <w:sz w:val="18"/>
                <w:szCs w:val="18"/>
                <w:lang w:eastAsia="en-GB"/>
              </w:rPr>
              <w:t>22/03/2029</w:t>
            </w:r>
          </w:p>
        </w:tc>
        <w:tc>
          <w:tcPr>
            <w:tcW w:w="2190" w:type="dxa"/>
            <w:vMerge w:val="restart"/>
            <w:tcBorders>
              <w:top w:val="single" w:sz="4" w:space="0" w:color="auto"/>
              <w:left w:val="single" w:sz="4" w:space="0" w:color="auto"/>
              <w:bottom w:val="single" w:sz="4" w:space="0" w:color="auto"/>
              <w:right w:val="single" w:sz="4" w:space="0" w:color="auto"/>
            </w:tcBorders>
            <w:noWrap/>
            <w:vAlign w:val="center"/>
            <w:hideMark/>
          </w:tcPr>
          <w:p w14:paraId="3709D22C" w14:textId="680D12C7" w:rsidR="001D5D9F" w:rsidRPr="00E31467" w:rsidRDefault="001D5D9F" w:rsidP="001D5D9F">
            <w:pPr>
              <w:pStyle w:val="Tabletext"/>
              <w:jc w:val="center"/>
              <w:rPr>
                <w:sz w:val="18"/>
                <w:szCs w:val="18"/>
              </w:rPr>
            </w:pPr>
            <w:r w:rsidRPr="00E31467">
              <w:rPr>
                <w:sz w:val="18"/>
                <w:szCs w:val="18"/>
                <w:lang w:eastAsia="en-GB"/>
              </w:rPr>
              <w:t>2 x 100, 1 x 60</w:t>
            </w:r>
          </w:p>
        </w:tc>
        <w:tc>
          <w:tcPr>
            <w:tcW w:w="1485" w:type="dxa"/>
            <w:vMerge w:val="restart"/>
            <w:tcBorders>
              <w:top w:val="single" w:sz="4" w:space="0" w:color="auto"/>
              <w:left w:val="single" w:sz="4" w:space="0" w:color="auto"/>
              <w:bottom w:val="single" w:sz="4" w:space="0" w:color="auto"/>
              <w:right w:val="single" w:sz="4" w:space="0" w:color="auto"/>
            </w:tcBorders>
            <w:vAlign w:val="center"/>
            <w:hideMark/>
          </w:tcPr>
          <w:p w14:paraId="0ED0C185" w14:textId="423C9402" w:rsidR="001D5D9F" w:rsidRPr="00E31467" w:rsidRDefault="001D5D9F" w:rsidP="001D5D9F">
            <w:pPr>
              <w:pStyle w:val="Tabletext"/>
              <w:jc w:val="center"/>
              <w:rPr>
                <w:sz w:val="18"/>
                <w:szCs w:val="18"/>
                <w:lang w:eastAsia="en-GB"/>
              </w:rPr>
            </w:pPr>
            <w:r w:rsidRPr="00E31467">
              <w:rPr>
                <w:sz w:val="18"/>
                <w:szCs w:val="18"/>
                <w:lang w:eastAsia="en-GB"/>
              </w:rPr>
              <w:t>2 x 30</w:t>
            </w:r>
          </w:p>
        </w:tc>
      </w:tr>
      <w:tr w:rsidR="00A0207D" w:rsidRPr="00E31467" w14:paraId="49690088" w14:textId="77777777" w:rsidTr="001D5D9F">
        <w:trPr>
          <w:cantSplit/>
          <w:trHeight w:val="293"/>
          <w:jc w:val="center"/>
        </w:trPr>
        <w:tc>
          <w:tcPr>
            <w:tcW w:w="704" w:type="dxa"/>
            <w:vMerge/>
            <w:tcBorders>
              <w:top w:val="single" w:sz="4" w:space="0" w:color="auto"/>
              <w:left w:val="single" w:sz="4" w:space="0" w:color="auto"/>
              <w:bottom w:val="single" w:sz="4" w:space="0" w:color="auto"/>
              <w:right w:val="single" w:sz="4" w:space="0" w:color="auto"/>
            </w:tcBorders>
            <w:hideMark/>
          </w:tcPr>
          <w:p w14:paraId="608E8E34" w14:textId="77777777" w:rsidR="001D5D9F" w:rsidRPr="00E31467" w:rsidRDefault="001D5D9F" w:rsidP="001D5D9F">
            <w:pPr>
              <w:pStyle w:val="Tabletext"/>
              <w:jc w:val="cente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7F25ADF" w14:textId="77777777" w:rsidR="001D5D9F" w:rsidRPr="00E31467" w:rsidRDefault="001D5D9F" w:rsidP="001D5D9F">
            <w:pPr>
              <w:pStyle w:val="Tabletext"/>
              <w:ind w:left="102"/>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951221" w14:textId="77777777" w:rsidR="001D5D9F" w:rsidRPr="00E31467" w:rsidRDefault="001D5D9F" w:rsidP="003D76DA">
            <w:pPr>
              <w:pStyle w:val="Tabletext"/>
              <w:ind w:left="-26"/>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E52BCA" w14:textId="77777777" w:rsidR="001D5D9F" w:rsidRPr="00E31467" w:rsidRDefault="001D5D9F" w:rsidP="003D76DA">
            <w:pPr>
              <w:pStyle w:val="Tabletext"/>
              <w:ind w:left="-39"/>
              <w:jc w:val="center"/>
              <w:rPr>
                <w:sz w:val="18"/>
                <w:szCs w:val="18"/>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7ECDE03C" w14:textId="77777777" w:rsidR="001D5D9F" w:rsidRPr="00E31467" w:rsidRDefault="001D5D9F" w:rsidP="001D5D9F">
            <w:pPr>
              <w:pStyle w:val="Tabletext"/>
              <w:jc w:val="center"/>
              <w:rPr>
                <w:sz w:val="18"/>
                <w:szCs w:val="18"/>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3B2067BE" w14:textId="77777777" w:rsidR="001D5D9F" w:rsidRPr="00E31467" w:rsidRDefault="001D5D9F" w:rsidP="001D5D9F">
            <w:pPr>
              <w:pStyle w:val="Tabletext"/>
              <w:jc w:val="center"/>
              <w:rPr>
                <w:sz w:val="18"/>
                <w:szCs w:val="18"/>
                <w:lang w:eastAsia="en-GB"/>
              </w:rPr>
            </w:pPr>
          </w:p>
        </w:tc>
      </w:tr>
      <w:tr w:rsidR="00A0207D" w:rsidRPr="00E31467" w14:paraId="3212D81D"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C4635D9"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0C8CBAE0" w14:textId="77777777" w:rsidR="001D5D9F" w:rsidRPr="00E31467" w:rsidRDefault="001D5D9F" w:rsidP="001D5D9F">
            <w:pPr>
              <w:pStyle w:val="Tabletext"/>
              <w:ind w:left="102"/>
              <w:rPr>
                <w:sz w:val="18"/>
                <w:szCs w:val="18"/>
              </w:rPr>
            </w:pPr>
            <w:r w:rsidRPr="00E31467">
              <w:rPr>
                <w:sz w:val="18"/>
                <w:szCs w:val="18"/>
              </w:rPr>
              <w:t>CE 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E9CC37" w14:textId="77777777" w:rsidR="001D5D9F" w:rsidRPr="00E31467" w:rsidRDefault="001D5D9F" w:rsidP="003D76DA">
            <w:pPr>
              <w:pStyle w:val="Tabletext"/>
              <w:ind w:left="-26"/>
              <w:jc w:val="center"/>
              <w:rPr>
                <w:sz w:val="18"/>
                <w:szCs w:val="18"/>
              </w:rPr>
            </w:pPr>
            <w:r w:rsidRPr="00E31467">
              <w:rPr>
                <w:sz w:val="18"/>
                <w:szCs w:val="18"/>
                <w:lang w:eastAsia="en-GB"/>
              </w:rPr>
              <w:t>12/03/2029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4C0D3B" w14:textId="77777777" w:rsidR="001D5D9F" w:rsidRPr="00E31467" w:rsidRDefault="001D5D9F" w:rsidP="003D76DA">
            <w:pPr>
              <w:pStyle w:val="Tabletext"/>
              <w:ind w:left="-39"/>
              <w:jc w:val="center"/>
              <w:rPr>
                <w:sz w:val="18"/>
                <w:szCs w:val="18"/>
              </w:rPr>
            </w:pPr>
            <w:r w:rsidRPr="00E31467">
              <w:rPr>
                <w:sz w:val="18"/>
                <w:szCs w:val="18"/>
                <w:lang w:eastAsia="en-GB"/>
              </w:rPr>
              <w:t>20/03/2029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9A47390" w14:textId="133D8875" w:rsidR="001D5D9F" w:rsidRPr="00E31467" w:rsidRDefault="001D5D9F" w:rsidP="001D5D9F">
            <w:pPr>
              <w:pStyle w:val="Tabletext"/>
              <w:jc w:val="center"/>
              <w:rPr>
                <w:sz w:val="18"/>
                <w:szCs w:val="18"/>
              </w:rPr>
            </w:pPr>
            <w:r w:rsidRPr="00E31467">
              <w:rPr>
                <w:sz w:val="18"/>
                <w:szCs w:val="18"/>
                <w:lang w:eastAsia="en-GB"/>
              </w:rPr>
              <w:t>1 x 100</w:t>
            </w:r>
            <w:r w:rsidR="009813D9" w:rsidRPr="00E31467">
              <w:rPr>
                <w:sz w:val="18"/>
                <w:szCs w:val="18"/>
                <w:lang w:eastAsia="en-GB"/>
              </w:rPr>
              <w:t xml:space="preserve"> (ouverture et fermeture)</w:t>
            </w:r>
            <w:r w:rsidRPr="00E31467">
              <w:rPr>
                <w:sz w:val="18"/>
                <w:szCs w:val="18"/>
                <w:lang w:eastAsia="en-GB"/>
              </w:rPr>
              <w:t>, 2 x 50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4F24111" w14:textId="77777777" w:rsidR="001D5D9F" w:rsidRPr="00E31467" w:rsidRDefault="001D5D9F" w:rsidP="001D5D9F">
            <w:pPr>
              <w:pStyle w:val="Tabletext"/>
              <w:jc w:val="center"/>
              <w:rPr>
                <w:sz w:val="18"/>
                <w:szCs w:val="18"/>
              </w:rPr>
            </w:pPr>
          </w:p>
        </w:tc>
      </w:tr>
      <w:tr w:rsidR="00A0207D" w:rsidRPr="00E31467" w14:paraId="557B64E2" w14:textId="77777777" w:rsidTr="001D5D9F">
        <w:trPr>
          <w:cantSplit/>
          <w:trHeight w:val="293"/>
          <w:jc w:val="center"/>
        </w:trPr>
        <w:tc>
          <w:tcPr>
            <w:tcW w:w="704" w:type="dxa"/>
            <w:vMerge w:val="restart"/>
            <w:tcBorders>
              <w:top w:val="single" w:sz="4" w:space="0" w:color="auto"/>
              <w:left w:val="single" w:sz="4" w:space="0" w:color="auto"/>
              <w:bottom w:val="single" w:sz="4" w:space="0" w:color="auto"/>
              <w:right w:val="single" w:sz="4" w:space="0" w:color="auto"/>
            </w:tcBorders>
            <w:noWrap/>
            <w:hideMark/>
          </w:tcPr>
          <w:p w14:paraId="17F98D9B" w14:textId="77777777" w:rsidR="001D5D9F" w:rsidRPr="00E31467" w:rsidRDefault="001D5D9F" w:rsidP="001D5D9F">
            <w:pPr>
              <w:pStyle w:val="Tabletext"/>
              <w:jc w:val="center"/>
              <w:rPr>
                <w:sz w:val="18"/>
                <w:szCs w:val="18"/>
              </w:rPr>
            </w:pPr>
            <w:r w:rsidRPr="00E31467">
              <w:rPr>
                <w:sz w:val="18"/>
                <w:szCs w:val="18"/>
              </w:rPr>
              <w:lastRenderedPageBreak/>
              <w:t>TSB</w:t>
            </w:r>
          </w:p>
        </w:tc>
        <w:tc>
          <w:tcPr>
            <w:tcW w:w="2268" w:type="dxa"/>
            <w:vMerge w:val="restart"/>
            <w:tcBorders>
              <w:top w:val="single" w:sz="4" w:space="0" w:color="auto"/>
              <w:left w:val="single" w:sz="4" w:space="0" w:color="auto"/>
              <w:bottom w:val="single" w:sz="4" w:space="0" w:color="auto"/>
              <w:right w:val="single" w:sz="4" w:space="0" w:color="auto"/>
            </w:tcBorders>
            <w:noWrap/>
            <w:hideMark/>
          </w:tcPr>
          <w:p w14:paraId="5BBA2835" w14:textId="77777777" w:rsidR="001D5D9F" w:rsidRPr="00E31467" w:rsidRDefault="001D5D9F" w:rsidP="001D5D9F">
            <w:pPr>
              <w:pStyle w:val="Tabletext"/>
              <w:ind w:left="102"/>
              <w:rPr>
                <w:sz w:val="18"/>
                <w:szCs w:val="18"/>
              </w:rPr>
            </w:pPr>
            <w:r w:rsidRPr="00E31467">
              <w:rPr>
                <w:sz w:val="18"/>
                <w:szCs w:val="18"/>
              </w:rPr>
              <w:t>CE 11</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0FA55C3D" w14:textId="77777777" w:rsidR="001D5D9F" w:rsidRPr="00E31467" w:rsidRDefault="001D5D9F" w:rsidP="003D76DA">
            <w:pPr>
              <w:pStyle w:val="Tabletext"/>
              <w:ind w:left="-26"/>
              <w:jc w:val="center"/>
              <w:rPr>
                <w:sz w:val="18"/>
                <w:szCs w:val="18"/>
              </w:rPr>
            </w:pPr>
            <w:r w:rsidRPr="00E31467">
              <w:rPr>
                <w:sz w:val="18"/>
                <w:szCs w:val="18"/>
                <w:lang w:eastAsia="en-GB"/>
              </w:rPr>
              <w:t>12/03/2029</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55D0419D" w14:textId="77777777" w:rsidR="001D5D9F" w:rsidRPr="00E31467" w:rsidRDefault="001D5D9F" w:rsidP="003D76DA">
            <w:pPr>
              <w:pStyle w:val="Tabletext"/>
              <w:ind w:left="-39"/>
              <w:jc w:val="center"/>
              <w:rPr>
                <w:sz w:val="18"/>
                <w:szCs w:val="18"/>
              </w:rPr>
            </w:pPr>
            <w:r w:rsidRPr="00E31467">
              <w:rPr>
                <w:sz w:val="18"/>
                <w:szCs w:val="18"/>
                <w:lang w:eastAsia="en-GB"/>
              </w:rPr>
              <w:t>21/03/2029</w:t>
            </w:r>
          </w:p>
        </w:tc>
        <w:tc>
          <w:tcPr>
            <w:tcW w:w="2190" w:type="dxa"/>
            <w:vMerge w:val="restart"/>
            <w:tcBorders>
              <w:top w:val="single" w:sz="4" w:space="0" w:color="auto"/>
              <w:left w:val="single" w:sz="4" w:space="0" w:color="auto"/>
              <w:bottom w:val="single" w:sz="4" w:space="0" w:color="auto"/>
              <w:right w:val="single" w:sz="4" w:space="0" w:color="auto"/>
            </w:tcBorders>
            <w:noWrap/>
            <w:vAlign w:val="center"/>
            <w:hideMark/>
          </w:tcPr>
          <w:p w14:paraId="3171F961" w14:textId="572BDE0C" w:rsidR="001D5D9F" w:rsidRPr="00E31467" w:rsidRDefault="001D5D9F" w:rsidP="001D5D9F">
            <w:pPr>
              <w:pStyle w:val="Tabletext"/>
              <w:jc w:val="center"/>
              <w:rPr>
                <w:sz w:val="18"/>
                <w:szCs w:val="18"/>
              </w:rPr>
            </w:pPr>
            <w:r w:rsidRPr="00E31467">
              <w:rPr>
                <w:sz w:val="18"/>
                <w:szCs w:val="18"/>
                <w:lang w:eastAsia="en-GB"/>
              </w:rPr>
              <w:t>1 x 100, 1 x 30, 6 x 15</w:t>
            </w:r>
          </w:p>
        </w:tc>
        <w:tc>
          <w:tcPr>
            <w:tcW w:w="1485" w:type="dxa"/>
            <w:vMerge w:val="restart"/>
            <w:tcBorders>
              <w:top w:val="single" w:sz="4" w:space="0" w:color="auto"/>
              <w:left w:val="single" w:sz="4" w:space="0" w:color="auto"/>
              <w:bottom w:val="single" w:sz="4" w:space="0" w:color="auto"/>
              <w:right w:val="single" w:sz="4" w:space="0" w:color="auto"/>
            </w:tcBorders>
            <w:vAlign w:val="center"/>
            <w:hideMark/>
          </w:tcPr>
          <w:p w14:paraId="7C78D3CE" w14:textId="77777777" w:rsidR="001D5D9F" w:rsidRPr="00E31467" w:rsidRDefault="001D5D9F" w:rsidP="001D5D9F">
            <w:pPr>
              <w:pStyle w:val="Tabletext"/>
              <w:jc w:val="center"/>
              <w:rPr>
                <w:sz w:val="18"/>
                <w:szCs w:val="18"/>
              </w:rPr>
            </w:pPr>
          </w:p>
        </w:tc>
      </w:tr>
      <w:tr w:rsidR="00A0207D" w:rsidRPr="00E31467" w14:paraId="5D833E64" w14:textId="77777777" w:rsidTr="001D5D9F">
        <w:trPr>
          <w:cantSplit/>
          <w:trHeight w:val="293"/>
          <w:jc w:val="center"/>
        </w:trPr>
        <w:tc>
          <w:tcPr>
            <w:tcW w:w="704" w:type="dxa"/>
            <w:vMerge/>
            <w:tcBorders>
              <w:top w:val="single" w:sz="4" w:space="0" w:color="auto"/>
              <w:left w:val="single" w:sz="4" w:space="0" w:color="auto"/>
              <w:bottom w:val="single" w:sz="4" w:space="0" w:color="auto"/>
              <w:right w:val="single" w:sz="4" w:space="0" w:color="auto"/>
            </w:tcBorders>
            <w:hideMark/>
          </w:tcPr>
          <w:p w14:paraId="79DA184D" w14:textId="77777777" w:rsidR="001D5D9F" w:rsidRPr="00E31467" w:rsidRDefault="001D5D9F" w:rsidP="001D5D9F">
            <w:pPr>
              <w:pStyle w:val="Tabletext"/>
              <w:jc w:val="cente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EE338E2" w14:textId="77777777" w:rsidR="001D5D9F" w:rsidRPr="00E31467" w:rsidRDefault="001D5D9F" w:rsidP="001D5D9F">
            <w:pPr>
              <w:pStyle w:val="Tabletext"/>
              <w:ind w:left="102"/>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0A1A22" w14:textId="77777777" w:rsidR="001D5D9F" w:rsidRPr="00E31467" w:rsidRDefault="001D5D9F" w:rsidP="003D76DA">
            <w:pPr>
              <w:pStyle w:val="Tabletext"/>
              <w:ind w:left="-26"/>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9950A2" w14:textId="77777777" w:rsidR="001D5D9F" w:rsidRPr="00E31467" w:rsidRDefault="001D5D9F" w:rsidP="003D76DA">
            <w:pPr>
              <w:pStyle w:val="Tabletext"/>
              <w:ind w:left="-39"/>
              <w:jc w:val="center"/>
              <w:rPr>
                <w:sz w:val="18"/>
                <w:szCs w:val="18"/>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18B73F3B" w14:textId="77777777" w:rsidR="001D5D9F" w:rsidRPr="00E31467" w:rsidRDefault="001D5D9F" w:rsidP="001D5D9F">
            <w:pPr>
              <w:pStyle w:val="Tabletext"/>
              <w:jc w:val="center"/>
              <w:rPr>
                <w:sz w:val="18"/>
                <w:szCs w:val="18"/>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49016EE2" w14:textId="77777777" w:rsidR="001D5D9F" w:rsidRPr="00E31467" w:rsidRDefault="001D5D9F" w:rsidP="001D5D9F">
            <w:pPr>
              <w:pStyle w:val="Tabletext"/>
              <w:jc w:val="center"/>
              <w:rPr>
                <w:sz w:val="18"/>
                <w:szCs w:val="18"/>
              </w:rPr>
            </w:pPr>
          </w:p>
        </w:tc>
      </w:tr>
      <w:tr w:rsidR="00A0207D" w:rsidRPr="00E31467" w14:paraId="66C7795F"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EFD7BCA" w14:textId="77777777" w:rsidR="001D5D9F" w:rsidRPr="00E31467" w:rsidRDefault="001D5D9F" w:rsidP="001D5D9F">
            <w:pPr>
              <w:pStyle w:val="Tabletext"/>
              <w:jc w:val="center"/>
              <w:rPr>
                <w:sz w:val="18"/>
                <w:szCs w:val="18"/>
              </w:rPr>
            </w:pPr>
            <w:r w:rsidRPr="00E31467">
              <w:rPr>
                <w:sz w:val="18"/>
                <w:szCs w:val="18"/>
              </w:rPr>
              <w:t>BDT</w:t>
            </w:r>
          </w:p>
        </w:tc>
        <w:tc>
          <w:tcPr>
            <w:tcW w:w="2268" w:type="dxa"/>
            <w:tcBorders>
              <w:top w:val="single" w:sz="4" w:space="0" w:color="auto"/>
              <w:left w:val="single" w:sz="4" w:space="0" w:color="auto"/>
              <w:bottom w:val="single" w:sz="4" w:space="0" w:color="auto"/>
              <w:right w:val="single" w:sz="4" w:space="0" w:color="auto"/>
            </w:tcBorders>
            <w:noWrap/>
            <w:hideMark/>
          </w:tcPr>
          <w:p w14:paraId="2D82B8B8" w14:textId="77777777" w:rsidR="001D5D9F" w:rsidRPr="00E31467" w:rsidRDefault="001D5D9F" w:rsidP="001D5D9F">
            <w:pPr>
              <w:pStyle w:val="Tabletext"/>
              <w:ind w:left="102"/>
              <w:rPr>
                <w:sz w:val="18"/>
                <w:szCs w:val="18"/>
              </w:rPr>
            </w:pPr>
            <w:r w:rsidRPr="00E31467">
              <w:rPr>
                <w:sz w:val="18"/>
                <w:szCs w:val="18"/>
              </w:rPr>
              <w:t>Commission d'études 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F53780" w14:textId="77777777" w:rsidR="001D5D9F" w:rsidRPr="00E31467" w:rsidRDefault="001D5D9F" w:rsidP="003D76DA">
            <w:pPr>
              <w:pStyle w:val="Tabletext"/>
              <w:ind w:left="-26"/>
              <w:jc w:val="center"/>
              <w:rPr>
                <w:sz w:val="18"/>
                <w:szCs w:val="18"/>
              </w:rPr>
            </w:pPr>
            <w:r w:rsidRPr="00E31467">
              <w:rPr>
                <w:sz w:val="18"/>
                <w:szCs w:val="18"/>
                <w:lang w:eastAsia="en-GB"/>
              </w:rPr>
              <w:t>12/03/2029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5ED601" w14:textId="77777777" w:rsidR="001D5D9F" w:rsidRPr="00E31467" w:rsidRDefault="001D5D9F" w:rsidP="003D76DA">
            <w:pPr>
              <w:pStyle w:val="Tabletext"/>
              <w:ind w:left="-39"/>
              <w:jc w:val="center"/>
              <w:rPr>
                <w:sz w:val="18"/>
                <w:szCs w:val="18"/>
              </w:rPr>
            </w:pPr>
            <w:r w:rsidRPr="00E31467">
              <w:rPr>
                <w:sz w:val="18"/>
                <w:szCs w:val="18"/>
                <w:lang w:eastAsia="en-GB"/>
              </w:rPr>
              <w:t>16/03/2029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5D44E085" w14:textId="681043BD" w:rsidR="001D5D9F" w:rsidRPr="00E31467" w:rsidRDefault="001D5D9F" w:rsidP="001D5D9F">
            <w:pPr>
              <w:pStyle w:val="Tabletext"/>
              <w:jc w:val="center"/>
              <w:rPr>
                <w:sz w:val="18"/>
                <w:szCs w:val="18"/>
              </w:rPr>
            </w:pPr>
            <w:r w:rsidRPr="00E31467">
              <w:rPr>
                <w:sz w:val="18"/>
                <w:szCs w:val="18"/>
                <w:lang w:eastAsia="en-GB"/>
              </w:rPr>
              <w:t>1 x 150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36662768" w14:textId="4742602F" w:rsidR="001D5D9F" w:rsidRPr="00E31467" w:rsidRDefault="001D5D9F" w:rsidP="001D5D9F">
            <w:pPr>
              <w:pStyle w:val="Tabletext"/>
              <w:jc w:val="center"/>
              <w:rPr>
                <w:sz w:val="18"/>
                <w:szCs w:val="18"/>
                <w:lang w:eastAsia="en-GB"/>
              </w:rPr>
            </w:pPr>
            <w:r w:rsidRPr="00E31467">
              <w:rPr>
                <w:sz w:val="18"/>
                <w:szCs w:val="18"/>
                <w:lang w:eastAsia="en-GB"/>
              </w:rPr>
              <w:t>1 x 15</w:t>
            </w:r>
          </w:p>
        </w:tc>
      </w:tr>
      <w:tr w:rsidR="00A0207D" w:rsidRPr="00E31467" w14:paraId="0C66412F"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D88225B"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3A9AC5AA" w14:textId="77777777" w:rsidR="001D5D9F" w:rsidRPr="00E31467" w:rsidRDefault="001D5D9F" w:rsidP="001D5D9F">
            <w:pPr>
              <w:pStyle w:val="Tabletext"/>
              <w:ind w:left="102"/>
              <w:rPr>
                <w:sz w:val="18"/>
                <w:szCs w:val="18"/>
              </w:rPr>
            </w:pPr>
            <w:r w:rsidRPr="00E31467">
              <w:rPr>
                <w:sz w:val="18"/>
                <w:szCs w:val="18"/>
              </w:rPr>
              <w:t xml:space="preserve">Réunion </w:t>
            </w:r>
            <w:proofErr w:type="spellStart"/>
            <w:r w:rsidRPr="00E31467">
              <w:rPr>
                <w:sz w:val="18"/>
                <w:szCs w:val="18"/>
              </w:rPr>
              <w:t>RRB29</w:t>
            </w:r>
            <w:proofErr w:type="spellEnd"/>
            <w:r w:rsidRPr="00E31467">
              <w:rPr>
                <w:sz w:val="18"/>
                <w:szCs w:val="18"/>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E9DE4F8" w14:textId="77777777" w:rsidR="001D5D9F" w:rsidRPr="00E31467" w:rsidRDefault="001D5D9F" w:rsidP="003D76DA">
            <w:pPr>
              <w:pStyle w:val="Tabletext"/>
              <w:ind w:left="-26"/>
              <w:jc w:val="center"/>
              <w:rPr>
                <w:sz w:val="18"/>
                <w:szCs w:val="18"/>
                <w:lang w:eastAsia="en-GB"/>
              </w:rPr>
            </w:pPr>
            <w:r w:rsidRPr="00E31467">
              <w:rPr>
                <w:sz w:val="18"/>
                <w:szCs w:val="18"/>
                <w:lang w:eastAsia="en-GB"/>
              </w:rPr>
              <w:t>19/03/2029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65F29B" w14:textId="77777777" w:rsidR="001D5D9F" w:rsidRPr="00E31467" w:rsidRDefault="001D5D9F" w:rsidP="003D76DA">
            <w:pPr>
              <w:pStyle w:val="Tabletext"/>
              <w:ind w:left="-39"/>
              <w:jc w:val="center"/>
              <w:rPr>
                <w:sz w:val="18"/>
                <w:szCs w:val="18"/>
              </w:rPr>
            </w:pPr>
            <w:r w:rsidRPr="00E31467">
              <w:rPr>
                <w:sz w:val="18"/>
                <w:szCs w:val="18"/>
                <w:lang w:eastAsia="en-GB"/>
              </w:rPr>
              <w:t>23/03/2029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64190F74" w14:textId="0655851E" w:rsidR="001D5D9F" w:rsidRPr="00E31467" w:rsidRDefault="001D5D9F" w:rsidP="001D5D9F">
            <w:pPr>
              <w:pStyle w:val="Tabletext"/>
              <w:jc w:val="center"/>
              <w:rPr>
                <w:sz w:val="18"/>
                <w:szCs w:val="18"/>
              </w:rPr>
            </w:pPr>
            <w:r w:rsidRPr="00E31467">
              <w:rPr>
                <w:sz w:val="18"/>
                <w:szCs w:val="18"/>
                <w:lang w:eastAsia="en-GB"/>
              </w:rPr>
              <w:t>1 x 40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3072CB9B" w14:textId="77777777" w:rsidR="001D5D9F" w:rsidRPr="00E31467" w:rsidRDefault="001D5D9F" w:rsidP="001D5D9F">
            <w:pPr>
              <w:pStyle w:val="Tabletext"/>
              <w:jc w:val="center"/>
              <w:rPr>
                <w:sz w:val="18"/>
                <w:szCs w:val="18"/>
              </w:rPr>
            </w:pPr>
          </w:p>
        </w:tc>
      </w:tr>
      <w:tr w:rsidR="00A0207D" w:rsidRPr="00E31467" w14:paraId="686C2121"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49DF6BF5" w14:textId="77777777" w:rsidR="001D5D9F" w:rsidRPr="00E31467" w:rsidRDefault="001D5D9F" w:rsidP="001D5D9F">
            <w:pPr>
              <w:pStyle w:val="Tabletext"/>
              <w:jc w:val="center"/>
              <w:rPr>
                <w:sz w:val="18"/>
                <w:szCs w:val="18"/>
              </w:rPr>
            </w:pPr>
            <w:r w:rsidRPr="00E31467">
              <w:rPr>
                <w:sz w:val="18"/>
                <w:szCs w:val="18"/>
              </w:rPr>
              <w:t>BDT</w:t>
            </w:r>
          </w:p>
        </w:tc>
        <w:tc>
          <w:tcPr>
            <w:tcW w:w="2268" w:type="dxa"/>
            <w:tcBorders>
              <w:top w:val="single" w:sz="4" w:space="0" w:color="auto"/>
              <w:left w:val="single" w:sz="4" w:space="0" w:color="auto"/>
              <w:bottom w:val="single" w:sz="4" w:space="0" w:color="auto"/>
              <w:right w:val="single" w:sz="4" w:space="0" w:color="auto"/>
            </w:tcBorders>
            <w:noWrap/>
            <w:hideMark/>
          </w:tcPr>
          <w:p w14:paraId="1B3D8593" w14:textId="77777777" w:rsidR="001D5D9F" w:rsidRPr="00E31467" w:rsidRDefault="001D5D9F" w:rsidP="001D5D9F">
            <w:pPr>
              <w:pStyle w:val="Tabletext"/>
              <w:ind w:left="102"/>
              <w:rPr>
                <w:sz w:val="18"/>
                <w:szCs w:val="18"/>
              </w:rPr>
            </w:pPr>
            <w:r w:rsidRPr="00E31467">
              <w:rPr>
                <w:sz w:val="18"/>
                <w:szCs w:val="18"/>
              </w:rPr>
              <w:t>Commission d'études 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3A1DA3" w14:textId="77777777" w:rsidR="001D5D9F" w:rsidRPr="00E31467" w:rsidRDefault="001D5D9F" w:rsidP="003D76DA">
            <w:pPr>
              <w:pStyle w:val="Tabletext"/>
              <w:ind w:left="-26"/>
              <w:jc w:val="center"/>
              <w:rPr>
                <w:sz w:val="18"/>
                <w:szCs w:val="18"/>
                <w:lang w:eastAsia="en-GB"/>
              </w:rPr>
            </w:pPr>
            <w:r w:rsidRPr="00E31467">
              <w:rPr>
                <w:sz w:val="18"/>
                <w:szCs w:val="18"/>
                <w:lang w:eastAsia="en-GB"/>
              </w:rPr>
              <w:t>19/03/2029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8FC9C3" w14:textId="77777777" w:rsidR="001D5D9F" w:rsidRPr="00E31467" w:rsidRDefault="001D5D9F" w:rsidP="003D76DA">
            <w:pPr>
              <w:pStyle w:val="Tabletext"/>
              <w:ind w:left="-39"/>
              <w:jc w:val="center"/>
              <w:rPr>
                <w:sz w:val="18"/>
                <w:szCs w:val="18"/>
              </w:rPr>
            </w:pPr>
            <w:r w:rsidRPr="00E31467">
              <w:rPr>
                <w:sz w:val="18"/>
                <w:szCs w:val="18"/>
                <w:lang w:eastAsia="en-GB"/>
              </w:rPr>
              <w:t>23/03/2029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693C059E" w14:textId="4DB5CF3C" w:rsidR="001D5D9F" w:rsidRPr="00E31467" w:rsidRDefault="001D5D9F" w:rsidP="001D5D9F">
            <w:pPr>
              <w:pStyle w:val="Tabletext"/>
              <w:jc w:val="center"/>
              <w:rPr>
                <w:sz w:val="18"/>
                <w:szCs w:val="18"/>
              </w:rPr>
            </w:pPr>
            <w:r w:rsidRPr="00E31467">
              <w:rPr>
                <w:sz w:val="18"/>
                <w:szCs w:val="18"/>
                <w:lang w:eastAsia="en-GB"/>
              </w:rPr>
              <w:t>1 x 150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3EB07F0D" w14:textId="2CEF8410" w:rsidR="001D5D9F" w:rsidRPr="00E31467" w:rsidRDefault="001D5D9F" w:rsidP="001D5D9F">
            <w:pPr>
              <w:pStyle w:val="Tabletext"/>
              <w:jc w:val="center"/>
              <w:rPr>
                <w:sz w:val="18"/>
                <w:szCs w:val="18"/>
                <w:lang w:eastAsia="en-GB"/>
              </w:rPr>
            </w:pPr>
            <w:r w:rsidRPr="00E31467">
              <w:rPr>
                <w:sz w:val="18"/>
                <w:szCs w:val="18"/>
                <w:lang w:eastAsia="en-GB"/>
              </w:rPr>
              <w:t>1 x 15</w:t>
            </w:r>
          </w:p>
        </w:tc>
      </w:tr>
      <w:tr w:rsidR="00A0207D" w:rsidRPr="00E31467" w14:paraId="47D77C0A"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73FE5D4"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0960ACA4" w14:textId="77777777" w:rsidR="001D5D9F" w:rsidRPr="00E31467" w:rsidRDefault="001D5D9F" w:rsidP="001D5D9F">
            <w:pPr>
              <w:pStyle w:val="Tabletext"/>
              <w:ind w:left="102"/>
              <w:rPr>
                <w:sz w:val="18"/>
                <w:szCs w:val="18"/>
              </w:rPr>
            </w:pPr>
            <w:r w:rsidRPr="00E31467">
              <w:rPr>
                <w:sz w:val="18"/>
                <w:szCs w:val="18"/>
              </w:rPr>
              <w:t>CE 13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CCBD303" w14:textId="77777777" w:rsidR="001D5D9F" w:rsidRPr="00E31467" w:rsidRDefault="001D5D9F" w:rsidP="003D76DA">
            <w:pPr>
              <w:pStyle w:val="Tabletext"/>
              <w:ind w:left="-26"/>
              <w:jc w:val="center"/>
              <w:rPr>
                <w:sz w:val="18"/>
                <w:szCs w:val="18"/>
              </w:rPr>
            </w:pPr>
            <w:r w:rsidRPr="00E31467">
              <w:rPr>
                <w:sz w:val="18"/>
                <w:szCs w:val="18"/>
                <w:lang w:eastAsia="en-GB"/>
              </w:rPr>
              <w:t>21/03/2029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6B0637" w14:textId="77777777" w:rsidR="001D5D9F" w:rsidRPr="00E31467" w:rsidRDefault="001D5D9F" w:rsidP="003D76DA">
            <w:pPr>
              <w:pStyle w:val="Tabletext"/>
              <w:ind w:left="-39"/>
              <w:jc w:val="center"/>
              <w:rPr>
                <w:sz w:val="18"/>
                <w:szCs w:val="18"/>
              </w:rPr>
            </w:pPr>
            <w:r w:rsidRPr="00E31467">
              <w:rPr>
                <w:sz w:val="18"/>
                <w:szCs w:val="18"/>
                <w:lang w:eastAsia="en-GB"/>
              </w:rPr>
              <w:t>30/03/2029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2EDA2394" w14:textId="76333071" w:rsidR="001D5D9F" w:rsidRPr="00E31467" w:rsidRDefault="001D5D9F" w:rsidP="001D5D9F">
            <w:pPr>
              <w:pStyle w:val="Tabletext"/>
              <w:jc w:val="center"/>
              <w:rPr>
                <w:sz w:val="18"/>
                <w:szCs w:val="18"/>
              </w:rPr>
            </w:pPr>
            <w:r w:rsidRPr="00E31467">
              <w:rPr>
                <w:sz w:val="18"/>
                <w:szCs w:val="18"/>
                <w:lang w:eastAsia="en-GB"/>
              </w:rPr>
              <w:t>1 x 150, 1 x 50, 3 x 20, 5 x 10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193B611" w14:textId="77777777" w:rsidR="001D5D9F" w:rsidRPr="00E31467" w:rsidRDefault="001D5D9F" w:rsidP="001D5D9F">
            <w:pPr>
              <w:pStyle w:val="Tabletext"/>
              <w:jc w:val="center"/>
              <w:rPr>
                <w:sz w:val="18"/>
                <w:szCs w:val="18"/>
              </w:rPr>
            </w:pPr>
          </w:p>
        </w:tc>
      </w:tr>
      <w:tr w:rsidR="00A0207D" w:rsidRPr="00E31467" w14:paraId="48AFC654" w14:textId="77777777" w:rsidTr="001D5D9F">
        <w:trPr>
          <w:cantSplit/>
          <w:trHeight w:val="293"/>
          <w:jc w:val="center"/>
        </w:trPr>
        <w:tc>
          <w:tcPr>
            <w:tcW w:w="704" w:type="dxa"/>
            <w:vMerge w:val="restart"/>
            <w:tcBorders>
              <w:top w:val="single" w:sz="4" w:space="0" w:color="auto"/>
              <w:left w:val="single" w:sz="4" w:space="0" w:color="auto"/>
              <w:bottom w:val="single" w:sz="4" w:space="0" w:color="auto"/>
              <w:right w:val="single" w:sz="4" w:space="0" w:color="auto"/>
            </w:tcBorders>
            <w:noWrap/>
            <w:hideMark/>
          </w:tcPr>
          <w:p w14:paraId="30BE6104" w14:textId="77777777" w:rsidR="001D5D9F" w:rsidRPr="00E31467" w:rsidRDefault="001D5D9F" w:rsidP="001D5D9F">
            <w:pPr>
              <w:pStyle w:val="Tabletext"/>
              <w:jc w:val="center"/>
              <w:rPr>
                <w:sz w:val="18"/>
                <w:szCs w:val="18"/>
              </w:rPr>
            </w:pPr>
            <w:r w:rsidRPr="00E31467">
              <w:rPr>
                <w:sz w:val="18"/>
                <w:szCs w:val="18"/>
              </w:rPr>
              <w:t>BR</w:t>
            </w:r>
          </w:p>
        </w:tc>
        <w:tc>
          <w:tcPr>
            <w:tcW w:w="2268" w:type="dxa"/>
            <w:vMerge w:val="restart"/>
            <w:tcBorders>
              <w:top w:val="single" w:sz="4" w:space="0" w:color="auto"/>
              <w:left w:val="single" w:sz="4" w:space="0" w:color="auto"/>
              <w:bottom w:val="single" w:sz="4" w:space="0" w:color="auto"/>
              <w:right w:val="single" w:sz="4" w:space="0" w:color="auto"/>
            </w:tcBorders>
            <w:noWrap/>
            <w:hideMark/>
          </w:tcPr>
          <w:p w14:paraId="129C9C4A" w14:textId="77777777" w:rsidR="001D5D9F" w:rsidRPr="00E31467" w:rsidRDefault="001D5D9F" w:rsidP="001D5D9F">
            <w:pPr>
              <w:pStyle w:val="Tabletext"/>
              <w:ind w:left="102"/>
              <w:rPr>
                <w:sz w:val="18"/>
                <w:szCs w:val="18"/>
              </w:rPr>
            </w:pPr>
            <w:r w:rsidRPr="00E31467">
              <w:rPr>
                <w:sz w:val="18"/>
                <w:szCs w:val="18"/>
              </w:rPr>
              <w:t>CE 6</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1D248173" w14:textId="77777777" w:rsidR="001D5D9F" w:rsidRPr="00E31467" w:rsidRDefault="001D5D9F" w:rsidP="003D76DA">
            <w:pPr>
              <w:pStyle w:val="Tabletext"/>
              <w:ind w:left="-26"/>
              <w:jc w:val="center"/>
              <w:rPr>
                <w:sz w:val="18"/>
                <w:szCs w:val="18"/>
              </w:rPr>
            </w:pPr>
            <w:r w:rsidRPr="00E31467">
              <w:rPr>
                <w:sz w:val="18"/>
                <w:szCs w:val="18"/>
                <w:lang w:eastAsia="en-GB"/>
              </w:rPr>
              <w:t>23/03/2029</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C86E5F5" w14:textId="77777777" w:rsidR="001D5D9F" w:rsidRPr="00E31467" w:rsidRDefault="001D5D9F" w:rsidP="003D76DA">
            <w:pPr>
              <w:pStyle w:val="Tabletext"/>
              <w:ind w:left="-39"/>
              <w:jc w:val="center"/>
              <w:rPr>
                <w:sz w:val="18"/>
                <w:szCs w:val="18"/>
              </w:rPr>
            </w:pPr>
            <w:r w:rsidRPr="00E31467">
              <w:rPr>
                <w:sz w:val="18"/>
                <w:szCs w:val="18"/>
                <w:lang w:eastAsia="en-GB"/>
              </w:rPr>
              <w:t>23/03/2029</w:t>
            </w:r>
          </w:p>
        </w:tc>
        <w:tc>
          <w:tcPr>
            <w:tcW w:w="2190" w:type="dxa"/>
            <w:vMerge w:val="restart"/>
            <w:tcBorders>
              <w:top w:val="single" w:sz="4" w:space="0" w:color="auto"/>
              <w:left w:val="single" w:sz="4" w:space="0" w:color="auto"/>
              <w:bottom w:val="single" w:sz="4" w:space="0" w:color="auto"/>
              <w:right w:val="single" w:sz="4" w:space="0" w:color="auto"/>
            </w:tcBorders>
            <w:noWrap/>
            <w:vAlign w:val="center"/>
            <w:hideMark/>
          </w:tcPr>
          <w:p w14:paraId="7E309EEC" w14:textId="1CA7A696" w:rsidR="001D5D9F" w:rsidRPr="00E31467" w:rsidRDefault="001D5D9F" w:rsidP="001D5D9F">
            <w:pPr>
              <w:pStyle w:val="Tabletext"/>
              <w:jc w:val="center"/>
              <w:rPr>
                <w:sz w:val="18"/>
                <w:szCs w:val="18"/>
              </w:rPr>
            </w:pPr>
            <w:r w:rsidRPr="00E31467">
              <w:rPr>
                <w:sz w:val="18"/>
                <w:szCs w:val="18"/>
                <w:lang w:eastAsia="en-GB"/>
              </w:rPr>
              <w:t>1 x 100</w:t>
            </w:r>
          </w:p>
        </w:tc>
        <w:tc>
          <w:tcPr>
            <w:tcW w:w="1485" w:type="dxa"/>
            <w:vMerge w:val="restart"/>
            <w:tcBorders>
              <w:top w:val="single" w:sz="4" w:space="0" w:color="auto"/>
              <w:left w:val="single" w:sz="4" w:space="0" w:color="auto"/>
              <w:bottom w:val="single" w:sz="4" w:space="0" w:color="auto"/>
              <w:right w:val="single" w:sz="4" w:space="0" w:color="auto"/>
            </w:tcBorders>
            <w:vAlign w:val="center"/>
            <w:hideMark/>
          </w:tcPr>
          <w:p w14:paraId="2A4DC968" w14:textId="77777777" w:rsidR="001D5D9F" w:rsidRPr="00E31467" w:rsidRDefault="001D5D9F" w:rsidP="001D5D9F">
            <w:pPr>
              <w:pStyle w:val="Tabletext"/>
              <w:jc w:val="center"/>
              <w:rPr>
                <w:sz w:val="18"/>
                <w:szCs w:val="18"/>
              </w:rPr>
            </w:pPr>
          </w:p>
        </w:tc>
      </w:tr>
      <w:tr w:rsidR="00A0207D" w:rsidRPr="00E31467" w14:paraId="1BA9D9BA" w14:textId="77777777" w:rsidTr="001D5D9F">
        <w:trPr>
          <w:cantSplit/>
          <w:trHeight w:val="293"/>
          <w:jc w:val="center"/>
        </w:trPr>
        <w:tc>
          <w:tcPr>
            <w:tcW w:w="704" w:type="dxa"/>
            <w:vMerge/>
            <w:tcBorders>
              <w:top w:val="single" w:sz="4" w:space="0" w:color="auto"/>
              <w:left w:val="single" w:sz="4" w:space="0" w:color="auto"/>
              <w:bottom w:val="single" w:sz="4" w:space="0" w:color="auto"/>
              <w:right w:val="single" w:sz="4" w:space="0" w:color="auto"/>
            </w:tcBorders>
            <w:hideMark/>
          </w:tcPr>
          <w:p w14:paraId="1A586E18" w14:textId="77777777" w:rsidR="001D5D9F" w:rsidRPr="00E31467" w:rsidRDefault="001D5D9F" w:rsidP="001D5D9F">
            <w:pPr>
              <w:pStyle w:val="Tabletext"/>
              <w:jc w:val="cente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D843F92" w14:textId="77777777" w:rsidR="001D5D9F" w:rsidRPr="00E31467" w:rsidRDefault="001D5D9F" w:rsidP="001D5D9F">
            <w:pPr>
              <w:pStyle w:val="Tabletext"/>
              <w:ind w:left="102"/>
              <w:rPr>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87AE5C" w14:textId="77777777" w:rsidR="001D5D9F" w:rsidRPr="00E31467" w:rsidRDefault="001D5D9F" w:rsidP="003D76DA">
            <w:pPr>
              <w:pStyle w:val="Tabletext"/>
              <w:ind w:left="-26"/>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38F5F6" w14:textId="77777777" w:rsidR="001D5D9F" w:rsidRPr="00E31467" w:rsidRDefault="001D5D9F" w:rsidP="003D76DA">
            <w:pPr>
              <w:pStyle w:val="Tabletext"/>
              <w:ind w:left="-39"/>
              <w:jc w:val="center"/>
              <w:rPr>
                <w:sz w:val="18"/>
                <w:szCs w:val="18"/>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21409F7B" w14:textId="77777777" w:rsidR="001D5D9F" w:rsidRPr="00E31467" w:rsidRDefault="001D5D9F" w:rsidP="001D5D9F">
            <w:pPr>
              <w:pStyle w:val="Tabletext"/>
              <w:jc w:val="center"/>
              <w:rPr>
                <w:sz w:val="18"/>
                <w:szCs w:val="18"/>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4733059A" w14:textId="77777777" w:rsidR="001D5D9F" w:rsidRPr="00E31467" w:rsidRDefault="001D5D9F" w:rsidP="001D5D9F">
            <w:pPr>
              <w:pStyle w:val="Tabletext"/>
              <w:jc w:val="center"/>
              <w:rPr>
                <w:sz w:val="18"/>
                <w:szCs w:val="18"/>
              </w:rPr>
            </w:pPr>
          </w:p>
        </w:tc>
      </w:tr>
      <w:tr w:rsidR="00A0207D" w:rsidRPr="00E31467" w14:paraId="01BEF911"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E126533"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02C12AF3" w14:textId="77777777" w:rsidR="001D5D9F" w:rsidRPr="00E31467" w:rsidRDefault="001D5D9F" w:rsidP="001D5D9F">
            <w:pPr>
              <w:pStyle w:val="Tabletext"/>
              <w:ind w:left="102"/>
              <w:rPr>
                <w:sz w:val="18"/>
                <w:szCs w:val="18"/>
              </w:rPr>
            </w:pPr>
            <w:proofErr w:type="spellStart"/>
            <w:r w:rsidRPr="00E31467">
              <w:rPr>
                <w:sz w:val="18"/>
                <w:szCs w:val="18"/>
              </w:rPr>
              <w:t>GCR</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7996273" w14:textId="77777777" w:rsidR="001D5D9F" w:rsidRPr="00E31467" w:rsidRDefault="001D5D9F" w:rsidP="003D76DA">
            <w:pPr>
              <w:pStyle w:val="Tabletext"/>
              <w:ind w:left="-26"/>
              <w:jc w:val="center"/>
              <w:rPr>
                <w:sz w:val="18"/>
                <w:szCs w:val="18"/>
              </w:rPr>
            </w:pPr>
            <w:r w:rsidRPr="00E31467">
              <w:rPr>
                <w:sz w:val="18"/>
                <w:szCs w:val="18"/>
                <w:lang w:eastAsia="en-GB"/>
              </w:rPr>
              <w:t>26/03/2029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262BC21" w14:textId="77777777" w:rsidR="001D5D9F" w:rsidRPr="00E31467" w:rsidRDefault="001D5D9F" w:rsidP="003D76DA">
            <w:pPr>
              <w:pStyle w:val="Tabletext"/>
              <w:ind w:left="-39"/>
              <w:jc w:val="center"/>
              <w:rPr>
                <w:sz w:val="18"/>
                <w:szCs w:val="18"/>
                <w:lang w:eastAsia="en-GB"/>
              </w:rPr>
            </w:pPr>
            <w:r w:rsidRPr="00E31467">
              <w:rPr>
                <w:sz w:val="18"/>
                <w:szCs w:val="18"/>
                <w:lang w:eastAsia="en-GB"/>
              </w:rPr>
              <w:t>29/03/2029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00D8337B" w14:textId="3D629B21" w:rsidR="001D5D9F" w:rsidRPr="00E31467" w:rsidRDefault="001D5D9F" w:rsidP="001D5D9F">
            <w:pPr>
              <w:pStyle w:val="Tabletext"/>
              <w:jc w:val="center"/>
              <w:rPr>
                <w:sz w:val="18"/>
                <w:szCs w:val="18"/>
              </w:rPr>
            </w:pPr>
            <w:r w:rsidRPr="00E31467">
              <w:rPr>
                <w:sz w:val="18"/>
                <w:szCs w:val="18"/>
                <w:lang w:eastAsia="en-GB"/>
              </w:rPr>
              <w:t>1 x 100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13BA1F8" w14:textId="77777777" w:rsidR="001D5D9F" w:rsidRPr="00E31467" w:rsidRDefault="001D5D9F" w:rsidP="001D5D9F">
            <w:pPr>
              <w:pStyle w:val="Tabletext"/>
              <w:jc w:val="center"/>
              <w:rPr>
                <w:sz w:val="18"/>
                <w:szCs w:val="18"/>
              </w:rPr>
            </w:pPr>
          </w:p>
        </w:tc>
      </w:tr>
      <w:tr w:rsidR="00A0207D" w:rsidRPr="00E31467" w14:paraId="5BD5B460"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1665A31F"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542F9A9A" w14:textId="77777777" w:rsidR="001D5D9F" w:rsidRPr="00E31467" w:rsidRDefault="001D5D9F" w:rsidP="001D5D9F">
            <w:pPr>
              <w:pStyle w:val="Tabletext"/>
              <w:ind w:left="102"/>
              <w:rPr>
                <w:sz w:val="18"/>
                <w:szCs w:val="18"/>
              </w:rPr>
            </w:pPr>
            <w:r w:rsidRPr="00E31467">
              <w:rPr>
                <w:sz w:val="18"/>
                <w:szCs w:val="18"/>
              </w:rPr>
              <w:t>CE 17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4AFB95" w14:textId="77777777" w:rsidR="001D5D9F" w:rsidRPr="00E31467" w:rsidRDefault="001D5D9F" w:rsidP="003D76DA">
            <w:pPr>
              <w:pStyle w:val="Tabletext"/>
              <w:ind w:left="-26"/>
              <w:jc w:val="center"/>
              <w:rPr>
                <w:sz w:val="18"/>
                <w:szCs w:val="18"/>
              </w:rPr>
            </w:pPr>
            <w:r w:rsidRPr="00E31467">
              <w:rPr>
                <w:sz w:val="18"/>
                <w:szCs w:val="18"/>
                <w:lang w:eastAsia="en-GB"/>
              </w:rPr>
              <w:t>04/04/2029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A263B5" w14:textId="77777777" w:rsidR="001D5D9F" w:rsidRPr="00E31467" w:rsidRDefault="001D5D9F" w:rsidP="003D76DA">
            <w:pPr>
              <w:pStyle w:val="Tabletext"/>
              <w:ind w:left="-39"/>
              <w:jc w:val="center"/>
              <w:rPr>
                <w:sz w:val="18"/>
                <w:szCs w:val="18"/>
              </w:rPr>
            </w:pPr>
            <w:r w:rsidRPr="00E31467">
              <w:rPr>
                <w:sz w:val="18"/>
                <w:szCs w:val="18"/>
                <w:lang w:eastAsia="en-GB"/>
              </w:rPr>
              <w:t>13/04/2029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4D81C21" w14:textId="47388961" w:rsidR="001D5D9F" w:rsidRPr="00E31467" w:rsidRDefault="001D5D9F" w:rsidP="001D5D9F">
            <w:pPr>
              <w:pStyle w:val="Tabletext"/>
              <w:jc w:val="center"/>
              <w:rPr>
                <w:sz w:val="18"/>
                <w:szCs w:val="18"/>
              </w:rPr>
            </w:pPr>
            <w:r w:rsidRPr="00E31467">
              <w:rPr>
                <w:sz w:val="18"/>
                <w:szCs w:val="18"/>
                <w:lang w:eastAsia="en-GB"/>
              </w:rPr>
              <w:t>2 x 150, 2 x 20, 2 x 30, 4 x 50,</w:t>
            </w:r>
            <w:r w:rsidRPr="00E31467">
              <w:rPr>
                <w:sz w:val="18"/>
                <w:szCs w:val="18"/>
                <w:lang w:eastAsia="en-GB"/>
              </w:rPr>
              <w:br/>
              <w:t>1 x 15, 1 x 10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1BBDDC1" w14:textId="77777777" w:rsidR="001D5D9F" w:rsidRPr="00E31467" w:rsidRDefault="001D5D9F" w:rsidP="001D5D9F">
            <w:pPr>
              <w:pStyle w:val="Tabletext"/>
              <w:jc w:val="center"/>
              <w:rPr>
                <w:sz w:val="18"/>
                <w:szCs w:val="18"/>
              </w:rPr>
            </w:pPr>
          </w:p>
        </w:tc>
      </w:tr>
      <w:tr w:rsidR="00A0207D" w:rsidRPr="00E31467" w14:paraId="270D2EA7"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075AC2E"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2D5B2A5E" w14:textId="77777777" w:rsidR="001D5D9F" w:rsidRPr="00E31467" w:rsidRDefault="001D5D9F" w:rsidP="001D5D9F">
            <w:pPr>
              <w:pStyle w:val="Tabletext"/>
              <w:ind w:left="102"/>
              <w:rPr>
                <w:sz w:val="18"/>
                <w:szCs w:val="18"/>
              </w:rPr>
            </w:pPr>
            <w:r w:rsidRPr="00E31467">
              <w:rPr>
                <w:sz w:val="18"/>
                <w:szCs w:val="18"/>
              </w:rPr>
              <w:t xml:space="preserve">GT </w:t>
            </w:r>
            <w:proofErr w:type="spellStart"/>
            <w:r w:rsidRPr="00E31467">
              <w:rPr>
                <w:sz w:val="18"/>
                <w:szCs w:val="18"/>
              </w:rPr>
              <w:t>4A</w:t>
            </w:r>
            <w:proofErr w:type="spellEnd"/>
            <w:r w:rsidRPr="00E31467">
              <w:rPr>
                <w:sz w:val="18"/>
                <w:szCs w:val="18"/>
              </w:rPr>
              <w:t xml:space="preserve">, </w:t>
            </w:r>
            <w:proofErr w:type="spellStart"/>
            <w:r w:rsidRPr="00E31467">
              <w:rPr>
                <w:sz w:val="18"/>
                <w:szCs w:val="18"/>
              </w:rPr>
              <w:t>4B</w:t>
            </w:r>
            <w:proofErr w:type="spellEnd"/>
            <w:r w:rsidRPr="00E31467">
              <w:rPr>
                <w:sz w:val="18"/>
                <w:szCs w:val="18"/>
              </w:rPr>
              <w:t xml:space="preserve">, </w:t>
            </w:r>
            <w:proofErr w:type="spellStart"/>
            <w:r w:rsidRPr="00E31467">
              <w:rPr>
                <w:sz w:val="18"/>
                <w:szCs w:val="18"/>
              </w:rPr>
              <w:t>4C</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7520D5" w14:textId="77777777" w:rsidR="001D5D9F" w:rsidRPr="00E31467" w:rsidRDefault="001D5D9F" w:rsidP="003D76DA">
            <w:pPr>
              <w:pStyle w:val="Tabletext"/>
              <w:ind w:left="-26"/>
              <w:jc w:val="center"/>
              <w:rPr>
                <w:sz w:val="18"/>
                <w:szCs w:val="18"/>
              </w:rPr>
            </w:pPr>
            <w:r w:rsidRPr="00E31467">
              <w:rPr>
                <w:sz w:val="18"/>
                <w:szCs w:val="18"/>
                <w:lang w:eastAsia="en-GB"/>
              </w:rPr>
              <w:t>11/04/2029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794633" w14:textId="77777777" w:rsidR="001D5D9F" w:rsidRPr="00E31467" w:rsidRDefault="001D5D9F" w:rsidP="003D76DA">
            <w:pPr>
              <w:pStyle w:val="Tabletext"/>
              <w:ind w:left="-39"/>
              <w:jc w:val="center"/>
              <w:rPr>
                <w:sz w:val="18"/>
                <w:szCs w:val="18"/>
              </w:rPr>
            </w:pPr>
            <w:r w:rsidRPr="00E31467">
              <w:rPr>
                <w:sz w:val="18"/>
                <w:szCs w:val="18"/>
                <w:lang w:eastAsia="en-GB"/>
              </w:rPr>
              <w:t>26/04/2029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1486DC8F" w14:textId="6FF047FC" w:rsidR="001D5D9F" w:rsidRPr="00E31467" w:rsidRDefault="001D5D9F" w:rsidP="001D5D9F">
            <w:pPr>
              <w:pStyle w:val="Tabletext"/>
              <w:jc w:val="center"/>
              <w:rPr>
                <w:sz w:val="18"/>
                <w:szCs w:val="18"/>
              </w:rPr>
            </w:pPr>
            <w:r w:rsidRPr="00E31467">
              <w:rPr>
                <w:sz w:val="18"/>
                <w:szCs w:val="18"/>
                <w:lang w:eastAsia="en-GB"/>
              </w:rPr>
              <w:t>1 x 250, 2 x 100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4C81F1C" w14:textId="77777777" w:rsidR="001D5D9F" w:rsidRPr="00E31467" w:rsidRDefault="001D5D9F" w:rsidP="001D5D9F">
            <w:pPr>
              <w:pStyle w:val="Tabletext"/>
              <w:jc w:val="center"/>
              <w:rPr>
                <w:sz w:val="18"/>
                <w:szCs w:val="18"/>
              </w:rPr>
            </w:pPr>
          </w:p>
        </w:tc>
      </w:tr>
      <w:tr w:rsidR="00A0207D" w:rsidRPr="00E31467" w14:paraId="4E7D50FE"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FC39695"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4D74AAC5" w14:textId="77777777" w:rsidR="001D5D9F" w:rsidRPr="00E31467" w:rsidRDefault="001D5D9F" w:rsidP="001D5D9F">
            <w:pPr>
              <w:pStyle w:val="Tabletext"/>
              <w:ind w:left="102"/>
              <w:rPr>
                <w:sz w:val="18"/>
                <w:szCs w:val="18"/>
              </w:rPr>
            </w:pPr>
            <w:r w:rsidRPr="00E31467">
              <w:rPr>
                <w:sz w:val="18"/>
                <w:szCs w:val="18"/>
              </w:rPr>
              <w:t>CE 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C81CD7" w14:textId="77777777" w:rsidR="001D5D9F" w:rsidRPr="00E31467" w:rsidRDefault="001D5D9F" w:rsidP="003D76DA">
            <w:pPr>
              <w:pStyle w:val="Tabletext"/>
              <w:ind w:left="-26"/>
              <w:jc w:val="center"/>
              <w:rPr>
                <w:sz w:val="18"/>
                <w:szCs w:val="18"/>
              </w:rPr>
            </w:pPr>
            <w:r w:rsidRPr="00E31467">
              <w:rPr>
                <w:sz w:val="18"/>
                <w:szCs w:val="18"/>
                <w:lang w:eastAsia="en-GB"/>
              </w:rPr>
              <w:t>16/04/2029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070C58" w14:textId="77777777" w:rsidR="001D5D9F" w:rsidRPr="00E31467" w:rsidRDefault="001D5D9F" w:rsidP="003D76DA">
            <w:pPr>
              <w:pStyle w:val="Tabletext"/>
              <w:ind w:left="-39"/>
              <w:jc w:val="center"/>
              <w:rPr>
                <w:sz w:val="18"/>
                <w:szCs w:val="18"/>
              </w:rPr>
            </w:pPr>
            <w:r w:rsidRPr="00E31467">
              <w:rPr>
                <w:sz w:val="18"/>
                <w:szCs w:val="18"/>
                <w:lang w:eastAsia="en-GB"/>
              </w:rPr>
              <w:t>27/04/2029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8715434" w14:textId="222D79ED" w:rsidR="001D5D9F" w:rsidRPr="00E31467" w:rsidRDefault="001D5D9F" w:rsidP="001D5D9F">
            <w:pPr>
              <w:pStyle w:val="Tabletext"/>
              <w:ind w:left="-40"/>
              <w:jc w:val="center"/>
              <w:rPr>
                <w:sz w:val="18"/>
                <w:szCs w:val="18"/>
              </w:rPr>
            </w:pPr>
            <w:r w:rsidRPr="00E31467">
              <w:rPr>
                <w:sz w:val="18"/>
                <w:szCs w:val="18"/>
                <w:lang w:eastAsia="en-GB"/>
              </w:rPr>
              <w:t>1 x 30, 2 x 20, 2 x 15, 1 x 200, 1 x 40, 2 x 100, 3 x 50, 3 x 30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EB80644" w14:textId="77777777" w:rsidR="001D5D9F" w:rsidRPr="00E31467" w:rsidRDefault="001D5D9F" w:rsidP="001D5D9F">
            <w:pPr>
              <w:pStyle w:val="Tabletext"/>
              <w:jc w:val="center"/>
              <w:rPr>
                <w:sz w:val="18"/>
                <w:szCs w:val="18"/>
              </w:rPr>
            </w:pPr>
          </w:p>
        </w:tc>
      </w:tr>
      <w:tr w:rsidR="00A0207D" w:rsidRPr="00E31467" w14:paraId="309991B6"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89901FB" w14:textId="77777777" w:rsidR="001D5D9F" w:rsidRPr="00E31467" w:rsidRDefault="001D5D9F" w:rsidP="001D5D9F">
            <w:pPr>
              <w:pStyle w:val="Tabletext"/>
              <w:jc w:val="center"/>
              <w:rPr>
                <w:sz w:val="18"/>
                <w:szCs w:val="18"/>
              </w:rPr>
            </w:pPr>
            <w:r w:rsidRPr="00E31467">
              <w:rPr>
                <w:sz w:val="18"/>
                <w:szCs w:val="18"/>
              </w:rPr>
              <w:t>BDT</w:t>
            </w:r>
          </w:p>
        </w:tc>
        <w:tc>
          <w:tcPr>
            <w:tcW w:w="2268" w:type="dxa"/>
            <w:tcBorders>
              <w:top w:val="single" w:sz="4" w:space="0" w:color="auto"/>
              <w:left w:val="single" w:sz="4" w:space="0" w:color="auto"/>
              <w:bottom w:val="single" w:sz="4" w:space="0" w:color="auto"/>
              <w:right w:val="single" w:sz="4" w:space="0" w:color="auto"/>
            </w:tcBorders>
            <w:noWrap/>
            <w:hideMark/>
          </w:tcPr>
          <w:p w14:paraId="60EDCEA0" w14:textId="77777777" w:rsidR="001D5D9F" w:rsidRPr="00E31467" w:rsidRDefault="001D5D9F" w:rsidP="001D5D9F">
            <w:pPr>
              <w:pStyle w:val="Tabletext"/>
              <w:ind w:left="102"/>
              <w:rPr>
                <w:sz w:val="18"/>
                <w:szCs w:val="18"/>
              </w:rPr>
            </w:pPr>
            <w:proofErr w:type="spellStart"/>
            <w:r w:rsidRPr="00E31467">
              <w:rPr>
                <w:sz w:val="18"/>
                <w:szCs w:val="18"/>
              </w:rPr>
              <w:t>GCDT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1CC52A" w14:textId="77777777" w:rsidR="001D5D9F" w:rsidRPr="00E31467" w:rsidRDefault="001D5D9F" w:rsidP="003D76DA">
            <w:pPr>
              <w:pStyle w:val="Tabletext"/>
              <w:ind w:left="-26"/>
              <w:jc w:val="center"/>
              <w:rPr>
                <w:sz w:val="18"/>
                <w:szCs w:val="18"/>
              </w:rPr>
            </w:pPr>
            <w:r w:rsidRPr="00E31467">
              <w:rPr>
                <w:sz w:val="18"/>
                <w:szCs w:val="18"/>
                <w:lang w:eastAsia="en-GB"/>
              </w:rPr>
              <w:t>23/04/2029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0C4AB75" w14:textId="77777777" w:rsidR="001D5D9F" w:rsidRPr="00E31467" w:rsidRDefault="001D5D9F" w:rsidP="003D76DA">
            <w:pPr>
              <w:pStyle w:val="Tabletext"/>
              <w:ind w:left="-39"/>
              <w:jc w:val="center"/>
              <w:rPr>
                <w:sz w:val="18"/>
                <w:szCs w:val="18"/>
              </w:rPr>
            </w:pPr>
            <w:r w:rsidRPr="00E31467">
              <w:rPr>
                <w:sz w:val="18"/>
                <w:szCs w:val="18"/>
                <w:lang w:eastAsia="en-GB"/>
              </w:rPr>
              <w:t>27/04/2029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23F2811F" w14:textId="21819C58" w:rsidR="001D5D9F" w:rsidRPr="00E31467" w:rsidRDefault="001D5D9F" w:rsidP="001D5D9F">
            <w:pPr>
              <w:pStyle w:val="Tabletext"/>
              <w:jc w:val="center"/>
              <w:rPr>
                <w:sz w:val="18"/>
                <w:szCs w:val="18"/>
              </w:rPr>
            </w:pPr>
            <w:r w:rsidRPr="00E31467">
              <w:rPr>
                <w:sz w:val="18"/>
                <w:szCs w:val="18"/>
                <w:lang w:eastAsia="en-GB"/>
              </w:rPr>
              <w:t>1 x 200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29503F08" w14:textId="32DAE64E" w:rsidR="001D5D9F" w:rsidRPr="00E31467" w:rsidRDefault="001D5D9F" w:rsidP="001D5D9F">
            <w:pPr>
              <w:pStyle w:val="Tabletext"/>
              <w:jc w:val="center"/>
              <w:rPr>
                <w:sz w:val="18"/>
                <w:szCs w:val="18"/>
                <w:lang w:eastAsia="en-GB"/>
              </w:rPr>
            </w:pPr>
            <w:r w:rsidRPr="00E31467">
              <w:rPr>
                <w:sz w:val="18"/>
                <w:szCs w:val="18"/>
                <w:lang w:eastAsia="en-GB"/>
              </w:rPr>
              <w:t>1 x 30</w:t>
            </w:r>
          </w:p>
        </w:tc>
      </w:tr>
      <w:tr w:rsidR="00A0207D" w:rsidRPr="00E31467" w14:paraId="71A5B90F"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E77C970"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24778AC2" w14:textId="77777777" w:rsidR="001D5D9F" w:rsidRPr="00E31467" w:rsidRDefault="001D5D9F" w:rsidP="001D5D9F">
            <w:pPr>
              <w:pStyle w:val="Tabletext"/>
              <w:ind w:left="102"/>
              <w:rPr>
                <w:sz w:val="18"/>
                <w:szCs w:val="18"/>
              </w:rPr>
            </w:pPr>
            <w:r w:rsidRPr="00E31467">
              <w:rPr>
                <w:sz w:val="18"/>
                <w:szCs w:val="18"/>
              </w:rPr>
              <w:t>CE 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12E961" w14:textId="77777777" w:rsidR="001D5D9F" w:rsidRPr="00E31467" w:rsidRDefault="001D5D9F" w:rsidP="003D76DA">
            <w:pPr>
              <w:pStyle w:val="Tabletext"/>
              <w:ind w:left="-26"/>
              <w:jc w:val="center"/>
              <w:rPr>
                <w:sz w:val="18"/>
                <w:szCs w:val="18"/>
              </w:rPr>
            </w:pPr>
            <w:r w:rsidRPr="00E31467">
              <w:rPr>
                <w:sz w:val="18"/>
                <w:szCs w:val="18"/>
                <w:lang w:eastAsia="en-GB"/>
              </w:rPr>
              <w:t>27/04/2029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8FEADC" w14:textId="77777777" w:rsidR="001D5D9F" w:rsidRPr="00E31467" w:rsidRDefault="001D5D9F" w:rsidP="003D76DA">
            <w:pPr>
              <w:pStyle w:val="Tabletext"/>
              <w:ind w:left="-39"/>
              <w:jc w:val="center"/>
              <w:rPr>
                <w:sz w:val="18"/>
                <w:szCs w:val="18"/>
              </w:rPr>
            </w:pPr>
            <w:r w:rsidRPr="00E31467">
              <w:rPr>
                <w:sz w:val="18"/>
                <w:szCs w:val="18"/>
                <w:lang w:eastAsia="en-GB"/>
              </w:rPr>
              <w:t>27/04/2029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7D31AB5F" w14:textId="189D53A8" w:rsidR="001D5D9F" w:rsidRPr="00E31467" w:rsidRDefault="001D5D9F" w:rsidP="001D5D9F">
            <w:pPr>
              <w:pStyle w:val="Tabletext"/>
              <w:jc w:val="center"/>
              <w:rPr>
                <w:sz w:val="18"/>
                <w:szCs w:val="18"/>
              </w:rPr>
            </w:pPr>
            <w:r w:rsidRPr="00E31467">
              <w:rPr>
                <w:sz w:val="18"/>
                <w:szCs w:val="18"/>
                <w:lang w:eastAsia="en-GB"/>
              </w:rPr>
              <w:t>1 x 200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5885737" w14:textId="77777777" w:rsidR="001D5D9F" w:rsidRPr="00E31467" w:rsidRDefault="001D5D9F" w:rsidP="001D5D9F">
            <w:pPr>
              <w:pStyle w:val="Tabletext"/>
              <w:jc w:val="center"/>
              <w:rPr>
                <w:sz w:val="18"/>
                <w:szCs w:val="18"/>
              </w:rPr>
            </w:pPr>
          </w:p>
        </w:tc>
      </w:tr>
      <w:tr w:rsidR="00A0207D" w:rsidRPr="00E31467" w14:paraId="11073705"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DB97BC4"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4FCE1034" w14:textId="77777777" w:rsidR="001D5D9F" w:rsidRPr="00E31467" w:rsidRDefault="001D5D9F" w:rsidP="001D5D9F">
            <w:pPr>
              <w:pStyle w:val="Tabletext"/>
              <w:ind w:left="102"/>
              <w:rPr>
                <w:sz w:val="18"/>
                <w:szCs w:val="18"/>
              </w:rPr>
            </w:pPr>
            <w:r w:rsidRPr="00E31467">
              <w:rPr>
                <w:sz w:val="18"/>
                <w:szCs w:val="18"/>
              </w:rPr>
              <w:t>CE 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507A6D" w14:textId="77777777" w:rsidR="001D5D9F" w:rsidRPr="00E31467" w:rsidRDefault="001D5D9F" w:rsidP="003D76DA">
            <w:pPr>
              <w:pStyle w:val="Tabletext"/>
              <w:ind w:left="-26"/>
              <w:jc w:val="center"/>
              <w:rPr>
                <w:sz w:val="18"/>
                <w:szCs w:val="18"/>
              </w:rPr>
            </w:pPr>
            <w:r w:rsidRPr="00E31467">
              <w:rPr>
                <w:sz w:val="18"/>
                <w:szCs w:val="18"/>
                <w:lang w:eastAsia="en-GB"/>
              </w:rPr>
              <w:t>02/05/2029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7571C7" w14:textId="77777777" w:rsidR="001D5D9F" w:rsidRPr="00E31467" w:rsidRDefault="001D5D9F" w:rsidP="003D76DA">
            <w:pPr>
              <w:pStyle w:val="Tabletext"/>
              <w:ind w:left="-39"/>
              <w:jc w:val="center"/>
              <w:rPr>
                <w:sz w:val="18"/>
                <w:szCs w:val="18"/>
              </w:rPr>
            </w:pPr>
            <w:r w:rsidRPr="00E31467">
              <w:rPr>
                <w:sz w:val="18"/>
                <w:szCs w:val="18"/>
                <w:lang w:eastAsia="en-GB"/>
              </w:rPr>
              <w:t>11/05/2029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5D9AB263" w14:textId="71CB5A68" w:rsidR="001D5D9F" w:rsidRPr="00E31467" w:rsidRDefault="001D5D9F" w:rsidP="001D5D9F">
            <w:pPr>
              <w:pStyle w:val="Tabletext"/>
              <w:jc w:val="center"/>
              <w:rPr>
                <w:sz w:val="18"/>
                <w:szCs w:val="18"/>
              </w:rPr>
            </w:pPr>
            <w:r w:rsidRPr="00E31467">
              <w:rPr>
                <w:sz w:val="18"/>
                <w:szCs w:val="18"/>
                <w:lang w:eastAsia="en-GB"/>
              </w:rPr>
              <w:t>1 x 150, 1 x 30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2BA6AAA" w14:textId="77777777" w:rsidR="001D5D9F" w:rsidRPr="00E31467" w:rsidRDefault="001D5D9F" w:rsidP="001D5D9F">
            <w:pPr>
              <w:pStyle w:val="Tabletext"/>
              <w:jc w:val="center"/>
              <w:rPr>
                <w:sz w:val="18"/>
                <w:szCs w:val="18"/>
              </w:rPr>
            </w:pPr>
          </w:p>
        </w:tc>
      </w:tr>
      <w:tr w:rsidR="00A0207D" w:rsidRPr="00E31467" w14:paraId="76C1E4B5"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CD66A3F"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28B6CBE7" w14:textId="77777777" w:rsidR="001D5D9F" w:rsidRPr="00E31467" w:rsidRDefault="001D5D9F" w:rsidP="001D5D9F">
            <w:pPr>
              <w:pStyle w:val="Tabletext"/>
              <w:ind w:left="102"/>
              <w:rPr>
                <w:sz w:val="18"/>
                <w:szCs w:val="18"/>
              </w:rPr>
            </w:pPr>
            <w:r w:rsidRPr="00E31467">
              <w:rPr>
                <w:sz w:val="18"/>
                <w:szCs w:val="18"/>
              </w:rPr>
              <w:t>Nouvelle commission après l'</w:t>
            </w:r>
            <w:proofErr w:type="spellStart"/>
            <w:r w:rsidRPr="00E31467">
              <w:rPr>
                <w:sz w:val="18"/>
                <w:szCs w:val="18"/>
              </w:rPr>
              <w:t>AR-27</w:t>
            </w:r>
            <w:proofErr w:type="spellEnd"/>
            <w:r w:rsidRPr="00E31467">
              <w:rPr>
                <w:sz w:val="18"/>
                <w:szCs w:val="18"/>
              </w:rPr>
              <w:t>/la CMR-27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7B92EAB" w14:textId="77777777" w:rsidR="001D5D9F" w:rsidRPr="00E31467" w:rsidRDefault="001D5D9F" w:rsidP="003D76DA">
            <w:pPr>
              <w:pStyle w:val="Tabletext"/>
              <w:ind w:left="-26"/>
              <w:jc w:val="center"/>
              <w:rPr>
                <w:sz w:val="18"/>
                <w:szCs w:val="18"/>
              </w:rPr>
            </w:pPr>
            <w:r w:rsidRPr="00E31467">
              <w:rPr>
                <w:sz w:val="18"/>
                <w:szCs w:val="18"/>
                <w:lang w:eastAsia="en-GB"/>
              </w:rPr>
              <w:t>03/05/2029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40101D" w14:textId="77777777" w:rsidR="001D5D9F" w:rsidRPr="00E31467" w:rsidRDefault="001D5D9F" w:rsidP="003D76DA">
            <w:pPr>
              <w:pStyle w:val="Tabletext"/>
              <w:ind w:left="-39"/>
              <w:jc w:val="center"/>
              <w:rPr>
                <w:sz w:val="18"/>
                <w:szCs w:val="18"/>
              </w:rPr>
            </w:pPr>
            <w:r w:rsidRPr="00E31467">
              <w:rPr>
                <w:sz w:val="18"/>
                <w:szCs w:val="18"/>
                <w:lang w:eastAsia="en-GB"/>
              </w:rPr>
              <w:t>10/05/2029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42B71901" w14:textId="6C7129E8" w:rsidR="001D5D9F" w:rsidRPr="00E31467" w:rsidRDefault="001D5D9F" w:rsidP="001D5D9F">
            <w:pPr>
              <w:pStyle w:val="Tabletext"/>
              <w:jc w:val="center"/>
              <w:rPr>
                <w:sz w:val="18"/>
                <w:szCs w:val="18"/>
                <w:lang w:eastAsia="en-GB"/>
              </w:rPr>
            </w:pPr>
            <w:r w:rsidRPr="00E31467">
              <w:rPr>
                <w:sz w:val="18"/>
                <w:szCs w:val="18"/>
                <w:lang w:eastAsia="en-GB"/>
              </w:rPr>
              <w:t>1 x 250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547077F" w14:textId="2E3BE1A8" w:rsidR="001D5D9F" w:rsidRPr="00E31467" w:rsidRDefault="001D5D9F" w:rsidP="001D5D9F">
            <w:pPr>
              <w:pStyle w:val="Tabletext"/>
              <w:jc w:val="center"/>
              <w:rPr>
                <w:sz w:val="18"/>
                <w:szCs w:val="18"/>
                <w:lang w:eastAsia="en-GB"/>
              </w:rPr>
            </w:pPr>
            <w:r w:rsidRPr="00E31467">
              <w:rPr>
                <w:sz w:val="18"/>
                <w:szCs w:val="18"/>
                <w:lang w:eastAsia="en-GB"/>
              </w:rPr>
              <w:t>1 x 30</w:t>
            </w:r>
          </w:p>
        </w:tc>
      </w:tr>
      <w:tr w:rsidR="00A0207D" w:rsidRPr="00E31467" w14:paraId="382B84B2"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76FF083"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6C6A95B3" w14:textId="77777777" w:rsidR="001D5D9F" w:rsidRPr="00E31467" w:rsidRDefault="001D5D9F" w:rsidP="001D5D9F">
            <w:pPr>
              <w:pStyle w:val="Tabletext"/>
              <w:ind w:left="102"/>
              <w:rPr>
                <w:sz w:val="18"/>
                <w:szCs w:val="18"/>
              </w:rPr>
            </w:pPr>
            <w:r w:rsidRPr="00E31467">
              <w:rPr>
                <w:sz w:val="18"/>
                <w:szCs w:val="18"/>
              </w:rPr>
              <w:t xml:space="preserve">GT </w:t>
            </w:r>
            <w:proofErr w:type="spellStart"/>
            <w:r w:rsidRPr="00E31467">
              <w:rPr>
                <w:sz w:val="18"/>
                <w:szCs w:val="18"/>
              </w:rPr>
              <w:t>5A</w:t>
            </w:r>
            <w:proofErr w:type="spellEnd"/>
            <w:r w:rsidRPr="00E31467">
              <w:rPr>
                <w:sz w:val="18"/>
                <w:szCs w:val="18"/>
              </w:rPr>
              <w:t xml:space="preserve">, </w:t>
            </w:r>
            <w:proofErr w:type="spellStart"/>
            <w:r w:rsidRPr="00E31467">
              <w:rPr>
                <w:sz w:val="18"/>
                <w:szCs w:val="18"/>
              </w:rPr>
              <w:t>5B</w:t>
            </w:r>
            <w:proofErr w:type="spellEnd"/>
            <w:r w:rsidRPr="00E31467">
              <w:rPr>
                <w:sz w:val="18"/>
                <w:szCs w:val="18"/>
              </w:rPr>
              <w:t xml:space="preserve"> et </w:t>
            </w:r>
            <w:proofErr w:type="spellStart"/>
            <w:r w:rsidRPr="00E31467">
              <w:rPr>
                <w:sz w:val="18"/>
                <w:szCs w:val="18"/>
              </w:rPr>
              <w:t>5C</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FFDD223" w14:textId="77777777" w:rsidR="001D5D9F" w:rsidRPr="00E31467" w:rsidRDefault="001D5D9F" w:rsidP="003D76DA">
            <w:pPr>
              <w:pStyle w:val="Tabletext"/>
              <w:ind w:left="-26"/>
              <w:jc w:val="center"/>
              <w:rPr>
                <w:sz w:val="18"/>
                <w:szCs w:val="18"/>
              </w:rPr>
            </w:pPr>
            <w:r w:rsidRPr="00E31467">
              <w:rPr>
                <w:sz w:val="18"/>
                <w:szCs w:val="18"/>
                <w:lang w:eastAsia="en-GB"/>
              </w:rPr>
              <w:t>14/05/2029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7367F3" w14:textId="77777777" w:rsidR="001D5D9F" w:rsidRPr="00E31467" w:rsidRDefault="001D5D9F" w:rsidP="003D76DA">
            <w:pPr>
              <w:pStyle w:val="Tabletext"/>
              <w:ind w:left="-39"/>
              <w:jc w:val="center"/>
              <w:rPr>
                <w:sz w:val="18"/>
                <w:szCs w:val="18"/>
                <w:lang w:eastAsia="en-GB"/>
              </w:rPr>
            </w:pPr>
            <w:r w:rsidRPr="00E31467">
              <w:rPr>
                <w:sz w:val="18"/>
                <w:szCs w:val="18"/>
                <w:lang w:eastAsia="en-GB"/>
              </w:rPr>
              <w:t>24/05/2029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0167A9F3" w14:textId="64C174A9" w:rsidR="001D5D9F" w:rsidRPr="00E31467" w:rsidRDefault="001D5D9F" w:rsidP="001D5D9F">
            <w:pPr>
              <w:pStyle w:val="Tabletext"/>
              <w:jc w:val="center"/>
              <w:rPr>
                <w:sz w:val="18"/>
                <w:szCs w:val="18"/>
              </w:rPr>
            </w:pPr>
            <w:r w:rsidRPr="00E31467">
              <w:rPr>
                <w:sz w:val="18"/>
                <w:szCs w:val="18"/>
                <w:lang w:eastAsia="en-GB"/>
              </w:rPr>
              <w:t>1 x 200, 1 x 120, 1 x 80, 2 x 50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0EF8C7F" w14:textId="173F1E12" w:rsidR="001D5D9F" w:rsidRPr="00E31467" w:rsidRDefault="001D5D9F" w:rsidP="001D5D9F">
            <w:pPr>
              <w:pStyle w:val="Tabletext"/>
              <w:jc w:val="center"/>
              <w:rPr>
                <w:sz w:val="18"/>
                <w:szCs w:val="18"/>
                <w:lang w:eastAsia="en-GB"/>
              </w:rPr>
            </w:pPr>
            <w:r w:rsidRPr="00E31467">
              <w:rPr>
                <w:sz w:val="18"/>
                <w:szCs w:val="18"/>
                <w:lang w:eastAsia="en-GB"/>
              </w:rPr>
              <w:t>1 x 30</w:t>
            </w:r>
          </w:p>
        </w:tc>
      </w:tr>
      <w:tr w:rsidR="00A0207D" w:rsidRPr="00E31467" w14:paraId="4B3B3209"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88E70E1"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0B8D69AB" w14:textId="77777777" w:rsidR="001D5D9F" w:rsidRPr="00E31467" w:rsidRDefault="001D5D9F" w:rsidP="001D5D9F">
            <w:pPr>
              <w:pStyle w:val="Tabletext"/>
              <w:ind w:left="102"/>
              <w:rPr>
                <w:sz w:val="18"/>
                <w:szCs w:val="18"/>
              </w:rPr>
            </w:pPr>
            <w:proofErr w:type="spellStart"/>
            <w:r w:rsidRPr="00E31467">
              <w:rPr>
                <w:sz w:val="18"/>
                <w:szCs w:val="18"/>
              </w:rPr>
              <w:t>GCNT</w:t>
            </w:r>
            <w:proofErr w:type="spellEnd"/>
            <w:r w:rsidRPr="00E31467">
              <w:rPr>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1B7766" w14:textId="77777777" w:rsidR="001D5D9F" w:rsidRPr="00E31467" w:rsidRDefault="001D5D9F" w:rsidP="003D76DA">
            <w:pPr>
              <w:pStyle w:val="Tabletext"/>
              <w:ind w:left="-26"/>
              <w:jc w:val="center"/>
              <w:rPr>
                <w:sz w:val="18"/>
                <w:szCs w:val="18"/>
              </w:rPr>
            </w:pPr>
            <w:r w:rsidRPr="00E31467">
              <w:rPr>
                <w:sz w:val="18"/>
                <w:szCs w:val="18"/>
                <w:lang w:eastAsia="en-GB"/>
              </w:rPr>
              <w:t>14/05/2029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C05952" w14:textId="77777777" w:rsidR="001D5D9F" w:rsidRPr="00E31467" w:rsidRDefault="001D5D9F" w:rsidP="003D76DA">
            <w:pPr>
              <w:pStyle w:val="Tabletext"/>
              <w:ind w:left="-39"/>
              <w:jc w:val="center"/>
              <w:rPr>
                <w:sz w:val="18"/>
                <w:szCs w:val="18"/>
              </w:rPr>
            </w:pPr>
            <w:r w:rsidRPr="00E31467">
              <w:rPr>
                <w:sz w:val="18"/>
                <w:szCs w:val="18"/>
                <w:lang w:eastAsia="en-GB"/>
              </w:rPr>
              <w:t>18/05/2029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292F93C1" w14:textId="61AB65A0" w:rsidR="001D5D9F" w:rsidRPr="00E31467" w:rsidRDefault="001D5D9F" w:rsidP="001D5D9F">
            <w:pPr>
              <w:pStyle w:val="Tabletext"/>
              <w:jc w:val="center"/>
              <w:rPr>
                <w:sz w:val="18"/>
                <w:szCs w:val="18"/>
              </w:rPr>
            </w:pPr>
            <w:r w:rsidRPr="00E31467">
              <w:rPr>
                <w:sz w:val="18"/>
                <w:szCs w:val="18"/>
                <w:lang w:eastAsia="en-GB"/>
              </w:rPr>
              <w:t>1 x 200, 1 x 80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21441B6C" w14:textId="77777777" w:rsidR="001D5D9F" w:rsidRPr="00E31467" w:rsidRDefault="001D5D9F" w:rsidP="001D5D9F">
            <w:pPr>
              <w:pStyle w:val="Tabletext"/>
              <w:jc w:val="center"/>
              <w:rPr>
                <w:sz w:val="18"/>
                <w:szCs w:val="18"/>
              </w:rPr>
            </w:pPr>
          </w:p>
        </w:tc>
      </w:tr>
      <w:tr w:rsidR="00A0207D" w:rsidRPr="00E31467" w14:paraId="0035FB7B"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8FB6CEB"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208E518F" w14:textId="77777777" w:rsidR="001D5D9F" w:rsidRPr="00E31467" w:rsidRDefault="001D5D9F" w:rsidP="001D5D9F">
            <w:pPr>
              <w:pStyle w:val="Tabletext"/>
              <w:ind w:left="102"/>
              <w:rPr>
                <w:sz w:val="18"/>
                <w:szCs w:val="18"/>
              </w:rPr>
            </w:pPr>
            <w:r w:rsidRPr="00E31467">
              <w:rPr>
                <w:sz w:val="18"/>
                <w:szCs w:val="18"/>
              </w:rPr>
              <w:t>CE 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EDB9ACB" w14:textId="77777777" w:rsidR="001D5D9F" w:rsidRPr="00E31467" w:rsidRDefault="001D5D9F" w:rsidP="003D76DA">
            <w:pPr>
              <w:pStyle w:val="Tabletext"/>
              <w:ind w:left="-26"/>
              <w:jc w:val="center"/>
              <w:rPr>
                <w:sz w:val="18"/>
                <w:szCs w:val="18"/>
              </w:rPr>
            </w:pPr>
            <w:r w:rsidRPr="00E31467">
              <w:rPr>
                <w:sz w:val="18"/>
                <w:szCs w:val="18"/>
                <w:lang w:eastAsia="en-GB"/>
              </w:rPr>
              <w:t>23/05/2029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CE07EF" w14:textId="77777777" w:rsidR="001D5D9F" w:rsidRPr="00E31467" w:rsidRDefault="001D5D9F" w:rsidP="003D76DA">
            <w:pPr>
              <w:pStyle w:val="Tabletext"/>
              <w:ind w:left="-39"/>
              <w:jc w:val="center"/>
              <w:rPr>
                <w:sz w:val="18"/>
                <w:szCs w:val="18"/>
              </w:rPr>
            </w:pPr>
            <w:r w:rsidRPr="00E31467">
              <w:rPr>
                <w:sz w:val="18"/>
                <w:szCs w:val="18"/>
                <w:lang w:eastAsia="en-GB"/>
              </w:rPr>
              <w:t>01/06/2029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013196B" w14:textId="5170367D" w:rsidR="001D5D9F" w:rsidRPr="00E31467" w:rsidRDefault="001D5D9F" w:rsidP="001D5D9F">
            <w:pPr>
              <w:pStyle w:val="Tabletext"/>
              <w:jc w:val="center"/>
              <w:rPr>
                <w:sz w:val="18"/>
                <w:szCs w:val="18"/>
              </w:rPr>
            </w:pPr>
            <w:r w:rsidRPr="00E31467">
              <w:rPr>
                <w:sz w:val="18"/>
                <w:szCs w:val="18"/>
                <w:lang w:eastAsia="en-GB"/>
              </w:rPr>
              <w:t>1 x 150 (ouverture et fermeture), 3 x 30, 2 x 15, 2 x 10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7C2DD2F" w14:textId="77777777" w:rsidR="001D5D9F" w:rsidRPr="00E31467" w:rsidRDefault="001D5D9F" w:rsidP="001D5D9F">
            <w:pPr>
              <w:pStyle w:val="Tabletext"/>
              <w:jc w:val="center"/>
              <w:rPr>
                <w:sz w:val="18"/>
                <w:szCs w:val="18"/>
              </w:rPr>
            </w:pPr>
          </w:p>
        </w:tc>
      </w:tr>
      <w:tr w:rsidR="00A0207D" w:rsidRPr="00E31467" w14:paraId="25CA108E"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1FD5A60"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5F80F3A9" w14:textId="77777777" w:rsidR="001D5D9F" w:rsidRPr="00E31467" w:rsidRDefault="001D5D9F" w:rsidP="001D5D9F">
            <w:pPr>
              <w:pStyle w:val="Tabletext"/>
              <w:ind w:left="102"/>
              <w:rPr>
                <w:sz w:val="18"/>
                <w:szCs w:val="18"/>
              </w:rPr>
            </w:pPr>
            <w:r w:rsidRPr="00E31467">
              <w:rPr>
                <w:sz w:val="18"/>
                <w:szCs w:val="18"/>
              </w:rPr>
              <w:t>CE 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107A00" w14:textId="77777777" w:rsidR="001D5D9F" w:rsidRPr="00E31467" w:rsidRDefault="001D5D9F" w:rsidP="003D76DA">
            <w:pPr>
              <w:pStyle w:val="Tabletext"/>
              <w:ind w:left="-26"/>
              <w:jc w:val="center"/>
              <w:rPr>
                <w:sz w:val="18"/>
                <w:szCs w:val="18"/>
                <w:lang w:eastAsia="en-GB"/>
              </w:rPr>
            </w:pPr>
            <w:r w:rsidRPr="00E31467">
              <w:rPr>
                <w:sz w:val="18"/>
                <w:szCs w:val="18"/>
                <w:lang w:eastAsia="en-GB"/>
              </w:rPr>
              <w:t>25/05/2029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0254983" w14:textId="77777777" w:rsidR="001D5D9F" w:rsidRPr="00E31467" w:rsidRDefault="001D5D9F" w:rsidP="003D76DA">
            <w:pPr>
              <w:pStyle w:val="Tabletext"/>
              <w:ind w:left="-39"/>
              <w:jc w:val="center"/>
              <w:rPr>
                <w:sz w:val="18"/>
                <w:szCs w:val="18"/>
                <w:lang w:eastAsia="en-GB"/>
              </w:rPr>
            </w:pPr>
            <w:r w:rsidRPr="00E31467">
              <w:rPr>
                <w:sz w:val="18"/>
                <w:szCs w:val="18"/>
                <w:lang w:eastAsia="en-GB"/>
              </w:rPr>
              <w:t>25/05/2029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5181F5A3" w14:textId="136E4992" w:rsidR="001D5D9F" w:rsidRPr="00E31467" w:rsidRDefault="001D5D9F" w:rsidP="001D5D9F">
            <w:pPr>
              <w:pStyle w:val="Tabletext"/>
              <w:jc w:val="center"/>
              <w:rPr>
                <w:sz w:val="18"/>
                <w:szCs w:val="18"/>
              </w:rPr>
            </w:pPr>
            <w:r w:rsidRPr="00E31467">
              <w:rPr>
                <w:sz w:val="18"/>
                <w:szCs w:val="18"/>
                <w:lang w:eastAsia="en-GB"/>
              </w:rPr>
              <w:t>1 x 200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01B96043" w14:textId="77777777" w:rsidR="001D5D9F" w:rsidRPr="00E31467" w:rsidRDefault="001D5D9F" w:rsidP="001D5D9F">
            <w:pPr>
              <w:pStyle w:val="Tabletext"/>
              <w:jc w:val="center"/>
              <w:rPr>
                <w:sz w:val="18"/>
                <w:szCs w:val="18"/>
              </w:rPr>
            </w:pPr>
          </w:p>
        </w:tc>
      </w:tr>
      <w:tr w:rsidR="00A0207D" w:rsidRPr="00E31467" w14:paraId="34ECCEF5"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3E9DC5F"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4DB7F89C" w14:textId="77777777" w:rsidR="001D5D9F" w:rsidRPr="00E31467" w:rsidRDefault="001D5D9F" w:rsidP="001D5D9F">
            <w:pPr>
              <w:pStyle w:val="Tabletext"/>
              <w:ind w:left="102"/>
              <w:rPr>
                <w:sz w:val="18"/>
                <w:szCs w:val="18"/>
              </w:rPr>
            </w:pPr>
            <w:r w:rsidRPr="00E31467">
              <w:rPr>
                <w:sz w:val="18"/>
                <w:szCs w:val="18"/>
              </w:rPr>
              <w:t xml:space="preserve">GT </w:t>
            </w:r>
            <w:proofErr w:type="spellStart"/>
            <w:r w:rsidRPr="00E31467">
              <w:rPr>
                <w:sz w:val="18"/>
                <w:szCs w:val="18"/>
              </w:rPr>
              <w:t>3J</w:t>
            </w:r>
            <w:proofErr w:type="spellEnd"/>
            <w:r w:rsidRPr="00E31467">
              <w:rPr>
                <w:sz w:val="18"/>
                <w:szCs w:val="18"/>
              </w:rPr>
              <w:t xml:space="preserve">, </w:t>
            </w:r>
            <w:proofErr w:type="spellStart"/>
            <w:r w:rsidRPr="00E31467">
              <w:rPr>
                <w:sz w:val="18"/>
                <w:szCs w:val="18"/>
              </w:rPr>
              <w:t>3K</w:t>
            </w:r>
            <w:proofErr w:type="spellEnd"/>
            <w:r w:rsidRPr="00E31467">
              <w:rPr>
                <w:sz w:val="18"/>
                <w:szCs w:val="18"/>
              </w:rPr>
              <w:t xml:space="preserve">, </w:t>
            </w:r>
            <w:proofErr w:type="spellStart"/>
            <w:r w:rsidRPr="00E31467">
              <w:rPr>
                <w:sz w:val="18"/>
                <w:szCs w:val="18"/>
              </w:rPr>
              <w:t>3L</w:t>
            </w:r>
            <w:proofErr w:type="spellEnd"/>
            <w:r w:rsidRPr="00E31467">
              <w:rPr>
                <w:sz w:val="18"/>
                <w:szCs w:val="18"/>
              </w:rPr>
              <w:t>, 3M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C9592E" w14:textId="77777777" w:rsidR="001D5D9F" w:rsidRPr="00E31467" w:rsidRDefault="001D5D9F" w:rsidP="003D76DA">
            <w:pPr>
              <w:pStyle w:val="Tabletext"/>
              <w:ind w:left="-26"/>
              <w:jc w:val="center"/>
              <w:rPr>
                <w:sz w:val="18"/>
                <w:szCs w:val="18"/>
                <w:lang w:eastAsia="en-GB"/>
              </w:rPr>
            </w:pPr>
            <w:r w:rsidRPr="00E31467">
              <w:rPr>
                <w:sz w:val="18"/>
                <w:szCs w:val="18"/>
                <w:lang w:eastAsia="en-GB"/>
              </w:rPr>
              <w:t>28/05/2029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86F11C1" w14:textId="77777777" w:rsidR="001D5D9F" w:rsidRPr="00E31467" w:rsidRDefault="001D5D9F" w:rsidP="003D76DA">
            <w:pPr>
              <w:pStyle w:val="Tabletext"/>
              <w:ind w:left="-39"/>
              <w:jc w:val="center"/>
              <w:rPr>
                <w:sz w:val="18"/>
                <w:szCs w:val="18"/>
              </w:rPr>
            </w:pPr>
            <w:r w:rsidRPr="00E31467">
              <w:rPr>
                <w:sz w:val="18"/>
                <w:szCs w:val="18"/>
                <w:lang w:eastAsia="en-GB"/>
              </w:rPr>
              <w:t>07/06/2029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1808DD00" w14:textId="6C64FC37" w:rsidR="001D5D9F" w:rsidRPr="00E31467" w:rsidRDefault="001D5D9F" w:rsidP="001D5D9F">
            <w:pPr>
              <w:pStyle w:val="Tabletext"/>
              <w:jc w:val="center"/>
              <w:rPr>
                <w:sz w:val="18"/>
                <w:szCs w:val="18"/>
              </w:rPr>
            </w:pPr>
            <w:r w:rsidRPr="00E31467">
              <w:rPr>
                <w:sz w:val="18"/>
                <w:szCs w:val="18"/>
                <w:lang w:eastAsia="en-GB"/>
              </w:rPr>
              <w:t>1 x 100, 2 x 50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27131235" w14:textId="1EF593CD" w:rsidR="001D5D9F" w:rsidRPr="00E31467" w:rsidRDefault="001D5D9F" w:rsidP="001D5D9F">
            <w:pPr>
              <w:pStyle w:val="Tabletext"/>
              <w:jc w:val="center"/>
              <w:rPr>
                <w:sz w:val="18"/>
                <w:szCs w:val="18"/>
                <w:lang w:eastAsia="en-GB"/>
              </w:rPr>
            </w:pPr>
            <w:r w:rsidRPr="00E31467">
              <w:rPr>
                <w:sz w:val="18"/>
                <w:szCs w:val="18"/>
                <w:lang w:eastAsia="en-GB"/>
              </w:rPr>
              <w:t>2 x 30</w:t>
            </w:r>
          </w:p>
        </w:tc>
      </w:tr>
      <w:tr w:rsidR="00A0207D" w:rsidRPr="00E31467" w14:paraId="3815BD90"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BCC54C8"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68DD7D4E" w14:textId="77777777" w:rsidR="001D5D9F" w:rsidRPr="00E31467" w:rsidRDefault="001D5D9F" w:rsidP="001D5D9F">
            <w:pPr>
              <w:pStyle w:val="Tabletext"/>
              <w:ind w:left="102"/>
              <w:rPr>
                <w:sz w:val="18"/>
                <w:szCs w:val="18"/>
              </w:rPr>
            </w:pPr>
            <w:r w:rsidRPr="00E31467">
              <w:rPr>
                <w:sz w:val="18"/>
                <w:szCs w:val="18"/>
              </w:rPr>
              <w:t>CE 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1D14E5" w14:textId="77777777" w:rsidR="001D5D9F" w:rsidRPr="00E31467" w:rsidRDefault="001D5D9F" w:rsidP="003D76DA">
            <w:pPr>
              <w:pStyle w:val="Tabletext"/>
              <w:ind w:left="-26"/>
              <w:jc w:val="center"/>
              <w:rPr>
                <w:sz w:val="18"/>
                <w:szCs w:val="18"/>
              </w:rPr>
            </w:pPr>
            <w:r w:rsidRPr="00E31467">
              <w:rPr>
                <w:sz w:val="18"/>
                <w:szCs w:val="18"/>
                <w:lang w:eastAsia="en-GB"/>
              </w:rPr>
              <w:t>04/06/2029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B75CD3" w14:textId="77777777" w:rsidR="001D5D9F" w:rsidRPr="00E31467" w:rsidRDefault="001D5D9F" w:rsidP="003D76DA">
            <w:pPr>
              <w:pStyle w:val="Tabletext"/>
              <w:ind w:left="-39"/>
              <w:jc w:val="center"/>
              <w:rPr>
                <w:sz w:val="18"/>
                <w:szCs w:val="18"/>
              </w:rPr>
            </w:pPr>
            <w:r w:rsidRPr="00E31467">
              <w:rPr>
                <w:sz w:val="18"/>
                <w:szCs w:val="18"/>
                <w:lang w:eastAsia="en-GB"/>
              </w:rPr>
              <w:t>13/06/2029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2770D702" w14:textId="7A807AB8" w:rsidR="001D5D9F" w:rsidRPr="00E31467" w:rsidRDefault="001D5D9F" w:rsidP="001D5D9F">
            <w:pPr>
              <w:pStyle w:val="Tabletext"/>
              <w:jc w:val="center"/>
              <w:rPr>
                <w:sz w:val="18"/>
                <w:szCs w:val="18"/>
              </w:rPr>
            </w:pPr>
            <w:r w:rsidRPr="00E31467">
              <w:rPr>
                <w:sz w:val="18"/>
                <w:szCs w:val="18"/>
                <w:lang w:eastAsia="en-GB"/>
              </w:rPr>
              <w:t>1 x 150, 2 x 50, 3 x 30, 2 x 15</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2EF51EBA" w14:textId="77777777" w:rsidR="001D5D9F" w:rsidRPr="00E31467" w:rsidRDefault="001D5D9F" w:rsidP="001D5D9F">
            <w:pPr>
              <w:pStyle w:val="Tabletext"/>
              <w:jc w:val="center"/>
              <w:rPr>
                <w:sz w:val="18"/>
                <w:szCs w:val="18"/>
              </w:rPr>
            </w:pPr>
          </w:p>
        </w:tc>
      </w:tr>
      <w:tr w:rsidR="00A0207D" w:rsidRPr="00E31467" w14:paraId="4D4B2687"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5161D26"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2C68FA7F" w14:textId="77777777" w:rsidR="001D5D9F" w:rsidRPr="00E31467" w:rsidRDefault="001D5D9F" w:rsidP="001D5D9F">
            <w:pPr>
              <w:pStyle w:val="Tabletext"/>
              <w:ind w:left="102"/>
              <w:rPr>
                <w:sz w:val="18"/>
                <w:szCs w:val="18"/>
              </w:rPr>
            </w:pPr>
            <w:r w:rsidRPr="00E31467">
              <w:rPr>
                <w:sz w:val="18"/>
                <w:szCs w:val="18"/>
              </w:rPr>
              <w:t>CE 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5E9CBF" w14:textId="77777777" w:rsidR="001D5D9F" w:rsidRPr="00E31467" w:rsidRDefault="001D5D9F" w:rsidP="003D76DA">
            <w:pPr>
              <w:pStyle w:val="Tabletext"/>
              <w:ind w:left="-26"/>
              <w:jc w:val="center"/>
              <w:rPr>
                <w:sz w:val="18"/>
                <w:szCs w:val="18"/>
              </w:rPr>
            </w:pPr>
            <w:r w:rsidRPr="00E31467">
              <w:rPr>
                <w:sz w:val="18"/>
                <w:szCs w:val="18"/>
                <w:lang w:eastAsia="en-GB"/>
              </w:rPr>
              <w:t>08/06/2029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B03796" w14:textId="77777777" w:rsidR="001D5D9F" w:rsidRPr="00E31467" w:rsidRDefault="001D5D9F" w:rsidP="003D76DA">
            <w:pPr>
              <w:pStyle w:val="Tabletext"/>
              <w:ind w:left="-39"/>
              <w:jc w:val="center"/>
              <w:rPr>
                <w:sz w:val="18"/>
                <w:szCs w:val="18"/>
              </w:rPr>
            </w:pPr>
            <w:r w:rsidRPr="00E31467">
              <w:rPr>
                <w:sz w:val="18"/>
                <w:szCs w:val="18"/>
                <w:lang w:eastAsia="en-GB"/>
              </w:rPr>
              <w:t>08/06/2029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0D513410" w14:textId="4295314C" w:rsidR="001D5D9F" w:rsidRPr="00E31467" w:rsidRDefault="001D5D9F" w:rsidP="001D5D9F">
            <w:pPr>
              <w:pStyle w:val="Tabletext"/>
              <w:jc w:val="center"/>
              <w:rPr>
                <w:sz w:val="18"/>
                <w:szCs w:val="18"/>
              </w:rPr>
            </w:pPr>
            <w:r w:rsidRPr="00E31467">
              <w:rPr>
                <w:sz w:val="18"/>
                <w:szCs w:val="18"/>
                <w:lang w:eastAsia="en-GB"/>
              </w:rPr>
              <w:t>1 x 100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7F46F09F" w14:textId="77777777" w:rsidR="001D5D9F" w:rsidRPr="00E31467" w:rsidRDefault="001D5D9F" w:rsidP="001D5D9F">
            <w:pPr>
              <w:pStyle w:val="Tabletext"/>
              <w:jc w:val="center"/>
              <w:rPr>
                <w:sz w:val="18"/>
                <w:szCs w:val="18"/>
              </w:rPr>
            </w:pPr>
          </w:p>
        </w:tc>
      </w:tr>
      <w:tr w:rsidR="00A0207D" w:rsidRPr="00E31467" w14:paraId="77E1E026"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5711EBA6"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658A1AA4" w14:textId="77777777" w:rsidR="001D5D9F" w:rsidRPr="00E31467" w:rsidRDefault="001D5D9F" w:rsidP="001D5D9F">
            <w:pPr>
              <w:pStyle w:val="Tabletext"/>
              <w:ind w:left="102"/>
              <w:rPr>
                <w:sz w:val="18"/>
                <w:szCs w:val="18"/>
              </w:rPr>
            </w:pPr>
            <w:r w:rsidRPr="00E31467">
              <w:rPr>
                <w:sz w:val="18"/>
                <w:szCs w:val="18"/>
              </w:rPr>
              <w:t xml:space="preserve">GT </w:t>
            </w:r>
            <w:proofErr w:type="spellStart"/>
            <w:r w:rsidRPr="00E31467">
              <w:rPr>
                <w:sz w:val="18"/>
                <w:szCs w:val="18"/>
              </w:rPr>
              <w:t>1A</w:t>
            </w:r>
            <w:proofErr w:type="spellEnd"/>
            <w:r w:rsidRPr="00E31467">
              <w:rPr>
                <w:sz w:val="18"/>
                <w:szCs w:val="18"/>
              </w:rPr>
              <w:t xml:space="preserve">, </w:t>
            </w:r>
            <w:proofErr w:type="spellStart"/>
            <w:r w:rsidRPr="00E31467">
              <w:rPr>
                <w:sz w:val="18"/>
                <w:szCs w:val="18"/>
              </w:rPr>
              <w:t>1B</w:t>
            </w:r>
            <w:proofErr w:type="spellEnd"/>
            <w:r w:rsidRPr="00E31467">
              <w:rPr>
                <w:sz w:val="18"/>
                <w:szCs w:val="18"/>
              </w:rPr>
              <w:t xml:space="preserve">, </w:t>
            </w:r>
            <w:proofErr w:type="spellStart"/>
            <w:r w:rsidRPr="00E31467">
              <w:rPr>
                <w:sz w:val="18"/>
                <w:szCs w:val="18"/>
              </w:rPr>
              <w:t>1C</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E2CEF86" w14:textId="77777777" w:rsidR="001D5D9F" w:rsidRPr="00E31467" w:rsidRDefault="001D5D9F" w:rsidP="003D76DA">
            <w:pPr>
              <w:pStyle w:val="Tabletext"/>
              <w:ind w:left="-26"/>
              <w:jc w:val="center"/>
              <w:rPr>
                <w:sz w:val="18"/>
                <w:szCs w:val="18"/>
              </w:rPr>
            </w:pPr>
            <w:r w:rsidRPr="00E31467">
              <w:rPr>
                <w:sz w:val="18"/>
                <w:szCs w:val="18"/>
                <w:lang w:eastAsia="en-GB"/>
              </w:rPr>
              <w:t>11/06/2029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EDE1BE" w14:textId="77777777" w:rsidR="001D5D9F" w:rsidRPr="00E31467" w:rsidRDefault="001D5D9F" w:rsidP="003D76DA">
            <w:pPr>
              <w:pStyle w:val="Tabletext"/>
              <w:ind w:left="-39"/>
              <w:jc w:val="center"/>
              <w:rPr>
                <w:sz w:val="18"/>
                <w:szCs w:val="18"/>
              </w:rPr>
            </w:pPr>
            <w:r w:rsidRPr="00E31467">
              <w:rPr>
                <w:sz w:val="18"/>
                <w:szCs w:val="18"/>
                <w:lang w:eastAsia="en-GB"/>
              </w:rPr>
              <w:t>22/06/2029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6CF9E573" w14:textId="13F2EFA3" w:rsidR="001D5D9F" w:rsidRPr="00E31467" w:rsidRDefault="001D5D9F" w:rsidP="001D5D9F">
            <w:pPr>
              <w:pStyle w:val="Tabletext"/>
              <w:jc w:val="center"/>
              <w:rPr>
                <w:sz w:val="18"/>
                <w:szCs w:val="18"/>
              </w:rPr>
            </w:pPr>
            <w:r w:rsidRPr="00E31467">
              <w:rPr>
                <w:sz w:val="18"/>
                <w:szCs w:val="18"/>
                <w:lang w:eastAsia="en-GB"/>
              </w:rPr>
              <w:t>1 x 120, 2 x 80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49E46C28" w14:textId="549DAF96" w:rsidR="001D5D9F" w:rsidRPr="00E31467" w:rsidRDefault="001D5D9F" w:rsidP="001D5D9F">
            <w:pPr>
              <w:pStyle w:val="Tabletext"/>
              <w:jc w:val="center"/>
              <w:rPr>
                <w:sz w:val="18"/>
                <w:szCs w:val="18"/>
                <w:lang w:eastAsia="en-GB"/>
              </w:rPr>
            </w:pPr>
            <w:r w:rsidRPr="00E31467">
              <w:rPr>
                <w:sz w:val="18"/>
                <w:szCs w:val="18"/>
                <w:lang w:eastAsia="en-GB"/>
              </w:rPr>
              <w:t>1 x 30</w:t>
            </w:r>
          </w:p>
        </w:tc>
      </w:tr>
      <w:tr w:rsidR="00A0207D" w:rsidRPr="00E31467" w14:paraId="6CAE2BDF"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2F610246"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37A103A2" w14:textId="77777777" w:rsidR="001D5D9F" w:rsidRPr="00E31467" w:rsidRDefault="001D5D9F" w:rsidP="001D5D9F">
            <w:pPr>
              <w:pStyle w:val="Tabletext"/>
              <w:ind w:left="102"/>
              <w:rPr>
                <w:sz w:val="18"/>
                <w:szCs w:val="18"/>
              </w:rPr>
            </w:pPr>
            <w:r w:rsidRPr="00E31467">
              <w:rPr>
                <w:sz w:val="18"/>
                <w:szCs w:val="18"/>
              </w:rPr>
              <w:t>CE 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152D47" w14:textId="77777777" w:rsidR="001D5D9F" w:rsidRPr="00E31467" w:rsidRDefault="001D5D9F" w:rsidP="003D76DA">
            <w:pPr>
              <w:pStyle w:val="Tabletext"/>
              <w:ind w:left="-26"/>
              <w:jc w:val="center"/>
              <w:rPr>
                <w:sz w:val="18"/>
                <w:szCs w:val="18"/>
              </w:rPr>
            </w:pPr>
            <w:r w:rsidRPr="00E31467">
              <w:rPr>
                <w:sz w:val="18"/>
                <w:szCs w:val="18"/>
                <w:lang w:eastAsia="en-GB"/>
              </w:rPr>
              <w:t>18/06/2029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276C4F3" w14:textId="77777777" w:rsidR="001D5D9F" w:rsidRPr="00E31467" w:rsidRDefault="001D5D9F" w:rsidP="003D76DA">
            <w:pPr>
              <w:pStyle w:val="Tabletext"/>
              <w:ind w:left="-39"/>
              <w:jc w:val="center"/>
              <w:rPr>
                <w:sz w:val="18"/>
                <w:szCs w:val="18"/>
              </w:rPr>
            </w:pPr>
            <w:r w:rsidRPr="00E31467">
              <w:rPr>
                <w:sz w:val="18"/>
                <w:szCs w:val="18"/>
                <w:lang w:eastAsia="en-GB"/>
              </w:rPr>
              <w:t>29/06/2029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16E750B" w14:textId="6A6CD021" w:rsidR="001D5D9F" w:rsidRPr="00E31467" w:rsidRDefault="001D5D9F" w:rsidP="001D5D9F">
            <w:pPr>
              <w:pStyle w:val="Tabletext"/>
              <w:jc w:val="center"/>
              <w:rPr>
                <w:sz w:val="18"/>
                <w:szCs w:val="18"/>
              </w:rPr>
            </w:pPr>
            <w:r w:rsidRPr="00E31467">
              <w:rPr>
                <w:sz w:val="18"/>
                <w:szCs w:val="18"/>
                <w:lang w:eastAsia="en-GB"/>
              </w:rPr>
              <w:t>1 x 150, 1 x 30, 2 x 20, 2 x 15</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658D0DDF" w14:textId="77777777" w:rsidR="001D5D9F" w:rsidRPr="00E31467" w:rsidRDefault="001D5D9F" w:rsidP="001D5D9F">
            <w:pPr>
              <w:pStyle w:val="Tabletext"/>
              <w:jc w:val="center"/>
              <w:rPr>
                <w:sz w:val="18"/>
                <w:szCs w:val="18"/>
              </w:rPr>
            </w:pPr>
          </w:p>
        </w:tc>
      </w:tr>
      <w:tr w:rsidR="00A0207D" w:rsidRPr="00E31467" w14:paraId="0E5D9412"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70D5F322"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5ADD598F" w14:textId="77777777" w:rsidR="001D5D9F" w:rsidRPr="00E31467" w:rsidRDefault="001D5D9F" w:rsidP="001D5D9F">
            <w:pPr>
              <w:pStyle w:val="Tabletext"/>
              <w:ind w:left="102"/>
              <w:rPr>
                <w:sz w:val="18"/>
                <w:szCs w:val="18"/>
              </w:rPr>
            </w:pPr>
            <w:r w:rsidRPr="00E31467">
              <w:rPr>
                <w:sz w:val="18"/>
                <w:szCs w:val="18"/>
              </w:rPr>
              <w:t xml:space="preserve">Équipe </w:t>
            </w:r>
            <w:proofErr w:type="spellStart"/>
            <w:r w:rsidRPr="00E31467">
              <w:rPr>
                <w:sz w:val="18"/>
                <w:szCs w:val="18"/>
              </w:rPr>
              <w:t>JVET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C1A6AD" w14:textId="77777777" w:rsidR="001D5D9F" w:rsidRPr="00E31467" w:rsidRDefault="001D5D9F" w:rsidP="003D76DA">
            <w:pPr>
              <w:pStyle w:val="Tabletext"/>
              <w:ind w:left="-26"/>
              <w:jc w:val="center"/>
              <w:rPr>
                <w:sz w:val="18"/>
                <w:szCs w:val="18"/>
              </w:rPr>
            </w:pPr>
            <w:r w:rsidRPr="00E31467">
              <w:rPr>
                <w:sz w:val="18"/>
                <w:szCs w:val="18"/>
                <w:lang w:eastAsia="en-GB"/>
              </w:rPr>
              <w:t>19/06/2029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82431FC" w14:textId="77777777" w:rsidR="001D5D9F" w:rsidRPr="00E31467" w:rsidRDefault="001D5D9F" w:rsidP="003D76DA">
            <w:pPr>
              <w:pStyle w:val="Tabletext"/>
              <w:ind w:left="-39"/>
              <w:jc w:val="center"/>
              <w:rPr>
                <w:sz w:val="18"/>
                <w:szCs w:val="18"/>
              </w:rPr>
            </w:pPr>
            <w:r w:rsidRPr="00E31467">
              <w:rPr>
                <w:sz w:val="18"/>
                <w:szCs w:val="18"/>
                <w:lang w:eastAsia="en-GB"/>
              </w:rPr>
              <w:t>26/06/2029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F9E6331" w14:textId="5F9ECC61" w:rsidR="001D5D9F" w:rsidRPr="00E31467" w:rsidRDefault="001D5D9F" w:rsidP="001D5D9F">
            <w:pPr>
              <w:pStyle w:val="Tabletext"/>
              <w:jc w:val="center"/>
              <w:rPr>
                <w:sz w:val="18"/>
                <w:szCs w:val="18"/>
              </w:rPr>
            </w:pPr>
            <w:r w:rsidRPr="00E31467">
              <w:rPr>
                <w:sz w:val="18"/>
                <w:szCs w:val="18"/>
                <w:lang w:eastAsia="en-GB"/>
              </w:rPr>
              <w:t>1 x 200, 1 x 100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5A50360D" w14:textId="77777777" w:rsidR="001D5D9F" w:rsidRPr="00E31467" w:rsidRDefault="001D5D9F" w:rsidP="001D5D9F">
            <w:pPr>
              <w:pStyle w:val="Tabletext"/>
              <w:jc w:val="center"/>
              <w:rPr>
                <w:sz w:val="18"/>
                <w:szCs w:val="18"/>
              </w:rPr>
            </w:pPr>
          </w:p>
        </w:tc>
      </w:tr>
      <w:tr w:rsidR="00A0207D" w:rsidRPr="00E31467" w14:paraId="32A54818"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7063B19"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05160FA5" w14:textId="77777777" w:rsidR="001D5D9F" w:rsidRPr="00E31467" w:rsidRDefault="001D5D9F" w:rsidP="001D5D9F">
            <w:pPr>
              <w:pStyle w:val="Tabletext"/>
              <w:ind w:left="102"/>
              <w:rPr>
                <w:sz w:val="18"/>
                <w:szCs w:val="18"/>
              </w:rPr>
            </w:pPr>
            <w:r w:rsidRPr="00E31467">
              <w:rPr>
                <w:sz w:val="18"/>
                <w:szCs w:val="18"/>
              </w:rPr>
              <w:t>CE 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62CD16" w14:textId="77777777" w:rsidR="001D5D9F" w:rsidRPr="00E31467" w:rsidRDefault="001D5D9F" w:rsidP="003D76DA">
            <w:pPr>
              <w:pStyle w:val="Tabletext"/>
              <w:ind w:left="-26"/>
              <w:jc w:val="center"/>
              <w:rPr>
                <w:sz w:val="18"/>
                <w:szCs w:val="18"/>
              </w:rPr>
            </w:pPr>
            <w:r w:rsidRPr="00E31467">
              <w:rPr>
                <w:sz w:val="18"/>
                <w:szCs w:val="18"/>
                <w:lang w:eastAsia="en-GB"/>
              </w:rPr>
              <w:t>22/06/2029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B629BE8" w14:textId="77777777" w:rsidR="001D5D9F" w:rsidRPr="00E31467" w:rsidRDefault="001D5D9F" w:rsidP="003D76DA">
            <w:pPr>
              <w:pStyle w:val="Tabletext"/>
              <w:ind w:left="-39"/>
              <w:jc w:val="center"/>
              <w:rPr>
                <w:sz w:val="18"/>
                <w:szCs w:val="18"/>
              </w:rPr>
            </w:pPr>
            <w:r w:rsidRPr="00E31467">
              <w:rPr>
                <w:sz w:val="18"/>
                <w:szCs w:val="18"/>
                <w:lang w:eastAsia="en-GB"/>
              </w:rPr>
              <w:t>22/06/2029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11040819" w14:textId="6627D504" w:rsidR="001D5D9F" w:rsidRPr="00E31467" w:rsidRDefault="001D5D9F" w:rsidP="001D5D9F">
            <w:pPr>
              <w:pStyle w:val="Tabletext"/>
              <w:jc w:val="center"/>
              <w:rPr>
                <w:sz w:val="18"/>
                <w:szCs w:val="18"/>
              </w:rPr>
            </w:pPr>
            <w:r w:rsidRPr="00E31467">
              <w:rPr>
                <w:sz w:val="18"/>
                <w:szCs w:val="18"/>
                <w:lang w:eastAsia="en-GB"/>
              </w:rPr>
              <w:t>1 x 150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62B76173" w14:textId="77777777" w:rsidR="001D5D9F" w:rsidRPr="00E31467" w:rsidRDefault="001D5D9F" w:rsidP="001D5D9F">
            <w:pPr>
              <w:pStyle w:val="Tabletext"/>
              <w:jc w:val="center"/>
              <w:rPr>
                <w:sz w:val="18"/>
                <w:szCs w:val="18"/>
              </w:rPr>
            </w:pPr>
          </w:p>
        </w:tc>
      </w:tr>
      <w:tr w:rsidR="00A0207D" w:rsidRPr="00E31467" w14:paraId="7929290D"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9CB8B0D"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60A22C64" w14:textId="77777777" w:rsidR="001D5D9F" w:rsidRPr="00E31467" w:rsidRDefault="001D5D9F" w:rsidP="001D5D9F">
            <w:pPr>
              <w:pStyle w:val="Tabletext"/>
              <w:ind w:left="102"/>
              <w:rPr>
                <w:sz w:val="18"/>
                <w:szCs w:val="18"/>
              </w:rPr>
            </w:pPr>
            <w:r w:rsidRPr="00E31467">
              <w:rPr>
                <w:sz w:val="18"/>
                <w:szCs w:val="18"/>
              </w:rPr>
              <w:t xml:space="preserve">GT </w:t>
            </w:r>
            <w:proofErr w:type="spellStart"/>
            <w:r w:rsidRPr="00E31467">
              <w:rPr>
                <w:sz w:val="18"/>
                <w:szCs w:val="18"/>
              </w:rPr>
              <w:t>5D</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8DDAC9" w14:textId="77777777" w:rsidR="001D5D9F" w:rsidRPr="00E31467" w:rsidRDefault="001D5D9F" w:rsidP="003D76DA">
            <w:pPr>
              <w:pStyle w:val="Tabletext"/>
              <w:ind w:left="-26"/>
              <w:jc w:val="center"/>
              <w:rPr>
                <w:sz w:val="18"/>
                <w:szCs w:val="18"/>
              </w:rPr>
            </w:pPr>
            <w:r w:rsidRPr="00E31467">
              <w:rPr>
                <w:sz w:val="18"/>
                <w:szCs w:val="18"/>
                <w:lang w:eastAsia="en-GB"/>
              </w:rPr>
              <w:t>27/06/2029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0F1E6D" w14:textId="77777777" w:rsidR="001D5D9F" w:rsidRPr="00E31467" w:rsidRDefault="001D5D9F" w:rsidP="003D76DA">
            <w:pPr>
              <w:pStyle w:val="Tabletext"/>
              <w:ind w:left="-39"/>
              <w:jc w:val="center"/>
              <w:rPr>
                <w:sz w:val="18"/>
                <w:szCs w:val="18"/>
              </w:rPr>
            </w:pPr>
            <w:r w:rsidRPr="00E31467">
              <w:rPr>
                <w:sz w:val="18"/>
                <w:szCs w:val="18"/>
                <w:lang w:eastAsia="en-GB"/>
              </w:rPr>
              <w:t>05/07/2029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300EE110" w14:textId="011A21FB" w:rsidR="001D5D9F" w:rsidRPr="00E31467" w:rsidRDefault="001D5D9F" w:rsidP="001D5D9F">
            <w:pPr>
              <w:pStyle w:val="Tabletext"/>
              <w:jc w:val="center"/>
              <w:rPr>
                <w:sz w:val="18"/>
                <w:szCs w:val="18"/>
              </w:rPr>
            </w:pPr>
            <w:r w:rsidRPr="00E31467">
              <w:rPr>
                <w:sz w:val="18"/>
                <w:szCs w:val="18"/>
                <w:lang w:eastAsia="en-GB"/>
              </w:rPr>
              <w:t>1 x 250, 2 x 80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45DCF5C2" w14:textId="0490589B" w:rsidR="001D5D9F" w:rsidRPr="00E31467" w:rsidRDefault="001D5D9F" w:rsidP="001D5D9F">
            <w:pPr>
              <w:pStyle w:val="Tabletext"/>
              <w:jc w:val="center"/>
              <w:rPr>
                <w:sz w:val="18"/>
                <w:szCs w:val="18"/>
                <w:lang w:eastAsia="en-GB"/>
              </w:rPr>
            </w:pPr>
            <w:r w:rsidRPr="00E31467">
              <w:rPr>
                <w:sz w:val="18"/>
                <w:szCs w:val="18"/>
                <w:lang w:eastAsia="en-GB"/>
              </w:rPr>
              <w:t>2 x 30</w:t>
            </w:r>
          </w:p>
        </w:tc>
      </w:tr>
      <w:tr w:rsidR="00A0207D" w:rsidRPr="00E31467" w14:paraId="1919C3F9"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B18D035"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41F85E17" w14:textId="77777777" w:rsidR="001D5D9F" w:rsidRPr="00E31467" w:rsidRDefault="001D5D9F" w:rsidP="001D5D9F">
            <w:pPr>
              <w:pStyle w:val="Tabletext"/>
              <w:ind w:left="102"/>
              <w:rPr>
                <w:sz w:val="18"/>
                <w:szCs w:val="18"/>
              </w:rPr>
            </w:pPr>
            <w:r w:rsidRPr="00E31467">
              <w:rPr>
                <w:sz w:val="18"/>
                <w:szCs w:val="18"/>
              </w:rPr>
              <w:t xml:space="preserve">Réunion </w:t>
            </w:r>
            <w:proofErr w:type="spellStart"/>
            <w:r w:rsidRPr="00E31467">
              <w:rPr>
                <w:sz w:val="18"/>
                <w:szCs w:val="18"/>
              </w:rPr>
              <w:t>RRB29</w:t>
            </w:r>
            <w:proofErr w:type="spellEnd"/>
            <w:r w:rsidRPr="00E31467">
              <w:rPr>
                <w:sz w:val="18"/>
                <w:szCs w:val="18"/>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3E7437" w14:textId="77777777" w:rsidR="001D5D9F" w:rsidRPr="00E31467" w:rsidRDefault="001D5D9F" w:rsidP="003D76DA">
            <w:pPr>
              <w:pStyle w:val="Tabletext"/>
              <w:ind w:left="-26"/>
              <w:jc w:val="center"/>
              <w:rPr>
                <w:sz w:val="18"/>
                <w:szCs w:val="18"/>
              </w:rPr>
            </w:pPr>
            <w:r w:rsidRPr="00E31467">
              <w:rPr>
                <w:sz w:val="18"/>
                <w:szCs w:val="18"/>
                <w:lang w:eastAsia="en-GB"/>
              </w:rPr>
              <w:t>02/07/2029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FD5659" w14:textId="77777777" w:rsidR="001D5D9F" w:rsidRPr="00E31467" w:rsidRDefault="001D5D9F" w:rsidP="003D76DA">
            <w:pPr>
              <w:pStyle w:val="Tabletext"/>
              <w:ind w:left="-39"/>
              <w:jc w:val="center"/>
              <w:rPr>
                <w:sz w:val="18"/>
                <w:szCs w:val="18"/>
              </w:rPr>
            </w:pPr>
            <w:r w:rsidRPr="00E31467">
              <w:rPr>
                <w:sz w:val="18"/>
                <w:szCs w:val="18"/>
                <w:lang w:eastAsia="en-GB"/>
              </w:rPr>
              <w:t>06/07/2029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5FE64B41" w14:textId="47521320" w:rsidR="001D5D9F" w:rsidRPr="00E31467" w:rsidRDefault="001D5D9F" w:rsidP="001D5D9F">
            <w:pPr>
              <w:pStyle w:val="Tabletext"/>
              <w:jc w:val="center"/>
              <w:rPr>
                <w:sz w:val="18"/>
                <w:szCs w:val="18"/>
              </w:rPr>
            </w:pPr>
            <w:r w:rsidRPr="00E31467">
              <w:rPr>
                <w:sz w:val="18"/>
                <w:szCs w:val="18"/>
                <w:lang w:eastAsia="en-GB"/>
              </w:rPr>
              <w:t>1 x 40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20E1DBED" w14:textId="77777777" w:rsidR="001D5D9F" w:rsidRPr="00E31467" w:rsidRDefault="001D5D9F" w:rsidP="001D5D9F">
            <w:pPr>
              <w:pStyle w:val="Tabletext"/>
              <w:jc w:val="center"/>
              <w:rPr>
                <w:sz w:val="18"/>
                <w:szCs w:val="18"/>
              </w:rPr>
            </w:pPr>
          </w:p>
        </w:tc>
      </w:tr>
      <w:tr w:rsidR="00A0207D" w:rsidRPr="00E31467" w14:paraId="2658BDDD"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0C7FEAAC" w14:textId="77777777" w:rsidR="001D5D9F" w:rsidRPr="00E31467" w:rsidRDefault="001D5D9F" w:rsidP="001D5D9F">
            <w:pPr>
              <w:pStyle w:val="Tabletext"/>
              <w:jc w:val="center"/>
              <w:rPr>
                <w:sz w:val="18"/>
                <w:szCs w:val="18"/>
              </w:rPr>
            </w:pPr>
            <w:r w:rsidRPr="00E31467">
              <w:rPr>
                <w:sz w:val="18"/>
                <w:szCs w:val="18"/>
              </w:rPr>
              <w:t>TSB</w:t>
            </w:r>
          </w:p>
        </w:tc>
        <w:tc>
          <w:tcPr>
            <w:tcW w:w="2268" w:type="dxa"/>
            <w:tcBorders>
              <w:top w:val="single" w:sz="4" w:space="0" w:color="auto"/>
              <w:left w:val="single" w:sz="4" w:space="0" w:color="auto"/>
              <w:bottom w:val="single" w:sz="4" w:space="0" w:color="auto"/>
              <w:right w:val="single" w:sz="4" w:space="0" w:color="auto"/>
            </w:tcBorders>
            <w:noWrap/>
            <w:hideMark/>
          </w:tcPr>
          <w:p w14:paraId="225A7957" w14:textId="77777777" w:rsidR="001D5D9F" w:rsidRPr="00E31467" w:rsidRDefault="001D5D9F" w:rsidP="001D5D9F">
            <w:pPr>
              <w:pStyle w:val="Tabletext"/>
              <w:ind w:left="102"/>
              <w:rPr>
                <w:sz w:val="18"/>
                <w:szCs w:val="18"/>
              </w:rPr>
            </w:pPr>
            <w:r w:rsidRPr="00E31467">
              <w:rPr>
                <w:sz w:val="18"/>
                <w:szCs w:val="18"/>
              </w:rPr>
              <w:t>CE 20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3EDC292" w14:textId="77777777" w:rsidR="001D5D9F" w:rsidRPr="00E31467" w:rsidRDefault="001D5D9F" w:rsidP="003D76DA">
            <w:pPr>
              <w:pStyle w:val="Tabletext"/>
              <w:ind w:left="-26"/>
              <w:jc w:val="center"/>
              <w:rPr>
                <w:sz w:val="18"/>
                <w:szCs w:val="18"/>
              </w:rPr>
            </w:pPr>
            <w:r w:rsidRPr="00E31467">
              <w:rPr>
                <w:sz w:val="18"/>
                <w:szCs w:val="18"/>
                <w:lang w:eastAsia="en-GB"/>
              </w:rPr>
              <w:t>16/07/2029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4E04D9" w14:textId="77777777" w:rsidR="001D5D9F" w:rsidRPr="00E31467" w:rsidRDefault="001D5D9F" w:rsidP="003D76DA">
            <w:pPr>
              <w:pStyle w:val="Tabletext"/>
              <w:ind w:left="-39"/>
              <w:jc w:val="center"/>
              <w:rPr>
                <w:sz w:val="18"/>
                <w:szCs w:val="18"/>
              </w:rPr>
            </w:pPr>
            <w:r w:rsidRPr="00E31467">
              <w:rPr>
                <w:sz w:val="18"/>
                <w:szCs w:val="18"/>
                <w:lang w:eastAsia="en-GB"/>
              </w:rPr>
              <w:t>25/07/2029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31CE04E" w14:textId="35110C89" w:rsidR="001D5D9F" w:rsidRPr="00E31467" w:rsidRDefault="001D5D9F" w:rsidP="001D5D9F">
            <w:pPr>
              <w:pStyle w:val="Tabletext"/>
              <w:jc w:val="center"/>
              <w:rPr>
                <w:sz w:val="18"/>
                <w:szCs w:val="18"/>
              </w:rPr>
            </w:pPr>
            <w:r w:rsidRPr="00E31467">
              <w:rPr>
                <w:sz w:val="18"/>
                <w:szCs w:val="18"/>
                <w:lang w:eastAsia="en-GB"/>
              </w:rPr>
              <w:t>1 x 120 (ouverture et fermeture), 3 x 30,</w:t>
            </w:r>
            <w:r w:rsidR="003D76DA" w:rsidRPr="00E31467">
              <w:rPr>
                <w:sz w:val="18"/>
                <w:szCs w:val="18"/>
                <w:lang w:eastAsia="en-GB"/>
              </w:rPr>
              <w:br/>
            </w:r>
            <w:r w:rsidRPr="00E31467">
              <w:rPr>
                <w:sz w:val="18"/>
                <w:szCs w:val="18"/>
                <w:lang w:eastAsia="en-GB"/>
              </w:rPr>
              <w:t>2 x 15, 2 x 10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35D60A9F" w14:textId="77777777" w:rsidR="001D5D9F" w:rsidRPr="00E31467" w:rsidRDefault="001D5D9F" w:rsidP="001D5D9F">
            <w:pPr>
              <w:pStyle w:val="Tabletext"/>
              <w:jc w:val="center"/>
              <w:rPr>
                <w:sz w:val="18"/>
                <w:szCs w:val="18"/>
              </w:rPr>
            </w:pPr>
          </w:p>
        </w:tc>
      </w:tr>
      <w:tr w:rsidR="00A0207D" w:rsidRPr="00E31467" w14:paraId="1EFACB2C" w14:textId="77777777" w:rsidTr="001D5D9F">
        <w:trPr>
          <w:cantSplit/>
          <w:trHeight w:val="20"/>
          <w:jc w:val="center"/>
        </w:trPr>
        <w:tc>
          <w:tcPr>
            <w:tcW w:w="704" w:type="dxa"/>
            <w:tcBorders>
              <w:top w:val="single" w:sz="4" w:space="0" w:color="auto"/>
              <w:left w:val="single" w:sz="4" w:space="0" w:color="auto"/>
              <w:bottom w:val="single" w:sz="4" w:space="0" w:color="auto"/>
              <w:right w:val="single" w:sz="4" w:space="0" w:color="auto"/>
            </w:tcBorders>
            <w:noWrap/>
            <w:hideMark/>
          </w:tcPr>
          <w:p w14:paraId="35789E6D" w14:textId="77777777" w:rsidR="001D5D9F" w:rsidRPr="00E31467" w:rsidRDefault="001D5D9F" w:rsidP="001D5D9F">
            <w:pPr>
              <w:pStyle w:val="Tabletext"/>
              <w:jc w:val="center"/>
              <w:rPr>
                <w:sz w:val="18"/>
                <w:szCs w:val="18"/>
              </w:rPr>
            </w:pPr>
            <w:r w:rsidRPr="00E31467">
              <w:rPr>
                <w:sz w:val="18"/>
                <w:szCs w:val="18"/>
              </w:rPr>
              <w:t>BR</w:t>
            </w:r>
          </w:p>
        </w:tc>
        <w:tc>
          <w:tcPr>
            <w:tcW w:w="2268" w:type="dxa"/>
            <w:tcBorders>
              <w:top w:val="single" w:sz="4" w:space="0" w:color="auto"/>
              <w:left w:val="single" w:sz="4" w:space="0" w:color="auto"/>
              <w:bottom w:val="single" w:sz="4" w:space="0" w:color="auto"/>
              <w:right w:val="single" w:sz="4" w:space="0" w:color="auto"/>
            </w:tcBorders>
            <w:noWrap/>
            <w:hideMark/>
          </w:tcPr>
          <w:p w14:paraId="6F629EF3" w14:textId="77777777" w:rsidR="001D5D9F" w:rsidRPr="00E31467" w:rsidRDefault="001D5D9F" w:rsidP="001D5D9F">
            <w:pPr>
              <w:pStyle w:val="Tabletext"/>
              <w:ind w:left="102"/>
              <w:rPr>
                <w:sz w:val="18"/>
                <w:szCs w:val="18"/>
              </w:rPr>
            </w:pPr>
            <w:r w:rsidRPr="00E31467">
              <w:rPr>
                <w:sz w:val="18"/>
                <w:szCs w:val="18"/>
              </w:rPr>
              <w:t>Nouvelle commission après l'</w:t>
            </w:r>
            <w:proofErr w:type="spellStart"/>
            <w:r w:rsidRPr="00E31467">
              <w:rPr>
                <w:sz w:val="18"/>
                <w:szCs w:val="18"/>
              </w:rPr>
              <w:t>AR-27</w:t>
            </w:r>
            <w:proofErr w:type="spellEnd"/>
            <w:r w:rsidRPr="00E31467">
              <w:rPr>
                <w:sz w:val="18"/>
                <w:szCs w:val="18"/>
              </w:rPr>
              <w:t>/la CMR-27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78CAF0" w14:textId="77777777" w:rsidR="001D5D9F" w:rsidRPr="00E31467" w:rsidRDefault="001D5D9F" w:rsidP="003D76DA">
            <w:pPr>
              <w:pStyle w:val="Tabletext"/>
              <w:ind w:left="-26"/>
              <w:jc w:val="center"/>
              <w:rPr>
                <w:sz w:val="18"/>
                <w:szCs w:val="18"/>
              </w:rPr>
            </w:pPr>
            <w:r w:rsidRPr="00E31467">
              <w:rPr>
                <w:sz w:val="18"/>
                <w:szCs w:val="18"/>
                <w:lang w:eastAsia="en-GB"/>
              </w:rPr>
              <w:t>23/07/2029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0E19FF" w14:textId="77777777" w:rsidR="001D5D9F" w:rsidRPr="00E31467" w:rsidRDefault="001D5D9F" w:rsidP="003D76DA">
            <w:pPr>
              <w:pStyle w:val="Tabletext"/>
              <w:ind w:left="-39"/>
              <w:jc w:val="center"/>
              <w:rPr>
                <w:sz w:val="18"/>
                <w:szCs w:val="18"/>
              </w:rPr>
            </w:pPr>
            <w:r w:rsidRPr="00E31467">
              <w:rPr>
                <w:sz w:val="18"/>
                <w:szCs w:val="18"/>
                <w:lang w:eastAsia="en-GB"/>
              </w:rPr>
              <w:t>27/07/2029</w:t>
            </w:r>
          </w:p>
        </w:tc>
        <w:tc>
          <w:tcPr>
            <w:tcW w:w="2190" w:type="dxa"/>
            <w:tcBorders>
              <w:top w:val="single" w:sz="4" w:space="0" w:color="auto"/>
              <w:left w:val="single" w:sz="4" w:space="0" w:color="auto"/>
              <w:bottom w:val="single" w:sz="4" w:space="0" w:color="auto"/>
              <w:right w:val="single" w:sz="4" w:space="0" w:color="auto"/>
            </w:tcBorders>
            <w:noWrap/>
            <w:vAlign w:val="center"/>
            <w:hideMark/>
          </w:tcPr>
          <w:p w14:paraId="1608506A" w14:textId="1A3229C1" w:rsidR="001D5D9F" w:rsidRPr="00E31467" w:rsidRDefault="001D5D9F" w:rsidP="001D5D9F">
            <w:pPr>
              <w:pStyle w:val="Tabletext"/>
              <w:jc w:val="center"/>
              <w:rPr>
                <w:sz w:val="18"/>
                <w:szCs w:val="18"/>
                <w:lang w:eastAsia="en-GB"/>
              </w:rPr>
            </w:pPr>
            <w:r w:rsidRPr="00E31467">
              <w:rPr>
                <w:sz w:val="18"/>
                <w:szCs w:val="18"/>
                <w:lang w:eastAsia="en-GB"/>
              </w:rPr>
              <w:t>1 x 250</w:t>
            </w:r>
          </w:p>
        </w:tc>
        <w:tc>
          <w:tcPr>
            <w:tcW w:w="1485" w:type="dxa"/>
            <w:tcBorders>
              <w:top w:val="single" w:sz="4" w:space="0" w:color="auto"/>
              <w:left w:val="single" w:sz="4" w:space="0" w:color="auto"/>
              <w:bottom w:val="single" w:sz="4" w:space="0" w:color="auto"/>
              <w:right w:val="single" w:sz="4" w:space="0" w:color="auto"/>
            </w:tcBorders>
            <w:noWrap/>
            <w:vAlign w:val="center"/>
            <w:hideMark/>
          </w:tcPr>
          <w:p w14:paraId="5801A0E3" w14:textId="1802F0F8" w:rsidR="001D5D9F" w:rsidRPr="00E31467" w:rsidRDefault="001D5D9F" w:rsidP="001D5D9F">
            <w:pPr>
              <w:pStyle w:val="Tabletext"/>
              <w:jc w:val="center"/>
              <w:rPr>
                <w:sz w:val="18"/>
                <w:szCs w:val="18"/>
                <w:lang w:eastAsia="en-GB"/>
              </w:rPr>
            </w:pPr>
            <w:r w:rsidRPr="00E31467">
              <w:rPr>
                <w:sz w:val="18"/>
                <w:szCs w:val="18"/>
                <w:lang w:eastAsia="en-GB"/>
              </w:rPr>
              <w:t>1 x 30</w:t>
            </w:r>
          </w:p>
        </w:tc>
      </w:tr>
    </w:tbl>
    <w:p w14:paraId="38FEFC35" w14:textId="77777777" w:rsidR="00896E2C" w:rsidRPr="00E31467" w:rsidRDefault="00896E2C">
      <w:pPr>
        <w:tabs>
          <w:tab w:val="clear" w:pos="567"/>
          <w:tab w:val="clear" w:pos="1134"/>
          <w:tab w:val="clear" w:pos="1701"/>
          <w:tab w:val="clear" w:pos="2268"/>
          <w:tab w:val="clear" w:pos="2835"/>
        </w:tabs>
        <w:overflowPunct/>
        <w:autoSpaceDE/>
        <w:autoSpaceDN/>
        <w:adjustRightInd/>
        <w:spacing w:before="0"/>
        <w:textAlignment w:val="auto"/>
      </w:pPr>
      <w:r w:rsidRPr="00E31467">
        <w:br w:type="page"/>
      </w:r>
    </w:p>
    <w:p w14:paraId="11FB6BF9" w14:textId="77777777" w:rsidR="00896E2C" w:rsidRPr="00E31467" w:rsidRDefault="00896E2C" w:rsidP="001D5D9F">
      <w:pPr>
        <w:pStyle w:val="AnnexNo"/>
        <w:spacing w:before="600"/>
      </w:pPr>
      <w:r w:rsidRPr="00E31467">
        <w:lastRenderedPageBreak/>
        <w:t>ANNEXE 2</w:t>
      </w:r>
    </w:p>
    <w:p w14:paraId="7569E447" w14:textId="77777777" w:rsidR="00896E2C" w:rsidRPr="00E31467" w:rsidRDefault="00896E2C" w:rsidP="001D5D9F">
      <w:pPr>
        <w:pStyle w:val="Annextitle"/>
        <w:spacing w:before="120"/>
      </w:pPr>
      <w:r w:rsidRPr="00E31467">
        <w:t>Coût de la tenue de réunions à l'UIT</w:t>
      </w:r>
    </w:p>
    <w:p w14:paraId="5D1102D0" w14:textId="29ECF820" w:rsidR="00896E2C" w:rsidRPr="00E31467" w:rsidRDefault="00896E2C" w:rsidP="00BD653D">
      <w:pPr>
        <w:pStyle w:val="Normalaftertitle"/>
        <w:spacing w:after="120"/>
        <w:jc w:val="both"/>
      </w:pPr>
      <w:r w:rsidRPr="00E31467">
        <w:t xml:space="preserve">Le coût de la tenue de réunions à l'UIT dans les conditions actuelles est fourni à la demande du </w:t>
      </w:r>
      <w:proofErr w:type="spellStart"/>
      <w:r w:rsidRPr="00E31467">
        <w:t>GTC-FHR</w:t>
      </w:r>
      <w:proofErr w:type="spellEnd"/>
      <w:r w:rsidRPr="00E31467">
        <w:t xml:space="preserve"> formulée à sa 22ème réunion et à titre indicatif sur la base du modèle économique actuel. La méthode utilisée pour calculer ces coûts est globalement similaire à celle utilisée par d'autres institutions du système des Nations Unies à Genève pour établir les frais de location sur la base du recouvrement des coûts. Toutefois, les méthodes ne sont pas parfaitement alignées et ces coûts reflètent, à ce stade, une utilisation interne effective plutôt qu'un modèle de location. Il faudra peut-être affiner la méthode en coopération avec le Département de la gestion des ressources financières (</w:t>
      </w:r>
      <w:proofErr w:type="spellStart"/>
      <w:r w:rsidRPr="00E31467">
        <w:t>FRMD</w:t>
      </w:r>
      <w:proofErr w:type="spellEnd"/>
      <w:r w:rsidRPr="00E31467">
        <w:t>), procéder à des évaluations comparatives et renforcer la coordination dans le cadre de la collaboration proposée avec les institutions des Nations Unies pour élaborer un modèle de location à l'UIT applicable à terme, en particulier dans le contexte du Campus de l'UIT.</w:t>
      </w:r>
    </w:p>
    <w:tbl>
      <w:tblPr>
        <w:tblStyle w:val="TableGrid"/>
        <w:tblW w:w="5000" w:type="pct"/>
        <w:tblLook w:val="0420" w:firstRow="1" w:lastRow="0" w:firstColumn="0" w:lastColumn="0" w:noHBand="0" w:noVBand="1"/>
      </w:tblPr>
      <w:tblGrid>
        <w:gridCol w:w="1270"/>
        <w:gridCol w:w="852"/>
        <w:gridCol w:w="1984"/>
        <w:gridCol w:w="3333"/>
        <w:gridCol w:w="1622"/>
      </w:tblGrid>
      <w:tr w:rsidR="00A0207D" w:rsidRPr="00E31467" w14:paraId="004DA976" w14:textId="77777777" w:rsidTr="003D76DA">
        <w:trPr>
          <w:trHeight w:val="300"/>
        </w:trPr>
        <w:tc>
          <w:tcPr>
            <w:tcW w:w="701" w:type="pct"/>
            <w:tcBorders>
              <w:top w:val="single" w:sz="4" w:space="0" w:color="auto"/>
              <w:left w:val="single" w:sz="4" w:space="0" w:color="auto"/>
              <w:bottom w:val="single" w:sz="4" w:space="0" w:color="auto"/>
              <w:right w:val="single" w:sz="4" w:space="0" w:color="auto"/>
            </w:tcBorders>
            <w:vAlign w:val="center"/>
            <w:hideMark/>
          </w:tcPr>
          <w:p w14:paraId="1A33FC8D" w14:textId="77777777" w:rsidR="00896E2C" w:rsidRPr="00E31467" w:rsidRDefault="00896E2C" w:rsidP="001D5D9F">
            <w:pPr>
              <w:pStyle w:val="Tablehead"/>
              <w:spacing w:before="60" w:after="60"/>
              <w:rPr>
                <w:sz w:val="18"/>
                <w:szCs w:val="18"/>
              </w:rPr>
            </w:pPr>
            <w:r w:rsidRPr="00E31467">
              <w:rPr>
                <w:sz w:val="18"/>
                <w:szCs w:val="18"/>
              </w:rPr>
              <w:t>Réunion</w:t>
            </w:r>
          </w:p>
        </w:tc>
        <w:tc>
          <w:tcPr>
            <w:tcW w:w="470" w:type="pct"/>
            <w:tcBorders>
              <w:top w:val="single" w:sz="4" w:space="0" w:color="auto"/>
              <w:left w:val="single" w:sz="4" w:space="0" w:color="auto"/>
              <w:bottom w:val="single" w:sz="4" w:space="0" w:color="auto"/>
              <w:right w:val="single" w:sz="4" w:space="0" w:color="auto"/>
            </w:tcBorders>
            <w:vAlign w:val="center"/>
            <w:hideMark/>
          </w:tcPr>
          <w:p w14:paraId="576C7348" w14:textId="77777777" w:rsidR="00896E2C" w:rsidRPr="00E31467" w:rsidRDefault="00896E2C" w:rsidP="001D5D9F">
            <w:pPr>
              <w:pStyle w:val="Tablehead"/>
              <w:spacing w:before="60" w:after="60"/>
              <w:rPr>
                <w:sz w:val="18"/>
                <w:szCs w:val="18"/>
              </w:rPr>
            </w:pPr>
            <w:r w:rsidRPr="00E31467">
              <w:rPr>
                <w:sz w:val="18"/>
                <w:szCs w:val="18"/>
              </w:rPr>
              <w:t>Nombre de jours</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68F64A0" w14:textId="77777777" w:rsidR="00896E2C" w:rsidRPr="00E31467" w:rsidRDefault="00896E2C" w:rsidP="001D5D9F">
            <w:pPr>
              <w:pStyle w:val="Tablehead"/>
              <w:spacing w:before="60" w:after="60"/>
              <w:rPr>
                <w:sz w:val="18"/>
                <w:szCs w:val="18"/>
              </w:rPr>
            </w:pPr>
            <w:r w:rsidRPr="00E31467">
              <w:rPr>
                <w:sz w:val="18"/>
                <w:szCs w:val="18"/>
              </w:rPr>
              <w:t>Salles et leur capacité</w:t>
            </w:r>
          </w:p>
        </w:tc>
        <w:tc>
          <w:tcPr>
            <w:tcW w:w="2734" w:type="pct"/>
            <w:gridSpan w:val="2"/>
            <w:tcBorders>
              <w:top w:val="single" w:sz="4" w:space="0" w:color="auto"/>
              <w:left w:val="single" w:sz="4" w:space="0" w:color="auto"/>
              <w:bottom w:val="single" w:sz="4" w:space="0" w:color="auto"/>
              <w:right w:val="single" w:sz="4" w:space="0" w:color="auto"/>
            </w:tcBorders>
            <w:vAlign w:val="center"/>
            <w:hideMark/>
          </w:tcPr>
          <w:p w14:paraId="7614354C" w14:textId="77777777" w:rsidR="00896E2C" w:rsidRPr="00E31467" w:rsidRDefault="00896E2C" w:rsidP="001D5D9F">
            <w:pPr>
              <w:pStyle w:val="Tablehead"/>
              <w:spacing w:before="60" w:after="60"/>
              <w:rPr>
                <w:sz w:val="18"/>
                <w:szCs w:val="18"/>
              </w:rPr>
            </w:pPr>
            <w:r w:rsidRPr="00E31467">
              <w:rPr>
                <w:sz w:val="18"/>
                <w:szCs w:val="18"/>
              </w:rPr>
              <w:t>Coût estimatif des réunions au siège de l'UIT (CHF)</w:t>
            </w:r>
          </w:p>
        </w:tc>
      </w:tr>
      <w:tr w:rsidR="00A0207D" w:rsidRPr="00E31467" w14:paraId="3A0A13F9" w14:textId="77777777" w:rsidTr="003D76DA">
        <w:trPr>
          <w:trHeight w:val="20"/>
        </w:trPr>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3E6AC94B" w14:textId="77777777" w:rsidR="00896E2C" w:rsidRPr="00E31467" w:rsidRDefault="00896E2C" w:rsidP="00896E2C">
            <w:pPr>
              <w:pStyle w:val="Tabletext"/>
              <w:rPr>
                <w:b/>
                <w:sz w:val="18"/>
                <w:szCs w:val="18"/>
              </w:rPr>
            </w:pPr>
            <w:r w:rsidRPr="00E31467">
              <w:rPr>
                <w:b/>
                <w:sz w:val="18"/>
                <w:szCs w:val="18"/>
              </w:rPr>
              <w:t>Conseil</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21B90948" w14:textId="77777777" w:rsidR="00896E2C" w:rsidRPr="00E31467" w:rsidRDefault="00896E2C" w:rsidP="00896E2C">
            <w:pPr>
              <w:pStyle w:val="Tabletext"/>
              <w:rPr>
                <w:sz w:val="18"/>
                <w:szCs w:val="18"/>
              </w:rPr>
            </w:pPr>
            <w:r w:rsidRPr="00E31467">
              <w:rPr>
                <w:sz w:val="18"/>
                <w:szCs w:val="18"/>
              </w:rPr>
              <w:t>10</w:t>
            </w:r>
          </w:p>
        </w:tc>
        <w:tc>
          <w:tcPr>
            <w:tcW w:w="1095" w:type="pct"/>
            <w:vMerge w:val="restart"/>
            <w:tcBorders>
              <w:top w:val="single" w:sz="4" w:space="0" w:color="auto"/>
              <w:left w:val="single" w:sz="4" w:space="0" w:color="auto"/>
              <w:bottom w:val="single" w:sz="4" w:space="0" w:color="auto"/>
              <w:right w:val="single" w:sz="4" w:space="0" w:color="auto"/>
            </w:tcBorders>
            <w:vAlign w:val="center"/>
            <w:hideMark/>
          </w:tcPr>
          <w:p w14:paraId="52A5D883" w14:textId="0AAF6311" w:rsidR="00896E2C" w:rsidRPr="00E31467" w:rsidRDefault="00896E2C" w:rsidP="001D5D9F">
            <w:pPr>
              <w:pStyle w:val="Tabletext"/>
              <w:jc w:val="center"/>
              <w:rPr>
                <w:sz w:val="18"/>
                <w:szCs w:val="18"/>
              </w:rPr>
            </w:pPr>
            <w:r w:rsidRPr="00E31467">
              <w:rPr>
                <w:sz w:val="18"/>
                <w:szCs w:val="18"/>
              </w:rPr>
              <w:t>1</w:t>
            </w:r>
            <w:r w:rsidR="00975C8B" w:rsidRPr="00E31467">
              <w:rPr>
                <w:sz w:val="18"/>
                <w:szCs w:val="18"/>
              </w:rPr>
              <w:t xml:space="preserve"> x </w:t>
            </w:r>
            <w:r w:rsidRPr="00E31467">
              <w:rPr>
                <w:sz w:val="18"/>
                <w:szCs w:val="18"/>
              </w:rPr>
              <w:t>350, 1</w:t>
            </w:r>
            <w:r w:rsidR="00975C8B" w:rsidRPr="00E31467">
              <w:rPr>
                <w:sz w:val="18"/>
                <w:szCs w:val="18"/>
              </w:rPr>
              <w:t xml:space="preserve"> x </w:t>
            </w:r>
            <w:r w:rsidRPr="00E31467">
              <w:rPr>
                <w:sz w:val="18"/>
                <w:szCs w:val="18"/>
              </w:rPr>
              <w:t>150, 1</w:t>
            </w:r>
            <w:r w:rsidR="00975C8B" w:rsidRPr="00E31467">
              <w:rPr>
                <w:sz w:val="18"/>
                <w:szCs w:val="18"/>
              </w:rPr>
              <w:t xml:space="preserve"> x </w:t>
            </w:r>
            <w:r w:rsidRPr="00E31467">
              <w:rPr>
                <w:sz w:val="18"/>
                <w:szCs w:val="18"/>
              </w:rPr>
              <w:t>80,</w:t>
            </w:r>
            <w:r w:rsidR="001D5D9F" w:rsidRPr="00E31467">
              <w:rPr>
                <w:sz w:val="18"/>
                <w:szCs w:val="18"/>
              </w:rPr>
              <w:br/>
            </w:r>
            <w:r w:rsidRPr="00E31467">
              <w:rPr>
                <w:sz w:val="18"/>
                <w:szCs w:val="18"/>
              </w:rPr>
              <w:t>2</w:t>
            </w:r>
            <w:r w:rsidR="00975C8B" w:rsidRPr="00E31467">
              <w:rPr>
                <w:sz w:val="18"/>
                <w:szCs w:val="18"/>
              </w:rPr>
              <w:t xml:space="preserve"> x </w:t>
            </w:r>
            <w:r w:rsidRPr="00E31467">
              <w:rPr>
                <w:sz w:val="18"/>
                <w:szCs w:val="18"/>
              </w:rPr>
              <w:t>30, 1</w:t>
            </w:r>
            <w:r w:rsidR="00975C8B" w:rsidRPr="00E31467">
              <w:rPr>
                <w:sz w:val="18"/>
                <w:szCs w:val="18"/>
              </w:rPr>
              <w:t xml:space="preserve"> x </w:t>
            </w:r>
            <w:r w:rsidRPr="00E31467">
              <w:rPr>
                <w:sz w:val="18"/>
                <w:szCs w:val="18"/>
              </w:rPr>
              <w:t>20</w:t>
            </w:r>
          </w:p>
        </w:tc>
        <w:tc>
          <w:tcPr>
            <w:tcW w:w="1839" w:type="pct"/>
            <w:tcBorders>
              <w:top w:val="single" w:sz="4" w:space="0" w:color="auto"/>
              <w:left w:val="single" w:sz="4" w:space="0" w:color="auto"/>
              <w:bottom w:val="single" w:sz="4" w:space="0" w:color="auto"/>
              <w:right w:val="single" w:sz="4" w:space="0" w:color="auto"/>
            </w:tcBorders>
            <w:hideMark/>
          </w:tcPr>
          <w:p w14:paraId="3F6FECC3" w14:textId="77777777" w:rsidR="00896E2C" w:rsidRPr="00E31467" w:rsidRDefault="00896E2C" w:rsidP="001D5D9F">
            <w:pPr>
              <w:pStyle w:val="Tabletext"/>
              <w:spacing w:before="30" w:after="30"/>
              <w:rPr>
                <w:sz w:val="18"/>
                <w:szCs w:val="18"/>
              </w:rPr>
            </w:pPr>
            <w:r w:rsidRPr="00E31467">
              <w:rPr>
                <w:sz w:val="18"/>
                <w:szCs w:val="18"/>
              </w:rPr>
              <w:t xml:space="preserve">Gestion des salles </w:t>
            </w:r>
          </w:p>
        </w:tc>
        <w:tc>
          <w:tcPr>
            <w:tcW w:w="895" w:type="pct"/>
            <w:tcBorders>
              <w:top w:val="single" w:sz="4" w:space="0" w:color="auto"/>
              <w:left w:val="single" w:sz="4" w:space="0" w:color="auto"/>
              <w:bottom w:val="single" w:sz="4" w:space="0" w:color="auto"/>
              <w:right w:val="single" w:sz="4" w:space="0" w:color="auto"/>
            </w:tcBorders>
            <w:vAlign w:val="center"/>
            <w:hideMark/>
          </w:tcPr>
          <w:p w14:paraId="43DAC025" w14:textId="77777777" w:rsidR="00896E2C" w:rsidRPr="00E31467" w:rsidRDefault="00896E2C" w:rsidP="001D5D9F">
            <w:pPr>
              <w:pStyle w:val="Tabletext"/>
              <w:spacing w:before="30" w:after="30"/>
              <w:jc w:val="center"/>
              <w:rPr>
                <w:sz w:val="18"/>
                <w:szCs w:val="18"/>
              </w:rPr>
            </w:pPr>
            <w:r w:rsidRPr="00E31467">
              <w:rPr>
                <w:sz w:val="18"/>
                <w:szCs w:val="18"/>
              </w:rPr>
              <w:t>27 630</w:t>
            </w:r>
          </w:p>
        </w:tc>
      </w:tr>
      <w:tr w:rsidR="00A0207D" w:rsidRPr="00E31467" w14:paraId="43C9C899"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2FAD0AB4"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1C806DAA"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05FBD72C"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297A603E" w14:textId="77777777" w:rsidR="00896E2C" w:rsidRPr="00E31467" w:rsidRDefault="00896E2C" w:rsidP="001D5D9F">
            <w:pPr>
              <w:pStyle w:val="Tabletext"/>
              <w:spacing w:before="30" w:after="30"/>
              <w:rPr>
                <w:sz w:val="18"/>
                <w:szCs w:val="18"/>
              </w:rPr>
            </w:pPr>
            <w:r w:rsidRPr="00E31467">
              <w:rPr>
                <w:sz w:val="18"/>
                <w:szCs w:val="18"/>
              </w:rPr>
              <w:t>Gestion des installations</w:t>
            </w:r>
          </w:p>
        </w:tc>
        <w:tc>
          <w:tcPr>
            <w:tcW w:w="895" w:type="pct"/>
            <w:tcBorders>
              <w:top w:val="single" w:sz="4" w:space="0" w:color="auto"/>
              <w:left w:val="single" w:sz="4" w:space="0" w:color="auto"/>
              <w:bottom w:val="single" w:sz="4" w:space="0" w:color="auto"/>
              <w:right w:val="single" w:sz="4" w:space="0" w:color="auto"/>
            </w:tcBorders>
            <w:vAlign w:val="center"/>
            <w:hideMark/>
          </w:tcPr>
          <w:p w14:paraId="56CAF946" w14:textId="77777777" w:rsidR="00896E2C" w:rsidRPr="00E31467" w:rsidRDefault="00896E2C" w:rsidP="001D5D9F">
            <w:pPr>
              <w:pStyle w:val="Tabletext"/>
              <w:spacing w:before="30" w:after="30"/>
              <w:jc w:val="center"/>
              <w:rPr>
                <w:sz w:val="18"/>
                <w:szCs w:val="18"/>
              </w:rPr>
            </w:pPr>
            <w:r w:rsidRPr="00E31467">
              <w:rPr>
                <w:sz w:val="18"/>
                <w:szCs w:val="18"/>
              </w:rPr>
              <w:t>7 436</w:t>
            </w:r>
          </w:p>
        </w:tc>
      </w:tr>
      <w:tr w:rsidR="00A0207D" w:rsidRPr="00E31467" w14:paraId="4D60436A"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2F216B14"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30159B69"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47F7C703"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079A9CF4" w14:textId="77777777" w:rsidR="00896E2C" w:rsidRPr="00E31467" w:rsidRDefault="00896E2C" w:rsidP="001D5D9F">
            <w:pPr>
              <w:pStyle w:val="Tabletext"/>
              <w:spacing w:before="30" w:after="30"/>
              <w:rPr>
                <w:sz w:val="18"/>
                <w:szCs w:val="18"/>
              </w:rPr>
            </w:pPr>
            <w:r w:rsidRPr="00E31467">
              <w:rPr>
                <w:sz w:val="18"/>
                <w:szCs w:val="18"/>
              </w:rPr>
              <w:t>Sécurité</w:t>
            </w:r>
          </w:p>
        </w:tc>
        <w:tc>
          <w:tcPr>
            <w:tcW w:w="895" w:type="pct"/>
            <w:tcBorders>
              <w:top w:val="single" w:sz="4" w:space="0" w:color="auto"/>
              <w:left w:val="single" w:sz="4" w:space="0" w:color="auto"/>
              <w:bottom w:val="single" w:sz="4" w:space="0" w:color="auto"/>
              <w:right w:val="single" w:sz="4" w:space="0" w:color="auto"/>
            </w:tcBorders>
            <w:vAlign w:val="center"/>
            <w:hideMark/>
          </w:tcPr>
          <w:p w14:paraId="5183EE78" w14:textId="77777777" w:rsidR="00896E2C" w:rsidRPr="00E31467" w:rsidRDefault="00896E2C" w:rsidP="001D5D9F">
            <w:pPr>
              <w:pStyle w:val="Tabletext"/>
              <w:spacing w:before="30" w:after="30"/>
              <w:jc w:val="center"/>
              <w:rPr>
                <w:sz w:val="18"/>
                <w:szCs w:val="18"/>
              </w:rPr>
            </w:pPr>
            <w:r w:rsidRPr="00E31467">
              <w:rPr>
                <w:sz w:val="18"/>
                <w:szCs w:val="18"/>
              </w:rPr>
              <w:t>10 871</w:t>
            </w:r>
          </w:p>
        </w:tc>
      </w:tr>
      <w:tr w:rsidR="00A0207D" w:rsidRPr="00E31467" w14:paraId="49BBC3D0"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010720D7"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098377BB"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1394E714"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52719456" w14:textId="77777777" w:rsidR="00896E2C" w:rsidRPr="00E31467" w:rsidRDefault="00896E2C" w:rsidP="001D5D9F">
            <w:pPr>
              <w:pStyle w:val="Tabletext"/>
              <w:spacing w:before="30" w:after="30"/>
              <w:rPr>
                <w:sz w:val="18"/>
                <w:szCs w:val="18"/>
              </w:rPr>
            </w:pPr>
            <w:r w:rsidRPr="00E31467">
              <w:rPr>
                <w:sz w:val="18"/>
                <w:szCs w:val="18"/>
              </w:rPr>
              <w:t>Technique</w:t>
            </w:r>
          </w:p>
        </w:tc>
        <w:tc>
          <w:tcPr>
            <w:tcW w:w="895" w:type="pct"/>
            <w:tcBorders>
              <w:top w:val="single" w:sz="4" w:space="0" w:color="auto"/>
              <w:left w:val="single" w:sz="4" w:space="0" w:color="auto"/>
              <w:bottom w:val="single" w:sz="4" w:space="0" w:color="auto"/>
              <w:right w:val="single" w:sz="4" w:space="0" w:color="auto"/>
            </w:tcBorders>
            <w:vAlign w:val="center"/>
            <w:hideMark/>
          </w:tcPr>
          <w:p w14:paraId="6A5493EC" w14:textId="77777777" w:rsidR="00896E2C" w:rsidRPr="00E31467" w:rsidRDefault="00896E2C" w:rsidP="001D5D9F">
            <w:pPr>
              <w:pStyle w:val="Tabletext"/>
              <w:spacing w:before="30" w:after="30"/>
              <w:jc w:val="center"/>
              <w:rPr>
                <w:sz w:val="18"/>
                <w:szCs w:val="18"/>
              </w:rPr>
            </w:pPr>
            <w:r w:rsidRPr="00E31467">
              <w:rPr>
                <w:sz w:val="18"/>
                <w:szCs w:val="18"/>
              </w:rPr>
              <w:t>33 850</w:t>
            </w:r>
          </w:p>
        </w:tc>
      </w:tr>
      <w:tr w:rsidR="00A0207D" w:rsidRPr="00E31467" w14:paraId="49A5015E"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4353DECD"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039728F5"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590AE13F"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1170081B" w14:textId="77777777" w:rsidR="00896E2C" w:rsidRPr="00E31467" w:rsidRDefault="00896E2C" w:rsidP="001D5D9F">
            <w:pPr>
              <w:pStyle w:val="Tabletext"/>
              <w:spacing w:before="30" w:after="30"/>
              <w:jc w:val="right"/>
              <w:rPr>
                <w:b/>
                <w:sz w:val="18"/>
                <w:szCs w:val="18"/>
              </w:rPr>
            </w:pPr>
            <w:proofErr w:type="gramStart"/>
            <w:r w:rsidRPr="00E31467">
              <w:rPr>
                <w:b/>
                <w:sz w:val="18"/>
                <w:szCs w:val="18"/>
              </w:rPr>
              <w:t>Total:</w:t>
            </w:r>
            <w:proofErr w:type="gramEnd"/>
          </w:p>
        </w:tc>
        <w:tc>
          <w:tcPr>
            <w:tcW w:w="895" w:type="pct"/>
            <w:tcBorders>
              <w:top w:val="single" w:sz="4" w:space="0" w:color="auto"/>
              <w:left w:val="single" w:sz="4" w:space="0" w:color="auto"/>
              <w:bottom w:val="single" w:sz="4" w:space="0" w:color="auto"/>
              <w:right w:val="single" w:sz="4" w:space="0" w:color="auto"/>
            </w:tcBorders>
            <w:vAlign w:val="center"/>
            <w:hideMark/>
          </w:tcPr>
          <w:p w14:paraId="11F39B99" w14:textId="77777777" w:rsidR="00896E2C" w:rsidRPr="00E31467" w:rsidRDefault="00896E2C" w:rsidP="001D5D9F">
            <w:pPr>
              <w:pStyle w:val="Tabletext"/>
              <w:spacing w:before="30" w:after="30"/>
              <w:jc w:val="right"/>
              <w:rPr>
                <w:b/>
                <w:sz w:val="18"/>
                <w:szCs w:val="18"/>
              </w:rPr>
            </w:pPr>
            <w:r w:rsidRPr="00E31467">
              <w:rPr>
                <w:b/>
                <w:sz w:val="18"/>
                <w:szCs w:val="18"/>
              </w:rPr>
              <w:t>79 787</w:t>
            </w:r>
          </w:p>
        </w:tc>
      </w:tr>
      <w:tr w:rsidR="00A0207D" w:rsidRPr="00E31467" w14:paraId="1B7F0D64" w14:textId="77777777" w:rsidTr="003D76DA">
        <w:trPr>
          <w:trHeight w:val="20"/>
        </w:trPr>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5A32433F" w14:textId="77777777" w:rsidR="00896E2C" w:rsidRPr="00E31467" w:rsidRDefault="00896E2C" w:rsidP="00896E2C">
            <w:pPr>
              <w:pStyle w:val="Tabletext"/>
              <w:rPr>
                <w:b/>
                <w:sz w:val="18"/>
                <w:szCs w:val="18"/>
              </w:rPr>
            </w:pPr>
            <w:proofErr w:type="spellStart"/>
            <w:r w:rsidRPr="00E31467">
              <w:rPr>
                <w:b/>
                <w:sz w:val="18"/>
                <w:szCs w:val="18"/>
              </w:rPr>
              <w:t>GTC</w:t>
            </w:r>
            <w:proofErr w:type="spellEnd"/>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554AA865" w14:textId="77777777" w:rsidR="00896E2C" w:rsidRPr="00E31467" w:rsidRDefault="00896E2C" w:rsidP="00896E2C">
            <w:pPr>
              <w:pStyle w:val="Tabletext"/>
              <w:rPr>
                <w:sz w:val="18"/>
                <w:szCs w:val="18"/>
              </w:rPr>
            </w:pPr>
            <w:r w:rsidRPr="00E31467">
              <w:rPr>
                <w:sz w:val="18"/>
                <w:szCs w:val="18"/>
              </w:rPr>
              <w:t>10</w:t>
            </w:r>
          </w:p>
        </w:tc>
        <w:tc>
          <w:tcPr>
            <w:tcW w:w="1095" w:type="pct"/>
            <w:vMerge w:val="restart"/>
            <w:tcBorders>
              <w:top w:val="single" w:sz="4" w:space="0" w:color="auto"/>
              <w:left w:val="single" w:sz="4" w:space="0" w:color="auto"/>
              <w:bottom w:val="single" w:sz="4" w:space="0" w:color="auto"/>
              <w:right w:val="single" w:sz="4" w:space="0" w:color="auto"/>
            </w:tcBorders>
            <w:vAlign w:val="center"/>
            <w:hideMark/>
          </w:tcPr>
          <w:p w14:paraId="2C2B02BC" w14:textId="1B5A3457" w:rsidR="00896E2C" w:rsidRPr="00E31467" w:rsidRDefault="00896E2C" w:rsidP="001D5D9F">
            <w:pPr>
              <w:pStyle w:val="Tabletext"/>
              <w:jc w:val="center"/>
              <w:rPr>
                <w:sz w:val="18"/>
                <w:szCs w:val="18"/>
              </w:rPr>
            </w:pPr>
            <w:r w:rsidRPr="00E31467">
              <w:rPr>
                <w:sz w:val="18"/>
                <w:szCs w:val="18"/>
              </w:rPr>
              <w:t>1</w:t>
            </w:r>
            <w:r w:rsidR="00975C8B" w:rsidRPr="00E31467">
              <w:rPr>
                <w:sz w:val="18"/>
                <w:szCs w:val="18"/>
              </w:rPr>
              <w:t xml:space="preserve"> x </w:t>
            </w:r>
            <w:r w:rsidRPr="00E31467">
              <w:rPr>
                <w:sz w:val="18"/>
                <w:szCs w:val="18"/>
              </w:rPr>
              <w:t>150, 1</w:t>
            </w:r>
            <w:r w:rsidR="00975C8B" w:rsidRPr="00E31467">
              <w:rPr>
                <w:sz w:val="18"/>
                <w:szCs w:val="18"/>
              </w:rPr>
              <w:t xml:space="preserve"> x </w:t>
            </w:r>
            <w:r w:rsidRPr="00E31467">
              <w:rPr>
                <w:sz w:val="18"/>
                <w:szCs w:val="18"/>
              </w:rPr>
              <w:t>80</w:t>
            </w:r>
          </w:p>
        </w:tc>
        <w:tc>
          <w:tcPr>
            <w:tcW w:w="1839" w:type="pct"/>
            <w:tcBorders>
              <w:top w:val="single" w:sz="4" w:space="0" w:color="auto"/>
              <w:left w:val="single" w:sz="4" w:space="0" w:color="auto"/>
              <w:bottom w:val="single" w:sz="4" w:space="0" w:color="auto"/>
              <w:right w:val="single" w:sz="4" w:space="0" w:color="auto"/>
            </w:tcBorders>
            <w:hideMark/>
          </w:tcPr>
          <w:p w14:paraId="0914AA30" w14:textId="143105F0" w:rsidR="00896E2C" w:rsidRPr="00E31467" w:rsidRDefault="00896E2C" w:rsidP="001D5D9F">
            <w:pPr>
              <w:pStyle w:val="Tabletext"/>
              <w:spacing w:before="30" w:after="30"/>
              <w:rPr>
                <w:sz w:val="18"/>
                <w:szCs w:val="18"/>
              </w:rPr>
            </w:pPr>
            <w:r w:rsidRPr="00E31467">
              <w:rPr>
                <w:sz w:val="18"/>
                <w:szCs w:val="18"/>
              </w:rPr>
              <w:t>Gestion des salles</w:t>
            </w:r>
          </w:p>
        </w:tc>
        <w:tc>
          <w:tcPr>
            <w:tcW w:w="895" w:type="pct"/>
            <w:tcBorders>
              <w:top w:val="single" w:sz="4" w:space="0" w:color="auto"/>
              <w:left w:val="single" w:sz="4" w:space="0" w:color="auto"/>
              <w:bottom w:val="single" w:sz="4" w:space="0" w:color="auto"/>
              <w:right w:val="single" w:sz="4" w:space="0" w:color="auto"/>
            </w:tcBorders>
            <w:vAlign w:val="center"/>
            <w:hideMark/>
          </w:tcPr>
          <w:p w14:paraId="78D19647" w14:textId="77777777" w:rsidR="00896E2C" w:rsidRPr="00E31467" w:rsidRDefault="00896E2C" w:rsidP="001D5D9F">
            <w:pPr>
              <w:pStyle w:val="Tabletext"/>
              <w:spacing w:before="30" w:after="30"/>
              <w:jc w:val="center"/>
              <w:rPr>
                <w:sz w:val="18"/>
                <w:szCs w:val="18"/>
              </w:rPr>
            </w:pPr>
            <w:r w:rsidRPr="00E31467">
              <w:rPr>
                <w:sz w:val="18"/>
                <w:szCs w:val="18"/>
              </w:rPr>
              <w:t>15 970</w:t>
            </w:r>
          </w:p>
        </w:tc>
      </w:tr>
      <w:tr w:rsidR="00A0207D" w:rsidRPr="00E31467" w14:paraId="53A5C014"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743188DF"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2B5CC128"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206AF5F9"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426B0E26" w14:textId="77777777" w:rsidR="00896E2C" w:rsidRPr="00E31467" w:rsidRDefault="00896E2C" w:rsidP="001D5D9F">
            <w:pPr>
              <w:pStyle w:val="Tabletext"/>
              <w:spacing w:before="30" w:after="30"/>
              <w:rPr>
                <w:sz w:val="18"/>
                <w:szCs w:val="18"/>
              </w:rPr>
            </w:pPr>
            <w:r w:rsidRPr="00E31467">
              <w:rPr>
                <w:sz w:val="18"/>
                <w:szCs w:val="18"/>
              </w:rPr>
              <w:t>Gestion des installations</w:t>
            </w:r>
          </w:p>
        </w:tc>
        <w:tc>
          <w:tcPr>
            <w:tcW w:w="895" w:type="pct"/>
            <w:tcBorders>
              <w:top w:val="single" w:sz="4" w:space="0" w:color="auto"/>
              <w:left w:val="single" w:sz="4" w:space="0" w:color="auto"/>
              <w:bottom w:val="single" w:sz="4" w:space="0" w:color="auto"/>
              <w:right w:val="single" w:sz="4" w:space="0" w:color="auto"/>
            </w:tcBorders>
            <w:vAlign w:val="center"/>
            <w:hideMark/>
          </w:tcPr>
          <w:p w14:paraId="200AA697" w14:textId="77777777" w:rsidR="00896E2C" w:rsidRPr="00E31467" w:rsidRDefault="00896E2C" w:rsidP="001D5D9F">
            <w:pPr>
              <w:pStyle w:val="Tabletext"/>
              <w:spacing w:before="30" w:after="30"/>
              <w:jc w:val="center"/>
              <w:rPr>
                <w:sz w:val="18"/>
                <w:szCs w:val="18"/>
              </w:rPr>
            </w:pPr>
            <w:r w:rsidRPr="00E31467">
              <w:rPr>
                <w:sz w:val="18"/>
                <w:szCs w:val="18"/>
              </w:rPr>
              <w:t>4 977</w:t>
            </w:r>
          </w:p>
        </w:tc>
      </w:tr>
      <w:tr w:rsidR="00A0207D" w:rsidRPr="00E31467" w14:paraId="5C3BEFDD"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18C69536"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1556F935"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44A32FC2"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436C0695" w14:textId="77777777" w:rsidR="00896E2C" w:rsidRPr="00E31467" w:rsidRDefault="00896E2C" w:rsidP="001D5D9F">
            <w:pPr>
              <w:pStyle w:val="Tabletext"/>
              <w:spacing w:before="30" w:after="30"/>
              <w:rPr>
                <w:sz w:val="18"/>
                <w:szCs w:val="18"/>
              </w:rPr>
            </w:pPr>
            <w:r w:rsidRPr="00E31467">
              <w:rPr>
                <w:sz w:val="18"/>
                <w:szCs w:val="18"/>
              </w:rPr>
              <w:t>Sécurité</w:t>
            </w:r>
          </w:p>
        </w:tc>
        <w:tc>
          <w:tcPr>
            <w:tcW w:w="895" w:type="pct"/>
            <w:tcBorders>
              <w:top w:val="single" w:sz="4" w:space="0" w:color="auto"/>
              <w:left w:val="single" w:sz="4" w:space="0" w:color="auto"/>
              <w:bottom w:val="single" w:sz="4" w:space="0" w:color="auto"/>
              <w:right w:val="single" w:sz="4" w:space="0" w:color="auto"/>
            </w:tcBorders>
            <w:vAlign w:val="center"/>
            <w:hideMark/>
          </w:tcPr>
          <w:p w14:paraId="22456B8E" w14:textId="77777777" w:rsidR="00896E2C" w:rsidRPr="00E31467" w:rsidRDefault="00896E2C" w:rsidP="001D5D9F">
            <w:pPr>
              <w:pStyle w:val="Tabletext"/>
              <w:spacing w:before="30" w:after="30"/>
              <w:jc w:val="center"/>
              <w:rPr>
                <w:sz w:val="18"/>
                <w:szCs w:val="18"/>
              </w:rPr>
            </w:pPr>
            <w:r w:rsidRPr="00E31467">
              <w:rPr>
                <w:sz w:val="18"/>
                <w:szCs w:val="18"/>
              </w:rPr>
              <w:t>0</w:t>
            </w:r>
          </w:p>
        </w:tc>
      </w:tr>
      <w:tr w:rsidR="00A0207D" w:rsidRPr="00E31467" w14:paraId="002FBD31"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026DE3DB"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4CCAF19E"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20A428EC"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54C2AD24" w14:textId="77777777" w:rsidR="00896E2C" w:rsidRPr="00E31467" w:rsidRDefault="00896E2C" w:rsidP="001D5D9F">
            <w:pPr>
              <w:pStyle w:val="Tabletext"/>
              <w:spacing w:before="30" w:after="30"/>
              <w:rPr>
                <w:sz w:val="18"/>
                <w:szCs w:val="18"/>
              </w:rPr>
            </w:pPr>
            <w:r w:rsidRPr="00E31467">
              <w:rPr>
                <w:sz w:val="18"/>
                <w:szCs w:val="18"/>
              </w:rPr>
              <w:t>Technique</w:t>
            </w:r>
          </w:p>
        </w:tc>
        <w:tc>
          <w:tcPr>
            <w:tcW w:w="895" w:type="pct"/>
            <w:tcBorders>
              <w:top w:val="single" w:sz="4" w:space="0" w:color="auto"/>
              <w:left w:val="single" w:sz="4" w:space="0" w:color="auto"/>
              <w:bottom w:val="single" w:sz="4" w:space="0" w:color="auto"/>
              <w:right w:val="single" w:sz="4" w:space="0" w:color="auto"/>
            </w:tcBorders>
            <w:vAlign w:val="center"/>
            <w:hideMark/>
          </w:tcPr>
          <w:p w14:paraId="4B791BE3" w14:textId="77777777" w:rsidR="00896E2C" w:rsidRPr="00E31467" w:rsidRDefault="00896E2C" w:rsidP="001D5D9F">
            <w:pPr>
              <w:pStyle w:val="Tabletext"/>
              <w:spacing w:before="30" w:after="30"/>
              <w:jc w:val="center"/>
              <w:rPr>
                <w:sz w:val="18"/>
                <w:szCs w:val="18"/>
              </w:rPr>
            </w:pPr>
            <w:r w:rsidRPr="00E31467">
              <w:rPr>
                <w:sz w:val="18"/>
                <w:szCs w:val="18"/>
              </w:rPr>
              <w:t>25 810</w:t>
            </w:r>
          </w:p>
        </w:tc>
      </w:tr>
      <w:tr w:rsidR="00A0207D" w:rsidRPr="00E31467" w14:paraId="053B9C8B"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4279BF97"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53B7E5F0"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50FD077F"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16156EC7" w14:textId="77777777" w:rsidR="00896E2C" w:rsidRPr="00E31467" w:rsidRDefault="00896E2C" w:rsidP="001D5D9F">
            <w:pPr>
              <w:pStyle w:val="Tabletext"/>
              <w:spacing w:before="30" w:after="30"/>
              <w:jc w:val="right"/>
              <w:rPr>
                <w:b/>
                <w:sz w:val="18"/>
                <w:szCs w:val="18"/>
              </w:rPr>
            </w:pPr>
            <w:proofErr w:type="gramStart"/>
            <w:r w:rsidRPr="00E31467">
              <w:rPr>
                <w:b/>
                <w:sz w:val="18"/>
                <w:szCs w:val="18"/>
              </w:rPr>
              <w:t>Total:</w:t>
            </w:r>
            <w:proofErr w:type="gramEnd"/>
          </w:p>
        </w:tc>
        <w:tc>
          <w:tcPr>
            <w:tcW w:w="895" w:type="pct"/>
            <w:tcBorders>
              <w:top w:val="single" w:sz="4" w:space="0" w:color="auto"/>
              <w:left w:val="single" w:sz="4" w:space="0" w:color="auto"/>
              <w:bottom w:val="single" w:sz="4" w:space="0" w:color="auto"/>
              <w:right w:val="single" w:sz="4" w:space="0" w:color="auto"/>
            </w:tcBorders>
            <w:vAlign w:val="center"/>
            <w:hideMark/>
          </w:tcPr>
          <w:p w14:paraId="4F478163" w14:textId="77777777" w:rsidR="00896E2C" w:rsidRPr="00E31467" w:rsidRDefault="00896E2C" w:rsidP="001D5D9F">
            <w:pPr>
              <w:pStyle w:val="Tabletext"/>
              <w:spacing w:before="30" w:after="30"/>
              <w:jc w:val="right"/>
              <w:rPr>
                <w:b/>
                <w:sz w:val="18"/>
                <w:szCs w:val="18"/>
              </w:rPr>
            </w:pPr>
            <w:r w:rsidRPr="00E31467">
              <w:rPr>
                <w:b/>
                <w:sz w:val="18"/>
                <w:szCs w:val="18"/>
              </w:rPr>
              <w:t>46 757</w:t>
            </w:r>
          </w:p>
        </w:tc>
      </w:tr>
      <w:tr w:rsidR="00A0207D" w:rsidRPr="00E31467" w14:paraId="33A39C95" w14:textId="77777777" w:rsidTr="003D76DA">
        <w:trPr>
          <w:trHeight w:val="20"/>
        </w:trPr>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5AF13159" w14:textId="77777777" w:rsidR="00896E2C" w:rsidRPr="00E31467" w:rsidRDefault="00896E2C" w:rsidP="00896E2C">
            <w:pPr>
              <w:pStyle w:val="Tabletext"/>
              <w:rPr>
                <w:b/>
                <w:sz w:val="18"/>
                <w:szCs w:val="18"/>
              </w:rPr>
            </w:pPr>
            <w:proofErr w:type="spellStart"/>
            <w:r w:rsidRPr="00E31467">
              <w:rPr>
                <w:b/>
                <w:sz w:val="18"/>
                <w:szCs w:val="18"/>
              </w:rPr>
              <w:t>GCNT</w:t>
            </w:r>
            <w:proofErr w:type="spellEnd"/>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71FF0DA7" w14:textId="77777777" w:rsidR="00896E2C" w:rsidRPr="00E31467" w:rsidRDefault="00896E2C" w:rsidP="00896E2C">
            <w:pPr>
              <w:pStyle w:val="Tabletext"/>
              <w:rPr>
                <w:sz w:val="18"/>
                <w:szCs w:val="18"/>
              </w:rPr>
            </w:pPr>
            <w:r w:rsidRPr="00E31467">
              <w:rPr>
                <w:sz w:val="18"/>
                <w:szCs w:val="18"/>
              </w:rPr>
              <w:t>5</w:t>
            </w:r>
          </w:p>
        </w:tc>
        <w:tc>
          <w:tcPr>
            <w:tcW w:w="1095" w:type="pct"/>
            <w:vMerge w:val="restart"/>
            <w:tcBorders>
              <w:top w:val="single" w:sz="4" w:space="0" w:color="auto"/>
              <w:left w:val="single" w:sz="4" w:space="0" w:color="auto"/>
              <w:bottom w:val="single" w:sz="4" w:space="0" w:color="auto"/>
              <w:right w:val="single" w:sz="4" w:space="0" w:color="auto"/>
            </w:tcBorders>
            <w:vAlign w:val="center"/>
            <w:hideMark/>
          </w:tcPr>
          <w:p w14:paraId="60BBB634" w14:textId="7EA398BE" w:rsidR="00896E2C" w:rsidRPr="00E31467" w:rsidRDefault="00896E2C" w:rsidP="001D5D9F">
            <w:pPr>
              <w:pStyle w:val="Tabletext"/>
              <w:jc w:val="center"/>
              <w:rPr>
                <w:sz w:val="18"/>
                <w:szCs w:val="18"/>
              </w:rPr>
            </w:pPr>
            <w:r w:rsidRPr="00E31467">
              <w:rPr>
                <w:sz w:val="18"/>
                <w:szCs w:val="18"/>
              </w:rPr>
              <w:t>1</w:t>
            </w:r>
            <w:r w:rsidR="00975C8B" w:rsidRPr="00E31467">
              <w:rPr>
                <w:sz w:val="18"/>
                <w:szCs w:val="18"/>
              </w:rPr>
              <w:t xml:space="preserve"> x </w:t>
            </w:r>
            <w:r w:rsidRPr="00E31467">
              <w:rPr>
                <w:sz w:val="18"/>
                <w:szCs w:val="18"/>
              </w:rPr>
              <w:t>200, 1</w:t>
            </w:r>
            <w:r w:rsidR="00975C8B" w:rsidRPr="00E31467">
              <w:rPr>
                <w:sz w:val="18"/>
                <w:szCs w:val="18"/>
              </w:rPr>
              <w:t xml:space="preserve"> x </w:t>
            </w:r>
            <w:r w:rsidRPr="00E31467">
              <w:rPr>
                <w:sz w:val="18"/>
                <w:szCs w:val="18"/>
              </w:rPr>
              <w:t>50,</w:t>
            </w:r>
            <w:r w:rsidR="001D5D9F" w:rsidRPr="00E31467">
              <w:rPr>
                <w:sz w:val="18"/>
                <w:szCs w:val="18"/>
              </w:rPr>
              <w:br/>
            </w:r>
            <w:r w:rsidRPr="00E31467">
              <w:rPr>
                <w:sz w:val="18"/>
                <w:szCs w:val="18"/>
              </w:rPr>
              <w:t>1</w:t>
            </w:r>
            <w:r w:rsidR="00975C8B" w:rsidRPr="00E31467">
              <w:rPr>
                <w:sz w:val="18"/>
                <w:szCs w:val="18"/>
              </w:rPr>
              <w:t xml:space="preserve"> x </w:t>
            </w:r>
            <w:r w:rsidRPr="00E31467">
              <w:rPr>
                <w:sz w:val="18"/>
                <w:szCs w:val="18"/>
              </w:rPr>
              <w:t>30, 1</w:t>
            </w:r>
            <w:r w:rsidR="00975C8B" w:rsidRPr="00E31467">
              <w:rPr>
                <w:sz w:val="18"/>
                <w:szCs w:val="18"/>
              </w:rPr>
              <w:t xml:space="preserve"> x </w:t>
            </w:r>
            <w:r w:rsidRPr="00E31467">
              <w:rPr>
                <w:sz w:val="18"/>
                <w:szCs w:val="18"/>
              </w:rPr>
              <w:t>20</w:t>
            </w:r>
          </w:p>
        </w:tc>
        <w:tc>
          <w:tcPr>
            <w:tcW w:w="1839" w:type="pct"/>
            <w:tcBorders>
              <w:top w:val="single" w:sz="4" w:space="0" w:color="auto"/>
              <w:left w:val="single" w:sz="4" w:space="0" w:color="auto"/>
              <w:bottom w:val="single" w:sz="4" w:space="0" w:color="auto"/>
              <w:right w:val="single" w:sz="4" w:space="0" w:color="auto"/>
            </w:tcBorders>
            <w:hideMark/>
          </w:tcPr>
          <w:p w14:paraId="1C49D085" w14:textId="77777777" w:rsidR="00896E2C" w:rsidRPr="00E31467" w:rsidRDefault="00896E2C" w:rsidP="001D5D9F">
            <w:pPr>
              <w:pStyle w:val="Tabletext"/>
              <w:spacing w:before="30" w:after="30"/>
              <w:rPr>
                <w:sz w:val="18"/>
                <w:szCs w:val="18"/>
              </w:rPr>
            </w:pPr>
            <w:r w:rsidRPr="00E31467">
              <w:rPr>
                <w:sz w:val="18"/>
                <w:szCs w:val="18"/>
              </w:rPr>
              <w:t xml:space="preserve">Gestion des salles </w:t>
            </w:r>
          </w:p>
        </w:tc>
        <w:tc>
          <w:tcPr>
            <w:tcW w:w="895" w:type="pct"/>
            <w:tcBorders>
              <w:top w:val="single" w:sz="4" w:space="0" w:color="auto"/>
              <w:left w:val="single" w:sz="4" w:space="0" w:color="auto"/>
              <w:bottom w:val="single" w:sz="4" w:space="0" w:color="auto"/>
              <w:right w:val="single" w:sz="4" w:space="0" w:color="auto"/>
            </w:tcBorders>
            <w:vAlign w:val="center"/>
            <w:hideMark/>
          </w:tcPr>
          <w:p w14:paraId="56D139CF" w14:textId="77777777" w:rsidR="00896E2C" w:rsidRPr="00E31467" w:rsidRDefault="00896E2C" w:rsidP="001D5D9F">
            <w:pPr>
              <w:pStyle w:val="Tabletext"/>
              <w:spacing w:before="30" w:after="30"/>
              <w:jc w:val="center"/>
              <w:rPr>
                <w:sz w:val="18"/>
                <w:szCs w:val="18"/>
              </w:rPr>
            </w:pPr>
            <w:r w:rsidRPr="00E31467">
              <w:rPr>
                <w:sz w:val="18"/>
                <w:szCs w:val="18"/>
              </w:rPr>
              <w:t>5 800</w:t>
            </w:r>
          </w:p>
        </w:tc>
      </w:tr>
      <w:tr w:rsidR="00A0207D" w:rsidRPr="00E31467" w14:paraId="4F842ED5"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26BAC690"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66605242"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1840A6EA"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035018EE" w14:textId="77777777" w:rsidR="00896E2C" w:rsidRPr="00E31467" w:rsidRDefault="00896E2C" w:rsidP="001D5D9F">
            <w:pPr>
              <w:pStyle w:val="Tabletext"/>
              <w:spacing w:before="30" w:after="30"/>
              <w:rPr>
                <w:sz w:val="18"/>
                <w:szCs w:val="18"/>
              </w:rPr>
            </w:pPr>
            <w:r w:rsidRPr="00E31467">
              <w:rPr>
                <w:sz w:val="18"/>
                <w:szCs w:val="18"/>
              </w:rPr>
              <w:t>Gestion des installations</w:t>
            </w:r>
          </w:p>
        </w:tc>
        <w:tc>
          <w:tcPr>
            <w:tcW w:w="895" w:type="pct"/>
            <w:tcBorders>
              <w:top w:val="single" w:sz="4" w:space="0" w:color="auto"/>
              <w:left w:val="single" w:sz="4" w:space="0" w:color="auto"/>
              <w:bottom w:val="single" w:sz="4" w:space="0" w:color="auto"/>
              <w:right w:val="single" w:sz="4" w:space="0" w:color="auto"/>
            </w:tcBorders>
            <w:vAlign w:val="center"/>
            <w:hideMark/>
          </w:tcPr>
          <w:p w14:paraId="32D92599" w14:textId="77777777" w:rsidR="00896E2C" w:rsidRPr="00E31467" w:rsidRDefault="00896E2C" w:rsidP="001D5D9F">
            <w:pPr>
              <w:pStyle w:val="Tabletext"/>
              <w:spacing w:before="30" w:after="30"/>
              <w:jc w:val="center"/>
              <w:rPr>
                <w:sz w:val="18"/>
                <w:szCs w:val="18"/>
              </w:rPr>
            </w:pPr>
            <w:r w:rsidRPr="00E31467">
              <w:rPr>
                <w:sz w:val="18"/>
                <w:szCs w:val="18"/>
              </w:rPr>
              <w:t>3 602</w:t>
            </w:r>
          </w:p>
        </w:tc>
      </w:tr>
      <w:tr w:rsidR="00A0207D" w:rsidRPr="00E31467" w14:paraId="7438DD30"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1D058077"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71E1BF6"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59239830"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459251F6" w14:textId="77777777" w:rsidR="00896E2C" w:rsidRPr="00E31467" w:rsidRDefault="00896E2C" w:rsidP="001D5D9F">
            <w:pPr>
              <w:pStyle w:val="Tabletext"/>
              <w:spacing w:before="30" w:after="30"/>
              <w:rPr>
                <w:sz w:val="18"/>
                <w:szCs w:val="18"/>
              </w:rPr>
            </w:pPr>
            <w:r w:rsidRPr="00E31467">
              <w:rPr>
                <w:sz w:val="18"/>
                <w:szCs w:val="18"/>
              </w:rPr>
              <w:t>Sécurité</w:t>
            </w:r>
          </w:p>
        </w:tc>
        <w:tc>
          <w:tcPr>
            <w:tcW w:w="895" w:type="pct"/>
            <w:tcBorders>
              <w:top w:val="single" w:sz="4" w:space="0" w:color="auto"/>
              <w:left w:val="single" w:sz="4" w:space="0" w:color="auto"/>
              <w:bottom w:val="single" w:sz="4" w:space="0" w:color="auto"/>
              <w:right w:val="single" w:sz="4" w:space="0" w:color="auto"/>
            </w:tcBorders>
            <w:vAlign w:val="center"/>
            <w:hideMark/>
          </w:tcPr>
          <w:p w14:paraId="195F331F" w14:textId="77777777" w:rsidR="00896E2C" w:rsidRPr="00E31467" w:rsidRDefault="00896E2C" w:rsidP="001D5D9F">
            <w:pPr>
              <w:pStyle w:val="Tabletext"/>
              <w:spacing w:before="30" w:after="30"/>
              <w:jc w:val="center"/>
              <w:rPr>
                <w:sz w:val="18"/>
                <w:szCs w:val="18"/>
              </w:rPr>
            </w:pPr>
            <w:r w:rsidRPr="00E31467">
              <w:rPr>
                <w:sz w:val="18"/>
                <w:szCs w:val="18"/>
              </w:rPr>
              <w:t>0</w:t>
            </w:r>
          </w:p>
        </w:tc>
      </w:tr>
      <w:tr w:rsidR="00A0207D" w:rsidRPr="00E31467" w14:paraId="3B99EC74"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448A6BBB"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0D53B0FD"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5EB99B65"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118B6875" w14:textId="77777777" w:rsidR="00896E2C" w:rsidRPr="00E31467" w:rsidRDefault="00896E2C" w:rsidP="001D5D9F">
            <w:pPr>
              <w:pStyle w:val="Tabletext"/>
              <w:spacing w:before="30" w:after="30"/>
              <w:rPr>
                <w:sz w:val="18"/>
                <w:szCs w:val="18"/>
              </w:rPr>
            </w:pPr>
            <w:r w:rsidRPr="00E31467">
              <w:rPr>
                <w:sz w:val="18"/>
                <w:szCs w:val="18"/>
              </w:rPr>
              <w:t>Technique</w:t>
            </w:r>
          </w:p>
        </w:tc>
        <w:tc>
          <w:tcPr>
            <w:tcW w:w="895" w:type="pct"/>
            <w:tcBorders>
              <w:top w:val="single" w:sz="4" w:space="0" w:color="auto"/>
              <w:left w:val="single" w:sz="4" w:space="0" w:color="auto"/>
              <w:bottom w:val="single" w:sz="4" w:space="0" w:color="auto"/>
              <w:right w:val="single" w:sz="4" w:space="0" w:color="auto"/>
            </w:tcBorders>
            <w:vAlign w:val="center"/>
            <w:hideMark/>
          </w:tcPr>
          <w:p w14:paraId="2C330029" w14:textId="77777777" w:rsidR="00896E2C" w:rsidRPr="00E31467" w:rsidRDefault="00896E2C" w:rsidP="001D5D9F">
            <w:pPr>
              <w:pStyle w:val="Tabletext"/>
              <w:spacing w:before="30" w:after="30"/>
              <w:jc w:val="center"/>
              <w:rPr>
                <w:sz w:val="18"/>
                <w:szCs w:val="18"/>
              </w:rPr>
            </w:pPr>
            <w:r w:rsidRPr="00E31467">
              <w:rPr>
                <w:sz w:val="18"/>
                <w:szCs w:val="18"/>
              </w:rPr>
              <w:t>16 301</w:t>
            </w:r>
          </w:p>
        </w:tc>
      </w:tr>
      <w:tr w:rsidR="00A0207D" w:rsidRPr="00E31467" w14:paraId="74BD62C9"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1B10E387"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1F56D29"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6F69A3CB"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42BDA426" w14:textId="77777777" w:rsidR="00896E2C" w:rsidRPr="00E31467" w:rsidRDefault="00896E2C" w:rsidP="001D5D9F">
            <w:pPr>
              <w:pStyle w:val="Tabletext"/>
              <w:spacing w:before="30" w:after="30"/>
              <w:jc w:val="right"/>
              <w:rPr>
                <w:b/>
                <w:sz w:val="18"/>
                <w:szCs w:val="18"/>
              </w:rPr>
            </w:pPr>
            <w:proofErr w:type="gramStart"/>
            <w:r w:rsidRPr="00E31467">
              <w:rPr>
                <w:b/>
                <w:sz w:val="18"/>
                <w:szCs w:val="18"/>
              </w:rPr>
              <w:t>Total:</w:t>
            </w:r>
            <w:proofErr w:type="gramEnd"/>
          </w:p>
        </w:tc>
        <w:tc>
          <w:tcPr>
            <w:tcW w:w="895" w:type="pct"/>
            <w:tcBorders>
              <w:top w:val="single" w:sz="4" w:space="0" w:color="auto"/>
              <w:left w:val="single" w:sz="4" w:space="0" w:color="auto"/>
              <w:bottom w:val="single" w:sz="4" w:space="0" w:color="auto"/>
              <w:right w:val="single" w:sz="4" w:space="0" w:color="auto"/>
            </w:tcBorders>
            <w:vAlign w:val="center"/>
            <w:hideMark/>
          </w:tcPr>
          <w:p w14:paraId="004F13F6" w14:textId="77777777" w:rsidR="00896E2C" w:rsidRPr="00E31467" w:rsidRDefault="00896E2C" w:rsidP="001D5D9F">
            <w:pPr>
              <w:pStyle w:val="Tabletext"/>
              <w:spacing w:before="30" w:after="30"/>
              <w:jc w:val="right"/>
              <w:rPr>
                <w:b/>
                <w:sz w:val="18"/>
                <w:szCs w:val="18"/>
              </w:rPr>
            </w:pPr>
            <w:r w:rsidRPr="00E31467">
              <w:rPr>
                <w:b/>
                <w:sz w:val="18"/>
                <w:szCs w:val="18"/>
              </w:rPr>
              <w:t>25 703</w:t>
            </w:r>
          </w:p>
        </w:tc>
      </w:tr>
      <w:tr w:rsidR="00A0207D" w:rsidRPr="00E31467" w14:paraId="4C698F06" w14:textId="77777777" w:rsidTr="003D76DA">
        <w:trPr>
          <w:trHeight w:val="20"/>
        </w:trPr>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2083AF7C" w14:textId="77777777" w:rsidR="00896E2C" w:rsidRPr="00E31467" w:rsidRDefault="00896E2C" w:rsidP="00896E2C">
            <w:pPr>
              <w:pStyle w:val="Tabletext"/>
              <w:rPr>
                <w:b/>
                <w:sz w:val="18"/>
                <w:szCs w:val="18"/>
              </w:rPr>
            </w:pPr>
            <w:r w:rsidRPr="00E31467">
              <w:rPr>
                <w:b/>
                <w:sz w:val="18"/>
                <w:szCs w:val="18"/>
              </w:rPr>
              <w:t xml:space="preserve">GT </w:t>
            </w:r>
            <w:proofErr w:type="spellStart"/>
            <w:r w:rsidRPr="00E31467">
              <w:rPr>
                <w:b/>
                <w:sz w:val="18"/>
                <w:szCs w:val="18"/>
              </w:rPr>
              <w:t>5A</w:t>
            </w:r>
            <w:proofErr w:type="spellEnd"/>
            <w:r w:rsidRPr="00E31467">
              <w:rPr>
                <w:b/>
                <w:sz w:val="18"/>
                <w:szCs w:val="18"/>
              </w:rPr>
              <w:t xml:space="preserve">, </w:t>
            </w:r>
            <w:proofErr w:type="spellStart"/>
            <w:r w:rsidRPr="00E31467">
              <w:rPr>
                <w:b/>
                <w:sz w:val="18"/>
                <w:szCs w:val="18"/>
              </w:rPr>
              <w:t>5B</w:t>
            </w:r>
            <w:proofErr w:type="spellEnd"/>
            <w:r w:rsidRPr="00E31467">
              <w:rPr>
                <w:b/>
                <w:sz w:val="18"/>
                <w:szCs w:val="18"/>
              </w:rPr>
              <w:t xml:space="preserve">, </w:t>
            </w:r>
            <w:proofErr w:type="spellStart"/>
            <w:r w:rsidRPr="00E31467">
              <w:rPr>
                <w:b/>
                <w:sz w:val="18"/>
                <w:szCs w:val="18"/>
              </w:rPr>
              <w:t>5C</w:t>
            </w:r>
            <w:proofErr w:type="spellEnd"/>
            <w:r w:rsidRPr="00E31467">
              <w:rPr>
                <w:b/>
                <w:sz w:val="18"/>
                <w:szCs w:val="18"/>
              </w:rPr>
              <w:t xml:space="preserve"> du BR</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76EFF0A6" w14:textId="77777777" w:rsidR="00896E2C" w:rsidRPr="00E31467" w:rsidRDefault="00896E2C" w:rsidP="00896E2C">
            <w:pPr>
              <w:pStyle w:val="Tabletext"/>
              <w:rPr>
                <w:sz w:val="18"/>
                <w:szCs w:val="18"/>
              </w:rPr>
            </w:pPr>
            <w:r w:rsidRPr="00E31467">
              <w:rPr>
                <w:sz w:val="18"/>
                <w:szCs w:val="18"/>
              </w:rPr>
              <w:t>10</w:t>
            </w:r>
          </w:p>
        </w:tc>
        <w:tc>
          <w:tcPr>
            <w:tcW w:w="1095" w:type="pct"/>
            <w:vMerge w:val="restart"/>
            <w:tcBorders>
              <w:top w:val="single" w:sz="4" w:space="0" w:color="auto"/>
              <w:left w:val="single" w:sz="4" w:space="0" w:color="auto"/>
              <w:bottom w:val="single" w:sz="4" w:space="0" w:color="auto"/>
              <w:right w:val="single" w:sz="4" w:space="0" w:color="auto"/>
            </w:tcBorders>
            <w:vAlign w:val="center"/>
            <w:hideMark/>
          </w:tcPr>
          <w:p w14:paraId="6DF010E1" w14:textId="60598149" w:rsidR="00896E2C" w:rsidRPr="00E31467" w:rsidRDefault="00896E2C" w:rsidP="001D5D9F">
            <w:pPr>
              <w:pStyle w:val="Tabletext"/>
              <w:jc w:val="center"/>
              <w:rPr>
                <w:sz w:val="18"/>
                <w:szCs w:val="18"/>
              </w:rPr>
            </w:pPr>
            <w:r w:rsidRPr="00E31467">
              <w:rPr>
                <w:sz w:val="18"/>
                <w:szCs w:val="18"/>
              </w:rPr>
              <w:t>1</w:t>
            </w:r>
            <w:r w:rsidR="00975C8B" w:rsidRPr="00E31467">
              <w:rPr>
                <w:sz w:val="18"/>
                <w:szCs w:val="18"/>
              </w:rPr>
              <w:t xml:space="preserve"> x </w:t>
            </w:r>
            <w:r w:rsidRPr="00E31467">
              <w:rPr>
                <w:sz w:val="18"/>
                <w:szCs w:val="18"/>
              </w:rPr>
              <w:t>200, 1</w:t>
            </w:r>
            <w:r w:rsidR="00975C8B" w:rsidRPr="00E31467">
              <w:rPr>
                <w:sz w:val="18"/>
                <w:szCs w:val="18"/>
              </w:rPr>
              <w:t xml:space="preserve"> x </w:t>
            </w:r>
            <w:r w:rsidRPr="00E31467">
              <w:rPr>
                <w:sz w:val="18"/>
                <w:szCs w:val="18"/>
              </w:rPr>
              <w:t>120, 1</w:t>
            </w:r>
            <w:r w:rsidR="00975C8B" w:rsidRPr="00E31467">
              <w:rPr>
                <w:sz w:val="18"/>
                <w:szCs w:val="18"/>
              </w:rPr>
              <w:t xml:space="preserve"> x </w:t>
            </w:r>
            <w:r w:rsidRPr="00E31467">
              <w:rPr>
                <w:sz w:val="18"/>
                <w:szCs w:val="18"/>
              </w:rPr>
              <w:t>80,</w:t>
            </w:r>
            <w:r w:rsidR="001D5D9F" w:rsidRPr="00E31467">
              <w:rPr>
                <w:sz w:val="18"/>
                <w:szCs w:val="18"/>
              </w:rPr>
              <w:br/>
            </w:r>
            <w:r w:rsidRPr="00E31467">
              <w:rPr>
                <w:sz w:val="18"/>
                <w:szCs w:val="18"/>
              </w:rPr>
              <w:t>1</w:t>
            </w:r>
            <w:r w:rsidR="00975C8B" w:rsidRPr="00E31467">
              <w:rPr>
                <w:sz w:val="18"/>
                <w:szCs w:val="18"/>
              </w:rPr>
              <w:t xml:space="preserve"> x </w:t>
            </w:r>
            <w:r w:rsidRPr="00E31467">
              <w:rPr>
                <w:sz w:val="18"/>
                <w:szCs w:val="18"/>
              </w:rPr>
              <w:t>50, 1</w:t>
            </w:r>
            <w:r w:rsidR="00975C8B" w:rsidRPr="00E31467">
              <w:rPr>
                <w:sz w:val="18"/>
                <w:szCs w:val="18"/>
              </w:rPr>
              <w:t xml:space="preserve"> x </w:t>
            </w:r>
            <w:r w:rsidRPr="00E31467">
              <w:rPr>
                <w:sz w:val="18"/>
                <w:szCs w:val="18"/>
              </w:rPr>
              <w:t>30</w:t>
            </w:r>
          </w:p>
        </w:tc>
        <w:tc>
          <w:tcPr>
            <w:tcW w:w="1839" w:type="pct"/>
            <w:tcBorders>
              <w:top w:val="single" w:sz="4" w:space="0" w:color="auto"/>
              <w:left w:val="single" w:sz="4" w:space="0" w:color="auto"/>
              <w:bottom w:val="single" w:sz="4" w:space="0" w:color="auto"/>
              <w:right w:val="single" w:sz="4" w:space="0" w:color="auto"/>
            </w:tcBorders>
            <w:hideMark/>
          </w:tcPr>
          <w:p w14:paraId="2DC47C41" w14:textId="77777777" w:rsidR="00896E2C" w:rsidRPr="00E31467" w:rsidRDefault="00896E2C" w:rsidP="001D5D9F">
            <w:pPr>
              <w:pStyle w:val="Tabletext"/>
              <w:spacing w:before="30" w:after="30"/>
              <w:rPr>
                <w:sz w:val="18"/>
                <w:szCs w:val="18"/>
              </w:rPr>
            </w:pPr>
            <w:r w:rsidRPr="00E31467">
              <w:rPr>
                <w:sz w:val="18"/>
                <w:szCs w:val="18"/>
              </w:rPr>
              <w:t xml:space="preserve">Gestion des salles </w:t>
            </w:r>
          </w:p>
        </w:tc>
        <w:tc>
          <w:tcPr>
            <w:tcW w:w="895" w:type="pct"/>
            <w:tcBorders>
              <w:top w:val="single" w:sz="4" w:space="0" w:color="auto"/>
              <w:left w:val="single" w:sz="4" w:space="0" w:color="auto"/>
              <w:bottom w:val="single" w:sz="4" w:space="0" w:color="auto"/>
              <w:right w:val="single" w:sz="4" w:space="0" w:color="auto"/>
            </w:tcBorders>
            <w:vAlign w:val="center"/>
            <w:hideMark/>
          </w:tcPr>
          <w:p w14:paraId="65DF8E78" w14:textId="77777777" w:rsidR="00896E2C" w:rsidRPr="00E31467" w:rsidRDefault="00896E2C" w:rsidP="001D5D9F">
            <w:pPr>
              <w:pStyle w:val="Tabletext"/>
              <w:spacing w:before="30" w:after="30"/>
              <w:jc w:val="center"/>
              <w:rPr>
                <w:sz w:val="18"/>
                <w:szCs w:val="18"/>
              </w:rPr>
            </w:pPr>
            <w:r w:rsidRPr="00E31467">
              <w:rPr>
                <w:sz w:val="18"/>
                <w:szCs w:val="18"/>
              </w:rPr>
              <w:t>10 850</w:t>
            </w:r>
          </w:p>
        </w:tc>
      </w:tr>
      <w:tr w:rsidR="00A0207D" w:rsidRPr="00E31467" w14:paraId="6D943F73"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08A0B592"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18625418"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0F40DD16"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466E4997" w14:textId="77777777" w:rsidR="00896E2C" w:rsidRPr="00E31467" w:rsidRDefault="00896E2C" w:rsidP="001D5D9F">
            <w:pPr>
              <w:pStyle w:val="Tabletext"/>
              <w:spacing w:before="30" w:after="30"/>
              <w:rPr>
                <w:sz w:val="18"/>
                <w:szCs w:val="18"/>
              </w:rPr>
            </w:pPr>
            <w:r w:rsidRPr="00E31467">
              <w:rPr>
                <w:sz w:val="18"/>
                <w:szCs w:val="18"/>
              </w:rPr>
              <w:t>Gestion des installations</w:t>
            </w:r>
          </w:p>
        </w:tc>
        <w:tc>
          <w:tcPr>
            <w:tcW w:w="895" w:type="pct"/>
            <w:tcBorders>
              <w:top w:val="single" w:sz="4" w:space="0" w:color="auto"/>
              <w:left w:val="single" w:sz="4" w:space="0" w:color="auto"/>
              <w:bottom w:val="single" w:sz="4" w:space="0" w:color="auto"/>
              <w:right w:val="single" w:sz="4" w:space="0" w:color="auto"/>
            </w:tcBorders>
            <w:vAlign w:val="center"/>
            <w:hideMark/>
          </w:tcPr>
          <w:p w14:paraId="100A1354" w14:textId="77777777" w:rsidR="00896E2C" w:rsidRPr="00E31467" w:rsidRDefault="00896E2C" w:rsidP="001D5D9F">
            <w:pPr>
              <w:pStyle w:val="Tabletext"/>
              <w:spacing w:before="30" w:after="30"/>
              <w:jc w:val="center"/>
              <w:rPr>
                <w:sz w:val="18"/>
                <w:szCs w:val="18"/>
              </w:rPr>
            </w:pPr>
            <w:r w:rsidRPr="00E31467">
              <w:rPr>
                <w:sz w:val="18"/>
                <w:szCs w:val="18"/>
              </w:rPr>
              <w:t>11 154</w:t>
            </w:r>
          </w:p>
        </w:tc>
      </w:tr>
      <w:tr w:rsidR="00A0207D" w:rsidRPr="00E31467" w14:paraId="65E8A052"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6B5318FC"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6DF25F46"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063DF7A5"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1252281F" w14:textId="77777777" w:rsidR="00896E2C" w:rsidRPr="00E31467" w:rsidRDefault="00896E2C" w:rsidP="001D5D9F">
            <w:pPr>
              <w:pStyle w:val="Tabletext"/>
              <w:spacing w:before="30" w:after="30"/>
              <w:rPr>
                <w:sz w:val="18"/>
                <w:szCs w:val="18"/>
              </w:rPr>
            </w:pPr>
            <w:r w:rsidRPr="00E31467">
              <w:rPr>
                <w:sz w:val="18"/>
                <w:szCs w:val="18"/>
              </w:rPr>
              <w:t>Sécurité</w:t>
            </w:r>
          </w:p>
        </w:tc>
        <w:tc>
          <w:tcPr>
            <w:tcW w:w="895" w:type="pct"/>
            <w:tcBorders>
              <w:top w:val="single" w:sz="4" w:space="0" w:color="auto"/>
              <w:left w:val="single" w:sz="4" w:space="0" w:color="auto"/>
              <w:bottom w:val="single" w:sz="4" w:space="0" w:color="auto"/>
              <w:right w:val="single" w:sz="4" w:space="0" w:color="auto"/>
            </w:tcBorders>
            <w:vAlign w:val="center"/>
            <w:hideMark/>
          </w:tcPr>
          <w:p w14:paraId="74D9E30F" w14:textId="77777777" w:rsidR="00896E2C" w:rsidRPr="00E31467" w:rsidRDefault="00896E2C" w:rsidP="001D5D9F">
            <w:pPr>
              <w:pStyle w:val="Tabletext"/>
              <w:spacing w:before="30" w:after="30"/>
              <w:jc w:val="center"/>
              <w:rPr>
                <w:sz w:val="18"/>
                <w:szCs w:val="18"/>
              </w:rPr>
            </w:pPr>
            <w:r w:rsidRPr="00E31467">
              <w:rPr>
                <w:sz w:val="18"/>
                <w:szCs w:val="18"/>
              </w:rPr>
              <w:t>0</w:t>
            </w:r>
          </w:p>
        </w:tc>
      </w:tr>
      <w:tr w:rsidR="00A0207D" w:rsidRPr="00E31467" w14:paraId="2EF6236F"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285B5CF5"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5409DD72"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19815255"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11403A48" w14:textId="77777777" w:rsidR="00896E2C" w:rsidRPr="00E31467" w:rsidRDefault="00896E2C" w:rsidP="001D5D9F">
            <w:pPr>
              <w:pStyle w:val="Tabletext"/>
              <w:spacing w:before="30" w:after="30"/>
              <w:rPr>
                <w:sz w:val="18"/>
                <w:szCs w:val="18"/>
              </w:rPr>
            </w:pPr>
            <w:r w:rsidRPr="00E31467">
              <w:rPr>
                <w:sz w:val="18"/>
                <w:szCs w:val="18"/>
              </w:rPr>
              <w:t>Technique</w:t>
            </w:r>
          </w:p>
        </w:tc>
        <w:tc>
          <w:tcPr>
            <w:tcW w:w="895" w:type="pct"/>
            <w:tcBorders>
              <w:top w:val="single" w:sz="4" w:space="0" w:color="auto"/>
              <w:left w:val="single" w:sz="4" w:space="0" w:color="auto"/>
              <w:bottom w:val="single" w:sz="4" w:space="0" w:color="auto"/>
              <w:right w:val="single" w:sz="4" w:space="0" w:color="auto"/>
            </w:tcBorders>
            <w:vAlign w:val="center"/>
            <w:hideMark/>
          </w:tcPr>
          <w:p w14:paraId="6808A6DC" w14:textId="77777777" w:rsidR="00896E2C" w:rsidRPr="00E31467" w:rsidRDefault="00896E2C" w:rsidP="001D5D9F">
            <w:pPr>
              <w:pStyle w:val="Tabletext"/>
              <w:spacing w:before="30" w:after="30"/>
              <w:jc w:val="center"/>
              <w:rPr>
                <w:sz w:val="18"/>
                <w:szCs w:val="18"/>
              </w:rPr>
            </w:pPr>
            <w:r w:rsidRPr="00E31467">
              <w:rPr>
                <w:sz w:val="18"/>
                <w:szCs w:val="18"/>
              </w:rPr>
              <w:t>24 978</w:t>
            </w:r>
          </w:p>
        </w:tc>
      </w:tr>
      <w:tr w:rsidR="00A0207D" w:rsidRPr="00E31467" w14:paraId="2EF259DC"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33BA272D"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077DB8A0"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7D208C57"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64B4EAFA" w14:textId="77777777" w:rsidR="00896E2C" w:rsidRPr="00E31467" w:rsidRDefault="00896E2C" w:rsidP="001D5D9F">
            <w:pPr>
              <w:pStyle w:val="Tabletext"/>
              <w:spacing w:before="30" w:after="30"/>
              <w:jc w:val="right"/>
              <w:rPr>
                <w:sz w:val="18"/>
                <w:szCs w:val="18"/>
              </w:rPr>
            </w:pPr>
            <w:proofErr w:type="gramStart"/>
            <w:r w:rsidRPr="00E31467">
              <w:rPr>
                <w:b/>
                <w:sz w:val="18"/>
                <w:szCs w:val="18"/>
              </w:rPr>
              <w:t>Total:</w:t>
            </w:r>
            <w:proofErr w:type="gramEnd"/>
          </w:p>
        </w:tc>
        <w:tc>
          <w:tcPr>
            <w:tcW w:w="895" w:type="pct"/>
            <w:tcBorders>
              <w:top w:val="single" w:sz="4" w:space="0" w:color="auto"/>
              <w:left w:val="single" w:sz="4" w:space="0" w:color="auto"/>
              <w:bottom w:val="single" w:sz="4" w:space="0" w:color="auto"/>
              <w:right w:val="single" w:sz="4" w:space="0" w:color="auto"/>
            </w:tcBorders>
            <w:vAlign w:val="center"/>
            <w:hideMark/>
          </w:tcPr>
          <w:p w14:paraId="0BA75EF3" w14:textId="77777777" w:rsidR="00896E2C" w:rsidRPr="00E31467" w:rsidRDefault="00896E2C" w:rsidP="001D5D9F">
            <w:pPr>
              <w:pStyle w:val="Tabletext"/>
              <w:spacing w:before="30" w:after="30"/>
              <w:jc w:val="right"/>
              <w:rPr>
                <w:b/>
                <w:sz w:val="18"/>
                <w:szCs w:val="18"/>
              </w:rPr>
            </w:pPr>
            <w:r w:rsidRPr="00E31467">
              <w:rPr>
                <w:b/>
                <w:sz w:val="18"/>
                <w:szCs w:val="18"/>
              </w:rPr>
              <w:t>46 982</w:t>
            </w:r>
          </w:p>
        </w:tc>
      </w:tr>
      <w:tr w:rsidR="00A0207D" w:rsidRPr="00E31467" w14:paraId="5AFD4D8C" w14:textId="77777777" w:rsidTr="003D76DA">
        <w:trPr>
          <w:trHeight w:val="20"/>
        </w:trPr>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226E0EA3" w14:textId="77777777" w:rsidR="00896E2C" w:rsidRPr="00E31467" w:rsidRDefault="00896E2C" w:rsidP="00896E2C">
            <w:pPr>
              <w:pStyle w:val="Tabletext"/>
              <w:rPr>
                <w:b/>
                <w:sz w:val="18"/>
                <w:szCs w:val="18"/>
              </w:rPr>
            </w:pPr>
            <w:r w:rsidRPr="00E31467">
              <w:rPr>
                <w:b/>
                <w:sz w:val="18"/>
                <w:szCs w:val="18"/>
              </w:rPr>
              <w:t>CE 17 du TSB</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73344227" w14:textId="77777777" w:rsidR="00896E2C" w:rsidRPr="00E31467" w:rsidRDefault="00896E2C" w:rsidP="00896E2C">
            <w:pPr>
              <w:pStyle w:val="Tabletext"/>
              <w:rPr>
                <w:sz w:val="18"/>
                <w:szCs w:val="18"/>
              </w:rPr>
            </w:pPr>
            <w:r w:rsidRPr="00E31467">
              <w:rPr>
                <w:sz w:val="18"/>
                <w:szCs w:val="18"/>
              </w:rPr>
              <w:t>10</w:t>
            </w:r>
          </w:p>
        </w:tc>
        <w:tc>
          <w:tcPr>
            <w:tcW w:w="1095" w:type="pct"/>
            <w:vMerge w:val="restart"/>
            <w:tcBorders>
              <w:top w:val="single" w:sz="4" w:space="0" w:color="auto"/>
              <w:left w:val="single" w:sz="4" w:space="0" w:color="auto"/>
              <w:bottom w:val="single" w:sz="4" w:space="0" w:color="auto"/>
              <w:right w:val="single" w:sz="4" w:space="0" w:color="auto"/>
            </w:tcBorders>
            <w:vAlign w:val="center"/>
            <w:hideMark/>
          </w:tcPr>
          <w:p w14:paraId="36DAC230" w14:textId="06E40917" w:rsidR="00896E2C" w:rsidRPr="00E31467" w:rsidRDefault="00896E2C" w:rsidP="001D5D9F">
            <w:pPr>
              <w:pStyle w:val="Tabletext"/>
              <w:jc w:val="center"/>
              <w:rPr>
                <w:sz w:val="18"/>
                <w:szCs w:val="18"/>
              </w:rPr>
            </w:pPr>
            <w:r w:rsidRPr="00E31467">
              <w:rPr>
                <w:sz w:val="18"/>
                <w:szCs w:val="18"/>
              </w:rPr>
              <w:t>1</w:t>
            </w:r>
            <w:r w:rsidR="00975C8B" w:rsidRPr="00E31467">
              <w:rPr>
                <w:sz w:val="18"/>
                <w:szCs w:val="18"/>
              </w:rPr>
              <w:t xml:space="preserve"> x </w:t>
            </w:r>
            <w:r w:rsidRPr="00E31467">
              <w:rPr>
                <w:sz w:val="18"/>
                <w:szCs w:val="18"/>
              </w:rPr>
              <w:t>200, 2</w:t>
            </w:r>
            <w:r w:rsidR="00975C8B" w:rsidRPr="00E31467">
              <w:rPr>
                <w:sz w:val="18"/>
                <w:szCs w:val="18"/>
              </w:rPr>
              <w:t xml:space="preserve"> x </w:t>
            </w:r>
            <w:r w:rsidRPr="00E31467">
              <w:rPr>
                <w:sz w:val="18"/>
                <w:szCs w:val="18"/>
              </w:rPr>
              <w:t>50, 1</w:t>
            </w:r>
            <w:r w:rsidR="00975C8B" w:rsidRPr="00E31467">
              <w:rPr>
                <w:sz w:val="18"/>
                <w:szCs w:val="18"/>
              </w:rPr>
              <w:t xml:space="preserve"> x </w:t>
            </w:r>
            <w:r w:rsidRPr="00E31467">
              <w:rPr>
                <w:sz w:val="18"/>
                <w:szCs w:val="18"/>
              </w:rPr>
              <w:t>30,</w:t>
            </w:r>
            <w:r w:rsidR="001D5D9F" w:rsidRPr="00E31467">
              <w:rPr>
                <w:sz w:val="18"/>
                <w:szCs w:val="18"/>
              </w:rPr>
              <w:br/>
            </w:r>
            <w:r w:rsidRPr="00E31467">
              <w:rPr>
                <w:sz w:val="18"/>
                <w:szCs w:val="18"/>
              </w:rPr>
              <w:t>3</w:t>
            </w:r>
            <w:r w:rsidR="00975C8B" w:rsidRPr="00E31467">
              <w:rPr>
                <w:sz w:val="18"/>
                <w:szCs w:val="18"/>
              </w:rPr>
              <w:t xml:space="preserve"> x </w:t>
            </w:r>
            <w:r w:rsidRPr="00E31467">
              <w:rPr>
                <w:sz w:val="18"/>
                <w:szCs w:val="18"/>
              </w:rPr>
              <w:t>20, 3</w:t>
            </w:r>
            <w:r w:rsidR="00975C8B" w:rsidRPr="00E31467">
              <w:rPr>
                <w:sz w:val="18"/>
                <w:szCs w:val="18"/>
              </w:rPr>
              <w:t xml:space="preserve"> x </w:t>
            </w:r>
            <w:r w:rsidRPr="00E31467">
              <w:rPr>
                <w:sz w:val="18"/>
                <w:szCs w:val="18"/>
              </w:rPr>
              <w:t>15</w:t>
            </w:r>
          </w:p>
        </w:tc>
        <w:tc>
          <w:tcPr>
            <w:tcW w:w="1839" w:type="pct"/>
            <w:tcBorders>
              <w:top w:val="single" w:sz="4" w:space="0" w:color="auto"/>
              <w:left w:val="single" w:sz="4" w:space="0" w:color="auto"/>
              <w:bottom w:val="single" w:sz="4" w:space="0" w:color="auto"/>
              <w:right w:val="single" w:sz="4" w:space="0" w:color="auto"/>
            </w:tcBorders>
            <w:hideMark/>
          </w:tcPr>
          <w:p w14:paraId="01587432" w14:textId="77777777" w:rsidR="00896E2C" w:rsidRPr="00E31467" w:rsidRDefault="00896E2C" w:rsidP="001D5D9F">
            <w:pPr>
              <w:pStyle w:val="Tabletext"/>
              <w:spacing w:before="30" w:after="30"/>
              <w:rPr>
                <w:sz w:val="18"/>
                <w:szCs w:val="18"/>
              </w:rPr>
            </w:pPr>
            <w:r w:rsidRPr="00E31467">
              <w:rPr>
                <w:sz w:val="18"/>
                <w:szCs w:val="18"/>
              </w:rPr>
              <w:t xml:space="preserve">Gestion des salles </w:t>
            </w:r>
          </w:p>
        </w:tc>
        <w:tc>
          <w:tcPr>
            <w:tcW w:w="895" w:type="pct"/>
            <w:tcBorders>
              <w:top w:val="single" w:sz="4" w:space="0" w:color="auto"/>
              <w:left w:val="single" w:sz="4" w:space="0" w:color="auto"/>
              <w:bottom w:val="single" w:sz="4" w:space="0" w:color="auto"/>
              <w:right w:val="single" w:sz="4" w:space="0" w:color="auto"/>
            </w:tcBorders>
            <w:vAlign w:val="center"/>
            <w:hideMark/>
          </w:tcPr>
          <w:p w14:paraId="396E63F4" w14:textId="77777777" w:rsidR="00896E2C" w:rsidRPr="00E31467" w:rsidRDefault="00896E2C" w:rsidP="001D5D9F">
            <w:pPr>
              <w:pStyle w:val="Tabletext"/>
              <w:spacing w:before="30" w:after="30"/>
              <w:jc w:val="center"/>
              <w:rPr>
                <w:sz w:val="18"/>
                <w:szCs w:val="18"/>
              </w:rPr>
            </w:pPr>
            <w:r w:rsidRPr="00E31467">
              <w:rPr>
                <w:sz w:val="18"/>
                <w:szCs w:val="18"/>
              </w:rPr>
              <w:t>3 930</w:t>
            </w:r>
          </w:p>
        </w:tc>
      </w:tr>
      <w:tr w:rsidR="00A0207D" w:rsidRPr="00E31467" w14:paraId="783AD0DB"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4294EB38"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6610AABE"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28732E57"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65C587FC" w14:textId="77777777" w:rsidR="00896E2C" w:rsidRPr="00E31467" w:rsidRDefault="00896E2C" w:rsidP="001D5D9F">
            <w:pPr>
              <w:pStyle w:val="Tabletext"/>
              <w:spacing w:before="30" w:after="30"/>
              <w:rPr>
                <w:sz w:val="18"/>
                <w:szCs w:val="18"/>
              </w:rPr>
            </w:pPr>
            <w:r w:rsidRPr="00E31467">
              <w:rPr>
                <w:sz w:val="18"/>
                <w:szCs w:val="18"/>
              </w:rPr>
              <w:t>Gestion des installations</w:t>
            </w:r>
          </w:p>
        </w:tc>
        <w:tc>
          <w:tcPr>
            <w:tcW w:w="895" w:type="pct"/>
            <w:tcBorders>
              <w:top w:val="single" w:sz="4" w:space="0" w:color="auto"/>
              <w:left w:val="single" w:sz="4" w:space="0" w:color="auto"/>
              <w:bottom w:val="single" w:sz="4" w:space="0" w:color="auto"/>
              <w:right w:val="single" w:sz="4" w:space="0" w:color="auto"/>
            </w:tcBorders>
            <w:vAlign w:val="center"/>
            <w:hideMark/>
          </w:tcPr>
          <w:p w14:paraId="65FEBA38" w14:textId="77777777" w:rsidR="00896E2C" w:rsidRPr="00E31467" w:rsidRDefault="00896E2C" w:rsidP="001D5D9F">
            <w:pPr>
              <w:pStyle w:val="Tabletext"/>
              <w:spacing w:before="30" w:after="30"/>
              <w:jc w:val="center"/>
              <w:rPr>
                <w:sz w:val="18"/>
                <w:szCs w:val="18"/>
              </w:rPr>
            </w:pPr>
            <w:r w:rsidRPr="00E31467">
              <w:rPr>
                <w:sz w:val="18"/>
                <w:szCs w:val="18"/>
              </w:rPr>
              <w:t>13 278</w:t>
            </w:r>
          </w:p>
        </w:tc>
      </w:tr>
      <w:tr w:rsidR="00A0207D" w:rsidRPr="00E31467" w14:paraId="297E2599"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036B4B96"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463F6DDE"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0A66B638"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21692A48" w14:textId="77777777" w:rsidR="00896E2C" w:rsidRPr="00E31467" w:rsidRDefault="00896E2C" w:rsidP="001D5D9F">
            <w:pPr>
              <w:pStyle w:val="Tabletext"/>
              <w:spacing w:before="30" w:after="30"/>
              <w:rPr>
                <w:sz w:val="18"/>
                <w:szCs w:val="18"/>
              </w:rPr>
            </w:pPr>
            <w:r w:rsidRPr="00E31467">
              <w:rPr>
                <w:sz w:val="18"/>
                <w:szCs w:val="18"/>
              </w:rPr>
              <w:t>Sécurité</w:t>
            </w:r>
          </w:p>
        </w:tc>
        <w:tc>
          <w:tcPr>
            <w:tcW w:w="895" w:type="pct"/>
            <w:tcBorders>
              <w:top w:val="single" w:sz="4" w:space="0" w:color="auto"/>
              <w:left w:val="single" w:sz="4" w:space="0" w:color="auto"/>
              <w:bottom w:val="single" w:sz="4" w:space="0" w:color="auto"/>
              <w:right w:val="single" w:sz="4" w:space="0" w:color="auto"/>
            </w:tcBorders>
            <w:vAlign w:val="center"/>
            <w:hideMark/>
          </w:tcPr>
          <w:p w14:paraId="5A87DEE0" w14:textId="77777777" w:rsidR="00896E2C" w:rsidRPr="00E31467" w:rsidRDefault="00896E2C" w:rsidP="001D5D9F">
            <w:pPr>
              <w:pStyle w:val="Tabletext"/>
              <w:spacing w:before="30" w:after="30"/>
              <w:jc w:val="center"/>
              <w:rPr>
                <w:sz w:val="18"/>
                <w:szCs w:val="18"/>
              </w:rPr>
            </w:pPr>
            <w:r w:rsidRPr="00E31467">
              <w:rPr>
                <w:sz w:val="18"/>
                <w:szCs w:val="18"/>
              </w:rPr>
              <w:t>0</w:t>
            </w:r>
          </w:p>
        </w:tc>
      </w:tr>
      <w:tr w:rsidR="00A0207D" w:rsidRPr="00E31467" w14:paraId="32BE90A1"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67751979"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125F2E52"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6880C0D3"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2E7251F8" w14:textId="77777777" w:rsidR="00896E2C" w:rsidRPr="00E31467" w:rsidRDefault="00896E2C" w:rsidP="001D5D9F">
            <w:pPr>
              <w:pStyle w:val="Tabletext"/>
              <w:spacing w:before="30" w:after="30"/>
              <w:rPr>
                <w:sz w:val="18"/>
                <w:szCs w:val="18"/>
              </w:rPr>
            </w:pPr>
            <w:r w:rsidRPr="00E31467">
              <w:rPr>
                <w:sz w:val="18"/>
                <w:szCs w:val="18"/>
              </w:rPr>
              <w:t>Technique</w:t>
            </w:r>
          </w:p>
        </w:tc>
        <w:tc>
          <w:tcPr>
            <w:tcW w:w="895" w:type="pct"/>
            <w:tcBorders>
              <w:top w:val="single" w:sz="4" w:space="0" w:color="auto"/>
              <w:left w:val="single" w:sz="4" w:space="0" w:color="auto"/>
              <w:bottom w:val="single" w:sz="4" w:space="0" w:color="auto"/>
              <w:right w:val="single" w:sz="4" w:space="0" w:color="auto"/>
            </w:tcBorders>
            <w:vAlign w:val="center"/>
            <w:hideMark/>
          </w:tcPr>
          <w:p w14:paraId="72BF5F79" w14:textId="77777777" w:rsidR="00896E2C" w:rsidRPr="00E31467" w:rsidRDefault="00896E2C" w:rsidP="001D5D9F">
            <w:pPr>
              <w:pStyle w:val="Tabletext"/>
              <w:spacing w:before="30" w:after="30"/>
              <w:jc w:val="center"/>
              <w:rPr>
                <w:sz w:val="18"/>
                <w:szCs w:val="18"/>
              </w:rPr>
            </w:pPr>
            <w:r w:rsidRPr="00E31467">
              <w:rPr>
                <w:sz w:val="18"/>
                <w:szCs w:val="18"/>
              </w:rPr>
              <w:t>26 850</w:t>
            </w:r>
          </w:p>
        </w:tc>
      </w:tr>
      <w:tr w:rsidR="00A0207D" w:rsidRPr="00E31467" w14:paraId="7B667BB9"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53BF4B13"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6CB008E4"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38520FBC"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3F327158" w14:textId="77777777" w:rsidR="00896E2C" w:rsidRPr="00E31467" w:rsidRDefault="00896E2C" w:rsidP="001D5D9F">
            <w:pPr>
              <w:pStyle w:val="Tabletext"/>
              <w:spacing w:before="30" w:after="30"/>
              <w:jc w:val="right"/>
              <w:rPr>
                <w:b/>
                <w:sz w:val="18"/>
                <w:szCs w:val="18"/>
              </w:rPr>
            </w:pPr>
            <w:proofErr w:type="gramStart"/>
            <w:r w:rsidRPr="00E31467">
              <w:rPr>
                <w:b/>
                <w:sz w:val="18"/>
                <w:szCs w:val="18"/>
              </w:rPr>
              <w:t>Total:</w:t>
            </w:r>
            <w:proofErr w:type="gramEnd"/>
          </w:p>
        </w:tc>
        <w:tc>
          <w:tcPr>
            <w:tcW w:w="895" w:type="pct"/>
            <w:tcBorders>
              <w:top w:val="single" w:sz="4" w:space="0" w:color="auto"/>
              <w:left w:val="single" w:sz="4" w:space="0" w:color="auto"/>
              <w:bottom w:val="single" w:sz="4" w:space="0" w:color="auto"/>
              <w:right w:val="single" w:sz="4" w:space="0" w:color="auto"/>
            </w:tcBorders>
            <w:vAlign w:val="center"/>
            <w:hideMark/>
          </w:tcPr>
          <w:p w14:paraId="0D3312D7" w14:textId="77777777" w:rsidR="00896E2C" w:rsidRPr="00E31467" w:rsidRDefault="00896E2C" w:rsidP="001D5D9F">
            <w:pPr>
              <w:pStyle w:val="Tabletext"/>
              <w:spacing w:before="30" w:after="30"/>
              <w:jc w:val="right"/>
              <w:rPr>
                <w:b/>
                <w:sz w:val="18"/>
                <w:szCs w:val="18"/>
              </w:rPr>
            </w:pPr>
            <w:r w:rsidRPr="00E31467">
              <w:rPr>
                <w:b/>
                <w:sz w:val="18"/>
                <w:szCs w:val="18"/>
              </w:rPr>
              <w:t>44 058</w:t>
            </w:r>
          </w:p>
        </w:tc>
      </w:tr>
      <w:tr w:rsidR="00A0207D" w:rsidRPr="00E31467" w14:paraId="376C2076" w14:textId="77777777" w:rsidTr="003D76DA">
        <w:trPr>
          <w:trHeight w:val="20"/>
        </w:trPr>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25A55C33" w14:textId="2EF33C5D" w:rsidR="00896E2C" w:rsidRPr="00E31467" w:rsidRDefault="00896E2C" w:rsidP="00896E2C">
            <w:pPr>
              <w:pStyle w:val="Tabletext"/>
              <w:rPr>
                <w:b/>
                <w:sz w:val="18"/>
                <w:szCs w:val="18"/>
              </w:rPr>
            </w:pPr>
            <w:r w:rsidRPr="00E31467">
              <w:rPr>
                <w:b/>
                <w:sz w:val="18"/>
                <w:szCs w:val="18"/>
              </w:rPr>
              <w:t>CE 1 et 2 du</w:t>
            </w:r>
            <w:r w:rsidR="001D5D9F" w:rsidRPr="00E31467">
              <w:rPr>
                <w:b/>
                <w:sz w:val="18"/>
                <w:szCs w:val="18"/>
              </w:rPr>
              <w:t> </w:t>
            </w:r>
            <w:r w:rsidRPr="00E31467">
              <w:rPr>
                <w:b/>
                <w:sz w:val="18"/>
                <w:szCs w:val="18"/>
              </w:rPr>
              <w:t>BDT</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53CECAE5" w14:textId="77777777" w:rsidR="00896E2C" w:rsidRPr="00E31467" w:rsidRDefault="00896E2C" w:rsidP="00896E2C">
            <w:pPr>
              <w:pStyle w:val="Tabletext"/>
              <w:rPr>
                <w:sz w:val="18"/>
                <w:szCs w:val="18"/>
              </w:rPr>
            </w:pPr>
            <w:r w:rsidRPr="00E31467">
              <w:rPr>
                <w:sz w:val="18"/>
                <w:szCs w:val="18"/>
              </w:rPr>
              <w:t>10</w:t>
            </w:r>
          </w:p>
        </w:tc>
        <w:tc>
          <w:tcPr>
            <w:tcW w:w="1095" w:type="pct"/>
            <w:vMerge w:val="restart"/>
            <w:tcBorders>
              <w:top w:val="single" w:sz="4" w:space="0" w:color="auto"/>
              <w:left w:val="single" w:sz="4" w:space="0" w:color="auto"/>
              <w:bottom w:val="single" w:sz="4" w:space="0" w:color="auto"/>
              <w:right w:val="single" w:sz="4" w:space="0" w:color="auto"/>
            </w:tcBorders>
            <w:vAlign w:val="center"/>
            <w:hideMark/>
          </w:tcPr>
          <w:p w14:paraId="3F4AA023" w14:textId="54419922" w:rsidR="00896E2C" w:rsidRPr="00E31467" w:rsidRDefault="00896E2C" w:rsidP="001D5D9F">
            <w:pPr>
              <w:pStyle w:val="Tabletext"/>
              <w:jc w:val="center"/>
              <w:rPr>
                <w:sz w:val="18"/>
                <w:szCs w:val="18"/>
              </w:rPr>
            </w:pPr>
            <w:r w:rsidRPr="00E31467">
              <w:rPr>
                <w:sz w:val="18"/>
                <w:szCs w:val="18"/>
              </w:rPr>
              <w:t>1</w:t>
            </w:r>
            <w:r w:rsidR="00975C8B" w:rsidRPr="00E31467">
              <w:rPr>
                <w:sz w:val="18"/>
                <w:szCs w:val="18"/>
              </w:rPr>
              <w:t xml:space="preserve"> x </w:t>
            </w:r>
            <w:r w:rsidRPr="00E31467">
              <w:rPr>
                <w:sz w:val="18"/>
                <w:szCs w:val="18"/>
              </w:rPr>
              <w:t>250, 1</w:t>
            </w:r>
            <w:r w:rsidR="00975C8B" w:rsidRPr="00E31467">
              <w:rPr>
                <w:sz w:val="18"/>
                <w:szCs w:val="18"/>
              </w:rPr>
              <w:t xml:space="preserve"> x </w:t>
            </w:r>
            <w:r w:rsidRPr="00E31467">
              <w:rPr>
                <w:sz w:val="18"/>
                <w:szCs w:val="18"/>
              </w:rPr>
              <w:t>30</w:t>
            </w:r>
          </w:p>
        </w:tc>
        <w:tc>
          <w:tcPr>
            <w:tcW w:w="1839" w:type="pct"/>
            <w:tcBorders>
              <w:top w:val="single" w:sz="4" w:space="0" w:color="auto"/>
              <w:left w:val="single" w:sz="4" w:space="0" w:color="auto"/>
              <w:bottom w:val="single" w:sz="4" w:space="0" w:color="auto"/>
              <w:right w:val="single" w:sz="4" w:space="0" w:color="auto"/>
            </w:tcBorders>
            <w:hideMark/>
          </w:tcPr>
          <w:p w14:paraId="2CEE3C9A" w14:textId="77777777" w:rsidR="00896E2C" w:rsidRPr="00E31467" w:rsidRDefault="00896E2C" w:rsidP="001D5D9F">
            <w:pPr>
              <w:pStyle w:val="Tabletext"/>
              <w:spacing w:before="30" w:after="30"/>
              <w:rPr>
                <w:sz w:val="18"/>
                <w:szCs w:val="18"/>
              </w:rPr>
            </w:pPr>
            <w:r w:rsidRPr="00E31467">
              <w:rPr>
                <w:sz w:val="18"/>
                <w:szCs w:val="18"/>
              </w:rPr>
              <w:t xml:space="preserve">Gestion des salles </w:t>
            </w:r>
          </w:p>
        </w:tc>
        <w:tc>
          <w:tcPr>
            <w:tcW w:w="895" w:type="pct"/>
            <w:tcBorders>
              <w:top w:val="single" w:sz="4" w:space="0" w:color="auto"/>
              <w:left w:val="single" w:sz="4" w:space="0" w:color="auto"/>
              <w:bottom w:val="single" w:sz="4" w:space="0" w:color="auto"/>
              <w:right w:val="single" w:sz="4" w:space="0" w:color="auto"/>
            </w:tcBorders>
            <w:vAlign w:val="center"/>
            <w:hideMark/>
          </w:tcPr>
          <w:p w14:paraId="4A97AA46" w14:textId="77777777" w:rsidR="00896E2C" w:rsidRPr="00E31467" w:rsidRDefault="00896E2C" w:rsidP="001D5D9F">
            <w:pPr>
              <w:pStyle w:val="Tabletext"/>
              <w:spacing w:before="30" w:after="30"/>
              <w:jc w:val="center"/>
              <w:rPr>
                <w:sz w:val="18"/>
                <w:szCs w:val="18"/>
              </w:rPr>
            </w:pPr>
            <w:r w:rsidRPr="00E31467">
              <w:rPr>
                <w:sz w:val="18"/>
                <w:szCs w:val="18"/>
              </w:rPr>
              <w:t>11 050</w:t>
            </w:r>
          </w:p>
        </w:tc>
      </w:tr>
      <w:tr w:rsidR="00A0207D" w:rsidRPr="00E31467" w14:paraId="2E8A9ED0"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4A263153"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363F0A8E"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2B84B56A"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1D307675" w14:textId="77777777" w:rsidR="00896E2C" w:rsidRPr="00E31467" w:rsidRDefault="00896E2C" w:rsidP="001D5D9F">
            <w:pPr>
              <w:pStyle w:val="Tabletext"/>
              <w:spacing w:before="30" w:after="30"/>
              <w:rPr>
                <w:sz w:val="18"/>
                <w:szCs w:val="18"/>
              </w:rPr>
            </w:pPr>
            <w:r w:rsidRPr="00E31467">
              <w:rPr>
                <w:sz w:val="18"/>
                <w:szCs w:val="18"/>
              </w:rPr>
              <w:t>Gestion des installations</w:t>
            </w:r>
          </w:p>
        </w:tc>
        <w:tc>
          <w:tcPr>
            <w:tcW w:w="895" w:type="pct"/>
            <w:tcBorders>
              <w:top w:val="single" w:sz="4" w:space="0" w:color="auto"/>
              <w:left w:val="single" w:sz="4" w:space="0" w:color="auto"/>
              <w:bottom w:val="single" w:sz="4" w:space="0" w:color="auto"/>
              <w:right w:val="single" w:sz="4" w:space="0" w:color="auto"/>
            </w:tcBorders>
            <w:vAlign w:val="center"/>
            <w:hideMark/>
          </w:tcPr>
          <w:p w14:paraId="673D1CE6" w14:textId="77777777" w:rsidR="00896E2C" w:rsidRPr="00E31467" w:rsidRDefault="00896E2C" w:rsidP="001D5D9F">
            <w:pPr>
              <w:pStyle w:val="Tabletext"/>
              <w:spacing w:before="30" w:after="30"/>
              <w:jc w:val="center"/>
              <w:rPr>
                <w:sz w:val="18"/>
                <w:szCs w:val="18"/>
              </w:rPr>
            </w:pPr>
            <w:r w:rsidRPr="00E31467">
              <w:rPr>
                <w:sz w:val="18"/>
                <w:szCs w:val="18"/>
              </w:rPr>
              <w:t>5 268</w:t>
            </w:r>
          </w:p>
        </w:tc>
      </w:tr>
      <w:tr w:rsidR="00A0207D" w:rsidRPr="00E31467" w14:paraId="4CDB1BFF"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16FB63B0"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452C0D69"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460B5102"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3B2F87BA" w14:textId="77777777" w:rsidR="00896E2C" w:rsidRPr="00E31467" w:rsidRDefault="00896E2C" w:rsidP="001D5D9F">
            <w:pPr>
              <w:pStyle w:val="Tabletext"/>
              <w:spacing w:before="30" w:after="30"/>
              <w:rPr>
                <w:sz w:val="18"/>
                <w:szCs w:val="18"/>
              </w:rPr>
            </w:pPr>
            <w:r w:rsidRPr="00E31467">
              <w:rPr>
                <w:sz w:val="18"/>
                <w:szCs w:val="18"/>
              </w:rPr>
              <w:t>Sécurité</w:t>
            </w:r>
          </w:p>
        </w:tc>
        <w:tc>
          <w:tcPr>
            <w:tcW w:w="895" w:type="pct"/>
            <w:tcBorders>
              <w:top w:val="single" w:sz="4" w:space="0" w:color="auto"/>
              <w:left w:val="single" w:sz="4" w:space="0" w:color="auto"/>
              <w:bottom w:val="single" w:sz="4" w:space="0" w:color="auto"/>
              <w:right w:val="single" w:sz="4" w:space="0" w:color="auto"/>
            </w:tcBorders>
            <w:vAlign w:val="center"/>
            <w:hideMark/>
          </w:tcPr>
          <w:p w14:paraId="2976C7C8" w14:textId="77777777" w:rsidR="00896E2C" w:rsidRPr="00E31467" w:rsidRDefault="00896E2C" w:rsidP="001D5D9F">
            <w:pPr>
              <w:pStyle w:val="Tabletext"/>
              <w:spacing w:before="30" w:after="30"/>
              <w:jc w:val="center"/>
              <w:rPr>
                <w:sz w:val="18"/>
                <w:szCs w:val="18"/>
              </w:rPr>
            </w:pPr>
            <w:r w:rsidRPr="00E31467">
              <w:rPr>
                <w:sz w:val="18"/>
                <w:szCs w:val="18"/>
              </w:rPr>
              <w:t>0</w:t>
            </w:r>
          </w:p>
        </w:tc>
      </w:tr>
      <w:tr w:rsidR="00A0207D" w:rsidRPr="00E31467" w14:paraId="1E8C1690"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0CCDE566"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51E632C6"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0736C307"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5AE4A900" w14:textId="77777777" w:rsidR="00896E2C" w:rsidRPr="00E31467" w:rsidRDefault="00896E2C" w:rsidP="001D5D9F">
            <w:pPr>
              <w:pStyle w:val="Tabletext"/>
              <w:spacing w:before="30" w:after="30"/>
              <w:rPr>
                <w:sz w:val="18"/>
                <w:szCs w:val="18"/>
              </w:rPr>
            </w:pPr>
            <w:r w:rsidRPr="00E31467">
              <w:rPr>
                <w:sz w:val="18"/>
                <w:szCs w:val="18"/>
              </w:rPr>
              <w:t>Technique</w:t>
            </w:r>
          </w:p>
        </w:tc>
        <w:tc>
          <w:tcPr>
            <w:tcW w:w="895" w:type="pct"/>
            <w:tcBorders>
              <w:top w:val="single" w:sz="4" w:space="0" w:color="auto"/>
              <w:left w:val="single" w:sz="4" w:space="0" w:color="auto"/>
              <w:bottom w:val="single" w:sz="4" w:space="0" w:color="auto"/>
              <w:right w:val="single" w:sz="4" w:space="0" w:color="auto"/>
            </w:tcBorders>
            <w:vAlign w:val="center"/>
            <w:hideMark/>
          </w:tcPr>
          <w:p w14:paraId="11344D74" w14:textId="77777777" w:rsidR="00896E2C" w:rsidRPr="00E31467" w:rsidRDefault="00896E2C" w:rsidP="001D5D9F">
            <w:pPr>
              <w:pStyle w:val="Tabletext"/>
              <w:spacing w:before="30" w:after="30"/>
              <w:jc w:val="center"/>
              <w:rPr>
                <w:sz w:val="18"/>
                <w:szCs w:val="18"/>
              </w:rPr>
            </w:pPr>
            <w:r w:rsidRPr="00E31467">
              <w:rPr>
                <w:sz w:val="18"/>
                <w:szCs w:val="18"/>
              </w:rPr>
              <w:t>33 850</w:t>
            </w:r>
          </w:p>
        </w:tc>
      </w:tr>
      <w:tr w:rsidR="00A0207D" w:rsidRPr="00E31467" w14:paraId="6D5AB63F" w14:textId="77777777" w:rsidTr="003D76DA">
        <w:trPr>
          <w:trHeight w:val="20"/>
        </w:trPr>
        <w:tc>
          <w:tcPr>
            <w:tcW w:w="701" w:type="pct"/>
            <w:vMerge/>
            <w:tcBorders>
              <w:top w:val="single" w:sz="4" w:space="0" w:color="auto"/>
              <w:left w:val="single" w:sz="4" w:space="0" w:color="auto"/>
              <w:bottom w:val="single" w:sz="4" w:space="0" w:color="auto"/>
              <w:right w:val="single" w:sz="4" w:space="0" w:color="auto"/>
            </w:tcBorders>
            <w:vAlign w:val="center"/>
            <w:hideMark/>
          </w:tcPr>
          <w:p w14:paraId="7F4A475C" w14:textId="77777777" w:rsidR="00896E2C" w:rsidRPr="00E31467" w:rsidRDefault="00896E2C" w:rsidP="00896E2C">
            <w:pPr>
              <w:pStyle w:val="Tabletext"/>
              <w:rPr>
                <w:b/>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5FA08556" w14:textId="77777777" w:rsidR="00896E2C" w:rsidRPr="00E31467" w:rsidRDefault="00896E2C" w:rsidP="00896E2C">
            <w:pPr>
              <w:pStyle w:val="Tabletext"/>
              <w:rPr>
                <w:sz w:val="18"/>
                <w:szCs w:val="18"/>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2C282A41" w14:textId="77777777" w:rsidR="00896E2C" w:rsidRPr="00E31467" w:rsidRDefault="00896E2C" w:rsidP="001D5D9F">
            <w:pPr>
              <w:pStyle w:val="Tabletext"/>
              <w:jc w:val="center"/>
              <w:rPr>
                <w:sz w:val="18"/>
                <w:szCs w:val="18"/>
              </w:rPr>
            </w:pPr>
          </w:p>
        </w:tc>
        <w:tc>
          <w:tcPr>
            <w:tcW w:w="1839" w:type="pct"/>
            <w:tcBorders>
              <w:top w:val="single" w:sz="4" w:space="0" w:color="auto"/>
              <w:left w:val="single" w:sz="4" w:space="0" w:color="auto"/>
              <w:bottom w:val="single" w:sz="4" w:space="0" w:color="auto"/>
              <w:right w:val="single" w:sz="4" w:space="0" w:color="auto"/>
            </w:tcBorders>
            <w:hideMark/>
          </w:tcPr>
          <w:p w14:paraId="1BE9DCAD" w14:textId="77777777" w:rsidR="00896E2C" w:rsidRPr="00E31467" w:rsidRDefault="00896E2C" w:rsidP="003D76DA">
            <w:pPr>
              <w:pStyle w:val="Tabletext"/>
              <w:widowControl w:val="0"/>
              <w:spacing w:before="30" w:after="30"/>
              <w:jc w:val="right"/>
              <w:rPr>
                <w:b/>
                <w:sz w:val="18"/>
                <w:szCs w:val="18"/>
              </w:rPr>
            </w:pPr>
            <w:proofErr w:type="gramStart"/>
            <w:r w:rsidRPr="00E31467">
              <w:rPr>
                <w:b/>
                <w:sz w:val="18"/>
                <w:szCs w:val="18"/>
              </w:rPr>
              <w:t>Total:</w:t>
            </w:r>
            <w:proofErr w:type="gramEnd"/>
          </w:p>
        </w:tc>
        <w:tc>
          <w:tcPr>
            <w:tcW w:w="895" w:type="pct"/>
            <w:tcBorders>
              <w:top w:val="single" w:sz="4" w:space="0" w:color="auto"/>
              <w:left w:val="single" w:sz="4" w:space="0" w:color="auto"/>
              <w:bottom w:val="single" w:sz="4" w:space="0" w:color="auto"/>
              <w:right w:val="single" w:sz="4" w:space="0" w:color="auto"/>
            </w:tcBorders>
            <w:vAlign w:val="center"/>
            <w:hideMark/>
          </w:tcPr>
          <w:p w14:paraId="75C3A340" w14:textId="77777777" w:rsidR="00896E2C" w:rsidRPr="00E31467" w:rsidRDefault="00896E2C" w:rsidP="003D76DA">
            <w:pPr>
              <w:pStyle w:val="Tabletext"/>
              <w:widowControl w:val="0"/>
              <w:spacing w:before="30" w:after="30"/>
              <w:jc w:val="right"/>
              <w:rPr>
                <w:b/>
                <w:sz w:val="18"/>
                <w:szCs w:val="18"/>
              </w:rPr>
            </w:pPr>
            <w:r w:rsidRPr="00E31467">
              <w:rPr>
                <w:b/>
                <w:sz w:val="18"/>
                <w:szCs w:val="18"/>
              </w:rPr>
              <w:t>50 168</w:t>
            </w:r>
          </w:p>
        </w:tc>
      </w:tr>
      <w:tr w:rsidR="00A0207D" w:rsidRPr="00E31467" w14:paraId="39B7FDAB" w14:textId="77777777" w:rsidTr="003D76DA">
        <w:trPr>
          <w:trHeight w:val="300"/>
        </w:trPr>
        <w:tc>
          <w:tcPr>
            <w:tcW w:w="5000" w:type="pct"/>
            <w:gridSpan w:val="5"/>
            <w:tcBorders>
              <w:top w:val="single" w:sz="4" w:space="0" w:color="auto"/>
              <w:left w:val="nil"/>
              <w:bottom w:val="nil"/>
              <w:right w:val="nil"/>
            </w:tcBorders>
            <w:vAlign w:val="center"/>
            <w:hideMark/>
          </w:tcPr>
          <w:p w14:paraId="4C0E9396" w14:textId="77777777" w:rsidR="00896E2C" w:rsidRPr="00E31467" w:rsidRDefault="00896E2C" w:rsidP="003D76DA">
            <w:pPr>
              <w:pStyle w:val="Tablelegend"/>
              <w:keepNext/>
              <w:keepLines/>
              <w:rPr>
                <w:sz w:val="18"/>
                <w:szCs w:val="20"/>
              </w:rPr>
            </w:pPr>
            <w:r w:rsidRPr="00E31467">
              <w:rPr>
                <w:sz w:val="18"/>
                <w:szCs w:val="20"/>
              </w:rPr>
              <w:lastRenderedPageBreak/>
              <w:t xml:space="preserve">Notes concernant les </w:t>
            </w:r>
            <w:proofErr w:type="gramStart"/>
            <w:r w:rsidRPr="00E31467">
              <w:rPr>
                <w:sz w:val="18"/>
                <w:szCs w:val="20"/>
              </w:rPr>
              <w:t>calculs:</w:t>
            </w:r>
            <w:proofErr w:type="gramEnd"/>
          </w:p>
          <w:p w14:paraId="6640AF57" w14:textId="77777777" w:rsidR="00896E2C" w:rsidRPr="00E31467" w:rsidRDefault="00896E2C" w:rsidP="003D76DA">
            <w:pPr>
              <w:pStyle w:val="Tablelegend"/>
              <w:keepNext/>
              <w:keepLines/>
              <w:rPr>
                <w:sz w:val="18"/>
                <w:szCs w:val="20"/>
              </w:rPr>
            </w:pPr>
            <w:r w:rsidRPr="00E31467">
              <w:rPr>
                <w:sz w:val="18"/>
                <w:szCs w:val="20"/>
              </w:rPr>
              <w:t>(1)</w:t>
            </w:r>
            <w:r w:rsidRPr="00E31467">
              <w:rPr>
                <w:sz w:val="18"/>
                <w:szCs w:val="20"/>
              </w:rPr>
              <w:tab/>
              <w:t>Les weekends ne sont pas pris en compte.</w:t>
            </w:r>
          </w:p>
          <w:p w14:paraId="5A93923E" w14:textId="77777777" w:rsidR="00896E2C" w:rsidRPr="00E31467" w:rsidRDefault="00896E2C" w:rsidP="003D76DA">
            <w:pPr>
              <w:pStyle w:val="Tablelegend"/>
              <w:keepNext/>
              <w:keepLines/>
              <w:rPr>
                <w:sz w:val="18"/>
                <w:szCs w:val="20"/>
              </w:rPr>
            </w:pPr>
            <w:r w:rsidRPr="00E31467">
              <w:rPr>
                <w:sz w:val="18"/>
                <w:szCs w:val="20"/>
              </w:rPr>
              <w:t>(2)</w:t>
            </w:r>
            <w:r w:rsidRPr="00E31467">
              <w:rPr>
                <w:sz w:val="18"/>
                <w:szCs w:val="20"/>
              </w:rPr>
              <w:tab/>
              <w:t>Les frais de sécurité sont calculés sur la base des coûts marginaux liés au contrôle d'accès, afin de garantir le quorum en plénière, ainsi qu'aux heures supplémentaires pour la surveillance à l'entrée.</w:t>
            </w:r>
          </w:p>
          <w:p w14:paraId="6A5E351B" w14:textId="4E30653A" w:rsidR="00896E2C" w:rsidRPr="00E31467" w:rsidRDefault="00896E2C" w:rsidP="001D5D9F">
            <w:pPr>
              <w:pStyle w:val="Tablelegend"/>
              <w:rPr>
                <w:sz w:val="18"/>
                <w:szCs w:val="20"/>
              </w:rPr>
            </w:pPr>
            <w:r w:rsidRPr="00E31467">
              <w:rPr>
                <w:sz w:val="18"/>
                <w:szCs w:val="20"/>
              </w:rPr>
              <w:t>(3)</w:t>
            </w:r>
            <w:r w:rsidRPr="00E31467">
              <w:rPr>
                <w:sz w:val="18"/>
                <w:szCs w:val="20"/>
              </w:rPr>
              <w:tab/>
              <w:t>Les frais de gestion des installations sont calculés sur la base des coûts liés au bâtiment (dépenses d'exploitation, dépenses d'investissement amorties) plus les coûts supplémentaires (entretien, personnel, prêt) calculés par</w:t>
            </w:r>
            <w:r w:rsidR="003D76DA" w:rsidRPr="00E31467">
              <w:rPr>
                <w:sz w:val="18"/>
                <w:szCs w:val="20"/>
              </w:rPr>
              <w:t xml:space="preserve"> </w:t>
            </w:r>
            <w:proofErr w:type="spellStart"/>
            <w:r w:rsidRPr="00E31467">
              <w:rPr>
                <w:sz w:val="18"/>
                <w:szCs w:val="20"/>
              </w:rPr>
              <w:t>m</w:t>
            </w:r>
            <w:r w:rsidRPr="00E31467">
              <w:rPr>
                <w:sz w:val="18"/>
                <w:szCs w:val="20"/>
                <w:vertAlign w:val="superscript"/>
              </w:rPr>
              <w:t>2</w:t>
            </w:r>
            <w:proofErr w:type="spellEnd"/>
            <w:r w:rsidRPr="00E31467">
              <w:rPr>
                <w:sz w:val="18"/>
                <w:szCs w:val="20"/>
              </w:rPr>
              <w:t>/jour</w:t>
            </w:r>
            <w:r w:rsidR="003D76DA" w:rsidRPr="00E31467">
              <w:rPr>
                <w:sz w:val="18"/>
                <w:szCs w:val="20"/>
              </w:rPr>
              <w:t> </w:t>
            </w:r>
            <w:r w:rsidRPr="00E31467">
              <w:rPr>
                <w:sz w:val="18"/>
                <w:szCs w:val="20"/>
              </w:rPr>
              <w:t xml:space="preserve">x taille de la salle de conférence. On suppose 250 jours de conférence par </w:t>
            </w:r>
            <w:proofErr w:type="gramStart"/>
            <w:r w:rsidRPr="00E31467">
              <w:rPr>
                <w:sz w:val="18"/>
                <w:szCs w:val="20"/>
              </w:rPr>
              <w:t>an;</w:t>
            </w:r>
            <w:proofErr w:type="gramEnd"/>
            <w:r w:rsidRPr="00E31467">
              <w:rPr>
                <w:sz w:val="18"/>
                <w:szCs w:val="20"/>
              </w:rPr>
              <w:t xml:space="preserve"> événements sociaux exclus.</w:t>
            </w:r>
          </w:p>
          <w:p w14:paraId="3B282BD1" w14:textId="77777777" w:rsidR="00896E2C" w:rsidRPr="00E31467" w:rsidRDefault="00896E2C" w:rsidP="001D5D9F">
            <w:pPr>
              <w:pStyle w:val="Tablelegend"/>
              <w:rPr>
                <w:sz w:val="18"/>
                <w:szCs w:val="20"/>
              </w:rPr>
            </w:pPr>
            <w:r w:rsidRPr="00E31467">
              <w:rPr>
                <w:sz w:val="18"/>
                <w:szCs w:val="20"/>
              </w:rPr>
              <w:t>(4)</w:t>
            </w:r>
            <w:r w:rsidRPr="00E31467">
              <w:rPr>
                <w:sz w:val="18"/>
                <w:szCs w:val="20"/>
              </w:rPr>
              <w:tab/>
              <w:t>Les coûts techniques sont basés uniquement sur les dépenses d'exploitation, conformément au modèle de l'</w:t>
            </w:r>
            <w:proofErr w:type="spellStart"/>
            <w:r w:rsidRPr="00E31467">
              <w:rPr>
                <w:sz w:val="18"/>
                <w:szCs w:val="20"/>
              </w:rPr>
              <w:t>ONUG</w:t>
            </w:r>
            <w:proofErr w:type="spellEnd"/>
            <w:r w:rsidRPr="00E31467">
              <w:rPr>
                <w:sz w:val="18"/>
                <w:szCs w:val="20"/>
              </w:rPr>
              <w:t>.</w:t>
            </w:r>
          </w:p>
          <w:p w14:paraId="0F25D70E" w14:textId="77777777" w:rsidR="00896E2C" w:rsidRPr="00E31467" w:rsidRDefault="00896E2C" w:rsidP="001D5D9F">
            <w:pPr>
              <w:pStyle w:val="Tablelegend"/>
              <w:rPr>
                <w:rFonts w:eastAsia="Calibri"/>
              </w:rPr>
            </w:pPr>
            <w:r w:rsidRPr="00E31467">
              <w:rPr>
                <w:sz w:val="18"/>
                <w:szCs w:val="20"/>
              </w:rPr>
              <w:t>(5)</w:t>
            </w:r>
            <w:r w:rsidRPr="00E31467">
              <w:rPr>
                <w:sz w:val="18"/>
                <w:szCs w:val="20"/>
              </w:rPr>
              <w:tab/>
              <w:t>Les coûts de gestion des salles sont basés sur l'organisation et l'appui du personnel.</w:t>
            </w:r>
          </w:p>
        </w:tc>
      </w:tr>
    </w:tbl>
    <w:p w14:paraId="3CC9E87A" w14:textId="77777777" w:rsidR="00897553" w:rsidRPr="00E31467" w:rsidRDefault="006A11AE" w:rsidP="002D2336">
      <w:pPr>
        <w:jc w:val="center"/>
      </w:pPr>
      <w:r w:rsidRPr="00E31467">
        <w:t>______________</w:t>
      </w:r>
    </w:p>
    <w:sectPr w:rsidR="00897553" w:rsidRPr="00E31467" w:rsidSect="00D72F49">
      <w:headerReference w:type="even" r:id="rId28"/>
      <w:footerReference w:type="even" r:id="rId29"/>
      <w:footerReference w:type="default" r:id="rId30"/>
      <w:headerReference w:type="first" r:id="rId31"/>
      <w:footerReference w:type="first" r:id="rId3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CF4F" w14:textId="77777777" w:rsidR="0052480D" w:rsidRDefault="0052480D">
      <w:r>
        <w:separator/>
      </w:r>
    </w:p>
  </w:endnote>
  <w:endnote w:type="continuationSeparator" w:id="0">
    <w:p w14:paraId="65D8ED61" w14:textId="77777777" w:rsidR="0052480D" w:rsidRDefault="0052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D76D" w14:textId="2655A506" w:rsidR="00732045" w:rsidRPr="00A0207D" w:rsidRDefault="00271321">
    <w:pPr>
      <w:pStyle w:val="Footer"/>
      <w:rPr>
        <w:lang w:val="it-IT"/>
      </w:rPr>
    </w:pPr>
    <w:r>
      <w:fldChar w:fldCharType="begin"/>
    </w:r>
    <w:r w:rsidRPr="00A0207D">
      <w:rPr>
        <w:lang w:val="it-IT"/>
      </w:rPr>
      <w:instrText xml:space="preserve"> FILENAME \p \* MERGEFORMAT </w:instrText>
    </w:r>
    <w:r>
      <w:fldChar w:fldCharType="separate"/>
    </w:r>
    <w:r w:rsidR="00F7685F">
      <w:rPr>
        <w:lang w:val="it-IT"/>
      </w:rPr>
      <w:t>https://ituint-my.sharepoint.com/personal/mathilde_froehly_itu_int/Documents/Desktop/2600732F.docx</w:t>
    </w:r>
    <w:r>
      <w:fldChar w:fldCharType="end"/>
    </w:r>
    <w:r w:rsidR="00732045" w:rsidRPr="00A0207D">
      <w:rPr>
        <w:lang w:val="it-IT"/>
      </w:rPr>
      <w:tab/>
    </w:r>
    <w:r w:rsidR="002F1B76">
      <w:fldChar w:fldCharType="begin"/>
    </w:r>
    <w:r w:rsidR="00732045">
      <w:instrText xml:space="preserve"> savedate \@ dd.MM.yy </w:instrText>
    </w:r>
    <w:r w:rsidR="002F1B76">
      <w:fldChar w:fldCharType="separate"/>
    </w:r>
    <w:r w:rsidR="00AC43DC">
      <w:t>21.04.26</w:t>
    </w:r>
    <w:r w:rsidR="002F1B76">
      <w:fldChar w:fldCharType="end"/>
    </w:r>
    <w:r w:rsidR="00732045" w:rsidRPr="00A0207D">
      <w:rPr>
        <w:lang w:val="it-IT"/>
      </w:rPr>
      <w:tab/>
    </w:r>
    <w:r w:rsidR="002F1B76">
      <w:fldChar w:fldCharType="begin"/>
    </w:r>
    <w:r w:rsidR="00732045">
      <w:instrText xml:space="preserve"> printdate \@ dd.MM.yy </w:instrText>
    </w:r>
    <w:r w:rsidR="002F1B76">
      <w:fldChar w:fldCharType="separate"/>
    </w:r>
    <w:r w:rsidR="00F7685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861253B" w14:textId="77777777" w:rsidTr="00E31DCE">
      <w:trPr>
        <w:jc w:val="center"/>
      </w:trPr>
      <w:tc>
        <w:tcPr>
          <w:tcW w:w="1803" w:type="dxa"/>
          <w:vAlign w:val="center"/>
        </w:tcPr>
        <w:p w14:paraId="0843ED4E" w14:textId="012873F5" w:rsidR="00A51849" w:rsidRDefault="001A686C" w:rsidP="00A51849">
          <w:pPr>
            <w:pStyle w:val="Header"/>
            <w:jc w:val="left"/>
            <w:rPr>
              <w:noProof/>
            </w:rPr>
          </w:pPr>
          <w:r>
            <w:rPr>
              <w:noProof/>
            </w:rPr>
            <w:t>2600</w:t>
          </w:r>
          <w:r w:rsidR="00896E2C">
            <w:rPr>
              <w:noProof/>
            </w:rPr>
            <w:t>732</w:t>
          </w:r>
        </w:p>
      </w:tc>
      <w:tc>
        <w:tcPr>
          <w:tcW w:w="8261" w:type="dxa"/>
        </w:tcPr>
        <w:p w14:paraId="30F37F23" w14:textId="59BB081D"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896E2C">
            <w:rPr>
              <w:bCs/>
            </w:rPr>
            <w:t>65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1DDEEC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00B96F9" w14:textId="77777777" w:rsidTr="00E31DCE">
      <w:trPr>
        <w:jc w:val="center"/>
      </w:trPr>
      <w:tc>
        <w:tcPr>
          <w:tcW w:w="1803" w:type="dxa"/>
          <w:vAlign w:val="center"/>
        </w:tcPr>
        <w:p w14:paraId="48967D59"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0538B15" w14:textId="31540D7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DB68EE">
            <w:rPr>
              <w:bCs/>
            </w:rPr>
            <w:t>65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7AB88F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D5DA" w14:textId="77777777" w:rsidR="0052480D" w:rsidRDefault="0052480D">
      <w:r>
        <w:t>____________________</w:t>
      </w:r>
    </w:p>
  </w:footnote>
  <w:footnote w:type="continuationSeparator" w:id="0">
    <w:p w14:paraId="39D23026" w14:textId="77777777" w:rsidR="0052480D" w:rsidRDefault="0052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2FB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C515F2A"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F8F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6C"/>
    <w:rsid w:val="0001153D"/>
    <w:rsid w:val="00051CF0"/>
    <w:rsid w:val="00052D97"/>
    <w:rsid w:val="00076A2C"/>
    <w:rsid w:val="000D0D0A"/>
    <w:rsid w:val="000F6D66"/>
    <w:rsid w:val="00100267"/>
    <w:rsid w:val="00103163"/>
    <w:rsid w:val="00106B19"/>
    <w:rsid w:val="001133EF"/>
    <w:rsid w:val="00115D93"/>
    <w:rsid w:val="001247A8"/>
    <w:rsid w:val="001342E0"/>
    <w:rsid w:val="001370B2"/>
    <w:rsid w:val="001378C0"/>
    <w:rsid w:val="001658F9"/>
    <w:rsid w:val="0018694A"/>
    <w:rsid w:val="0019129B"/>
    <w:rsid w:val="001A3287"/>
    <w:rsid w:val="001A6508"/>
    <w:rsid w:val="001A686C"/>
    <w:rsid w:val="001D4C31"/>
    <w:rsid w:val="001D5D9F"/>
    <w:rsid w:val="001E4D21"/>
    <w:rsid w:val="00201127"/>
    <w:rsid w:val="00207CD1"/>
    <w:rsid w:val="00226657"/>
    <w:rsid w:val="002477A2"/>
    <w:rsid w:val="00263A51"/>
    <w:rsid w:val="00263B29"/>
    <w:rsid w:val="00267E02"/>
    <w:rsid w:val="0027108C"/>
    <w:rsid w:val="00271321"/>
    <w:rsid w:val="00277DEA"/>
    <w:rsid w:val="002A5D44"/>
    <w:rsid w:val="002C3F32"/>
    <w:rsid w:val="002C4E3D"/>
    <w:rsid w:val="002D2336"/>
    <w:rsid w:val="002E0BC4"/>
    <w:rsid w:val="002F1B76"/>
    <w:rsid w:val="00320242"/>
    <w:rsid w:val="0033568E"/>
    <w:rsid w:val="00355FF5"/>
    <w:rsid w:val="00361350"/>
    <w:rsid w:val="00392632"/>
    <w:rsid w:val="003C3FAE"/>
    <w:rsid w:val="003D76DA"/>
    <w:rsid w:val="004038CB"/>
    <w:rsid w:val="0040546F"/>
    <w:rsid w:val="004177BD"/>
    <w:rsid w:val="0042404A"/>
    <w:rsid w:val="0044618F"/>
    <w:rsid w:val="00465C35"/>
    <w:rsid w:val="0046769A"/>
    <w:rsid w:val="00475FB3"/>
    <w:rsid w:val="004C37A9"/>
    <w:rsid w:val="004D1D50"/>
    <w:rsid w:val="004F259E"/>
    <w:rsid w:val="004F633A"/>
    <w:rsid w:val="00503084"/>
    <w:rsid w:val="00504C7F"/>
    <w:rsid w:val="00511F1D"/>
    <w:rsid w:val="00513033"/>
    <w:rsid w:val="00520F36"/>
    <w:rsid w:val="0052480D"/>
    <w:rsid w:val="00524E8D"/>
    <w:rsid w:val="00534E13"/>
    <w:rsid w:val="00540615"/>
    <w:rsid w:val="00540A6D"/>
    <w:rsid w:val="00553536"/>
    <w:rsid w:val="00566679"/>
    <w:rsid w:val="00571EEA"/>
    <w:rsid w:val="00575417"/>
    <w:rsid w:val="005768E1"/>
    <w:rsid w:val="005B1938"/>
    <w:rsid w:val="005C3890"/>
    <w:rsid w:val="005C4631"/>
    <w:rsid w:val="005E0841"/>
    <w:rsid w:val="005F6926"/>
    <w:rsid w:val="005F7BFE"/>
    <w:rsid w:val="00600017"/>
    <w:rsid w:val="00602682"/>
    <w:rsid w:val="006235CA"/>
    <w:rsid w:val="0062366E"/>
    <w:rsid w:val="00627AD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6E2C"/>
    <w:rsid w:val="00897553"/>
    <w:rsid w:val="008A4E87"/>
    <w:rsid w:val="008D76E6"/>
    <w:rsid w:val="00917E24"/>
    <w:rsid w:val="00921C79"/>
    <w:rsid w:val="0092392D"/>
    <w:rsid w:val="0093234A"/>
    <w:rsid w:val="00933B22"/>
    <w:rsid w:val="00956A78"/>
    <w:rsid w:val="0097363B"/>
    <w:rsid w:val="00973F53"/>
    <w:rsid w:val="00975C8B"/>
    <w:rsid w:val="009813D9"/>
    <w:rsid w:val="0098348E"/>
    <w:rsid w:val="009A6BAA"/>
    <w:rsid w:val="009A76A8"/>
    <w:rsid w:val="009C307F"/>
    <w:rsid w:val="009C353C"/>
    <w:rsid w:val="009C7DC8"/>
    <w:rsid w:val="009D5955"/>
    <w:rsid w:val="009E48C1"/>
    <w:rsid w:val="009F0FB8"/>
    <w:rsid w:val="009F309D"/>
    <w:rsid w:val="00A01F4F"/>
    <w:rsid w:val="00A0207D"/>
    <w:rsid w:val="00A109AF"/>
    <w:rsid w:val="00A125FB"/>
    <w:rsid w:val="00A2113E"/>
    <w:rsid w:val="00A23A51"/>
    <w:rsid w:val="00A24607"/>
    <w:rsid w:val="00A25CD3"/>
    <w:rsid w:val="00A51849"/>
    <w:rsid w:val="00A709FE"/>
    <w:rsid w:val="00A73C60"/>
    <w:rsid w:val="00A82767"/>
    <w:rsid w:val="00AA332F"/>
    <w:rsid w:val="00AA7BBB"/>
    <w:rsid w:val="00AB2306"/>
    <w:rsid w:val="00AB578E"/>
    <w:rsid w:val="00AB64A8"/>
    <w:rsid w:val="00AC0266"/>
    <w:rsid w:val="00AC0F1D"/>
    <w:rsid w:val="00AC43DC"/>
    <w:rsid w:val="00AD24EC"/>
    <w:rsid w:val="00AE3873"/>
    <w:rsid w:val="00B27B00"/>
    <w:rsid w:val="00B309F9"/>
    <w:rsid w:val="00B32B60"/>
    <w:rsid w:val="00B51005"/>
    <w:rsid w:val="00B61619"/>
    <w:rsid w:val="00B95160"/>
    <w:rsid w:val="00BB38C1"/>
    <w:rsid w:val="00BB4545"/>
    <w:rsid w:val="00BC2B80"/>
    <w:rsid w:val="00BD5873"/>
    <w:rsid w:val="00BD653D"/>
    <w:rsid w:val="00BF4B60"/>
    <w:rsid w:val="00C049D7"/>
    <w:rsid w:val="00C04BE3"/>
    <w:rsid w:val="00C25D29"/>
    <w:rsid w:val="00C2625E"/>
    <w:rsid w:val="00C27A7C"/>
    <w:rsid w:val="00C42437"/>
    <w:rsid w:val="00CA08ED"/>
    <w:rsid w:val="00CA592C"/>
    <w:rsid w:val="00CC6EAA"/>
    <w:rsid w:val="00CE01A7"/>
    <w:rsid w:val="00CE5172"/>
    <w:rsid w:val="00CF0534"/>
    <w:rsid w:val="00CF183B"/>
    <w:rsid w:val="00D375CD"/>
    <w:rsid w:val="00D37B53"/>
    <w:rsid w:val="00D553A2"/>
    <w:rsid w:val="00D72F49"/>
    <w:rsid w:val="00D774D3"/>
    <w:rsid w:val="00D904E8"/>
    <w:rsid w:val="00D91D9A"/>
    <w:rsid w:val="00DA08C3"/>
    <w:rsid w:val="00DB5A3E"/>
    <w:rsid w:val="00DB68EE"/>
    <w:rsid w:val="00DC22AA"/>
    <w:rsid w:val="00DD1A99"/>
    <w:rsid w:val="00DE62C6"/>
    <w:rsid w:val="00DF74DD"/>
    <w:rsid w:val="00E25AD0"/>
    <w:rsid w:val="00E31467"/>
    <w:rsid w:val="00E4428F"/>
    <w:rsid w:val="00E4448E"/>
    <w:rsid w:val="00E47427"/>
    <w:rsid w:val="00E9332E"/>
    <w:rsid w:val="00E93668"/>
    <w:rsid w:val="00E95647"/>
    <w:rsid w:val="00EB6350"/>
    <w:rsid w:val="00ED799B"/>
    <w:rsid w:val="00F14E20"/>
    <w:rsid w:val="00F15B57"/>
    <w:rsid w:val="00F35EF4"/>
    <w:rsid w:val="00F37FE5"/>
    <w:rsid w:val="00F427DB"/>
    <w:rsid w:val="00F7685F"/>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E771B"/>
  <w15:docId w15:val="{6F9D6E37-10E3-454B-8F5B-2FCC3FF8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D91D9A"/>
    <w:pPr>
      <w:framePr w:hSpace="181" w:wrap="around" w:vAnchor="page" w:hAnchor="page" w:x="1589" w:y="2314"/>
      <w:spacing w:before="840"/>
    </w:pPr>
    <w:rPr>
      <w:rFonts w:cstheme="minorHAnsi"/>
      <w:b/>
      <w:bCs/>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896E2C"/>
    <w:rPr>
      <w:sz w:val="16"/>
      <w:szCs w:val="16"/>
    </w:rPr>
  </w:style>
  <w:style w:type="paragraph" w:styleId="CommentText">
    <w:name w:val="annotation text"/>
    <w:basedOn w:val="Normal"/>
    <w:link w:val="CommentTextChar"/>
    <w:semiHidden/>
    <w:unhideWhenUsed/>
    <w:rsid w:val="00896E2C"/>
    <w:rPr>
      <w:sz w:val="20"/>
    </w:rPr>
  </w:style>
  <w:style w:type="character" w:customStyle="1" w:styleId="CommentTextChar">
    <w:name w:val="Comment Text Char"/>
    <w:basedOn w:val="DefaultParagraphFont"/>
    <w:link w:val="CommentText"/>
    <w:semiHidden/>
    <w:rsid w:val="00896E2C"/>
    <w:rPr>
      <w:rFonts w:ascii="Calibri" w:hAnsi="Calibri"/>
      <w:lang w:val="fr-FR" w:eastAsia="en-US"/>
    </w:rPr>
  </w:style>
  <w:style w:type="paragraph" w:styleId="CommentSubject">
    <w:name w:val="annotation subject"/>
    <w:basedOn w:val="CommentText"/>
    <w:next w:val="CommentText"/>
    <w:link w:val="CommentSubjectChar"/>
    <w:semiHidden/>
    <w:unhideWhenUsed/>
    <w:rsid w:val="00896E2C"/>
    <w:rPr>
      <w:b/>
      <w:bCs/>
    </w:rPr>
  </w:style>
  <w:style w:type="character" w:customStyle="1" w:styleId="CommentSubjectChar">
    <w:name w:val="Comment Subject Char"/>
    <w:basedOn w:val="CommentTextChar"/>
    <w:link w:val="CommentSubject"/>
    <w:semiHidden/>
    <w:rsid w:val="00896E2C"/>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36109">
      <w:bodyDiv w:val="1"/>
      <w:marLeft w:val="0"/>
      <w:marRight w:val="0"/>
      <w:marTop w:val="0"/>
      <w:marBottom w:val="0"/>
      <w:divBdr>
        <w:top w:val="none" w:sz="0" w:space="0" w:color="auto"/>
        <w:left w:val="none" w:sz="0" w:space="0" w:color="auto"/>
        <w:bottom w:val="none" w:sz="0" w:space="0" w:color="auto"/>
        <w:right w:val="none" w:sz="0" w:space="0" w:color="auto"/>
      </w:divBdr>
    </w:div>
    <w:div w:id="883251931">
      <w:bodyDiv w:val="1"/>
      <w:marLeft w:val="0"/>
      <w:marRight w:val="0"/>
      <w:marTop w:val="0"/>
      <w:marBottom w:val="0"/>
      <w:divBdr>
        <w:top w:val="none" w:sz="0" w:space="0" w:color="auto"/>
        <w:left w:val="none" w:sz="0" w:space="0" w:color="auto"/>
        <w:bottom w:val="none" w:sz="0" w:space="0" w:color="auto"/>
        <w:right w:val="none" w:sz="0" w:space="0" w:color="auto"/>
      </w:divBdr>
    </w:div>
    <w:div w:id="189570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WGFHR20-C-0032/fr" TargetMode="External"/><Relationship Id="rId18" Type="http://schemas.openxmlformats.org/officeDocument/2006/relationships/hyperlink" Target="https://www.itu.int/md/S26-CWGFHR22-C-0036/fr" TargetMode="External"/><Relationship Id="rId26" Type="http://schemas.openxmlformats.org/officeDocument/2006/relationships/hyperlink" Target="https://www.itu.int/md/S26-CL-C-0042/fr" TargetMode="External"/><Relationship Id="rId3" Type="http://schemas.openxmlformats.org/officeDocument/2006/relationships/styles" Target="styles.xml"/><Relationship Id="rId21" Type="http://schemas.openxmlformats.org/officeDocument/2006/relationships/hyperlink" Target="https://www.itu.int/md/S25-SG-CIR-0038/f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4-CL-C-0132/fr" TargetMode="External"/><Relationship Id="rId17" Type="http://schemas.openxmlformats.org/officeDocument/2006/relationships/hyperlink" Target="https://www.itu.int/md/S26-CWGFHR22-C-0013/fr" TargetMode="External"/><Relationship Id="rId25" Type="http://schemas.openxmlformats.org/officeDocument/2006/relationships/hyperlink" Target="https://www.itu.int/md/S25-CL-C-0118/f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5-CWGFHR21-INF-0004/fr" TargetMode="External"/><Relationship Id="rId20" Type="http://schemas.openxmlformats.org/officeDocument/2006/relationships/hyperlink" Target="https://www.itu.int/en/council/Documents/basic-texts-2023/RES-005-F.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WGFHR20-C-0009/fr" TargetMode="External"/><Relationship Id="rId24" Type="http://schemas.openxmlformats.org/officeDocument/2006/relationships/hyperlink" Target="https://www.itu.int/md/S26-CWGFHR22-C-0023/fr"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md/S25-CWGFHR21-C-0025/fr" TargetMode="External"/><Relationship Id="rId23" Type="http://schemas.openxmlformats.org/officeDocument/2006/relationships/hyperlink" Target="https://www.itu.int/md/S26-CL-C-0007/fr" TargetMode="External"/><Relationship Id="rId28" Type="http://schemas.openxmlformats.org/officeDocument/2006/relationships/header" Target="header1.xml"/><Relationship Id="rId10" Type="http://schemas.openxmlformats.org/officeDocument/2006/relationships/hyperlink" Target="https://www.itu.int/md/S26-CL-C-0042/fr" TargetMode="External"/><Relationship Id="rId19" Type="http://schemas.openxmlformats.org/officeDocument/2006/relationships/hyperlink" Target="https://www.itu.int/md/S26-CL-C-0002/f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S26-CL-C-0007/fr" TargetMode="External"/><Relationship Id="rId14" Type="http://schemas.openxmlformats.org/officeDocument/2006/relationships/hyperlink" Target="https://www.itu.int/md/S25-CWGFHR21-C-0010/fr" TargetMode="External"/><Relationship Id="rId22" Type="http://schemas.openxmlformats.org/officeDocument/2006/relationships/hyperlink" Target="https://www.itu.int/en/general-secretariat/ICT-Services/remoteparticipation/Pages/default.aspx" TargetMode="External"/><Relationship Id="rId27" Type="http://schemas.openxmlformats.org/officeDocument/2006/relationships/hyperlink" Target="https://www.itu.int/md/S26-CL-C-0007/fr" TargetMode="External"/><Relationship Id="rId30" Type="http://schemas.openxmlformats.org/officeDocument/2006/relationships/footer" Target="footer2.xml"/><Relationship Id="rId8" Type="http://schemas.openxmlformats.org/officeDocument/2006/relationships/hyperlink" Target="https://www.itu.int/md/S26-CWGFHR22-C-0013/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A50A-6578-4567-B521-99ACACF8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20</TotalTime>
  <Pages>11</Pages>
  <Words>4806</Words>
  <Characters>24885</Characters>
  <Application>Microsoft Office Word</Application>
  <DocSecurity>0</DocSecurity>
  <Lines>2488</Lines>
  <Paragraphs>1855</Paragraphs>
  <ScaleCrop>false</ScaleCrop>
  <HeadingPairs>
    <vt:vector size="2" baseType="variant">
      <vt:variant>
        <vt:lpstr>Title</vt:lpstr>
      </vt:variant>
      <vt:variant>
        <vt:i4>1</vt:i4>
      </vt:variant>
    </vt:vector>
  </HeadingPairs>
  <TitlesOfParts>
    <vt:vector size="1" baseType="lpstr">
      <vt:lpstr>Point sur la continuité des activités pendant la période de construction du nouveau bâtiment de l'UIT</vt:lpstr>
    </vt:vector>
  </TitlesOfParts>
  <Manager>Secrétariat général - Pool</Manager>
  <Company>Union internationale des télécommunications (UIT)</Company>
  <LinksUpToDate>false</LinksUpToDate>
  <CharactersWithSpaces>27836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sur la continuité des activités pendant la période de construction du nouveau bâtiment de l'UIT</dc:title>
  <dc:subject>Conseil 2026 de l'UIT</dc:subject>
  <cp:keywords>C26; C2026; Council 2026; PP26</cp:keywords>
  <dc:description/>
  <cp:lastPrinted>2000-07-18T08:55:00Z</cp:lastPrinted>
  <dcterms:created xsi:type="dcterms:W3CDTF">2026-04-22T11:36:00Z</dcterms:created>
  <dcterms:modified xsi:type="dcterms:W3CDTF">2026-04-22T11:41:00Z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