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6A4F2D" w14:paraId="34BF09DB" w14:textId="77777777" w:rsidTr="00C4421B">
        <w:trPr>
          <w:cantSplit/>
          <w:trHeight w:val="23"/>
        </w:trPr>
        <w:tc>
          <w:tcPr>
            <w:tcW w:w="3969" w:type="dxa"/>
            <w:vMerge w:val="restart"/>
            <w:tcMar>
              <w:left w:w="0" w:type="dxa"/>
            </w:tcMar>
          </w:tcPr>
          <w:p w14:paraId="31B53A65" w14:textId="77777777" w:rsidR="00FE57F6" w:rsidRPr="006A4F2D" w:rsidRDefault="00CC1FAF" w:rsidP="00C4421B">
            <w:pPr>
              <w:tabs>
                <w:tab w:val="left" w:pos="851"/>
              </w:tabs>
              <w:spacing w:before="0" w:line="240" w:lineRule="atLeast"/>
              <w:rPr>
                <w:b/>
                <w:lang w:val="es-ES_tradnl"/>
              </w:rPr>
            </w:pPr>
            <w:bookmarkStart w:id="0" w:name="_Hlk133421839"/>
            <w:r w:rsidRPr="006A4F2D">
              <w:rPr>
                <w:b/>
                <w:lang w:val="es-ES_tradnl"/>
              </w:rPr>
              <w:t>Punto del o</w:t>
            </w:r>
            <w:r w:rsidR="00BB6FD8" w:rsidRPr="006A4F2D">
              <w:rPr>
                <w:b/>
                <w:lang w:val="es-ES_tradnl"/>
              </w:rPr>
              <w:t>rden del día</w:t>
            </w:r>
            <w:r w:rsidR="00FE57F6" w:rsidRPr="006A4F2D">
              <w:rPr>
                <w:b/>
                <w:lang w:val="es-ES_tradnl"/>
              </w:rPr>
              <w:t xml:space="preserve">: </w:t>
            </w:r>
          </w:p>
        </w:tc>
        <w:tc>
          <w:tcPr>
            <w:tcW w:w="5245" w:type="dxa"/>
          </w:tcPr>
          <w:p w14:paraId="108E0E16" w14:textId="5A5F8E08" w:rsidR="00FE57F6" w:rsidRPr="006A4F2D" w:rsidRDefault="00FE57F6" w:rsidP="00C4421B">
            <w:pPr>
              <w:tabs>
                <w:tab w:val="left" w:pos="851"/>
              </w:tabs>
              <w:spacing w:before="0" w:line="240" w:lineRule="atLeast"/>
              <w:jc w:val="right"/>
              <w:rPr>
                <w:b/>
                <w:lang w:val="es-ES_tradnl"/>
              </w:rPr>
            </w:pPr>
            <w:r w:rsidRPr="006A4F2D">
              <w:rPr>
                <w:b/>
                <w:lang w:val="es-ES_tradnl"/>
              </w:rPr>
              <w:t>Document</w:t>
            </w:r>
            <w:r w:rsidR="00F24B71" w:rsidRPr="006A4F2D">
              <w:rPr>
                <w:b/>
                <w:lang w:val="es-ES_tradnl"/>
              </w:rPr>
              <w:t>o</w:t>
            </w:r>
            <w:r w:rsidRPr="006A4F2D">
              <w:rPr>
                <w:b/>
                <w:lang w:val="es-ES_tradnl"/>
              </w:rPr>
              <w:t xml:space="preserve"> </w:t>
            </w:r>
            <w:proofErr w:type="spellStart"/>
            <w:r w:rsidRPr="006A4F2D">
              <w:rPr>
                <w:b/>
                <w:lang w:val="es-ES_tradnl"/>
              </w:rPr>
              <w:t>C2</w:t>
            </w:r>
            <w:r w:rsidR="00F85E5C" w:rsidRPr="006A4F2D">
              <w:rPr>
                <w:b/>
                <w:lang w:val="es-ES_tradnl"/>
              </w:rPr>
              <w:t>6</w:t>
            </w:r>
            <w:proofErr w:type="spellEnd"/>
            <w:r w:rsidRPr="006A4F2D">
              <w:rPr>
                <w:b/>
                <w:lang w:val="es-ES_tradnl"/>
              </w:rPr>
              <w:t>/</w:t>
            </w:r>
            <w:r w:rsidR="009A0C46" w:rsidRPr="006A4F2D">
              <w:rPr>
                <w:b/>
                <w:lang w:val="es-ES_tradnl"/>
              </w:rPr>
              <w:t>64</w:t>
            </w:r>
            <w:r w:rsidRPr="006A4F2D">
              <w:rPr>
                <w:b/>
                <w:lang w:val="es-ES_tradnl"/>
              </w:rPr>
              <w:t>-</w:t>
            </w:r>
            <w:r w:rsidR="00F24B71" w:rsidRPr="006A4F2D">
              <w:rPr>
                <w:b/>
                <w:lang w:val="es-ES_tradnl"/>
              </w:rPr>
              <w:t>S</w:t>
            </w:r>
          </w:p>
        </w:tc>
      </w:tr>
      <w:tr w:rsidR="00FE57F6" w:rsidRPr="006A4F2D" w14:paraId="7961D783" w14:textId="77777777" w:rsidTr="00C4421B">
        <w:trPr>
          <w:cantSplit/>
        </w:trPr>
        <w:tc>
          <w:tcPr>
            <w:tcW w:w="3969" w:type="dxa"/>
            <w:vMerge/>
          </w:tcPr>
          <w:p w14:paraId="1FE9E250" w14:textId="77777777" w:rsidR="00FE57F6" w:rsidRPr="006A4F2D" w:rsidRDefault="00FE57F6" w:rsidP="00C4421B">
            <w:pPr>
              <w:tabs>
                <w:tab w:val="left" w:pos="851"/>
              </w:tabs>
              <w:spacing w:line="240" w:lineRule="atLeast"/>
              <w:rPr>
                <w:b/>
                <w:lang w:val="es-ES_tradnl"/>
              </w:rPr>
            </w:pPr>
          </w:p>
        </w:tc>
        <w:tc>
          <w:tcPr>
            <w:tcW w:w="5245" w:type="dxa"/>
          </w:tcPr>
          <w:p w14:paraId="6A9BE30A" w14:textId="77BB8EDD" w:rsidR="00FE57F6" w:rsidRPr="006A4F2D" w:rsidRDefault="009A0C46" w:rsidP="00C4421B">
            <w:pPr>
              <w:tabs>
                <w:tab w:val="left" w:pos="851"/>
              </w:tabs>
              <w:spacing w:before="0"/>
              <w:jc w:val="right"/>
              <w:rPr>
                <w:b/>
                <w:lang w:val="es-ES_tradnl"/>
              </w:rPr>
            </w:pPr>
            <w:r w:rsidRPr="006A4F2D">
              <w:rPr>
                <w:b/>
                <w:lang w:val="es-ES_tradnl"/>
              </w:rPr>
              <w:t>30 de marzo de 2026</w:t>
            </w:r>
          </w:p>
        </w:tc>
      </w:tr>
      <w:tr w:rsidR="00FE57F6" w:rsidRPr="006A4F2D" w14:paraId="55B54906" w14:textId="77777777" w:rsidTr="00C4421B">
        <w:trPr>
          <w:cantSplit/>
          <w:trHeight w:val="23"/>
        </w:trPr>
        <w:tc>
          <w:tcPr>
            <w:tcW w:w="3969" w:type="dxa"/>
            <w:vMerge/>
          </w:tcPr>
          <w:p w14:paraId="3995B779" w14:textId="77777777" w:rsidR="00FE57F6" w:rsidRPr="006A4F2D" w:rsidRDefault="00FE57F6" w:rsidP="00C4421B">
            <w:pPr>
              <w:tabs>
                <w:tab w:val="left" w:pos="851"/>
              </w:tabs>
              <w:spacing w:line="240" w:lineRule="atLeast"/>
              <w:rPr>
                <w:b/>
                <w:lang w:val="es-ES_tradnl"/>
              </w:rPr>
            </w:pPr>
          </w:p>
        </w:tc>
        <w:tc>
          <w:tcPr>
            <w:tcW w:w="5245" w:type="dxa"/>
          </w:tcPr>
          <w:p w14:paraId="3FAC729A" w14:textId="77777777" w:rsidR="00FE57F6" w:rsidRPr="006A4F2D" w:rsidRDefault="00F24B71" w:rsidP="00C4421B">
            <w:pPr>
              <w:tabs>
                <w:tab w:val="left" w:pos="851"/>
              </w:tabs>
              <w:spacing w:before="0" w:line="240" w:lineRule="atLeast"/>
              <w:jc w:val="right"/>
              <w:rPr>
                <w:b/>
                <w:bCs/>
                <w:lang w:val="es-ES_tradnl"/>
              </w:rPr>
            </w:pPr>
            <w:r w:rsidRPr="006A4F2D">
              <w:rPr>
                <w:rFonts w:cstheme="minorHAnsi"/>
                <w:b/>
                <w:bCs/>
                <w:lang w:val="es-ES_tradnl"/>
              </w:rPr>
              <w:t>Original: inglés</w:t>
            </w:r>
          </w:p>
        </w:tc>
      </w:tr>
      <w:tr w:rsidR="00FE57F6" w:rsidRPr="006A4F2D" w14:paraId="6C3E4294" w14:textId="77777777" w:rsidTr="00C4421B">
        <w:trPr>
          <w:cantSplit/>
          <w:trHeight w:val="23"/>
        </w:trPr>
        <w:tc>
          <w:tcPr>
            <w:tcW w:w="3969" w:type="dxa"/>
          </w:tcPr>
          <w:p w14:paraId="26BF452C" w14:textId="77777777" w:rsidR="00FE57F6" w:rsidRPr="006A4F2D" w:rsidRDefault="00FE57F6" w:rsidP="00C4421B">
            <w:pPr>
              <w:tabs>
                <w:tab w:val="left" w:pos="851"/>
              </w:tabs>
              <w:spacing w:line="240" w:lineRule="atLeast"/>
              <w:rPr>
                <w:b/>
                <w:lang w:val="es-ES_tradnl"/>
              </w:rPr>
            </w:pPr>
          </w:p>
        </w:tc>
        <w:tc>
          <w:tcPr>
            <w:tcW w:w="5245" w:type="dxa"/>
          </w:tcPr>
          <w:p w14:paraId="12CD623C" w14:textId="77777777" w:rsidR="00FE57F6" w:rsidRPr="006A4F2D" w:rsidRDefault="00FE57F6" w:rsidP="00C4421B">
            <w:pPr>
              <w:tabs>
                <w:tab w:val="left" w:pos="851"/>
              </w:tabs>
              <w:spacing w:before="0" w:line="240" w:lineRule="atLeast"/>
              <w:jc w:val="right"/>
              <w:rPr>
                <w:b/>
                <w:lang w:val="es-ES_tradnl"/>
              </w:rPr>
            </w:pPr>
          </w:p>
        </w:tc>
      </w:tr>
      <w:tr w:rsidR="00FE57F6" w:rsidRPr="006A4F2D" w14:paraId="5FA259AB" w14:textId="77777777" w:rsidTr="00C4421B">
        <w:trPr>
          <w:cantSplit/>
        </w:trPr>
        <w:tc>
          <w:tcPr>
            <w:tcW w:w="9214" w:type="dxa"/>
            <w:gridSpan w:val="2"/>
            <w:tcMar>
              <w:left w:w="0" w:type="dxa"/>
            </w:tcMar>
          </w:tcPr>
          <w:p w14:paraId="2B8D1D1B" w14:textId="77777777" w:rsidR="00FE57F6" w:rsidRPr="006A4F2D" w:rsidRDefault="00157AC4" w:rsidP="0059534D">
            <w:pPr>
              <w:pStyle w:val="Source"/>
              <w:framePr w:hSpace="0" w:wrap="auto" w:vAnchor="margin" w:hAnchor="text" w:xAlign="left" w:yAlign="inline"/>
              <w:rPr>
                <w:lang w:val="es-ES_tradnl"/>
              </w:rPr>
            </w:pPr>
            <w:r w:rsidRPr="006A4F2D">
              <w:rPr>
                <w:lang w:val="es-ES_tradnl"/>
              </w:rPr>
              <w:t>Informe de la Secretaria General</w:t>
            </w:r>
          </w:p>
        </w:tc>
      </w:tr>
      <w:tr w:rsidR="00FE57F6" w:rsidRPr="006A4F2D" w14:paraId="06E429D4" w14:textId="77777777" w:rsidTr="00C4421B">
        <w:trPr>
          <w:cantSplit/>
        </w:trPr>
        <w:tc>
          <w:tcPr>
            <w:tcW w:w="9214" w:type="dxa"/>
            <w:gridSpan w:val="2"/>
            <w:tcMar>
              <w:left w:w="0" w:type="dxa"/>
            </w:tcMar>
          </w:tcPr>
          <w:p w14:paraId="7256CC2F" w14:textId="5EFC3D10" w:rsidR="00FE57F6" w:rsidRPr="006A4F2D" w:rsidRDefault="007C1D6A" w:rsidP="0059534D">
            <w:pPr>
              <w:pStyle w:val="Subtitle"/>
              <w:framePr w:hSpace="0" w:wrap="auto" w:vAnchor="margin" w:hAnchor="text" w:xAlign="left" w:yAlign="inline"/>
              <w:rPr>
                <w:lang w:val="es-ES_tradnl"/>
              </w:rPr>
            </w:pPr>
            <w:r w:rsidRPr="006A4F2D">
              <w:rPr>
                <w:lang w:val="es-ES_tradnl"/>
              </w:rPr>
              <w:t>ACTIVIDADES PARA GARANTIZAR LAS TELECOMUNICACIONES HUMANITARIAS EN SITUACIONES DE CONFLICTO O CATÁSTROFE</w:t>
            </w:r>
          </w:p>
        </w:tc>
      </w:tr>
      <w:tr w:rsidR="00FE57F6" w:rsidRPr="006A4F2D" w14:paraId="450198DA" w14:textId="77777777" w:rsidTr="00C4421B">
        <w:trPr>
          <w:cantSplit/>
        </w:trPr>
        <w:tc>
          <w:tcPr>
            <w:tcW w:w="9214" w:type="dxa"/>
            <w:gridSpan w:val="2"/>
            <w:tcBorders>
              <w:top w:val="single" w:sz="4" w:space="0" w:color="auto"/>
              <w:bottom w:val="single" w:sz="4" w:space="0" w:color="auto"/>
            </w:tcBorders>
            <w:tcMar>
              <w:left w:w="0" w:type="dxa"/>
            </w:tcMar>
          </w:tcPr>
          <w:p w14:paraId="7A255C24" w14:textId="77777777" w:rsidR="00FE57F6" w:rsidRPr="006A4F2D" w:rsidRDefault="00F24B71" w:rsidP="00C4421B">
            <w:pPr>
              <w:spacing w:before="160"/>
              <w:rPr>
                <w:b/>
                <w:bCs/>
                <w:sz w:val="26"/>
                <w:szCs w:val="26"/>
                <w:lang w:val="es-ES_tradnl"/>
              </w:rPr>
            </w:pPr>
            <w:r w:rsidRPr="006A4F2D">
              <w:rPr>
                <w:b/>
                <w:bCs/>
                <w:sz w:val="26"/>
                <w:szCs w:val="26"/>
                <w:lang w:val="es-ES_tradnl"/>
              </w:rPr>
              <w:t>Finalidad</w:t>
            </w:r>
          </w:p>
          <w:p w14:paraId="064CBEC7" w14:textId="55557A6A" w:rsidR="00FE57F6" w:rsidRPr="006A4F2D" w:rsidRDefault="009A0C46" w:rsidP="007C1D6A">
            <w:pPr>
              <w:jc w:val="both"/>
              <w:rPr>
                <w:lang w:val="es-ES_tradnl"/>
              </w:rPr>
            </w:pPr>
            <w:r w:rsidRPr="006A4F2D">
              <w:rPr>
                <w:lang w:val="es-ES_tradnl"/>
              </w:rPr>
              <w:t xml:space="preserve">En este informe se presentan las actividades de la UIT </w:t>
            </w:r>
            <w:r w:rsidRPr="006A4F2D">
              <w:rPr>
                <w:lang w:val="es-ES_tradnl" w:eastAsia="ko-KR"/>
              </w:rPr>
              <w:t>para garantizar y facilitar el funcionamiento de las redes y los servicios públicos de telecomunicaciones para prestar asistencia humanitaria de base en situaciones de conflicto armado o catástrofe.</w:t>
            </w:r>
          </w:p>
          <w:p w14:paraId="493F88C5" w14:textId="77777777" w:rsidR="00FE57F6" w:rsidRPr="006A4F2D" w:rsidRDefault="00F24B71" w:rsidP="00C4421B">
            <w:pPr>
              <w:spacing w:before="160"/>
              <w:rPr>
                <w:b/>
                <w:bCs/>
                <w:sz w:val="26"/>
                <w:szCs w:val="26"/>
                <w:lang w:val="es-ES_tradnl"/>
              </w:rPr>
            </w:pPr>
            <w:r w:rsidRPr="006A4F2D">
              <w:rPr>
                <w:b/>
                <w:bCs/>
                <w:sz w:val="26"/>
                <w:szCs w:val="26"/>
                <w:lang w:val="es-ES_tradnl"/>
              </w:rPr>
              <w:t xml:space="preserve">Acción solicitada </w:t>
            </w:r>
            <w:r w:rsidR="00677A97" w:rsidRPr="006A4F2D">
              <w:rPr>
                <w:b/>
                <w:bCs/>
                <w:sz w:val="26"/>
                <w:szCs w:val="26"/>
                <w:lang w:val="es-ES_tradnl"/>
              </w:rPr>
              <w:t>al</w:t>
            </w:r>
            <w:r w:rsidRPr="006A4F2D">
              <w:rPr>
                <w:b/>
                <w:bCs/>
                <w:sz w:val="26"/>
                <w:szCs w:val="26"/>
                <w:lang w:val="es-ES_tradnl"/>
              </w:rPr>
              <w:t xml:space="preserve"> Consejo</w:t>
            </w:r>
          </w:p>
          <w:p w14:paraId="256EDB6A" w14:textId="762A05B4" w:rsidR="00F92BED" w:rsidRPr="006A4F2D" w:rsidRDefault="009A0C46" w:rsidP="009A0C46">
            <w:pPr>
              <w:rPr>
                <w:lang w:val="es-ES_tradnl"/>
              </w:rPr>
            </w:pPr>
            <w:r w:rsidRPr="006A4F2D">
              <w:rPr>
                <w:lang w:val="es-ES_tradnl"/>
              </w:rPr>
              <w:t xml:space="preserve">Se invita al Consejo a </w:t>
            </w:r>
            <w:r w:rsidRPr="006A4F2D">
              <w:rPr>
                <w:b/>
                <w:bCs/>
                <w:lang w:val="es-ES_tradnl"/>
              </w:rPr>
              <w:t xml:space="preserve">tomar nota </w:t>
            </w:r>
            <w:r w:rsidRPr="006A4F2D">
              <w:rPr>
                <w:lang w:val="es-ES_tradnl"/>
              </w:rPr>
              <w:t>del presente Informe.</w:t>
            </w:r>
          </w:p>
          <w:p w14:paraId="28E42FED" w14:textId="77777777" w:rsidR="00F92BED" w:rsidRPr="006A4F2D" w:rsidRDefault="00F92BED" w:rsidP="00C4421B">
            <w:pPr>
              <w:spacing w:before="160"/>
              <w:rPr>
                <w:b/>
                <w:bCs/>
                <w:sz w:val="26"/>
                <w:szCs w:val="26"/>
                <w:lang w:val="es-ES_tradnl"/>
              </w:rPr>
            </w:pPr>
            <w:r w:rsidRPr="006A4F2D">
              <w:rPr>
                <w:b/>
                <w:bCs/>
                <w:sz w:val="26"/>
                <w:szCs w:val="26"/>
                <w:lang w:val="es-ES_tradnl"/>
              </w:rPr>
              <w:t>Vínculo(s) pertinente(s) con el Plan Estratégico</w:t>
            </w:r>
          </w:p>
          <w:p w14:paraId="550F5656" w14:textId="4432D1BD" w:rsidR="00F92BED" w:rsidRPr="006A4F2D" w:rsidRDefault="009A0C46" w:rsidP="00C4421B">
            <w:pPr>
              <w:rPr>
                <w:lang w:val="es-ES_tradnl"/>
              </w:rPr>
            </w:pPr>
            <w:r w:rsidRPr="006A4F2D">
              <w:rPr>
                <w:szCs w:val="24"/>
                <w:lang w:val="es-ES_tradnl"/>
              </w:rPr>
              <w:t>Asociaciones y cooperación internacional.</w:t>
            </w:r>
          </w:p>
          <w:p w14:paraId="487006C5" w14:textId="77777777" w:rsidR="00F92BED" w:rsidRPr="006A4F2D" w:rsidRDefault="00F92BED" w:rsidP="00C4421B">
            <w:pPr>
              <w:spacing w:before="160"/>
              <w:rPr>
                <w:b/>
                <w:bCs/>
                <w:sz w:val="26"/>
                <w:szCs w:val="26"/>
                <w:lang w:val="es-ES_tradnl"/>
              </w:rPr>
            </w:pPr>
            <w:r w:rsidRPr="006A4F2D">
              <w:rPr>
                <w:b/>
                <w:bCs/>
                <w:sz w:val="26"/>
                <w:szCs w:val="26"/>
                <w:lang w:val="es-ES_tradnl"/>
              </w:rPr>
              <w:t>Repercusiones financieras</w:t>
            </w:r>
          </w:p>
          <w:p w14:paraId="0CC09221" w14:textId="4AC623AC" w:rsidR="00F92BED" w:rsidRPr="006A4F2D" w:rsidRDefault="009A0C46" w:rsidP="00C4421B">
            <w:pPr>
              <w:rPr>
                <w:lang w:val="es-ES_tradnl"/>
              </w:rPr>
            </w:pPr>
            <w:r w:rsidRPr="006A4F2D">
              <w:rPr>
                <w:lang w:val="es-ES_tradnl"/>
              </w:rPr>
              <w:t xml:space="preserve">Dentro del presupuesto asignado para </w:t>
            </w:r>
            <w:r w:rsidRPr="006A4F2D">
              <w:rPr>
                <w:lang w:val="es-ES_tradnl" w:eastAsia="ko-KR"/>
              </w:rPr>
              <w:t>2025-2026</w:t>
            </w:r>
            <w:r w:rsidRPr="006A4F2D">
              <w:rPr>
                <w:lang w:val="es-ES_tradnl"/>
              </w:rPr>
              <w:t>.</w:t>
            </w:r>
          </w:p>
          <w:p w14:paraId="52B2B84E" w14:textId="77777777" w:rsidR="00FE57F6" w:rsidRPr="006A4F2D" w:rsidRDefault="00FE57F6" w:rsidP="00C4421B">
            <w:pPr>
              <w:spacing w:before="160"/>
              <w:rPr>
                <w:caps/>
                <w:sz w:val="22"/>
                <w:lang w:val="es-ES_tradnl"/>
              </w:rPr>
            </w:pPr>
            <w:r w:rsidRPr="006A4F2D">
              <w:rPr>
                <w:sz w:val="22"/>
                <w:lang w:val="es-ES_tradnl"/>
              </w:rPr>
              <w:t>__________________</w:t>
            </w:r>
          </w:p>
          <w:p w14:paraId="2D556AA5" w14:textId="024C0CBA" w:rsidR="00FE57F6" w:rsidRPr="006A4F2D" w:rsidRDefault="00F24B71" w:rsidP="00C4421B">
            <w:pPr>
              <w:spacing w:before="160"/>
              <w:rPr>
                <w:b/>
                <w:bCs/>
                <w:sz w:val="26"/>
                <w:szCs w:val="26"/>
                <w:lang w:val="es-ES_tradnl"/>
              </w:rPr>
            </w:pPr>
            <w:r w:rsidRPr="006A4F2D">
              <w:rPr>
                <w:b/>
                <w:bCs/>
                <w:sz w:val="26"/>
                <w:szCs w:val="26"/>
                <w:lang w:val="es-ES_tradnl"/>
              </w:rPr>
              <w:t>Referencia</w:t>
            </w:r>
            <w:r w:rsidR="00F92BED" w:rsidRPr="006A4F2D">
              <w:rPr>
                <w:b/>
                <w:bCs/>
                <w:sz w:val="26"/>
                <w:szCs w:val="26"/>
                <w:lang w:val="es-ES_tradnl"/>
              </w:rPr>
              <w:t>s</w:t>
            </w:r>
          </w:p>
          <w:p w14:paraId="40E8FB68" w14:textId="6B7BA83E" w:rsidR="00FE57F6" w:rsidRPr="006A4F2D" w:rsidRDefault="009A0C46" w:rsidP="007C1D6A">
            <w:pPr>
              <w:spacing w:after="160"/>
              <w:jc w:val="both"/>
              <w:rPr>
                <w:i/>
                <w:iCs/>
                <w:sz w:val="22"/>
                <w:szCs w:val="22"/>
                <w:lang w:val="es-ES_tradnl"/>
              </w:rPr>
            </w:pPr>
            <w:hyperlink r:id="rId6" w:history="1">
              <w:r w:rsidRPr="006A4F2D">
                <w:rPr>
                  <w:rStyle w:val="Hyperlink"/>
                  <w:i/>
                  <w:iCs/>
                  <w:sz w:val="22"/>
                  <w:lang w:val="es-ES_tradnl" w:eastAsia="ko-KR"/>
                </w:rPr>
                <w:t xml:space="preserve">Informe final de la </w:t>
              </w:r>
              <w:proofErr w:type="spellStart"/>
              <w:r w:rsidRPr="006A4F2D">
                <w:rPr>
                  <w:rStyle w:val="Hyperlink"/>
                  <w:i/>
                  <w:iCs/>
                  <w:sz w:val="22"/>
                  <w:lang w:val="es-ES_tradnl" w:eastAsia="ko-KR"/>
                </w:rPr>
                <w:t>CMDT</w:t>
              </w:r>
              <w:proofErr w:type="spellEnd"/>
              <w:r w:rsidRPr="006A4F2D">
                <w:rPr>
                  <w:rStyle w:val="Hyperlink"/>
                  <w:i/>
                  <w:iCs/>
                  <w:sz w:val="22"/>
                  <w:lang w:val="es-ES_tradnl" w:eastAsia="ko-KR"/>
                </w:rPr>
                <w:t>-25</w:t>
              </w:r>
            </w:hyperlink>
            <w:r w:rsidRPr="006A4F2D">
              <w:rPr>
                <w:i/>
                <w:iCs/>
                <w:sz w:val="22"/>
                <w:szCs w:val="22"/>
                <w:lang w:val="es-ES_tradnl"/>
              </w:rPr>
              <w:t>;</w:t>
            </w:r>
            <w:r w:rsidR="003D3DE5" w:rsidRPr="006A4F2D">
              <w:rPr>
                <w:i/>
                <w:iCs/>
                <w:sz w:val="22"/>
                <w:szCs w:val="22"/>
                <w:lang w:val="es-ES_tradnl"/>
              </w:rPr>
              <w:t xml:space="preserve"> Resoluciones</w:t>
            </w:r>
            <w:r w:rsidRPr="006A4F2D">
              <w:rPr>
                <w:i/>
                <w:iCs/>
                <w:sz w:val="22"/>
                <w:szCs w:val="22"/>
                <w:lang w:val="es-ES_tradnl"/>
              </w:rPr>
              <w:t xml:space="preserve"> </w:t>
            </w:r>
            <w:hyperlink r:id="rId7" w:history="1">
              <w:r w:rsidRPr="006A4F2D">
                <w:rPr>
                  <w:rStyle w:val="Hyperlink"/>
                  <w:i/>
                  <w:iCs/>
                  <w:sz w:val="22"/>
                  <w:lang w:val="es-ES_tradnl" w:eastAsia="ko-KR"/>
                </w:rPr>
                <w:t>98 (Minneapolis, 1998)</w:t>
              </w:r>
            </w:hyperlink>
            <w:r w:rsidRPr="006A4F2D">
              <w:rPr>
                <w:i/>
                <w:iCs/>
                <w:sz w:val="22"/>
                <w:szCs w:val="22"/>
                <w:lang w:val="es-ES_tradnl"/>
              </w:rPr>
              <w:t xml:space="preserve"> y </w:t>
            </w:r>
            <w:hyperlink r:id="rId8" w:history="1">
              <w:r w:rsidRPr="006A4F2D">
                <w:rPr>
                  <w:rStyle w:val="Hyperlink"/>
                  <w:i/>
                  <w:iCs/>
                  <w:sz w:val="22"/>
                  <w:lang w:val="es-ES_tradnl"/>
                </w:rPr>
                <w:t>136 (Rev. Bucarest, 2022)</w:t>
              </w:r>
            </w:hyperlink>
            <w:r w:rsidRPr="006A4F2D">
              <w:rPr>
                <w:i/>
                <w:iCs/>
                <w:sz w:val="22"/>
                <w:szCs w:val="22"/>
                <w:lang w:val="es-ES_tradnl"/>
              </w:rPr>
              <w:t xml:space="preserve"> de la Conferencia de Plenipotenciarios.</w:t>
            </w:r>
          </w:p>
        </w:tc>
      </w:tr>
      <w:bookmarkEnd w:id="0"/>
    </w:tbl>
    <w:p w14:paraId="6951B564" w14:textId="77777777" w:rsidR="00093EEB" w:rsidRPr="006A4F2D" w:rsidRDefault="00093EEB">
      <w:pPr>
        <w:rPr>
          <w:lang w:val="es-ES_tradnl"/>
        </w:rPr>
      </w:pPr>
    </w:p>
    <w:p w14:paraId="7EA8A121" w14:textId="77777777" w:rsidR="001559F5" w:rsidRPr="006A4F2D"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6A4F2D">
        <w:rPr>
          <w:lang w:val="es-ES_tradnl"/>
        </w:rPr>
        <w:br w:type="page"/>
      </w:r>
    </w:p>
    <w:p w14:paraId="2D4BB0C0" w14:textId="77777777" w:rsidR="009A0C46" w:rsidRPr="006A4F2D" w:rsidRDefault="009A0C46" w:rsidP="009A0C46">
      <w:pPr>
        <w:pStyle w:val="Heading1"/>
        <w:rPr>
          <w:lang w:val="es-ES_tradnl"/>
        </w:rPr>
      </w:pPr>
      <w:r w:rsidRPr="006A4F2D">
        <w:rPr>
          <w:lang w:val="es-ES_tradnl"/>
        </w:rPr>
        <w:lastRenderedPageBreak/>
        <w:t>1</w:t>
      </w:r>
      <w:r w:rsidRPr="006A4F2D">
        <w:rPr>
          <w:lang w:val="es-ES_tradnl"/>
        </w:rPr>
        <w:tab/>
        <w:t>Introducción</w:t>
      </w:r>
    </w:p>
    <w:p w14:paraId="4BC88DB7" w14:textId="36CD4521" w:rsidR="009A0C46" w:rsidRPr="006A4F2D" w:rsidRDefault="009A0C46" w:rsidP="006A4F2D">
      <w:pPr>
        <w:jc w:val="both"/>
        <w:rPr>
          <w:lang w:val="es-ES_tradnl" w:eastAsia="ko-KR"/>
        </w:rPr>
      </w:pPr>
      <w:r w:rsidRPr="006A4F2D">
        <w:rPr>
          <w:lang w:val="es-ES_tradnl" w:eastAsia="ko-KR"/>
        </w:rPr>
        <w:t>1.1</w:t>
      </w:r>
      <w:r w:rsidRPr="006A4F2D">
        <w:rPr>
          <w:lang w:val="es-ES_tradnl"/>
        </w:rPr>
        <w:tab/>
      </w:r>
      <w:r w:rsidRPr="006A4F2D">
        <w:rPr>
          <w:lang w:val="es-ES_tradnl" w:eastAsia="ko-KR"/>
        </w:rPr>
        <w:t>En la Conferencia Mundial de Desarrollo de las Telecomunicaciones de 2025 (</w:t>
      </w:r>
      <w:proofErr w:type="spellStart"/>
      <w:r w:rsidRPr="006A4F2D">
        <w:rPr>
          <w:lang w:val="es-ES_tradnl" w:eastAsia="ko-KR"/>
        </w:rPr>
        <w:t>CMDT</w:t>
      </w:r>
      <w:proofErr w:type="spellEnd"/>
      <w:r w:rsidRPr="006A4F2D">
        <w:rPr>
          <w:lang w:val="es-ES_tradnl" w:eastAsia="ko-KR"/>
        </w:rPr>
        <w:noBreakHyphen/>
        <w:t>25) celebrada en Bakú (Azerbaiyán)</w:t>
      </w:r>
      <w:r w:rsidRPr="006A4F2D">
        <w:rPr>
          <w:lang w:val="es-ES_tradnl"/>
        </w:rPr>
        <w:t>, los Estados Miembros adoptaron la declaración "</w:t>
      </w:r>
      <w:hyperlink r:id="rId9">
        <w:r w:rsidRPr="006A4F2D">
          <w:rPr>
            <w:rStyle w:val="Hyperlink"/>
            <w:lang w:val="es-ES_tradnl"/>
          </w:rPr>
          <w:t>Reconocimiento de la importancia de las redes y los servicios públicos de telecomunicaciones para los servicios humanitarios esenciales que deben protegerse y facilitarse durante los conflictos armados y las catástrofes</w:t>
        </w:r>
      </w:hyperlink>
      <w:r w:rsidRPr="006A4F2D">
        <w:rPr>
          <w:lang w:val="es-ES_tradnl"/>
        </w:rPr>
        <w:t xml:space="preserve">", en virtud de la cual se reconoce, </w:t>
      </w:r>
      <w:r w:rsidRPr="006A4F2D">
        <w:rPr>
          <w:i/>
          <w:iCs/>
          <w:lang w:val="es-ES_tradnl"/>
        </w:rPr>
        <w:t xml:space="preserve">entre otras cosas, </w:t>
      </w:r>
      <w:r w:rsidRPr="006A4F2D">
        <w:rPr>
          <w:lang w:val="es-ES_tradnl"/>
        </w:rPr>
        <w:t xml:space="preserve">la importancia fundamental de </w:t>
      </w:r>
      <w:r w:rsidRPr="006A4F2D">
        <w:rPr>
          <w:lang w:val="es-ES_tradnl" w:eastAsia="ko-KR"/>
        </w:rPr>
        <w:t xml:space="preserve">las redes y los </w:t>
      </w:r>
      <w:r w:rsidRPr="006A4F2D">
        <w:rPr>
          <w:lang w:val="es-ES_tradnl"/>
        </w:rPr>
        <w:t xml:space="preserve">servicios </w:t>
      </w:r>
      <w:r w:rsidRPr="006A4F2D">
        <w:rPr>
          <w:lang w:val="es-ES_tradnl" w:eastAsia="ko-KR"/>
        </w:rPr>
        <w:t xml:space="preserve">de telecomunicaciones </w:t>
      </w:r>
      <w:r w:rsidRPr="006A4F2D">
        <w:rPr>
          <w:lang w:val="es-ES_tradnl"/>
        </w:rPr>
        <w:t>para salvar vidas, facilitar las operaciones de rescate y emergencia, prestar asistencia humanitaria y garantizar la continuidad de las comunicaciones para las poblaciones si se producen esos sucesos.</w:t>
      </w:r>
    </w:p>
    <w:p w14:paraId="67F188C2" w14:textId="77777777" w:rsidR="009A0C46" w:rsidRPr="006A4F2D" w:rsidRDefault="009A0C46" w:rsidP="009A0C46">
      <w:pPr>
        <w:pStyle w:val="Heading1"/>
        <w:rPr>
          <w:lang w:val="es-ES_tradnl" w:eastAsia="ko-KR"/>
        </w:rPr>
      </w:pPr>
      <w:r w:rsidRPr="006A4F2D">
        <w:rPr>
          <w:lang w:val="es-ES_tradnl" w:eastAsia="ko-KR"/>
        </w:rPr>
        <w:t>2</w:t>
      </w:r>
      <w:r w:rsidRPr="006A4F2D">
        <w:rPr>
          <w:lang w:val="es-ES_tradnl"/>
        </w:rPr>
        <w:tab/>
        <w:t>Colaboración</w:t>
      </w:r>
      <w:r w:rsidRPr="006A4F2D">
        <w:rPr>
          <w:lang w:val="es-ES_tradnl" w:eastAsia="ko-KR"/>
        </w:rPr>
        <w:t xml:space="preserve"> en todo el sistema de las Naciones Unidas</w:t>
      </w:r>
    </w:p>
    <w:p w14:paraId="38186E2B" w14:textId="77777777" w:rsidR="009A0C46" w:rsidRPr="006A4F2D" w:rsidRDefault="009A0C46" w:rsidP="006A4F2D">
      <w:pPr>
        <w:jc w:val="both"/>
        <w:rPr>
          <w:lang w:val="es-ES_tradnl" w:eastAsia="ko-KR"/>
        </w:rPr>
      </w:pPr>
      <w:r w:rsidRPr="006A4F2D">
        <w:rPr>
          <w:lang w:val="es-ES_tradnl" w:eastAsia="ko-KR"/>
        </w:rPr>
        <w:t>2.1</w:t>
      </w:r>
      <w:r w:rsidRPr="006A4F2D">
        <w:rPr>
          <w:lang w:val="es-ES_tradnl"/>
        </w:rPr>
        <w:tab/>
      </w:r>
      <w:r w:rsidRPr="006A4F2D">
        <w:rPr>
          <w:lang w:val="es-ES_tradnl" w:eastAsia="ko-KR"/>
        </w:rPr>
        <w:t>Reconociendo que las telecomunicaciones constituyen una necesidad humanitaria fundamental y un servicio que permite salvar vidas, la UIT consultó con el Programa Mundial de Alimentos (</w:t>
      </w:r>
      <w:proofErr w:type="spellStart"/>
      <w:r w:rsidRPr="006A4F2D">
        <w:rPr>
          <w:lang w:val="es-ES_tradnl" w:eastAsia="ko-KR"/>
        </w:rPr>
        <w:t>PMA</w:t>
      </w:r>
      <w:proofErr w:type="spellEnd"/>
      <w:r w:rsidRPr="006A4F2D">
        <w:rPr>
          <w:lang w:val="es-ES_tradnl" w:eastAsia="ko-KR"/>
        </w:rPr>
        <w:t>), en calidad de coordinador del Grupo de Telecomunicaciones de Emergencia (</w:t>
      </w:r>
      <w:proofErr w:type="spellStart"/>
      <w:r w:rsidRPr="006A4F2D">
        <w:rPr>
          <w:lang w:val="es-ES_tradnl" w:eastAsia="ko-KR"/>
        </w:rPr>
        <w:t>ETC</w:t>
      </w:r>
      <w:proofErr w:type="spellEnd"/>
      <w:r w:rsidRPr="006A4F2D">
        <w:rPr>
          <w:lang w:val="es-ES_tradnl" w:eastAsia="ko-KR"/>
        </w:rPr>
        <w:t xml:space="preserve">), y la Federación Internacional de Sociedades de la Cruz Roja y de la </w:t>
      </w:r>
      <w:proofErr w:type="gramStart"/>
      <w:r w:rsidRPr="006A4F2D">
        <w:rPr>
          <w:lang w:val="es-ES_tradnl" w:eastAsia="ko-KR"/>
        </w:rPr>
        <w:t>Media Luna</w:t>
      </w:r>
      <w:proofErr w:type="gramEnd"/>
      <w:r w:rsidRPr="006A4F2D">
        <w:rPr>
          <w:lang w:val="es-ES_tradnl" w:eastAsia="ko-KR"/>
        </w:rPr>
        <w:t xml:space="preserve"> Roja (</w:t>
      </w:r>
      <w:proofErr w:type="spellStart"/>
      <w:r w:rsidRPr="006A4F2D">
        <w:rPr>
          <w:lang w:val="es-ES_tradnl" w:eastAsia="ko-KR"/>
        </w:rPr>
        <w:t>IFCR</w:t>
      </w:r>
      <w:proofErr w:type="spellEnd"/>
      <w:r w:rsidRPr="006A4F2D">
        <w:rPr>
          <w:lang w:val="es-ES_tradnl" w:eastAsia="ko-KR"/>
        </w:rPr>
        <w:t xml:space="preserve">) para aumentar concienciación sobre dicha declaración de la </w:t>
      </w:r>
      <w:proofErr w:type="spellStart"/>
      <w:r w:rsidRPr="006A4F2D">
        <w:rPr>
          <w:lang w:val="es-ES_tradnl" w:eastAsia="ko-KR"/>
        </w:rPr>
        <w:t>CMDT</w:t>
      </w:r>
      <w:proofErr w:type="spellEnd"/>
      <w:r w:rsidRPr="006A4F2D">
        <w:rPr>
          <w:lang w:val="es-ES_tradnl" w:eastAsia="ko-KR"/>
        </w:rPr>
        <w:t xml:space="preserve"> y tener una comprensión más cabal de los problemas que aborda. La UIT también colaboró con el </w:t>
      </w:r>
      <w:proofErr w:type="spellStart"/>
      <w:r w:rsidRPr="006A4F2D">
        <w:rPr>
          <w:lang w:val="es-ES_tradnl" w:eastAsia="ko-KR"/>
        </w:rPr>
        <w:t>PMA</w:t>
      </w:r>
      <w:proofErr w:type="spellEnd"/>
      <w:r w:rsidRPr="006A4F2D">
        <w:rPr>
          <w:lang w:val="es-ES_tradnl" w:eastAsia="ko-KR"/>
        </w:rPr>
        <w:t xml:space="preserve"> y la </w:t>
      </w:r>
      <w:proofErr w:type="spellStart"/>
      <w:r w:rsidRPr="006A4F2D">
        <w:rPr>
          <w:lang w:val="es-ES_tradnl" w:eastAsia="ko-KR"/>
        </w:rPr>
        <w:t>IFCR</w:t>
      </w:r>
      <w:proofErr w:type="spellEnd"/>
      <w:r w:rsidRPr="006A4F2D">
        <w:rPr>
          <w:lang w:val="es-ES_tradnl" w:eastAsia="ko-KR"/>
        </w:rPr>
        <w:t xml:space="preserve"> en el marco de una reunión oficiosa de intercambio de ideas celebrada en febrero de 2026 y se puso en contacto con los Estados Miembros interesados a través de sus Misiones en Nueva York.</w:t>
      </w:r>
    </w:p>
    <w:p w14:paraId="1C472C7C" w14:textId="21CD6BF7" w:rsidR="009A0C46" w:rsidRPr="006A4F2D" w:rsidRDefault="009A0C46" w:rsidP="006A4F2D">
      <w:pPr>
        <w:jc w:val="both"/>
        <w:rPr>
          <w:lang w:val="es-ES_tradnl" w:eastAsia="ko-KR"/>
        </w:rPr>
      </w:pPr>
      <w:r w:rsidRPr="006A4F2D">
        <w:rPr>
          <w:lang w:val="es-ES_tradnl" w:eastAsia="ko-KR"/>
        </w:rPr>
        <w:t>2.2</w:t>
      </w:r>
      <w:r w:rsidRPr="006A4F2D">
        <w:rPr>
          <w:lang w:val="es-ES_tradnl"/>
        </w:rPr>
        <w:tab/>
      </w:r>
      <w:r w:rsidRPr="006A4F2D">
        <w:rPr>
          <w:lang w:val="es-ES_tradnl" w:eastAsia="ko-KR"/>
        </w:rPr>
        <w:t>A raíz de esos esfuerzos, la UIT contribuyó a una reunión informativa oficiosa que tuvo lugar en marzo de 2026 con las Misiones Permanentes interesadas en Ginebra, convocada por la Misión Permanente del Reino Unido, en la que se subrayó la acuciante necesidad de salvaguardar la infraestructura de telecomunicaciones para garantizar el funcionamiento de los servicios humanitarios en situaciones de crisis. El debate también abordó en qué medida las herramientas digitales resilientes y responsables permit</w:t>
      </w:r>
      <w:r w:rsidR="00BA18EB" w:rsidRPr="006A4F2D">
        <w:rPr>
          <w:lang w:val="es-ES_tradnl" w:eastAsia="ko-KR"/>
        </w:rPr>
        <w:t>e</w:t>
      </w:r>
      <w:r w:rsidRPr="006A4F2D">
        <w:rPr>
          <w:lang w:val="es-ES_tradnl" w:eastAsia="ko-KR"/>
        </w:rPr>
        <w:t xml:space="preserve">n mejorar la preparación y la respuesta frente a situaciones de catástrofe, en particular mediante el apoyo a la iniciativa </w:t>
      </w:r>
      <w:hyperlink r:id="rId10">
        <w:r w:rsidRPr="006A4F2D">
          <w:rPr>
            <w:rStyle w:val="Hyperlink"/>
            <w:lang w:val="es-ES_tradnl" w:eastAsia="ko-KR"/>
          </w:rPr>
          <w:t>Alertas tempranas para todos (</w:t>
        </w:r>
        <w:proofErr w:type="spellStart"/>
        <w:r w:rsidRPr="006A4F2D">
          <w:rPr>
            <w:rStyle w:val="Hyperlink"/>
            <w:lang w:val="es-ES_tradnl" w:eastAsia="ko-KR"/>
          </w:rPr>
          <w:t>EW4All</w:t>
        </w:r>
        <w:proofErr w:type="spellEnd"/>
      </w:hyperlink>
      <w:r w:rsidRPr="006A4F2D">
        <w:rPr>
          <w:lang w:val="es-ES_tradnl" w:eastAsia="ko-KR"/>
        </w:rPr>
        <w:t>), al tiempo que contribuyen a reducir la brecha digital en comunidades vulnerables.</w:t>
      </w:r>
    </w:p>
    <w:p w14:paraId="718241BF" w14:textId="77777777" w:rsidR="009A0C46" w:rsidRPr="006A4F2D" w:rsidRDefault="009A0C46" w:rsidP="006A4F2D">
      <w:pPr>
        <w:jc w:val="both"/>
        <w:rPr>
          <w:lang w:val="es-ES_tradnl" w:eastAsia="ko-KR"/>
        </w:rPr>
      </w:pPr>
      <w:r w:rsidRPr="006A4F2D">
        <w:rPr>
          <w:lang w:val="es-ES_tradnl" w:eastAsia="ko-KR"/>
        </w:rPr>
        <w:t>2.3</w:t>
      </w:r>
      <w:r w:rsidRPr="006A4F2D">
        <w:rPr>
          <w:lang w:val="es-ES_tradnl"/>
        </w:rPr>
        <w:tab/>
      </w:r>
      <w:r w:rsidRPr="006A4F2D">
        <w:rPr>
          <w:lang w:val="es-ES_tradnl" w:eastAsia="ko-KR"/>
        </w:rPr>
        <w:t>El acceso a las telecomunicaciones ha constituido un grave problema en situaciones de índole diversa, a raíz de las dificultades para importar equipos de telecomunicaciones, funcionamiento deficiente o suplantación de equipos GPS para la determinación de la posición, en particular en vuelos y operaciones del Servicio Aéreo Humanitario de las Naciones Unidas (</w:t>
      </w:r>
      <w:proofErr w:type="spellStart"/>
      <w:r w:rsidRPr="006A4F2D">
        <w:rPr>
          <w:lang w:val="es-ES_tradnl" w:eastAsia="ko-KR"/>
        </w:rPr>
        <w:t>UNHAS</w:t>
      </w:r>
      <w:proofErr w:type="spellEnd"/>
      <w:r w:rsidRPr="006A4F2D">
        <w:rPr>
          <w:lang w:val="es-ES_tradnl" w:eastAsia="ko-KR"/>
        </w:rPr>
        <w:t xml:space="preserve">), y deficiencias de los sistemas de comunicaciones por satélite. En determinados casos, la interrupción de las comunicaciones afectó tanto a la población en general como a las organizaciones humanitarias, lo que dificultó la coordinación operacional, la seguridad del personal y el acceso a información esencial. En otras situaciones de crisis, la conectividad puede seguir siendo muy limitada para los civiles y el personal humanitario, y </w:t>
      </w:r>
      <w:hyperlink r:id="rId11">
        <w:r w:rsidRPr="006A4F2D">
          <w:rPr>
            <w:rStyle w:val="Hyperlink"/>
            <w:lang w:val="es-ES_tradnl" w:eastAsia="ko-KR"/>
          </w:rPr>
          <w:t>el Grupo Telecomunicaciones de Emergencia de las Naciones Unidas (</w:t>
        </w:r>
        <w:proofErr w:type="spellStart"/>
        <w:r w:rsidRPr="006A4F2D">
          <w:rPr>
            <w:rStyle w:val="Hyperlink"/>
            <w:lang w:val="es-ES_tradnl" w:eastAsia="ko-KR"/>
          </w:rPr>
          <w:t>ETC</w:t>
        </w:r>
        <w:proofErr w:type="spellEnd"/>
      </w:hyperlink>
      <w:r w:rsidRPr="006A4F2D">
        <w:rPr>
          <w:rStyle w:val="Hyperlink"/>
          <w:lang w:val="es-ES_tradnl"/>
        </w:rPr>
        <w:t>)</w:t>
      </w:r>
      <w:r w:rsidRPr="006A4F2D">
        <w:rPr>
          <w:lang w:val="es-ES_tradnl" w:eastAsia="ko-KR"/>
        </w:rPr>
        <w:t xml:space="preserve"> y los organismos asociados abordan amplias restricciones para transportar equipos, lo que propicia un entorno de alto riesgo para las operaciones humanitarias.</w:t>
      </w:r>
    </w:p>
    <w:p w14:paraId="2D213F23" w14:textId="601CA222" w:rsidR="009A0C46" w:rsidRPr="006A4F2D" w:rsidRDefault="009A0C46" w:rsidP="006A4F2D">
      <w:pPr>
        <w:jc w:val="both"/>
        <w:rPr>
          <w:lang w:val="es-ES_tradnl" w:eastAsia="ko-KR"/>
        </w:rPr>
      </w:pPr>
      <w:r w:rsidRPr="006A4F2D">
        <w:rPr>
          <w:lang w:val="es-ES_tradnl" w:eastAsia="ko-KR"/>
        </w:rPr>
        <w:t>2.4</w:t>
      </w:r>
      <w:r w:rsidRPr="006A4F2D">
        <w:rPr>
          <w:lang w:val="es-ES_tradnl"/>
        </w:rPr>
        <w:tab/>
      </w:r>
      <w:r w:rsidRPr="006A4F2D">
        <w:rPr>
          <w:lang w:val="es-ES_tradnl" w:eastAsia="ko-KR"/>
        </w:rPr>
        <w:t>El Grupo de Telecomunicaciones de Emergencia (</w:t>
      </w:r>
      <w:proofErr w:type="spellStart"/>
      <w:r w:rsidRPr="006A4F2D">
        <w:rPr>
          <w:lang w:val="es-ES_tradnl" w:eastAsia="ko-KR"/>
        </w:rPr>
        <w:t>ETC</w:t>
      </w:r>
      <w:proofErr w:type="spellEnd"/>
      <w:r w:rsidRPr="006A4F2D">
        <w:rPr>
          <w:lang w:val="es-ES_tradnl" w:eastAsia="ko-KR"/>
        </w:rPr>
        <w:t xml:space="preserve">), dirigido por el Programa Mundial de Alimentos, es una red mundial de organizaciones humanitarias, gubernamentales y del sector privado que colaboran para prestar servicios de comunicaciones compartidos en situaciones de emergencia humanitaria. El </w:t>
      </w:r>
      <w:proofErr w:type="spellStart"/>
      <w:r w:rsidRPr="006A4F2D">
        <w:rPr>
          <w:lang w:val="es-ES_tradnl" w:eastAsia="ko-KR"/>
        </w:rPr>
        <w:t>ETC</w:t>
      </w:r>
      <w:proofErr w:type="spellEnd"/>
      <w:r w:rsidRPr="006A4F2D">
        <w:rPr>
          <w:lang w:val="es-ES_tradnl" w:eastAsia="ko-KR"/>
        </w:rPr>
        <w:t xml:space="preserve"> fue designado por el Comité Permanente entre </w:t>
      </w:r>
      <w:r w:rsidRPr="006A4F2D">
        <w:rPr>
          <w:lang w:val="es-ES_tradnl" w:eastAsia="ko-KR"/>
        </w:rPr>
        <w:lastRenderedPageBreak/>
        <w:t>Organismos (</w:t>
      </w:r>
      <w:proofErr w:type="spellStart"/>
      <w:r w:rsidRPr="006A4F2D">
        <w:rPr>
          <w:lang w:val="es-ES_tradnl" w:eastAsia="ko-KR"/>
        </w:rPr>
        <w:t>IASC</w:t>
      </w:r>
      <w:proofErr w:type="spellEnd"/>
      <w:r w:rsidRPr="006A4F2D">
        <w:rPr>
          <w:lang w:val="es-ES_tradnl" w:eastAsia="ko-KR"/>
        </w:rPr>
        <w:t>) de las Naciones Unidas. La</w:t>
      </w:r>
      <w:r w:rsidR="00BA18EB" w:rsidRPr="006A4F2D">
        <w:rPr>
          <w:lang w:val="es-ES_tradnl" w:eastAsia="ko-KR"/>
        </w:rPr>
        <w:t> </w:t>
      </w:r>
      <w:r w:rsidRPr="006A4F2D">
        <w:rPr>
          <w:lang w:val="es-ES_tradnl" w:eastAsia="ko-KR"/>
        </w:rPr>
        <w:t xml:space="preserve">UIT es miembro activo del </w:t>
      </w:r>
      <w:proofErr w:type="spellStart"/>
      <w:r w:rsidRPr="006A4F2D">
        <w:rPr>
          <w:lang w:val="es-ES_tradnl" w:eastAsia="ko-KR"/>
        </w:rPr>
        <w:t>ETC</w:t>
      </w:r>
      <w:proofErr w:type="spellEnd"/>
      <w:r w:rsidRPr="006A4F2D">
        <w:rPr>
          <w:lang w:val="es-ES_tradnl" w:eastAsia="ko-KR"/>
        </w:rPr>
        <w:t xml:space="preserve"> y aporta conocimientos técnicos, normativa y capacidad de coordinación mediante TIC y telecomunicaciones en operaciones frente a situaciones de emergencia. En particular, a través de su labor en el marco de los </w:t>
      </w:r>
      <w:hyperlink r:id="rId12" w:history="1">
        <w:r w:rsidRPr="006A4F2D">
          <w:rPr>
            <w:rStyle w:val="Hyperlink"/>
            <w:lang w:val="es-ES_tradnl" w:eastAsia="ko-KR"/>
          </w:rPr>
          <w:t>Planes Nacionales de Telecomunicaciones de Emergencia (</w:t>
        </w:r>
        <w:proofErr w:type="spellStart"/>
        <w:r w:rsidRPr="006A4F2D">
          <w:rPr>
            <w:rStyle w:val="Hyperlink"/>
            <w:lang w:val="es-ES_tradnl" w:eastAsia="ko-KR"/>
          </w:rPr>
          <w:t>NETP</w:t>
        </w:r>
        <w:proofErr w:type="spellEnd"/>
      </w:hyperlink>
      <w:r w:rsidRPr="006A4F2D">
        <w:rPr>
          <w:rStyle w:val="Hyperlink"/>
          <w:lang w:val="es-ES_tradnl"/>
        </w:rPr>
        <w:t>)</w:t>
      </w:r>
      <w:r w:rsidRPr="006A4F2D">
        <w:rPr>
          <w:lang w:val="es-ES_tradnl" w:eastAsia="ko-KR"/>
        </w:rPr>
        <w:t>, la UIT facilita a los Estados Miembros la formulación de estrategias, políticas y procedimientos sobre comunicaciones de emergencia que estén en consonancia con los mecanismos de coordinación humanitaria.</w:t>
      </w:r>
    </w:p>
    <w:p w14:paraId="6F7FFA34" w14:textId="77777777" w:rsidR="009A0C46" w:rsidRPr="006A4F2D" w:rsidRDefault="009A0C46" w:rsidP="006A4F2D">
      <w:pPr>
        <w:jc w:val="both"/>
        <w:rPr>
          <w:lang w:val="es-ES_tradnl" w:eastAsia="ko-KR"/>
        </w:rPr>
      </w:pPr>
      <w:r w:rsidRPr="006A4F2D">
        <w:rPr>
          <w:lang w:val="es-ES_tradnl" w:eastAsia="ko-KR"/>
        </w:rPr>
        <w:t>2.5</w:t>
      </w:r>
      <w:r w:rsidRPr="006A4F2D">
        <w:rPr>
          <w:lang w:val="es-ES_tradnl"/>
        </w:rPr>
        <w:tab/>
      </w:r>
      <w:r w:rsidRPr="006A4F2D">
        <w:rPr>
          <w:lang w:val="es-ES_tradnl" w:eastAsia="ko-KR"/>
        </w:rPr>
        <w:t xml:space="preserve">La UIT también colabora con </w:t>
      </w:r>
      <w:hyperlink r:id="rId13" w:history="1">
        <w:r w:rsidRPr="006A4F2D">
          <w:rPr>
            <w:rStyle w:val="Hyperlink"/>
            <w:lang w:val="es-ES_tradnl" w:eastAsia="ko-KR"/>
          </w:rPr>
          <w:t>el Comité Permanente entre Organismos (</w:t>
        </w:r>
        <w:proofErr w:type="spellStart"/>
        <w:r w:rsidRPr="006A4F2D">
          <w:rPr>
            <w:rStyle w:val="Hyperlink"/>
            <w:lang w:val="es-ES_tradnl" w:eastAsia="ko-KR"/>
          </w:rPr>
          <w:t>IASC</w:t>
        </w:r>
        <w:proofErr w:type="spellEnd"/>
        <w:r w:rsidRPr="006A4F2D">
          <w:rPr>
            <w:rStyle w:val="Hyperlink"/>
            <w:lang w:val="es-ES_tradnl" w:eastAsia="ko-KR"/>
          </w:rPr>
          <w:t>)</w:t>
        </w:r>
      </w:hyperlink>
      <w:r w:rsidRPr="006A4F2D">
        <w:rPr>
          <w:lang w:val="es-ES_tradnl" w:eastAsia="ko-KR"/>
        </w:rPr>
        <w:t xml:space="preserve"> en el marco de la declaración de la </w:t>
      </w:r>
      <w:proofErr w:type="spellStart"/>
      <w:r w:rsidRPr="006A4F2D">
        <w:rPr>
          <w:lang w:val="es-ES_tradnl" w:eastAsia="ko-KR"/>
        </w:rPr>
        <w:t>CMDT</w:t>
      </w:r>
      <w:proofErr w:type="spellEnd"/>
      <w:r w:rsidRPr="006A4F2D">
        <w:rPr>
          <w:lang w:val="es-ES_tradnl" w:eastAsia="ko-KR"/>
        </w:rPr>
        <w:t xml:space="preserve"> y al manifestar su compromiso de fortalecer la colaboración y coordinación con dicho Comité y sus miembros para abordar ese tipo de situaciones críticas a escalas nacional, regional y mundial.</w:t>
      </w:r>
    </w:p>
    <w:p w14:paraId="1BAE8A97" w14:textId="4CCB638F" w:rsidR="009A0C46" w:rsidRPr="006A4F2D" w:rsidRDefault="009A0C46" w:rsidP="006A4F2D">
      <w:pPr>
        <w:jc w:val="both"/>
        <w:rPr>
          <w:lang w:val="es-ES_tradnl"/>
        </w:rPr>
      </w:pPr>
      <w:r w:rsidRPr="006A4F2D">
        <w:rPr>
          <w:lang w:val="es-ES_tradnl" w:eastAsia="ko-KR"/>
        </w:rPr>
        <w:t>2.6</w:t>
      </w:r>
      <w:r w:rsidRPr="006A4F2D">
        <w:rPr>
          <w:lang w:val="es-ES_tradnl"/>
        </w:rPr>
        <w:tab/>
      </w:r>
      <w:r w:rsidRPr="006A4F2D">
        <w:rPr>
          <w:lang w:val="es-ES_tradnl" w:eastAsia="ko-KR"/>
        </w:rPr>
        <w:t xml:space="preserve">En virtud del </w:t>
      </w:r>
      <w:hyperlink r:id="rId14">
        <w:r w:rsidRPr="006A4F2D">
          <w:rPr>
            <w:rStyle w:val="Hyperlink"/>
            <w:lang w:val="es-ES_tradnl" w:eastAsia="ko-KR"/>
          </w:rPr>
          <w:t>Convenio de Tampere</w:t>
        </w:r>
      </w:hyperlink>
      <w:r w:rsidRPr="006A4F2D">
        <w:rPr>
          <w:lang w:val="es-ES_tradnl" w:eastAsia="ko-KR"/>
        </w:rPr>
        <w:t>, que establece un marco jurídico para la utilización de telecomunicaciones en actividades de ayuda humanitaria y la reducción de los obstáculos reglamentarios, las principales prioridades en cuanto a comunicaciones de emergencia para salvar vidas se destacan en los instrumentos reglamentarios internacionales pertinentes. Por</w:t>
      </w:r>
      <w:r w:rsidR="00BA18EB" w:rsidRPr="006A4F2D">
        <w:rPr>
          <w:lang w:val="es-ES_tradnl" w:eastAsia="ko-KR"/>
        </w:rPr>
        <w:t> </w:t>
      </w:r>
      <w:r w:rsidRPr="006A4F2D">
        <w:rPr>
          <w:lang w:val="es-ES_tradnl" w:eastAsia="ko-KR"/>
        </w:rPr>
        <w:t xml:space="preserve">otro lado, de conformidad con la Constitución de la Unión, </w:t>
      </w:r>
      <w:hyperlink r:id="rId15">
        <w:r w:rsidRPr="006A4F2D">
          <w:rPr>
            <w:rStyle w:val="Hyperlink"/>
            <w:lang w:val="es-ES_tradnl" w:eastAsia="ko-KR"/>
          </w:rPr>
          <w:t>la Resolución 98 (</w:t>
        </w:r>
        <w:proofErr w:type="spellStart"/>
        <w:r w:rsidRPr="006A4F2D">
          <w:rPr>
            <w:rStyle w:val="Hyperlink"/>
            <w:lang w:val="es-ES_tradnl" w:eastAsia="ko-KR"/>
          </w:rPr>
          <w:t>Minneápolis</w:t>
        </w:r>
        <w:proofErr w:type="spellEnd"/>
        <w:r w:rsidRPr="006A4F2D">
          <w:rPr>
            <w:rStyle w:val="Hyperlink"/>
            <w:lang w:val="es-ES_tradnl" w:eastAsia="ko-KR"/>
          </w:rPr>
          <w:t>, 1998)</w:t>
        </w:r>
      </w:hyperlink>
      <w:r w:rsidRPr="006A4F2D">
        <w:rPr>
          <w:lang w:val="es-ES_tradnl"/>
        </w:rPr>
        <w:t xml:space="preserve"> y la </w:t>
      </w:r>
      <w:hyperlink r:id="rId16">
        <w:r w:rsidRPr="006A4F2D">
          <w:rPr>
            <w:rStyle w:val="Hyperlink"/>
            <w:lang w:val="es-ES_tradnl"/>
          </w:rPr>
          <w:t>Resolución 136 (Rev. Bucarest, 2022)</w:t>
        </w:r>
      </w:hyperlink>
      <w:r w:rsidRPr="006A4F2D">
        <w:rPr>
          <w:lang w:val="es-ES_tradnl"/>
        </w:rPr>
        <w:t xml:space="preserve"> de la Conferencia de Plenipotenciarios </w:t>
      </w:r>
      <w:r w:rsidRPr="006A4F2D">
        <w:rPr>
          <w:lang w:val="es-ES_tradnl" w:eastAsia="ko-KR"/>
        </w:rPr>
        <w:t>de la UIT</w:t>
      </w:r>
      <w:r w:rsidRPr="006A4F2D">
        <w:rPr>
          <w:lang w:val="es-ES_tradnl"/>
        </w:rPr>
        <w:t>, así como otras Resoluciones de la Conferencia Mundial de Radiocomunicaciones (</w:t>
      </w:r>
      <w:proofErr w:type="spellStart"/>
      <w:r w:rsidRPr="006A4F2D">
        <w:rPr>
          <w:lang w:val="es-ES_tradnl"/>
        </w:rPr>
        <w:t>CMR</w:t>
      </w:r>
      <w:proofErr w:type="spellEnd"/>
      <w:r w:rsidRPr="006A4F2D">
        <w:rPr>
          <w:lang w:val="es-ES_tradnl"/>
        </w:rPr>
        <w:t>), se reconoce la infraestructura de telecomunicaciones como un componente esencial de la asistencia humanitaria que requiere protección y facilitación en el plano jurídico.</w:t>
      </w:r>
    </w:p>
    <w:p w14:paraId="12077356" w14:textId="0F65641E" w:rsidR="009A0C46" w:rsidRPr="006A4F2D" w:rsidRDefault="009A0C46" w:rsidP="009A0C46">
      <w:pPr>
        <w:pStyle w:val="Heading1"/>
        <w:rPr>
          <w:lang w:val="es-ES_tradnl"/>
        </w:rPr>
      </w:pPr>
      <w:r w:rsidRPr="006A4F2D">
        <w:rPr>
          <w:lang w:val="es-ES_tradnl"/>
        </w:rPr>
        <w:t>3</w:t>
      </w:r>
      <w:r w:rsidRPr="006A4F2D">
        <w:rPr>
          <w:lang w:val="es-ES_tradnl"/>
        </w:rPr>
        <w:tab/>
      </w:r>
      <w:r w:rsidRPr="006A4F2D">
        <w:rPr>
          <w:lang w:val="es-ES_tradnl" w:eastAsia="ko-KR"/>
        </w:rPr>
        <w:t>Siguientes medidas</w:t>
      </w:r>
    </w:p>
    <w:p w14:paraId="42E071B9" w14:textId="77777777" w:rsidR="009A0C46" w:rsidRPr="006A4F2D" w:rsidRDefault="009A0C46" w:rsidP="006A4F2D">
      <w:pPr>
        <w:jc w:val="both"/>
        <w:rPr>
          <w:lang w:val="es-ES_tradnl"/>
        </w:rPr>
      </w:pPr>
      <w:r w:rsidRPr="006A4F2D">
        <w:rPr>
          <w:lang w:val="es-ES_tradnl"/>
        </w:rPr>
        <w:t>3.1</w:t>
      </w:r>
      <w:r w:rsidRPr="006A4F2D">
        <w:rPr>
          <w:lang w:val="es-ES_tradnl"/>
        </w:rPr>
        <w:tab/>
        <w:t>En virtud de la</w:t>
      </w:r>
      <w:hyperlink r:id="rId17" w:anchor="page=483">
        <w:r w:rsidRPr="006A4F2D">
          <w:rPr>
            <w:rStyle w:val="Hyperlink"/>
            <w:lang w:val="es-ES_tradnl"/>
          </w:rPr>
          <w:t xml:space="preserve"> declaración de la </w:t>
        </w:r>
        <w:proofErr w:type="spellStart"/>
        <w:r w:rsidRPr="006A4F2D">
          <w:rPr>
            <w:rStyle w:val="Hyperlink"/>
            <w:lang w:val="es-ES_tradnl"/>
          </w:rPr>
          <w:t>CMDT</w:t>
        </w:r>
        <w:proofErr w:type="spellEnd"/>
      </w:hyperlink>
      <w:r w:rsidRPr="006A4F2D">
        <w:rPr>
          <w:lang w:val="es-ES_tradnl"/>
        </w:rPr>
        <w:t xml:space="preserve"> se pide a la Secretaria General que, previa consulta con los Estados Miembros y las partes interesadas pertinentes, ponga en marcha una serie de medidas encaminadas a fomentar los servicios de comunicaciones de emergencia para salvar vidas, facilitar la ayuda humanitaria y la seguridad pública, y la continuidad del funcionamiento de las redes y los servicios públicos de telecomunicaciones en situaciones de conflicto armado o catástrofe. La Secretaria General prevé elaborar un plan estratégico para garantizar la aplicación de dichas medidas.</w:t>
      </w:r>
    </w:p>
    <w:p w14:paraId="2A78002C" w14:textId="3777AAFD" w:rsidR="00F92BED" w:rsidRPr="006A4F2D" w:rsidRDefault="009A0C46" w:rsidP="006A4F2D">
      <w:pPr>
        <w:jc w:val="both"/>
        <w:rPr>
          <w:lang w:val="es-ES_tradnl"/>
        </w:rPr>
      </w:pPr>
      <w:r w:rsidRPr="006A4F2D">
        <w:rPr>
          <w:lang w:val="es-ES_tradnl"/>
        </w:rPr>
        <w:t>3.2</w:t>
      </w:r>
      <w:r w:rsidRPr="006A4F2D">
        <w:rPr>
          <w:lang w:val="es-ES_tradnl"/>
        </w:rPr>
        <w:tab/>
        <w:t xml:space="preserve">La Declaración de la </w:t>
      </w:r>
      <w:proofErr w:type="spellStart"/>
      <w:r w:rsidRPr="006A4F2D">
        <w:rPr>
          <w:lang w:val="es-ES_tradnl"/>
        </w:rPr>
        <w:t>CMDT</w:t>
      </w:r>
      <w:proofErr w:type="spellEnd"/>
      <w:r w:rsidRPr="006A4F2D">
        <w:rPr>
          <w:lang w:val="es-ES_tradnl"/>
        </w:rPr>
        <w:t xml:space="preserve"> también pide a la Secretaría General que identifique toda posible necesidad presupuestaria adicional para que la Secretaría respalde los esfuerzos encaminados a promover la necesidad de que los organismos de las Naciones Unidas faciliten la protección de las redes y los servicios públicos de telecomunicaciones en situaciones de conflicto armado o catástrofe. En esta fase inicial se ha determinado la necesidad de designar un oficial de coordinación específico. Se invita a los Estados miembros a apoyar esta iniciativa mediante financiación voluntaria, préstamos de personal o adscripciones.</w:t>
      </w:r>
    </w:p>
    <w:p w14:paraId="58AB5247" w14:textId="77777777" w:rsidR="00F92BED" w:rsidRPr="006A4F2D" w:rsidRDefault="00F92BED" w:rsidP="0032202E">
      <w:pPr>
        <w:pStyle w:val="Reasons"/>
        <w:rPr>
          <w:lang w:val="es-ES_tradnl"/>
        </w:rPr>
      </w:pPr>
    </w:p>
    <w:p w14:paraId="3F8053C5" w14:textId="77777777" w:rsidR="00F92BED" w:rsidRPr="006A4F2D" w:rsidRDefault="00F92BED" w:rsidP="00F92BED">
      <w:pPr>
        <w:jc w:val="center"/>
        <w:rPr>
          <w:lang w:val="es-ES_tradnl"/>
        </w:rPr>
      </w:pPr>
      <w:r w:rsidRPr="006A4F2D">
        <w:rPr>
          <w:lang w:val="es-ES_tradnl"/>
        </w:rPr>
        <w:t>______________</w:t>
      </w:r>
    </w:p>
    <w:sectPr w:rsidR="00F92BED" w:rsidRPr="006A4F2D" w:rsidSect="00C538FC">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94D2" w14:textId="77777777" w:rsidR="009A0C46" w:rsidRDefault="009A0C46">
      <w:r>
        <w:separator/>
      </w:r>
    </w:p>
  </w:endnote>
  <w:endnote w:type="continuationSeparator" w:id="0">
    <w:p w14:paraId="687C794F" w14:textId="77777777" w:rsidR="009A0C46" w:rsidRDefault="009A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356E088" w14:textId="77777777" w:rsidTr="00E31DCE">
      <w:trPr>
        <w:jc w:val="center"/>
      </w:trPr>
      <w:tc>
        <w:tcPr>
          <w:tcW w:w="1803" w:type="dxa"/>
          <w:vAlign w:val="center"/>
        </w:tcPr>
        <w:p w14:paraId="591D4DAF" w14:textId="6F23264B" w:rsidR="003273A4" w:rsidRDefault="002946E2" w:rsidP="003273A4">
          <w:pPr>
            <w:pStyle w:val="Header"/>
            <w:jc w:val="left"/>
            <w:rPr>
              <w:noProof/>
            </w:rPr>
          </w:pPr>
          <w:r>
            <w:rPr>
              <w:noProof/>
            </w:rPr>
            <w:t xml:space="preserve">gDoc </w:t>
          </w:r>
          <w:r w:rsidR="009A0C46">
            <w:rPr>
              <w:noProof/>
            </w:rPr>
            <w:t>2600736</w:t>
          </w:r>
        </w:p>
      </w:tc>
      <w:tc>
        <w:tcPr>
          <w:tcW w:w="8261" w:type="dxa"/>
        </w:tcPr>
        <w:p w14:paraId="543A157B" w14:textId="7F228A10"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9A0C46">
            <w:rPr>
              <w:bCs/>
            </w:rPr>
            <w:t>64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6F09ADF"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BC8A0A1" w14:textId="77777777" w:rsidTr="00E31DCE">
      <w:trPr>
        <w:jc w:val="center"/>
      </w:trPr>
      <w:tc>
        <w:tcPr>
          <w:tcW w:w="1803" w:type="dxa"/>
          <w:vAlign w:val="center"/>
        </w:tcPr>
        <w:p w14:paraId="2775314A" w14:textId="4D89EB5E" w:rsidR="00F24B71" w:rsidRPr="002946E2" w:rsidRDefault="00F85E5C" w:rsidP="00F24B71">
          <w:pPr>
            <w:pStyle w:val="Header"/>
            <w:jc w:val="left"/>
            <w:rPr>
              <w:noProof/>
            </w:rPr>
          </w:pPr>
          <w:hyperlink r:id="rId1" w:anchor="/es" w:history="1">
            <w:r>
              <w:rPr>
                <w:rStyle w:val="Hyperlink"/>
                <w:noProof/>
              </w:rPr>
              <w:t>council.itu.int/2026</w:t>
            </w:r>
          </w:hyperlink>
        </w:p>
      </w:tc>
      <w:tc>
        <w:tcPr>
          <w:tcW w:w="8261" w:type="dxa"/>
        </w:tcPr>
        <w:p w14:paraId="55F0A3CC" w14:textId="078B11ED"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9A0C46">
            <w:rPr>
              <w:bCs/>
            </w:rPr>
            <w:t>64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AC6F9F6"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8E93" w14:textId="77777777" w:rsidR="009A0C46" w:rsidRDefault="009A0C46">
      <w:r>
        <w:t>____________________</w:t>
      </w:r>
    </w:p>
  </w:footnote>
  <w:footnote w:type="continuationSeparator" w:id="0">
    <w:p w14:paraId="0475F29E" w14:textId="77777777" w:rsidR="009A0C46" w:rsidRDefault="009A0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E2E3" w14:textId="77777777" w:rsidR="001559F5" w:rsidRPr="00B1560D" w:rsidRDefault="00B1560D" w:rsidP="00B1560D">
    <w:pPr>
      <w:pStyle w:val="Header"/>
    </w:pPr>
    <w:r>
      <w:rPr>
        <w:noProof/>
      </w:rPr>
      <w:drawing>
        <wp:inline distT="0" distB="0" distL="0" distR="0" wp14:anchorId="4B1707A5" wp14:editId="4D8D29DF">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46"/>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300A"/>
    <w:rsid w:val="003273A4"/>
    <w:rsid w:val="0034796E"/>
    <w:rsid w:val="003D3DE5"/>
    <w:rsid w:val="004532B9"/>
    <w:rsid w:val="004571B0"/>
    <w:rsid w:val="00465C35"/>
    <w:rsid w:val="00473962"/>
    <w:rsid w:val="004B5D49"/>
    <w:rsid w:val="004D3A3C"/>
    <w:rsid w:val="00513630"/>
    <w:rsid w:val="00560125"/>
    <w:rsid w:val="00585553"/>
    <w:rsid w:val="0059534D"/>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A4F2D"/>
    <w:rsid w:val="006C1B56"/>
    <w:rsid w:val="006D4761"/>
    <w:rsid w:val="007240FF"/>
    <w:rsid w:val="00726872"/>
    <w:rsid w:val="00760F1C"/>
    <w:rsid w:val="007657F0"/>
    <w:rsid w:val="0077110E"/>
    <w:rsid w:val="0077252D"/>
    <w:rsid w:val="007955DA"/>
    <w:rsid w:val="007C1D6A"/>
    <w:rsid w:val="007E5DD3"/>
    <w:rsid w:val="007F350B"/>
    <w:rsid w:val="00820BE4"/>
    <w:rsid w:val="008451E8"/>
    <w:rsid w:val="0084546D"/>
    <w:rsid w:val="008F6ABC"/>
    <w:rsid w:val="00913B9C"/>
    <w:rsid w:val="00927F93"/>
    <w:rsid w:val="00956E77"/>
    <w:rsid w:val="009A0C46"/>
    <w:rsid w:val="009A338E"/>
    <w:rsid w:val="009A76A8"/>
    <w:rsid w:val="009C5528"/>
    <w:rsid w:val="009F4811"/>
    <w:rsid w:val="00A01F4F"/>
    <w:rsid w:val="00A109AF"/>
    <w:rsid w:val="00A42CB1"/>
    <w:rsid w:val="00A94438"/>
    <w:rsid w:val="00AA390C"/>
    <w:rsid w:val="00AD5A4D"/>
    <w:rsid w:val="00AF0EAC"/>
    <w:rsid w:val="00B0200A"/>
    <w:rsid w:val="00B060DF"/>
    <w:rsid w:val="00B1560D"/>
    <w:rsid w:val="00B574DB"/>
    <w:rsid w:val="00B826C2"/>
    <w:rsid w:val="00B8298E"/>
    <w:rsid w:val="00BA18EB"/>
    <w:rsid w:val="00BB6FD8"/>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97BA"/>
  <w15:docId w15:val="{FEE342CE-41BE-449B-A960-25E72A7C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59534D"/>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Subtitle">
    <w:name w:val="Sub_title"/>
    <w:basedOn w:val="Normal"/>
    <w:qFormat/>
    <w:rsid w:val="0059534D"/>
    <w:pPr>
      <w:framePr w:hSpace="181" w:wrap="around" w:vAnchor="page" w:hAnchor="page" w:x="1589" w:y="2314"/>
      <w:spacing w:after="160"/>
    </w:pPr>
    <w:rPr>
      <w:rFonts w:eastAsia="Malgun Gothic"/>
      <w:sz w:val="32"/>
      <w:szCs w:val="32"/>
      <w:lang w:val="es-ES" w:eastAsia="ko-KR"/>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9A0C46"/>
    <w:rPr>
      <w:sz w:val="16"/>
      <w:szCs w:val="16"/>
    </w:rPr>
  </w:style>
  <w:style w:type="character" w:styleId="SubtleEmphasis">
    <w:name w:val="Subtle Emphasis"/>
    <w:basedOn w:val="DefaultParagraphFont"/>
    <w:uiPriority w:val="19"/>
    <w:qFormat/>
    <w:rsid w:val="00BA18E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36-E.pdf" TargetMode="External"/><Relationship Id="rId13" Type="http://schemas.openxmlformats.org/officeDocument/2006/relationships/hyperlink" Target="https://interagencystandingcommittee.org/"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itu.int/en/council/Documents/basic-texts-2023/RES-098-E.pdf" TargetMode="External"/><Relationship Id="rId12" Type="http://schemas.openxmlformats.org/officeDocument/2006/relationships/hyperlink" Target="https://www.itu.int/en/ITU-D/Emergency-Telecommunications/Pages/NETPs.aspx" TargetMode="External"/><Relationship Id="rId17" Type="http://schemas.openxmlformats.org/officeDocument/2006/relationships/hyperlink" Target="https://www.itu.int/itu-d/meetings/wtdc25/wp-content/uploads/sites/29/2025/11/090-E.pdf" TargetMode="External"/><Relationship Id="rId2" Type="http://schemas.openxmlformats.org/officeDocument/2006/relationships/settings" Target="settings.xml"/><Relationship Id="rId16" Type="http://schemas.openxmlformats.org/officeDocument/2006/relationships/hyperlink" Target="https://www.itu.int/en/council/Documents/basic-texts-2023/RES-136-E.pdf"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tu.int/pub/D-TDC-WTDC-2025" TargetMode="External"/><Relationship Id="rId11" Type="http://schemas.openxmlformats.org/officeDocument/2006/relationships/hyperlink" Target="https://www.etcluster.org/" TargetMode="External"/><Relationship Id="rId5" Type="http://schemas.openxmlformats.org/officeDocument/2006/relationships/endnotes" Target="endnotes.xml"/><Relationship Id="rId15" Type="http://schemas.openxmlformats.org/officeDocument/2006/relationships/hyperlink" Target="https://www.itu.int/en/council/Documents/basic-texts-2023/RES-098-E.pdf" TargetMode="External"/><Relationship Id="rId10" Type="http://schemas.openxmlformats.org/officeDocument/2006/relationships/hyperlink" Target="https://www.itu.int/en/ITU-D/Emergency-Telecommunications/Pages/Early-Warnings-for-All-Initiative.aspx"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tu.int/itu-d/meetings/wtdc25/wp-content/uploads/sites/29/2025/11/090-E.pdf" TargetMode="External"/><Relationship Id="rId14" Type="http://schemas.openxmlformats.org/officeDocument/2006/relationships/hyperlink" Target="https://www.itu.int/en/ITU-D/Emergency-Telecommunications/Pages/TampereConvention.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5</TotalTime>
  <Pages>3</Pages>
  <Words>1099</Words>
  <Characters>7457</Characters>
  <Application>Microsoft Office Word</Application>
  <DocSecurity>0</DocSecurity>
  <Lines>298</Lines>
  <Paragraphs>109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Actividades para garantizar las telecomunicaciones humanitarias en situaciones de conflicto o catástrofe</vt:lpstr>
    </vt:vector>
  </TitlesOfParts>
  <Manager>Secretaría General - Pool</Manager>
  <Company>International Telecommunication Union</Company>
  <LinksUpToDate>false</LinksUpToDate>
  <CharactersWithSpaces>8447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 para garantizar las telecomunicaciones humanitarias en situaciones de conflicto o catástrofe</dc:title>
  <dc:subject>Consejo 2026 de la UIT</dc:subject>
  <cp:keywords>C26; C2026; Council 2026; PP26</cp:keywords>
  <dc:description/>
  <cp:lastPrinted>2006-03-24T09:51:00Z</cp:lastPrinted>
  <dcterms:created xsi:type="dcterms:W3CDTF">2026-04-20T09:30:00Z</dcterms:created>
  <dcterms:modified xsi:type="dcterms:W3CDTF">2026-04-20T09:33:00Z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