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F5A3F" w14:paraId="76D7A9B5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ACA7204" w14:textId="2FAF1B5F" w:rsidR="00796BD3" w:rsidRPr="005F5A3F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F5A3F">
              <w:rPr>
                <w:b/>
                <w:lang w:val="ru-RU"/>
              </w:rPr>
              <w:t>Пункт повестки дня:</w:t>
            </w:r>
            <w:r w:rsidR="0015439A" w:rsidRPr="005F5A3F">
              <w:rPr>
                <w:b/>
                <w:bCs/>
                <w:color w:val="000000"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6384C071" w14:textId="14C93258" w:rsidR="00796BD3" w:rsidRPr="005F5A3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F5A3F">
              <w:rPr>
                <w:b/>
                <w:lang w:val="ru-RU"/>
              </w:rPr>
              <w:t xml:space="preserve">Документ </w:t>
            </w:r>
            <w:r w:rsidR="00796BD3" w:rsidRPr="005F5A3F">
              <w:rPr>
                <w:b/>
                <w:lang w:val="ru-RU"/>
              </w:rPr>
              <w:t>C2</w:t>
            </w:r>
            <w:r w:rsidR="00BE00DD" w:rsidRPr="005F5A3F">
              <w:rPr>
                <w:b/>
                <w:lang w:val="ru-RU"/>
              </w:rPr>
              <w:t>6</w:t>
            </w:r>
            <w:r w:rsidR="00796BD3" w:rsidRPr="005F5A3F">
              <w:rPr>
                <w:b/>
                <w:lang w:val="ru-RU"/>
              </w:rPr>
              <w:t>/</w:t>
            </w:r>
            <w:r w:rsidR="0015439A" w:rsidRPr="005F5A3F">
              <w:rPr>
                <w:b/>
                <w:lang w:val="ru-RU"/>
              </w:rPr>
              <w:t>64</w:t>
            </w:r>
            <w:r w:rsidR="00796BD3" w:rsidRPr="005F5A3F">
              <w:rPr>
                <w:b/>
                <w:lang w:val="ru-RU"/>
              </w:rPr>
              <w:t>-R</w:t>
            </w:r>
          </w:p>
        </w:tc>
      </w:tr>
      <w:tr w:rsidR="00796BD3" w:rsidRPr="005F5A3F" w14:paraId="33D240DE" w14:textId="77777777" w:rsidTr="00D17718">
        <w:trPr>
          <w:cantSplit/>
        </w:trPr>
        <w:tc>
          <w:tcPr>
            <w:tcW w:w="3969" w:type="dxa"/>
            <w:vMerge/>
          </w:tcPr>
          <w:p w14:paraId="4A966BDB" w14:textId="77777777" w:rsidR="00796BD3" w:rsidRPr="005F5A3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7B48801" w14:textId="306875F4" w:rsidR="00796BD3" w:rsidRPr="005F5A3F" w:rsidRDefault="0015439A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F5A3F">
              <w:rPr>
                <w:b/>
                <w:lang w:val="ru-RU"/>
              </w:rPr>
              <w:t>30 марта 2026 года</w:t>
            </w:r>
          </w:p>
        </w:tc>
      </w:tr>
      <w:tr w:rsidR="00796BD3" w:rsidRPr="005F5A3F" w14:paraId="4A0D6A2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40F4876" w14:textId="77777777" w:rsidR="00796BD3" w:rsidRPr="005F5A3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95B991A" w14:textId="77777777" w:rsidR="00796BD3" w:rsidRPr="005F5A3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F5A3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5F5A3F" w14:paraId="47C5CE46" w14:textId="77777777" w:rsidTr="00D17718">
        <w:trPr>
          <w:cantSplit/>
          <w:trHeight w:val="23"/>
        </w:trPr>
        <w:tc>
          <w:tcPr>
            <w:tcW w:w="3969" w:type="dxa"/>
          </w:tcPr>
          <w:p w14:paraId="7FAEA080" w14:textId="77777777" w:rsidR="00796BD3" w:rsidRPr="005F5A3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9504722" w14:textId="77777777" w:rsidR="00796BD3" w:rsidRPr="005F5A3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F5A3F" w14:paraId="0008946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A8734FD" w14:textId="77777777" w:rsidR="00796BD3" w:rsidRPr="005F5A3F" w:rsidRDefault="0033025A" w:rsidP="00B02D84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5F5A3F">
              <w:t>Отчет Генерального секретаря</w:t>
            </w:r>
          </w:p>
        </w:tc>
      </w:tr>
      <w:tr w:rsidR="00796BD3" w:rsidRPr="00307785" w14:paraId="05C24AD7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432A3C9" w14:textId="30BA609F" w:rsidR="00796BD3" w:rsidRPr="005F5A3F" w:rsidRDefault="0015439A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5F5A3F">
              <w:rPr>
                <w:color w:val="000000"/>
                <w:sz w:val="32"/>
                <w:szCs w:val="28"/>
              </w:rPr>
              <w:t>УСИЛИЯ ПО ГАРАНТИРОВАНИЮ ПРЕДОСТАВЛЕНИЯ ЭЛЕКТРОСВЯЗИ ГУМАНИТАРНОГО ХАРАКТЕРА В УСЛОВИЯХ КОНФЛИКТОВ И БЕДСТВИЙ</w:t>
            </w:r>
          </w:p>
        </w:tc>
      </w:tr>
      <w:tr w:rsidR="00796BD3" w:rsidRPr="005F5A3F" w14:paraId="09214AFC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9BDBBAD" w14:textId="77777777" w:rsidR="00796BD3" w:rsidRPr="005F5A3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F5A3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4ED59DB6" w14:textId="49205C5A" w:rsidR="00796BD3" w:rsidRPr="005F5A3F" w:rsidRDefault="0015439A" w:rsidP="00D17718">
            <w:pPr>
              <w:rPr>
                <w:lang w:val="ru-RU"/>
              </w:rPr>
            </w:pPr>
            <w:r w:rsidRPr="005F5A3F">
              <w:rPr>
                <w:color w:val="000000"/>
                <w:lang w:val="ru-RU"/>
              </w:rPr>
              <w:t>В настоящем отчете представлена информация о деятельности МСЭ по гарантированию и</w:t>
            </w:r>
            <w:r w:rsidR="005F5A3F">
              <w:rPr>
                <w:color w:val="000000"/>
                <w:lang w:val="ru-RU"/>
              </w:rPr>
              <w:t> </w:t>
            </w:r>
            <w:r w:rsidRPr="005F5A3F">
              <w:rPr>
                <w:color w:val="000000"/>
                <w:lang w:val="ru-RU"/>
              </w:rPr>
              <w:t>обеспечению функционирования сетей и услуг электросвязи общего пользования в целях оказания жизненно важной гуманитарной помощи во время вооруженных конфликтов и</w:t>
            </w:r>
            <w:r w:rsidR="005F5A3F">
              <w:rPr>
                <w:color w:val="000000"/>
                <w:lang w:val="ru-RU"/>
              </w:rPr>
              <w:t> </w:t>
            </w:r>
            <w:r w:rsidRPr="005F5A3F">
              <w:rPr>
                <w:color w:val="000000"/>
                <w:lang w:val="ru-RU"/>
              </w:rPr>
              <w:t>бедствий.</w:t>
            </w:r>
          </w:p>
          <w:p w14:paraId="74101BFE" w14:textId="77777777" w:rsidR="00796BD3" w:rsidRPr="005F5A3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F5A3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290EC70D" w14:textId="30A90B6E" w:rsidR="00796BD3" w:rsidRPr="005F5A3F" w:rsidRDefault="0015439A" w:rsidP="00D17718">
            <w:pPr>
              <w:rPr>
                <w:lang w:val="ru-RU"/>
              </w:rPr>
            </w:pPr>
            <w:r w:rsidRPr="005F5A3F">
              <w:rPr>
                <w:color w:val="000000"/>
                <w:lang w:val="ru-RU"/>
              </w:rPr>
              <w:t xml:space="preserve">Совету предлагается </w:t>
            </w:r>
            <w:r w:rsidRPr="005F5A3F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5F5A3F">
              <w:rPr>
                <w:color w:val="000000"/>
                <w:lang w:val="ru-RU"/>
              </w:rPr>
              <w:t xml:space="preserve"> настоящий отчет.</w:t>
            </w:r>
          </w:p>
          <w:p w14:paraId="36F7073A" w14:textId="77777777" w:rsidR="00796BD3" w:rsidRPr="005F5A3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F5A3F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3DDD1D2E" w14:textId="27A24347" w:rsidR="00796BD3" w:rsidRPr="005F5A3F" w:rsidRDefault="0015439A" w:rsidP="00D17718">
            <w:pPr>
              <w:rPr>
                <w:lang w:val="ru-RU"/>
              </w:rPr>
            </w:pPr>
            <w:r w:rsidRPr="005F5A3F">
              <w:rPr>
                <w:color w:val="000000"/>
                <w:lang w:val="ru-RU"/>
              </w:rPr>
              <w:t>Партнерские отношения и международное сотрудничество.</w:t>
            </w:r>
          </w:p>
          <w:p w14:paraId="66B530C5" w14:textId="77777777" w:rsidR="00796BD3" w:rsidRPr="005F5A3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F5A3F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501CE535" w14:textId="50C4BCAE" w:rsidR="00345D2A" w:rsidRPr="005F5A3F" w:rsidRDefault="0015439A" w:rsidP="00D17718">
            <w:pPr>
              <w:spacing w:before="160"/>
              <w:rPr>
                <w:szCs w:val="22"/>
                <w:lang w:val="ru-RU"/>
              </w:rPr>
            </w:pPr>
            <w:r w:rsidRPr="005F5A3F">
              <w:rPr>
                <w:color w:val="000000"/>
                <w:lang w:val="ru-RU"/>
              </w:rPr>
              <w:t>В рамках выделенного бюджета на 2025</w:t>
            </w:r>
            <w:r w:rsidR="005F5A3F">
              <w:rPr>
                <w:color w:val="000000"/>
                <w:lang w:val="ru-RU"/>
              </w:rPr>
              <w:t>−</w:t>
            </w:r>
            <w:r w:rsidRPr="005F5A3F">
              <w:rPr>
                <w:color w:val="000000"/>
                <w:lang w:val="ru-RU"/>
              </w:rPr>
              <w:t>2026 годы.</w:t>
            </w:r>
          </w:p>
          <w:p w14:paraId="7F9214D1" w14:textId="77777777" w:rsidR="00796BD3" w:rsidRPr="005F5A3F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5F5A3F">
              <w:rPr>
                <w:sz w:val="20"/>
                <w:szCs w:val="18"/>
                <w:lang w:val="ru-RU"/>
              </w:rPr>
              <w:t>__________________</w:t>
            </w:r>
          </w:p>
          <w:p w14:paraId="22358BB7" w14:textId="77777777" w:rsidR="00796BD3" w:rsidRPr="005F5A3F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5F5A3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7B3DB3A2" w14:textId="5FF479D6" w:rsidR="00796BD3" w:rsidRPr="005F5A3F" w:rsidRDefault="0015439A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5F5A3F">
                <w:rPr>
                  <w:rStyle w:val="Hyperlink"/>
                  <w:i/>
                  <w:iCs/>
                  <w:lang w:val="ru-RU"/>
                </w:rPr>
                <w:t>Предварительный Заключительный отчет ВКРЭ-25</w:t>
              </w:r>
            </w:hyperlink>
            <w:r w:rsidRPr="005F5A3F">
              <w:rPr>
                <w:i/>
                <w:iCs/>
                <w:color w:val="000000"/>
                <w:lang w:val="ru-RU"/>
              </w:rPr>
              <w:t>;</w:t>
            </w:r>
            <w:r w:rsidRPr="005F5A3F">
              <w:rPr>
                <w:color w:val="000000"/>
                <w:lang w:val="ru-RU"/>
              </w:rPr>
              <w:t xml:space="preserve"> </w:t>
            </w:r>
            <w:hyperlink r:id="rId8" w:history="1">
              <w:r w:rsidRPr="005F5A3F">
                <w:rPr>
                  <w:rStyle w:val="Hyperlink"/>
                  <w:i/>
                  <w:iCs/>
                  <w:lang w:val="ru-RU"/>
                </w:rPr>
                <w:t>Резолюция 98 (Миннеаполис, 1998 г.)</w:t>
              </w:r>
            </w:hyperlink>
            <w:r w:rsidRPr="005F5A3F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9" w:history="1">
              <w:r w:rsidRPr="005F5A3F">
                <w:rPr>
                  <w:rStyle w:val="Hyperlink"/>
                  <w:i/>
                  <w:iCs/>
                  <w:lang w:val="ru-RU"/>
                </w:rPr>
                <w:t>Резолюция 136 (Пересм. Бухарест, 2022 г.)</w:t>
              </w:r>
            </w:hyperlink>
            <w:r w:rsidRPr="005F5A3F">
              <w:rPr>
                <w:i/>
                <w:iCs/>
                <w:color w:val="000000"/>
                <w:lang w:val="ru-RU"/>
              </w:rPr>
              <w:t xml:space="preserve"> Полномочной конференции</w:t>
            </w:r>
          </w:p>
        </w:tc>
      </w:tr>
      <w:bookmarkEnd w:id="2"/>
      <w:bookmarkEnd w:id="6"/>
    </w:tbl>
    <w:p w14:paraId="5D466635" w14:textId="77777777" w:rsidR="00796BD3" w:rsidRPr="005F5A3F" w:rsidRDefault="00796BD3" w:rsidP="00796BD3">
      <w:pPr>
        <w:rPr>
          <w:lang w:val="ru-RU"/>
        </w:rPr>
      </w:pPr>
    </w:p>
    <w:p w14:paraId="5BACAD57" w14:textId="77777777" w:rsidR="00165D06" w:rsidRPr="005F5A3F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F5A3F">
        <w:rPr>
          <w:lang w:val="ru-RU"/>
        </w:rPr>
        <w:br w:type="page"/>
      </w:r>
    </w:p>
    <w:p w14:paraId="2F7B9EFC" w14:textId="77777777" w:rsidR="0015439A" w:rsidRPr="005F5A3F" w:rsidRDefault="0015439A" w:rsidP="00B02D84">
      <w:pPr>
        <w:pStyle w:val="Heading1"/>
      </w:pPr>
      <w:r w:rsidRPr="005F5A3F">
        <w:lastRenderedPageBreak/>
        <w:t>1</w:t>
      </w:r>
      <w:r w:rsidRPr="005F5A3F">
        <w:tab/>
        <w:t>Введение</w:t>
      </w:r>
    </w:p>
    <w:p w14:paraId="348EFA52" w14:textId="3917F1AB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1.1</w:t>
      </w:r>
      <w:r w:rsidRPr="005F5A3F">
        <w:rPr>
          <w:lang w:val="ru-RU"/>
        </w:rPr>
        <w:tab/>
        <w:t xml:space="preserve">На Всемирной конференции по развитию электросвязи 2025 года (ВКРЭ-25) в Баку, Азербайджан, Государства-Члены приняли </w:t>
      </w:r>
      <w:hyperlink r:id="rId10" w:history="1">
        <w:r w:rsidRPr="005F5A3F">
          <w:rPr>
            <w:rStyle w:val="Hyperlink"/>
            <w:lang w:val="ru-RU"/>
          </w:rPr>
          <w:t>Заявление о признании роли сетей и услуг электросвязи общего пользования в качестве жизненно важных гуманитарных услуг, предоставление которых должно быть гарантировано и должно осуществляться во время вооруженных конфликтов и бедствий</w:t>
        </w:r>
      </w:hyperlink>
      <w:r w:rsidRPr="005F5A3F">
        <w:rPr>
          <w:lang w:val="ru-RU"/>
        </w:rPr>
        <w:t>, в котором, среди прочего, признается решающее значение сетей и услуг электросвязи для спасания жизней, поддержки операций по спасанию и операций в условиях чрезвычайных ситуаций, доставки гуманитарной помощи и обеспечения непрерывной связи для населения во время таких событий.</w:t>
      </w:r>
      <w:hyperlink r:id="rId11"/>
    </w:p>
    <w:p w14:paraId="6C25EE48" w14:textId="77777777" w:rsidR="0015439A" w:rsidRPr="005F5A3F" w:rsidRDefault="0015439A" w:rsidP="00B02D84">
      <w:pPr>
        <w:pStyle w:val="Heading1"/>
      </w:pPr>
      <w:r w:rsidRPr="005F5A3F">
        <w:t>2</w:t>
      </w:r>
      <w:r w:rsidRPr="005F5A3F">
        <w:tab/>
        <w:t xml:space="preserve">Сотрудничество в </w:t>
      </w:r>
      <w:r w:rsidRPr="00B02D84">
        <w:t>рамках</w:t>
      </w:r>
      <w:r w:rsidRPr="005F5A3F">
        <w:t xml:space="preserve"> системы ООН</w:t>
      </w:r>
    </w:p>
    <w:p w14:paraId="06333FD7" w14:textId="77777777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2.1</w:t>
      </w:r>
      <w:r w:rsidRPr="005F5A3F">
        <w:rPr>
          <w:lang w:val="ru-RU"/>
        </w:rPr>
        <w:tab/>
        <w:t>Признавая, что электросвязь является основополагающей гуманитарной потребностью и услугой, спасающей жизни, МСЭ провел консультации со Всемирной продовольственной программой (ВПП), являющейся координатором тематического блока по вопросам электросвязи в чрезвычайных ситуациях (ETC), и Международной федерацией обществ Красного Креста и Красного Полумесяца (МФКК) в целях повышения осведомленности об этом заявлении ВКРЭ и углубления понимания этих вопросов. МСЭ также взаимодействовал с ВПП и МФКК в рамках неофициального собрания, проходившего в формате мозгового штурма в феврале 2026 года, а также контактировал с заинтересованными Государствами-Членами через их представительства в Нью-Йорке.</w:t>
      </w:r>
    </w:p>
    <w:p w14:paraId="7724BBFF" w14:textId="77777777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2.2</w:t>
      </w:r>
      <w:r w:rsidRPr="005F5A3F">
        <w:rPr>
          <w:lang w:val="ru-RU"/>
        </w:rPr>
        <w:tab/>
        <w:t xml:space="preserve">Итогом этих усилий МСЭ стало участие в проведении в марте 2026 года неофициального брифинга с заинтересованными постоянными представительствами в Женеве, который был организован Постоянным представительством Соединенного Королевства и посвящен безотлагательной необходимости гарантии работы инфраструктуры электросвязи в целях обеспечения работоспособности гуманитарных служб во время кризисов. В ходе дискуссии также рассматривался вопрос о том, как устойчивые и ответственные цифровые инструменты могут повысить готовность к бедствиям и способность реагирования на них, в том числе путем поддержки инициативы </w:t>
      </w:r>
      <w:hyperlink r:id="rId12" w:history="1">
        <w:r w:rsidRPr="005F5A3F">
          <w:rPr>
            <w:rStyle w:val="Hyperlink"/>
            <w:lang w:val="ru-RU"/>
          </w:rPr>
          <w:t>"Раннее предупреждение для всех" (EW4All)</w:t>
        </w:r>
      </w:hyperlink>
      <w:r w:rsidRPr="005F5A3F">
        <w:rPr>
          <w:lang w:val="ru-RU"/>
        </w:rPr>
        <w:t xml:space="preserve">, и одновременно помочь сократить цифровой разрыв для уязвимых сообществ. </w:t>
      </w:r>
      <w:hyperlink r:id="rId13"/>
    </w:p>
    <w:p w14:paraId="574D1BDF" w14:textId="77777777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2.3</w:t>
      </w:r>
      <w:r w:rsidRPr="005F5A3F">
        <w:rPr>
          <w:lang w:val="ru-RU"/>
        </w:rPr>
        <w:tab/>
        <w:t xml:space="preserve">Доступ к электросвязи является серьезным вопросом в нескольких аспектах с учетом возникающих иногда сложностей с импортом оборудования электросвязи, а также донесений о глушении и спуфинге сигналов GPS, что влияет на навигацию, прежде всего на полеты воздушных транспортных средств и операции Службы гуманитарных воздушных перевозок ООН (СГВПООН), а также на системы спутниковой связи. В некоторых случаях отключения связи затрагивают не только население, но и гуманитарные организации, препятствуя оперативной координации, безопасности персонала и доступу к важнейшей информации. В других кризисных ситуациях возможность установления соединений для гражданских лиц и гуманитарного персонала остается крайне ограниченной, а </w:t>
      </w:r>
      <w:hyperlink r:id="rId14" w:history="1">
        <w:r w:rsidRPr="005F5A3F">
          <w:rPr>
            <w:rStyle w:val="Hyperlink"/>
            <w:lang w:val="ru-RU"/>
          </w:rPr>
          <w:t>тематический блок ООН по вопросам электросвязи в чрезвычайных ситуациях (ETC)</w:t>
        </w:r>
      </w:hyperlink>
      <w:r w:rsidRPr="005F5A3F">
        <w:rPr>
          <w:lang w:val="ru-RU"/>
        </w:rPr>
        <w:t xml:space="preserve"> и партнерские учреждения сталкиваются со значительными ограничениями на ввоз оборудования, что создает условия повышенного риска для гуманитарных операций.</w:t>
      </w:r>
      <w:hyperlink r:id="rId15"/>
    </w:p>
    <w:p w14:paraId="44332C21" w14:textId="77777777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2.4</w:t>
      </w:r>
      <w:r w:rsidRPr="005F5A3F">
        <w:rPr>
          <w:lang w:val="ru-RU"/>
        </w:rPr>
        <w:tab/>
        <w:t xml:space="preserve">Тематический блок по вопросам электросвязи в чрезвычайных ситуациях (ETC), возглавляемый Всемирной продовольственной программой, представляет собой глобальную сеть гуманитарных, правительственных и частных организаций, которые совместно занимаются предоставлением на коллективной основе услуг связи в чрезвычайных ситуациях гуманитарного характера. ETC является одним из блоков, определенных Межучрежденческим постоянным комитетом Организации Объединенных Наций (МПК). МСЭ является активным членом ETC и предоставляет технические знания, стандарты и координационный потенциал в области ИКТ и электросвязи в чрезвычайных ситуациях. В частности, участвуя в разработке </w:t>
      </w:r>
      <w:hyperlink r:id="rId16" w:history="1">
        <w:r w:rsidRPr="005F5A3F">
          <w:rPr>
            <w:rStyle w:val="Hyperlink"/>
            <w:lang w:val="ru-RU"/>
          </w:rPr>
          <w:t xml:space="preserve">национальных </w:t>
        </w:r>
        <w:r w:rsidRPr="005F5A3F">
          <w:rPr>
            <w:rStyle w:val="Hyperlink"/>
            <w:lang w:val="ru-RU"/>
          </w:rPr>
          <w:lastRenderedPageBreak/>
          <w:t>планов электросвязи в чрезвычайных ситуациях (NETP)</w:t>
        </w:r>
      </w:hyperlink>
      <w:r w:rsidRPr="005F5A3F">
        <w:rPr>
          <w:lang w:val="ru-RU"/>
        </w:rPr>
        <w:t>, МСЭ помогает Государствам-Членам в определении стратегий, политики и процедур в области связи в чрезвычайных ситуациях, которые соответствуют механизмам координации гуманитарной деятельности.</w:t>
      </w:r>
      <w:hyperlink r:id="rId17" w:history="1"/>
    </w:p>
    <w:p w14:paraId="7A30B9F6" w14:textId="7DF1DC00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2.5</w:t>
      </w:r>
      <w:r w:rsidRPr="005F5A3F">
        <w:rPr>
          <w:lang w:val="ru-RU"/>
        </w:rPr>
        <w:tab/>
        <w:t xml:space="preserve">МСЭ также взаимодействует с </w:t>
      </w:r>
      <w:hyperlink r:id="rId18" w:history="1">
        <w:r w:rsidRPr="005F5A3F">
          <w:rPr>
            <w:rStyle w:val="Hyperlink"/>
            <w:lang w:val="ru-RU"/>
          </w:rPr>
          <w:t>Межучрежденческим постоянным комитетом (МПК)</w:t>
        </w:r>
      </w:hyperlink>
      <w:r w:rsidRPr="005F5A3F">
        <w:rPr>
          <w:lang w:val="ru-RU"/>
        </w:rPr>
        <w:t>: Союз направил в его адрес заявление ВКРЭ и выразил приверженность укреплению сотрудничества и координации с МПК и его членами для решения критических вопросов на</w:t>
      </w:r>
      <w:r w:rsidR="00637084">
        <w:rPr>
          <w:lang w:val="ru-RU"/>
        </w:rPr>
        <w:t> </w:t>
      </w:r>
      <w:r w:rsidRPr="005F5A3F">
        <w:rPr>
          <w:lang w:val="ru-RU"/>
        </w:rPr>
        <w:t>национальном, региональном и глобальном уровнях.</w:t>
      </w:r>
      <w:hyperlink r:id="rId19" w:history="1"/>
    </w:p>
    <w:p w14:paraId="3A5B199D" w14:textId="77777777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2.6</w:t>
      </w:r>
      <w:r w:rsidRPr="005F5A3F">
        <w:rPr>
          <w:lang w:val="ru-RU"/>
        </w:rPr>
        <w:tab/>
        <w:t xml:space="preserve">Как и в </w:t>
      </w:r>
      <w:hyperlink r:id="rId20" w:history="1">
        <w:r w:rsidRPr="005F5A3F">
          <w:rPr>
            <w:rStyle w:val="Hyperlink"/>
            <w:lang w:val="ru-RU"/>
          </w:rPr>
          <w:t>Конвенции Тампере</w:t>
        </w:r>
      </w:hyperlink>
      <w:r w:rsidRPr="005F5A3F">
        <w:rPr>
          <w:lang w:val="ru-RU"/>
        </w:rPr>
        <w:t xml:space="preserve">, которая представляет собой правовую основу для использования электросвязи в целях оказания гуманитарной помощи и снижения регламентарных барьеров, абсолютная приоритетность экстренной связи для проведения спасательных работ подтверждается в международных регуляторных инструментах. Кроме того, как установлено в Уставе Союза и как признается в </w:t>
      </w:r>
      <w:hyperlink r:id="rId21" w:history="1">
        <w:r w:rsidRPr="005F5A3F">
          <w:rPr>
            <w:rStyle w:val="Hyperlink"/>
            <w:lang w:val="ru-RU"/>
          </w:rPr>
          <w:t>Резолюции 98 (Миннеаполис, 1998 г.)</w:t>
        </w:r>
      </w:hyperlink>
      <w:r w:rsidRPr="005F5A3F">
        <w:rPr>
          <w:lang w:val="ru-RU"/>
        </w:rPr>
        <w:t xml:space="preserve"> и </w:t>
      </w:r>
      <w:hyperlink r:id="rId22" w:history="1">
        <w:r w:rsidRPr="005F5A3F">
          <w:rPr>
            <w:rStyle w:val="Hyperlink"/>
            <w:lang w:val="ru-RU"/>
          </w:rPr>
          <w:t>Резолюции 136 (Бухарест, 2022 г.)</w:t>
        </w:r>
      </w:hyperlink>
      <w:r w:rsidRPr="005F5A3F">
        <w:rPr>
          <w:lang w:val="ru-RU"/>
        </w:rPr>
        <w:t xml:space="preserve"> Полномочной конференции МСЭ, а также в Резолюциях Всемирной конференции радиосвязи (ВКР), инфраструктура электросвязи является одним из важнейших компонентов гуманитарной помощи, требующим правовой защиты и упрощения формальностей.</w:t>
      </w:r>
      <w:hyperlink r:id="rId23"/>
      <w:hyperlink r:id="rId24"/>
      <w:hyperlink r:id="rId25"/>
    </w:p>
    <w:p w14:paraId="53F270A1" w14:textId="4E4F6260" w:rsidR="0015439A" w:rsidRPr="005F5A3F" w:rsidRDefault="0015439A" w:rsidP="00B02D84">
      <w:pPr>
        <w:pStyle w:val="Heading1"/>
        <w:rPr>
          <w:sz w:val="28"/>
          <w:szCs w:val="28"/>
        </w:rPr>
      </w:pPr>
      <w:r w:rsidRPr="005F5A3F">
        <w:t>3</w:t>
      </w:r>
      <w:r w:rsidRPr="005F5A3F">
        <w:tab/>
        <w:t>Дальнейшие шаги</w:t>
      </w:r>
    </w:p>
    <w:p w14:paraId="16D7AD1A" w14:textId="73DD1019" w:rsidR="0015439A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3.1</w:t>
      </w:r>
      <w:r w:rsidRPr="005F5A3F">
        <w:rPr>
          <w:lang w:val="ru-RU"/>
        </w:rPr>
        <w:tab/>
        <w:t xml:space="preserve">В </w:t>
      </w:r>
      <w:hyperlink r:id="rId26" w:anchor="page=483" w:history="1">
        <w:r w:rsidRPr="005F5A3F">
          <w:rPr>
            <w:rStyle w:val="Hyperlink"/>
            <w:lang w:val="ru-RU"/>
          </w:rPr>
          <w:t>заявлении ВКРЭ</w:t>
        </w:r>
      </w:hyperlink>
      <w:r w:rsidRPr="005F5A3F">
        <w:rPr>
          <w:lang w:val="ru-RU"/>
        </w:rPr>
        <w:t xml:space="preserve"> Генеральному секретарю поручено на основе консультаций с Государствами-Членами и соответствующими заинтересованными сторонами принять ряд мер для содействия предоставлению услуг связи в чрезвычайных ситуациях для критически важной и жизненно необходимой гуманитарной помощи и обеспечения общественной безопасности, а</w:t>
      </w:r>
      <w:r w:rsidR="00637084">
        <w:rPr>
          <w:lang w:val="ru-RU"/>
        </w:rPr>
        <w:t> </w:t>
      </w:r>
      <w:r w:rsidRPr="005F5A3F">
        <w:rPr>
          <w:lang w:val="ru-RU"/>
        </w:rPr>
        <w:t>также непрерывности функционирования сетей и услуг электросвязи общего пользования во время вооруженных конфликтов или бедствий. Генеральный секретарь работает над стратегическим планом для обеспечения реализации таких мер.</w:t>
      </w:r>
      <w:hyperlink r:id="rId27" w:anchor="page=483"/>
    </w:p>
    <w:p w14:paraId="56EB5769" w14:textId="6B188566" w:rsidR="00C462C5" w:rsidRPr="005F5A3F" w:rsidRDefault="0015439A" w:rsidP="00B02D84">
      <w:pPr>
        <w:jc w:val="both"/>
        <w:rPr>
          <w:lang w:val="ru-RU"/>
        </w:rPr>
      </w:pPr>
      <w:r w:rsidRPr="005F5A3F">
        <w:rPr>
          <w:lang w:val="ru-RU"/>
        </w:rPr>
        <w:t>3.2</w:t>
      </w:r>
      <w:r w:rsidRPr="005F5A3F">
        <w:rPr>
          <w:lang w:val="ru-RU"/>
        </w:rPr>
        <w:tab/>
        <w:t>В заявлении ВКРЭ Генеральному секретарю также поручается выявлять любые потенциальные дополнительные бюджетные потребности Секретариата для поддержки усилий, направленных на содействие тому, чтобы органы системы ООН поддерживали защиту сетей и услуг электросвязи общего пользования во время вооруженных конфликтов и бедствий. На этом начальном этапе была определена необходимость в работе специального сотрудника по координации. Государствам-Членам предлагается поддержать эту потребность путем добровольного финансирования, прикомандирования или временной передачи персонала.</w:t>
      </w:r>
    </w:p>
    <w:p w14:paraId="1D8530FC" w14:textId="77777777" w:rsidR="00796BD3" w:rsidRPr="005F5A3F" w:rsidRDefault="00C462C5" w:rsidP="005F5A3F">
      <w:pPr>
        <w:spacing w:before="480"/>
        <w:jc w:val="center"/>
        <w:rPr>
          <w:lang w:val="ru-RU"/>
        </w:rPr>
      </w:pPr>
      <w:r w:rsidRPr="005F5A3F">
        <w:rPr>
          <w:lang w:val="ru-RU"/>
        </w:rPr>
        <w:t>______________</w:t>
      </w:r>
    </w:p>
    <w:sectPr w:rsidR="00796BD3" w:rsidRPr="005F5A3F" w:rsidSect="00796BD3">
      <w:footerReference w:type="default" r:id="rId28"/>
      <w:headerReference w:type="first" r:id="rId29"/>
      <w:footerReference w:type="first" r:id="rId3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90DC" w14:textId="77777777" w:rsidR="0015439A" w:rsidRDefault="0015439A">
      <w:r>
        <w:separator/>
      </w:r>
    </w:p>
  </w:endnote>
  <w:endnote w:type="continuationSeparator" w:id="0">
    <w:p w14:paraId="6BBF32E8" w14:textId="77777777" w:rsidR="0015439A" w:rsidRDefault="0015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1E5D92A" w14:textId="77777777" w:rsidTr="00E31DCE">
      <w:trPr>
        <w:jc w:val="center"/>
      </w:trPr>
      <w:tc>
        <w:tcPr>
          <w:tcW w:w="1803" w:type="dxa"/>
          <w:vAlign w:val="center"/>
        </w:tcPr>
        <w:p w14:paraId="1705700A" w14:textId="4A6AA1D9" w:rsidR="00672F8A" w:rsidRPr="0015439A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 w:rsidR="0015439A">
            <w:rPr>
              <w:noProof/>
              <w:lang w:val="ru-RU"/>
            </w:rPr>
            <w:t xml:space="preserve"> 2600736</w:t>
          </w:r>
        </w:p>
      </w:tc>
      <w:tc>
        <w:tcPr>
          <w:tcW w:w="8261" w:type="dxa"/>
        </w:tcPr>
        <w:p w14:paraId="46A7E415" w14:textId="27AB79B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5439A">
            <w:rPr>
              <w:bCs/>
              <w:lang w:val="ru-RU"/>
            </w:rPr>
            <w:t>64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9C8EA7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AB3E468" w14:textId="77777777" w:rsidTr="00E31DCE">
      <w:trPr>
        <w:jc w:val="center"/>
      </w:trPr>
      <w:tc>
        <w:tcPr>
          <w:tcW w:w="1803" w:type="dxa"/>
          <w:vAlign w:val="center"/>
        </w:tcPr>
        <w:p w14:paraId="0858B7FE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E973AB4" w14:textId="3BF9CD7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5439A">
            <w:rPr>
              <w:bCs/>
              <w:lang w:val="ru-RU"/>
            </w:rPr>
            <w:t>64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24E3B88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0EBC" w14:textId="77777777" w:rsidR="0015439A" w:rsidRDefault="0015439A">
      <w:r>
        <w:t>____________________</w:t>
      </w:r>
    </w:p>
  </w:footnote>
  <w:footnote w:type="continuationSeparator" w:id="0">
    <w:p w14:paraId="0E46B070" w14:textId="77777777" w:rsidR="0015439A" w:rsidRDefault="0015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EC5B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A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0F5E"/>
    <w:rsid w:val="0014229E"/>
    <w:rsid w:val="0014734F"/>
    <w:rsid w:val="0015439A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C3F32"/>
    <w:rsid w:val="002D2F57"/>
    <w:rsid w:val="002D48C5"/>
    <w:rsid w:val="0030778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5F5A3F"/>
    <w:rsid w:val="00601994"/>
    <w:rsid w:val="0063708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02D84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DF2AE3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61906"/>
  <w15:docId w15:val="{AB760DCB-F894-4D8E-B5E6-C37726BE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02D84"/>
    <w:pPr>
      <w:keepNext/>
      <w:keepLines/>
      <w:spacing w:before="360"/>
      <w:ind w:left="794" w:hanging="794"/>
      <w:outlineLvl w:val="0"/>
    </w:pPr>
    <w:rPr>
      <w:b/>
      <w:bCs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098-E.pdf" TargetMode="External"/><Relationship Id="rId13" Type="http://schemas.openxmlformats.org/officeDocument/2006/relationships/hyperlink" Target="https://www.itu.int/en/ITU-D/Emergency-Telecommunications/Pages/Early-Warnings-for-All-Initiative.aspx" TargetMode="External"/><Relationship Id="rId18" Type="http://schemas.openxmlformats.org/officeDocument/2006/relationships/hyperlink" Target="https://interagencystandingcommittee.org/" TargetMode="External"/><Relationship Id="rId26" Type="http://schemas.openxmlformats.org/officeDocument/2006/relationships/hyperlink" Target="https://www.itu.int/itu-d/meetings/wtdc25/wp-content/uploads/sites/29/2025/11/090-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en/council/Documents/basic-texts-2023/RES-098-E.pdf" TargetMode="External"/><Relationship Id="rId7" Type="http://schemas.openxmlformats.org/officeDocument/2006/relationships/hyperlink" Target="https://www.itu.int/itu-d/meetings/wtdc25/wp-content/uploads/sites/29/2025/11/090-E.pdf" TargetMode="External"/><Relationship Id="rId12" Type="http://schemas.openxmlformats.org/officeDocument/2006/relationships/hyperlink" Target="https://www.itu.int/en/ITU-D/Emergency-Telecommunications/Pages/Early-Warnings-for-All-Initiative.aspx" TargetMode="External"/><Relationship Id="rId17" Type="http://schemas.openxmlformats.org/officeDocument/2006/relationships/hyperlink" Target="https://www.itu.int/en/ITU-D/Emergency-Telecommunications/Pages/NETPs.aspx" TargetMode="External"/><Relationship Id="rId25" Type="http://schemas.openxmlformats.org/officeDocument/2006/relationships/hyperlink" Target="https://www.itu.int/en/council/Documents/basic-texts-2023/RES-136-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en/ITU-D/Emergency-Telecommunications/Pages/NETPs.aspx" TargetMode="External"/><Relationship Id="rId20" Type="http://schemas.openxmlformats.org/officeDocument/2006/relationships/hyperlink" Target="https://www.itu.int/en/ITU-D/Emergency-Telecommunications/Pages/TampereConvention.aspx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tu-d/meetings/wtdc25/wp-content/uploads/sites/29/2025/11/090-E.pdf" TargetMode="External"/><Relationship Id="rId24" Type="http://schemas.openxmlformats.org/officeDocument/2006/relationships/hyperlink" Target="https://www.itu.int/en/council/Documents/basic-texts-2023/RES-098-E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tcluster.org/" TargetMode="External"/><Relationship Id="rId23" Type="http://schemas.openxmlformats.org/officeDocument/2006/relationships/hyperlink" Target="https://www.itu.int/en/ITU-D/Emergency-Telecommunications/Pages/TampereConvention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itu-d/meetings/wtdc25/wp-content/uploads/sites/29/2025/11/090-E.pdf" TargetMode="External"/><Relationship Id="rId19" Type="http://schemas.openxmlformats.org/officeDocument/2006/relationships/hyperlink" Target="https://interagencystandingcommittee.org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136-E.pdf" TargetMode="External"/><Relationship Id="rId14" Type="http://schemas.openxmlformats.org/officeDocument/2006/relationships/hyperlink" Target="https://www.etcluster.org/" TargetMode="External"/><Relationship Id="rId22" Type="http://schemas.openxmlformats.org/officeDocument/2006/relationships/hyperlink" Target="https://www.itu.int/en/council/Documents/basic-texts-2023/RES-136-E.pdf" TargetMode="External"/><Relationship Id="rId27" Type="http://schemas.openxmlformats.org/officeDocument/2006/relationships/hyperlink" Target="https://www.itu.int/itu-d/meetings/wtdc25/wp-content/uploads/sites/29/2025/11/090-E.pdf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3</Pages>
  <Words>858</Words>
  <Characters>8145</Characters>
  <Application>Microsoft Office Word</Application>
  <DocSecurity>0</DocSecurity>
  <Lines>145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8960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Efforts to safeguard humanitarian telecommunications in conflicts and disasters</dc:title>
  <dc:subject>ITU Council 2026</dc:subject>
  <cp:keywords>C26; C2026; Council 2026; PP26</cp:keywords>
  <dc:description/>
  <cp:lastPrinted>2006-03-28T16:12:00Z</cp:lastPrinted>
  <dcterms:created xsi:type="dcterms:W3CDTF">2026-04-28T16:51:00Z</dcterms:created>
  <dcterms:modified xsi:type="dcterms:W3CDTF">2026-04-28T16:51:00Z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