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A23F18" w14:paraId="53CE2CD5" w14:textId="77777777" w:rsidTr="00796BDB">
        <w:trPr>
          <w:cantSplit/>
          <w:trHeight w:val="23"/>
        </w:trPr>
        <w:tc>
          <w:tcPr>
            <w:tcW w:w="3969" w:type="dxa"/>
            <w:vMerge w:val="restart"/>
            <w:tcMar>
              <w:left w:w="0" w:type="dxa"/>
            </w:tcMar>
          </w:tcPr>
          <w:p w14:paraId="387EDAC1" w14:textId="68E6E659" w:rsidR="00D72F49" w:rsidRPr="00A23F18" w:rsidRDefault="00D72F49" w:rsidP="00796BDB">
            <w:pPr>
              <w:tabs>
                <w:tab w:val="left" w:pos="851"/>
              </w:tabs>
              <w:spacing w:before="0" w:line="240" w:lineRule="atLeast"/>
              <w:rPr>
                <w:b/>
              </w:rPr>
            </w:pPr>
            <w:r w:rsidRPr="00A23F18">
              <w:rPr>
                <w:b/>
              </w:rPr>
              <w:t>Point de l'ordre du jour:</w:t>
            </w:r>
            <w:r w:rsidR="00A25E3A" w:rsidRPr="00A23F18">
              <w:rPr>
                <w:b/>
              </w:rPr>
              <w:t xml:space="preserve"> PL 2</w:t>
            </w:r>
          </w:p>
        </w:tc>
        <w:tc>
          <w:tcPr>
            <w:tcW w:w="5245" w:type="dxa"/>
          </w:tcPr>
          <w:p w14:paraId="759AEEF5" w14:textId="7C769473" w:rsidR="00D72F49" w:rsidRPr="00A23F18" w:rsidRDefault="00D72F49" w:rsidP="00796BDB">
            <w:pPr>
              <w:tabs>
                <w:tab w:val="left" w:pos="851"/>
              </w:tabs>
              <w:spacing w:before="0" w:line="240" w:lineRule="atLeast"/>
              <w:jc w:val="right"/>
              <w:rPr>
                <w:b/>
              </w:rPr>
            </w:pPr>
            <w:r w:rsidRPr="00A23F18">
              <w:rPr>
                <w:b/>
              </w:rPr>
              <w:t>Document C2</w:t>
            </w:r>
            <w:r w:rsidR="00E4448E" w:rsidRPr="00A23F18">
              <w:rPr>
                <w:b/>
              </w:rPr>
              <w:t>6</w:t>
            </w:r>
            <w:r w:rsidRPr="00A23F18">
              <w:rPr>
                <w:b/>
              </w:rPr>
              <w:t>/</w:t>
            </w:r>
            <w:r w:rsidR="00A25E3A" w:rsidRPr="00A23F18">
              <w:rPr>
                <w:b/>
              </w:rPr>
              <w:t>64</w:t>
            </w:r>
            <w:r w:rsidRPr="00A23F18">
              <w:rPr>
                <w:b/>
              </w:rPr>
              <w:t>-F</w:t>
            </w:r>
          </w:p>
        </w:tc>
      </w:tr>
      <w:tr w:rsidR="00D72F49" w:rsidRPr="00A23F18" w14:paraId="1743C868" w14:textId="77777777" w:rsidTr="00796BDB">
        <w:trPr>
          <w:cantSplit/>
        </w:trPr>
        <w:tc>
          <w:tcPr>
            <w:tcW w:w="3969" w:type="dxa"/>
            <w:vMerge/>
          </w:tcPr>
          <w:p w14:paraId="279ABCB9" w14:textId="77777777" w:rsidR="00D72F49" w:rsidRPr="00A23F18" w:rsidRDefault="00D72F49" w:rsidP="00796BDB">
            <w:pPr>
              <w:tabs>
                <w:tab w:val="left" w:pos="851"/>
              </w:tabs>
              <w:spacing w:line="240" w:lineRule="atLeast"/>
              <w:rPr>
                <w:b/>
              </w:rPr>
            </w:pPr>
          </w:p>
        </w:tc>
        <w:tc>
          <w:tcPr>
            <w:tcW w:w="5245" w:type="dxa"/>
          </w:tcPr>
          <w:p w14:paraId="7646DAC6" w14:textId="43DDF764" w:rsidR="00D72F49" w:rsidRPr="00A23F18" w:rsidRDefault="00A25E3A" w:rsidP="00796BDB">
            <w:pPr>
              <w:tabs>
                <w:tab w:val="left" w:pos="851"/>
              </w:tabs>
              <w:spacing w:before="0"/>
              <w:jc w:val="right"/>
              <w:rPr>
                <w:b/>
              </w:rPr>
            </w:pPr>
            <w:r w:rsidRPr="00A23F18">
              <w:rPr>
                <w:b/>
              </w:rPr>
              <w:t>30 mars 2026</w:t>
            </w:r>
          </w:p>
        </w:tc>
      </w:tr>
      <w:tr w:rsidR="00D72F49" w:rsidRPr="00A23F18" w14:paraId="2FE4B15B" w14:textId="77777777" w:rsidTr="00796BDB">
        <w:trPr>
          <w:cantSplit/>
          <w:trHeight w:val="23"/>
        </w:trPr>
        <w:tc>
          <w:tcPr>
            <w:tcW w:w="3969" w:type="dxa"/>
            <w:vMerge/>
          </w:tcPr>
          <w:p w14:paraId="1E6BF59B" w14:textId="77777777" w:rsidR="00D72F49" w:rsidRPr="00A23F18" w:rsidRDefault="00D72F49" w:rsidP="00796BDB">
            <w:pPr>
              <w:tabs>
                <w:tab w:val="left" w:pos="851"/>
              </w:tabs>
              <w:spacing w:line="240" w:lineRule="atLeast"/>
              <w:rPr>
                <w:b/>
              </w:rPr>
            </w:pPr>
          </w:p>
        </w:tc>
        <w:tc>
          <w:tcPr>
            <w:tcW w:w="5245" w:type="dxa"/>
          </w:tcPr>
          <w:p w14:paraId="2EB9FB26" w14:textId="77777777" w:rsidR="00D72F49" w:rsidRPr="00A23F18" w:rsidRDefault="00D72F49" w:rsidP="00796BDB">
            <w:pPr>
              <w:tabs>
                <w:tab w:val="left" w:pos="851"/>
              </w:tabs>
              <w:spacing w:before="0" w:line="240" w:lineRule="atLeast"/>
              <w:jc w:val="right"/>
              <w:rPr>
                <w:b/>
              </w:rPr>
            </w:pPr>
            <w:r w:rsidRPr="00A23F18">
              <w:rPr>
                <w:b/>
              </w:rPr>
              <w:t>Original: anglais</w:t>
            </w:r>
          </w:p>
        </w:tc>
      </w:tr>
      <w:tr w:rsidR="00D72F49" w:rsidRPr="00A23F18" w14:paraId="707DEFC1" w14:textId="77777777" w:rsidTr="00796BDB">
        <w:trPr>
          <w:cantSplit/>
          <w:trHeight w:val="23"/>
        </w:trPr>
        <w:tc>
          <w:tcPr>
            <w:tcW w:w="3969" w:type="dxa"/>
          </w:tcPr>
          <w:p w14:paraId="7374ADA6" w14:textId="77777777" w:rsidR="00D72F49" w:rsidRPr="00A23F18" w:rsidRDefault="00D72F49" w:rsidP="00796BDB">
            <w:pPr>
              <w:tabs>
                <w:tab w:val="left" w:pos="851"/>
              </w:tabs>
              <w:spacing w:line="240" w:lineRule="atLeast"/>
              <w:rPr>
                <w:b/>
              </w:rPr>
            </w:pPr>
          </w:p>
        </w:tc>
        <w:tc>
          <w:tcPr>
            <w:tcW w:w="5245" w:type="dxa"/>
          </w:tcPr>
          <w:p w14:paraId="5E369EFB" w14:textId="77777777" w:rsidR="00D72F49" w:rsidRPr="00A23F18" w:rsidRDefault="00D72F49" w:rsidP="00796BDB">
            <w:pPr>
              <w:tabs>
                <w:tab w:val="left" w:pos="851"/>
              </w:tabs>
              <w:spacing w:before="0" w:line="240" w:lineRule="atLeast"/>
              <w:jc w:val="right"/>
              <w:rPr>
                <w:b/>
              </w:rPr>
            </w:pPr>
          </w:p>
        </w:tc>
      </w:tr>
      <w:tr w:rsidR="00D72F49" w:rsidRPr="00A23F18" w14:paraId="4B11ED40" w14:textId="77777777" w:rsidTr="00796BDB">
        <w:trPr>
          <w:cantSplit/>
        </w:trPr>
        <w:tc>
          <w:tcPr>
            <w:tcW w:w="9214" w:type="dxa"/>
            <w:gridSpan w:val="2"/>
            <w:tcMar>
              <w:left w:w="0" w:type="dxa"/>
            </w:tcMar>
          </w:tcPr>
          <w:p w14:paraId="2A63A086" w14:textId="77777777" w:rsidR="00D72F49" w:rsidRPr="007D60F9" w:rsidRDefault="00D72F49" w:rsidP="00796BDB">
            <w:pPr>
              <w:pStyle w:val="Source"/>
              <w:jc w:val="left"/>
              <w:rPr>
                <w:sz w:val="32"/>
                <w:szCs w:val="32"/>
              </w:rPr>
            </w:pPr>
            <w:r w:rsidRPr="007D60F9">
              <w:rPr>
                <w:rFonts w:cstheme="minorHAnsi"/>
                <w:color w:val="000000"/>
                <w:sz w:val="32"/>
                <w:szCs w:val="32"/>
              </w:rPr>
              <w:t xml:space="preserve">Rapport </w:t>
            </w:r>
            <w:r w:rsidR="00E95647" w:rsidRPr="007D60F9">
              <w:rPr>
                <w:rFonts w:cstheme="minorHAnsi"/>
                <w:color w:val="000000"/>
                <w:sz w:val="32"/>
                <w:szCs w:val="32"/>
              </w:rPr>
              <w:t xml:space="preserve">de la </w:t>
            </w:r>
            <w:r w:rsidRPr="007D60F9">
              <w:rPr>
                <w:rFonts w:cstheme="minorHAnsi"/>
                <w:color w:val="000000"/>
                <w:sz w:val="32"/>
                <w:szCs w:val="32"/>
              </w:rPr>
              <w:t>Secrétaire général</w:t>
            </w:r>
            <w:r w:rsidR="00E95647" w:rsidRPr="007D60F9">
              <w:rPr>
                <w:rFonts w:cstheme="minorHAnsi"/>
                <w:color w:val="000000"/>
                <w:sz w:val="32"/>
                <w:szCs w:val="32"/>
              </w:rPr>
              <w:t>e</w:t>
            </w:r>
          </w:p>
        </w:tc>
      </w:tr>
      <w:tr w:rsidR="00D72F49" w:rsidRPr="00A23F18" w14:paraId="47D57CD8" w14:textId="77777777" w:rsidTr="00796BDB">
        <w:trPr>
          <w:cantSplit/>
        </w:trPr>
        <w:tc>
          <w:tcPr>
            <w:tcW w:w="9214" w:type="dxa"/>
            <w:gridSpan w:val="2"/>
            <w:tcMar>
              <w:left w:w="0" w:type="dxa"/>
            </w:tcMar>
          </w:tcPr>
          <w:p w14:paraId="09C78F6A" w14:textId="58D36029" w:rsidR="00D72F49" w:rsidRPr="00A23F18" w:rsidRDefault="007D60F9" w:rsidP="00796BDB">
            <w:pPr>
              <w:pStyle w:val="Subtitle"/>
              <w:framePr w:hSpace="0" w:wrap="auto" w:hAnchor="text" w:xAlign="left" w:yAlign="inline"/>
              <w:rPr>
                <w:sz w:val="32"/>
                <w:szCs w:val="32"/>
                <w:lang w:val="fr-FR"/>
              </w:rPr>
            </w:pPr>
            <w:r w:rsidRPr="00A23F18">
              <w:rPr>
                <w:rFonts w:cstheme="minorHAnsi"/>
                <w:sz w:val="32"/>
                <w:szCs w:val="32"/>
                <w:lang w:val="fr-FR"/>
              </w:rPr>
              <w:t>ACTION MENÉE POUR PROTÉGER LES TÉLÉCOMMUNICATIONS UTILISÉES À DES FINS HUMANITAIRES LORS DES CONFLITS ET DES CATASTROPHES</w:t>
            </w:r>
          </w:p>
        </w:tc>
      </w:tr>
      <w:tr w:rsidR="00D72F49" w:rsidRPr="00A23F18" w14:paraId="34B1F0AB" w14:textId="77777777" w:rsidTr="00796BDB">
        <w:trPr>
          <w:cantSplit/>
        </w:trPr>
        <w:tc>
          <w:tcPr>
            <w:tcW w:w="9214" w:type="dxa"/>
            <w:gridSpan w:val="2"/>
            <w:tcBorders>
              <w:top w:val="single" w:sz="4" w:space="0" w:color="auto"/>
              <w:bottom w:val="single" w:sz="4" w:space="0" w:color="auto"/>
            </w:tcBorders>
            <w:tcMar>
              <w:left w:w="0" w:type="dxa"/>
            </w:tcMar>
          </w:tcPr>
          <w:p w14:paraId="6423522B" w14:textId="77777777" w:rsidR="00D72F49" w:rsidRPr="00A23F18" w:rsidRDefault="00F37FE5" w:rsidP="00796BDB">
            <w:pPr>
              <w:spacing w:before="160"/>
              <w:rPr>
                <w:b/>
                <w:bCs/>
                <w:sz w:val="26"/>
                <w:szCs w:val="26"/>
              </w:rPr>
            </w:pPr>
            <w:r w:rsidRPr="00A23F18">
              <w:rPr>
                <w:b/>
                <w:bCs/>
                <w:sz w:val="26"/>
                <w:szCs w:val="26"/>
              </w:rPr>
              <w:t>Objet</w:t>
            </w:r>
          </w:p>
          <w:p w14:paraId="3A142472" w14:textId="0718E884" w:rsidR="00D72F49" w:rsidRPr="00A23F18" w:rsidRDefault="00A25E3A" w:rsidP="00F21C3A">
            <w:pPr>
              <w:jc w:val="both"/>
            </w:pPr>
            <w:r w:rsidRPr="00A23F18">
              <w:t xml:space="preserve">Le présent rapport décrit l'action menée par l'UIT afin de </w:t>
            </w:r>
            <w:r w:rsidR="001D3893" w:rsidRPr="00A23F18">
              <w:t>protéger</w:t>
            </w:r>
            <w:r w:rsidRPr="00A23F18">
              <w:t xml:space="preserve"> </w:t>
            </w:r>
            <w:r w:rsidR="0008792D" w:rsidRPr="00A23F18">
              <w:t>l</w:t>
            </w:r>
            <w:r w:rsidRPr="00A23F18">
              <w:t xml:space="preserve">es réseaux et services de télécommunication publics </w:t>
            </w:r>
            <w:r w:rsidR="0008792D" w:rsidRPr="00A23F18">
              <w:t xml:space="preserve">et de faciliter leur mise à disposition </w:t>
            </w:r>
            <w:r w:rsidRPr="00A23F18">
              <w:t>pour fournir une assistance humanitaire essentielle lors des conflits armés et des catastrophes.</w:t>
            </w:r>
          </w:p>
          <w:p w14:paraId="31C707AD" w14:textId="77777777" w:rsidR="00D72F49" w:rsidRPr="00A23F18" w:rsidRDefault="00D72F49" w:rsidP="00796BDB">
            <w:pPr>
              <w:spacing w:before="160"/>
              <w:rPr>
                <w:b/>
                <w:bCs/>
                <w:sz w:val="26"/>
                <w:szCs w:val="26"/>
              </w:rPr>
            </w:pPr>
            <w:r w:rsidRPr="00A23F18">
              <w:rPr>
                <w:b/>
                <w:bCs/>
                <w:sz w:val="26"/>
                <w:szCs w:val="26"/>
              </w:rPr>
              <w:t>Suite à donner par le Conseil</w:t>
            </w:r>
          </w:p>
          <w:p w14:paraId="3B7E3EA8" w14:textId="6E9C0E24" w:rsidR="00D72F49" w:rsidRPr="00A23F18" w:rsidRDefault="00A25E3A" w:rsidP="00796BDB">
            <w:r w:rsidRPr="00A23F18">
              <w:t xml:space="preserve">Le Conseil est invité à </w:t>
            </w:r>
            <w:r w:rsidRPr="00A23F18">
              <w:rPr>
                <w:b/>
                <w:bCs/>
              </w:rPr>
              <w:t>prendre note</w:t>
            </w:r>
            <w:r w:rsidRPr="00A23F18">
              <w:t xml:space="preserve"> du présent rapport.</w:t>
            </w:r>
          </w:p>
          <w:p w14:paraId="75367F75" w14:textId="77777777" w:rsidR="00D72F49" w:rsidRPr="00A23F18" w:rsidRDefault="00D72F49" w:rsidP="00796BDB">
            <w:pPr>
              <w:spacing w:before="160"/>
              <w:rPr>
                <w:b/>
                <w:bCs/>
                <w:sz w:val="26"/>
                <w:szCs w:val="26"/>
              </w:rPr>
            </w:pPr>
            <w:r w:rsidRPr="00A23F18">
              <w:rPr>
                <w:b/>
                <w:bCs/>
                <w:sz w:val="26"/>
                <w:szCs w:val="26"/>
              </w:rPr>
              <w:t xml:space="preserve">Lien(s) pertinent(s) avec le </w:t>
            </w:r>
            <w:r w:rsidR="00F37FE5" w:rsidRPr="00A23F18">
              <w:rPr>
                <w:b/>
                <w:bCs/>
                <w:sz w:val="26"/>
                <w:szCs w:val="26"/>
              </w:rPr>
              <w:t>p</w:t>
            </w:r>
            <w:r w:rsidRPr="00A23F18">
              <w:rPr>
                <w:b/>
                <w:bCs/>
                <w:sz w:val="26"/>
                <w:szCs w:val="26"/>
              </w:rPr>
              <w:t>lan stratégique</w:t>
            </w:r>
          </w:p>
          <w:p w14:paraId="46C48FD5" w14:textId="10F277AA" w:rsidR="00D72F49" w:rsidRPr="00A23F18" w:rsidRDefault="00A25E3A" w:rsidP="00796BDB">
            <w:r w:rsidRPr="00A23F18">
              <w:t>Partenariats et coopération internationale.</w:t>
            </w:r>
          </w:p>
          <w:p w14:paraId="7DCEC09B" w14:textId="77777777" w:rsidR="00E95647" w:rsidRPr="00A23F18" w:rsidRDefault="00D72F49" w:rsidP="00796BDB">
            <w:pPr>
              <w:spacing w:before="160"/>
              <w:rPr>
                <w:b/>
                <w:bCs/>
                <w:sz w:val="26"/>
                <w:szCs w:val="26"/>
              </w:rPr>
            </w:pPr>
            <w:r w:rsidRPr="00A23F18">
              <w:rPr>
                <w:b/>
                <w:bCs/>
                <w:sz w:val="26"/>
                <w:szCs w:val="26"/>
              </w:rPr>
              <w:t>Incidences financières</w:t>
            </w:r>
          </w:p>
          <w:p w14:paraId="7FBFFF87" w14:textId="01B80655" w:rsidR="00D72F49" w:rsidRPr="00A23F18" w:rsidRDefault="00A25E3A" w:rsidP="00796BDB">
            <w:pPr>
              <w:rPr>
                <w:szCs w:val="24"/>
              </w:rPr>
            </w:pPr>
            <w:r w:rsidRPr="00A23F18">
              <w:rPr>
                <w:szCs w:val="24"/>
              </w:rPr>
              <w:t>Dans les limites du budget alloué pour 2025-2026.</w:t>
            </w:r>
          </w:p>
          <w:p w14:paraId="03BADCC0" w14:textId="77777777" w:rsidR="00D72F49" w:rsidRPr="00A23F18" w:rsidRDefault="00D72F49" w:rsidP="00796BDB">
            <w:pPr>
              <w:spacing w:before="160"/>
              <w:rPr>
                <w:caps/>
                <w:sz w:val="22"/>
              </w:rPr>
            </w:pPr>
            <w:r w:rsidRPr="00A23F18">
              <w:rPr>
                <w:sz w:val="22"/>
              </w:rPr>
              <w:t>__________________</w:t>
            </w:r>
          </w:p>
          <w:p w14:paraId="32B36B39" w14:textId="77777777" w:rsidR="00D72F49" w:rsidRPr="00A23F18" w:rsidRDefault="00D72F49" w:rsidP="00796BDB">
            <w:pPr>
              <w:spacing w:before="160"/>
              <w:rPr>
                <w:b/>
                <w:bCs/>
                <w:sz w:val="26"/>
                <w:szCs w:val="26"/>
              </w:rPr>
            </w:pPr>
            <w:r w:rsidRPr="00A23F18">
              <w:rPr>
                <w:b/>
                <w:bCs/>
                <w:sz w:val="26"/>
                <w:szCs w:val="26"/>
              </w:rPr>
              <w:t>Références</w:t>
            </w:r>
          </w:p>
          <w:p w14:paraId="28252966" w14:textId="43A51CBF" w:rsidR="00D72F49" w:rsidRPr="00F21C3A" w:rsidRDefault="00B50A03" w:rsidP="00CE5172">
            <w:pPr>
              <w:pStyle w:val="Referencetext"/>
              <w:framePr w:hSpace="0" w:wrap="auto" w:vAnchor="margin" w:hAnchor="text" w:xAlign="left" w:yAlign="inline"/>
            </w:pPr>
            <w:hyperlink r:id="rId7" w:history="1">
              <w:r w:rsidRPr="00F21C3A">
                <w:rPr>
                  <w:rStyle w:val="Hyperlink"/>
                  <w:lang w:eastAsia="ko-KR"/>
                </w:rPr>
                <w:t>Rapport final provisoire de la CMDT-25</w:t>
              </w:r>
            </w:hyperlink>
            <w:r w:rsidRPr="00F21C3A">
              <w:t xml:space="preserve">; </w:t>
            </w:r>
            <w:hyperlink r:id="rId8" w:history="1">
              <w:r w:rsidRPr="00F21C3A">
                <w:rPr>
                  <w:rStyle w:val="Hyperlink"/>
                  <w:lang w:eastAsia="ko-KR"/>
                </w:rPr>
                <w:t>Résolution 98</w:t>
              </w:r>
            </w:hyperlink>
            <w:r w:rsidRPr="00F21C3A">
              <w:rPr>
                <w:rFonts w:eastAsiaTheme="minorHAnsi" w:cstheme="minorBidi"/>
                <w:lang w:eastAsia="ko-KR"/>
              </w:rPr>
              <w:t xml:space="preserve"> (Minneapolis, 1998)</w:t>
            </w:r>
            <w:r w:rsidRPr="00F21C3A">
              <w:t xml:space="preserve"> et </w:t>
            </w:r>
            <w:hyperlink r:id="rId9" w:history="1">
              <w:r w:rsidRPr="00F21C3A">
                <w:rPr>
                  <w:rStyle w:val="Hyperlink"/>
                </w:rPr>
                <w:t>Résolution 136</w:t>
              </w:r>
            </w:hyperlink>
            <w:r w:rsidRPr="00F21C3A">
              <w:rPr>
                <w:rFonts w:eastAsiaTheme="minorHAnsi" w:cstheme="minorBidi"/>
              </w:rPr>
              <w:t xml:space="preserve"> (Rév. Bucarest, 2022)</w:t>
            </w:r>
            <w:r w:rsidRPr="00F21C3A">
              <w:t xml:space="preserve"> de la Conférence de plénipotentiaires</w:t>
            </w:r>
          </w:p>
        </w:tc>
      </w:tr>
    </w:tbl>
    <w:p w14:paraId="79079691" w14:textId="77777777" w:rsidR="00A51849" w:rsidRPr="00A23F18" w:rsidRDefault="00A51849">
      <w:pPr>
        <w:tabs>
          <w:tab w:val="clear" w:pos="567"/>
          <w:tab w:val="clear" w:pos="1134"/>
          <w:tab w:val="clear" w:pos="1701"/>
          <w:tab w:val="clear" w:pos="2268"/>
          <w:tab w:val="clear" w:pos="2835"/>
        </w:tabs>
        <w:overflowPunct/>
        <w:autoSpaceDE/>
        <w:autoSpaceDN/>
        <w:adjustRightInd/>
        <w:spacing w:before="0"/>
        <w:textAlignment w:val="auto"/>
      </w:pPr>
      <w:r w:rsidRPr="00A23F18">
        <w:br w:type="page"/>
      </w:r>
    </w:p>
    <w:p w14:paraId="755FBE4E" w14:textId="77777777" w:rsidR="00C65016" w:rsidRPr="00A23F18" w:rsidRDefault="00C65016" w:rsidP="00C65016">
      <w:pPr>
        <w:pStyle w:val="Heading1"/>
      </w:pPr>
      <w:r w:rsidRPr="00A23F18">
        <w:lastRenderedPageBreak/>
        <w:t>1</w:t>
      </w:r>
      <w:r w:rsidRPr="00A23F18">
        <w:tab/>
        <w:t>Introduction</w:t>
      </w:r>
    </w:p>
    <w:p w14:paraId="55E63D25" w14:textId="20A94129" w:rsidR="00C65016" w:rsidRPr="00A23F18" w:rsidRDefault="00C65016" w:rsidP="00F21C3A">
      <w:pPr>
        <w:jc w:val="both"/>
      </w:pPr>
      <w:r w:rsidRPr="00A23F18">
        <w:rPr>
          <w:lang w:eastAsia="ko-KR"/>
        </w:rPr>
        <w:t>1.1</w:t>
      </w:r>
      <w:r w:rsidRPr="00A23F18">
        <w:tab/>
        <w:t>Lors de la Conférence mondiale de développement des télécommunications de 2025 (CMDT-25) tenu</w:t>
      </w:r>
      <w:r w:rsidR="0008792D" w:rsidRPr="00A23F18">
        <w:t>e</w:t>
      </w:r>
      <w:r w:rsidRPr="00A23F18">
        <w:t xml:space="preserve"> à Bakou (République d'Azerbaïdjan), les États Membres ont adopté la déclaration intitulée "</w:t>
      </w:r>
      <w:hyperlink r:id="rId10" w:history="1">
        <w:r w:rsidRPr="00A23F18">
          <w:rPr>
            <w:rStyle w:val="Hyperlink"/>
            <w:rFonts w:eastAsia="Times New Roman" w:cs="Times New Roman"/>
            <w:szCs w:val="20"/>
          </w:rPr>
          <w:t xml:space="preserve">Reconnaissance </w:t>
        </w:r>
        <w:r w:rsidR="0008792D" w:rsidRPr="00A23F18">
          <w:rPr>
            <w:rStyle w:val="Hyperlink"/>
            <w:rFonts w:eastAsia="Times New Roman" w:cs="Times New Roman"/>
            <w:szCs w:val="20"/>
          </w:rPr>
          <w:t xml:space="preserve">de l'importance </w:t>
        </w:r>
        <w:r w:rsidRPr="00A23F18">
          <w:rPr>
            <w:rStyle w:val="Hyperlink"/>
            <w:rFonts w:eastAsia="Times New Roman" w:cs="Times New Roman"/>
            <w:szCs w:val="20"/>
          </w:rPr>
          <w:t>des réseaux et des services publics de télécommunication en tant que services humanitaires essentiels que l'on doit protéger et faciliter lors des guerres, des conflits et des catastrophes</w:t>
        </w:r>
      </w:hyperlink>
      <w:r w:rsidRPr="00A23F18">
        <w:t xml:space="preserve">", dans laquelle ils reconnaissent notamment l'importance décisive des </w:t>
      </w:r>
      <w:r w:rsidR="0008792D" w:rsidRPr="00A23F18">
        <w:t xml:space="preserve">réseaux et </w:t>
      </w:r>
      <w:r w:rsidRPr="00A23F18">
        <w:t xml:space="preserve">services de télécommunication pour ce qui est de sauver des vies, </w:t>
      </w:r>
      <w:r w:rsidR="0008792D" w:rsidRPr="00A23F18">
        <w:t>d'appuyer les opérations</w:t>
      </w:r>
      <w:r w:rsidRPr="00A23F18">
        <w:t xml:space="preserve"> de secours et d'urgence, d'assurer l'aide humanitaire et de maintenir la continuité des communications au sein de la population dans de telles situations.</w:t>
      </w:r>
    </w:p>
    <w:p w14:paraId="377D745D" w14:textId="63F8EBAF" w:rsidR="00C65016" w:rsidRPr="00A23F18" w:rsidRDefault="00C65016" w:rsidP="00C65016">
      <w:pPr>
        <w:pStyle w:val="Heading1"/>
        <w:rPr>
          <w:lang w:eastAsia="ko-KR"/>
        </w:rPr>
      </w:pPr>
      <w:r w:rsidRPr="00A23F18">
        <w:rPr>
          <w:lang w:eastAsia="ko-KR"/>
        </w:rPr>
        <w:t>2</w:t>
      </w:r>
      <w:r w:rsidRPr="00A23F18">
        <w:tab/>
      </w:r>
      <w:r w:rsidRPr="00A23F18">
        <w:rPr>
          <w:lang w:eastAsia="ko-KR"/>
        </w:rPr>
        <w:t>Collaboration à l'échelle du système des Nations Unies</w:t>
      </w:r>
    </w:p>
    <w:p w14:paraId="3C1DFAB2" w14:textId="734F6C8C" w:rsidR="00E2134D" w:rsidRPr="00A23F18" w:rsidRDefault="00C65016" w:rsidP="00F21C3A">
      <w:pPr>
        <w:jc w:val="both"/>
      </w:pPr>
      <w:r w:rsidRPr="00A23F18">
        <w:rPr>
          <w:lang w:eastAsia="ko-KR"/>
        </w:rPr>
        <w:t>2.1</w:t>
      </w:r>
      <w:r w:rsidRPr="00A23F18">
        <w:tab/>
      </w:r>
      <w:r w:rsidR="00E2134D" w:rsidRPr="00A23F18">
        <w:t xml:space="preserve">Reconnaissant que les télécommunications représentent un besoin humanitaire essentiel et un service permettant de sauver des vies, l'UIT s'est concertée avec le Programme alimentaire mondial (PAM), qui est le coordonnateur du Groupe des télécommunications d'urgence (ETC), et la Fédération internationale des Sociétés de la Croix-Rouge et du Croissant-Rouge (IFRC) afin de faire la promotion de la déclaration </w:t>
      </w:r>
      <w:r w:rsidR="0008792D" w:rsidRPr="00A23F18">
        <w:t>adoptée</w:t>
      </w:r>
      <w:r w:rsidR="00E2134D" w:rsidRPr="00A23F18">
        <w:t xml:space="preserve"> à la CMDT et </w:t>
      </w:r>
      <w:r w:rsidR="0008792D" w:rsidRPr="00A23F18">
        <w:t xml:space="preserve">de </w:t>
      </w:r>
      <w:r w:rsidR="00E2134D" w:rsidRPr="00A23F18">
        <w:t>mieux faire comprendre les enjeux de ces questions. L'UIT a également collaboré avec le PAM et l'IFRC à l'occasion d'une séance de réflexion informelle organisée en février 2026 et a noué un dialogue avec les États Membres intéressés par l'intermédiaire de leurs missions à New York.</w:t>
      </w:r>
    </w:p>
    <w:p w14:paraId="0A002D07" w14:textId="61FF0271" w:rsidR="00E2134D" w:rsidRPr="00A23F18" w:rsidRDefault="00C65016" w:rsidP="00F21C3A">
      <w:pPr>
        <w:jc w:val="both"/>
      </w:pPr>
      <w:r w:rsidRPr="00A23F18">
        <w:rPr>
          <w:lang w:eastAsia="ko-KR"/>
        </w:rPr>
        <w:t>2.2</w:t>
      </w:r>
      <w:r w:rsidRPr="00A23F18">
        <w:tab/>
      </w:r>
      <w:r w:rsidR="00E2134D" w:rsidRPr="00A23F18">
        <w:t xml:space="preserve">Pour prolonger cette action, l'UIT a contribué à une séance d'information informelle rassemblant les missions permanentes à Genève des pays intéressés, organisée </w:t>
      </w:r>
      <w:r w:rsidR="001D3893" w:rsidRPr="00A23F18">
        <w:t>en mars</w:t>
      </w:r>
      <w:r w:rsidR="0080369D" w:rsidRPr="00A23F18">
        <w:t> </w:t>
      </w:r>
      <w:r w:rsidR="001D3893" w:rsidRPr="00A23F18">
        <w:t xml:space="preserve">2026 </w:t>
      </w:r>
      <w:r w:rsidR="00E2134D" w:rsidRPr="00A23F18">
        <w:t>par la Mission permanent</w:t>
      </w:r>
      <w:r w:rsidR="001D3893" w:rsidRPr="00A23F18">
        <w:t>e</w:t>
      </w:r>
      <w:r w:rsidR="00E2134D" w:rsidRPr="00A23F18">
        <w:t xml:space="preserve"> du Royaume-Uni, </w:t>
      </w:r>
      <w:r w:rsidR="001D3893" w:rsidRPr="00A23F18">
        <w:t>lors de laquelle</w:t>
      </w:r>
      <w:r w:rsidR="00E2134D" w:rsidRPr="00A23F18">
        <w:t xml:space="preserve"> a </w:t>
      </w:r>
      <w:r w:rsidR="001D3893" w:rsidRPr="00A23F18">
        <w:t xml:space="preserve">été </w:t>
      </w:r>
      <w:r w:rsidR="00E2134D" w:rsidRPr="00A23F18">
        <w:t xml:space="preserve">mis en évidence le besoin urgent de </w:t>
      </w:r>
      <w:r w:rsidR="001D3893" w:rsidRPr="00A23F18">
        <w:t>protéger</w:t>
      </w:r>
      <w:r w:rsidR="00E2134D" w:rsidRPr="00A23F18">
        <w:t xml:space="preserve"> l'infrastructure de télécommunication pour que les services humanitaires puissent </w:t>
      </w:r>
      <w:r w:rsidR="001D3893" w:rsidRPr="00A23F18">
        <w:t>continuer à</w:t>
      </w:r>
      <w:r w:rsidR="00E2134D" w:rsidRPr="00A23F18">
        <w:t xml:space="preserve"> fonctionner en situation de crise. Les discussions ont également porté sur </w:t>
      </w:r>
      <w:r w:rsidR="004B3F51" w:rsidRPr="00A23F18">
        <w:t xml:space="preserve">les améliorations </w:t>
      </w:r>
      <w:r w:rsidR="001D3893" w:rsidRPr="00A23F18">
        <w:t>que des outils numériques résilients et responsables peuvent apporter</w:t>
      </w:r>
      <w:r w:rsidR="004B3F51" w:rsidRPr="00A23F18">
        <w:t xml:space="preserve"> à la préparation préalable et aux interventions en cas de catastrophe, </w:t>
      </w:r>
      <w:r w:rsidR="001D3893" w:rsidRPr="00A23F18">
        <w:t>y compris en appuyant</w:t>
      </w:r>
      <w:r w:rsidR="004B3F51" w:rsidRPr="00A23F18">
        <w:t xml:space="preserve"> l'</w:t>
      </w:r>
      <w:r w:rsidR="0080369D" w:rsidRPr="00A23F18">
        <w:t>I</w:t>
      </w:r>
      <w:r w:rsidR="004B3F51" w:rsidRPr="00A23F18">
        <w:t xml:space="preserve">nitiative </w:t>
      </w:r>
      <w:hyperlink r:id="rId11" w:history="1">
        <w:r w:rsidR="004B3F51" w:rsidRPr="00A23F18">
          <w:rPr>
            <w:rStyle w:val="Hyperlink"/>
            <w:rFonts w:eastAsia="Times New Roman" w:cs="Times New Roman"/>
            <w:szCs w:val="20"/>
          </w:rPr>
          <w:t>"Alertes précoces pour tous" (EW4ALL)</w:t>
        </w:r>
      </w:hyperlink>
      <w:r w:rsidR="004B3F51" w:rsidRPr="00A23F18">
        <w:t>, tout en contribuant à réduire la fracture numérique pour les communautés vulnérables.</w:t>
      </w:r>
    </w:p>
    <w:p w14:paraId="27610498" w14:textId="226F9B16" w:rsidR="00F9188C" w:rsidRPr="00A23F18" w:rsidRDefault="00C65016" w:rsidP="00F21C3A">
      <w:pPr>
        <w:jc w:val="both"/>
      </w:pPr>
      <w:r w:rsidRPr="00A23F18">
        <w:rPr>
          <w:lang w:eastAsia="ko-KR"/>
        </w:rPr>
        <w:t>2.3</w:t>
      </w:r>
      <w:r w:rsidRPr="00A23F18">
        <w:tab/>
      </w:r>
      <w:r w:rsidR="00F9188C" w:rsidRPr="00A23F18">
        <w:t>L'accès aux télécommunication</w:t>
      </w:r>
      <w:r w:rsidR="001D3893" w:rsidRPr="00A23F18">
        <w:t>s</w:t>
      </w:r>
      <w:r w:rsidR="00F9188C" w:rsidRPr="00A23F18">
        <w:t xml:space="preserve"> pose un </w:t>
      </w:r>
      <w:r w:rsidR="001D3893" w:rsidRPr="00A23F18">
        <w:t xml:space="preserve">véritable </w:t>
      </w:r>
      <w:r w:rsidR="00F9188C" w:rsidRPr="00A23F18">
        <w:t xml:space="preserve">problème dans </w:t>
      </w:r>
      <w:r w:rsidR="001D3893" w:rsidRPr="00A23F18">
        <w:t>plusieurs</w:t>
      </w:r>
      <w:r w:rsidR="00F9188C" w:rsidRPr="00A23F18">
        <w:t xml:space="preserve"> contextes, lorsqu'il est difficile d'importer des équipements de télécommunication ou que l'on signale des problèmes de brouillage </w:t>
      </w:r>
      <w:r w:rsidR="001D3893" w:rsidRPr="00A23F18">
        <w:t xml:space="preserve">des signaux GPS </w:t>
      </w:r>
      <w:r w:rsidR="00F9188C" w:rsidRPr="00A23F18">
        <w:t xml:space="preserve">ou d'usurpation </w:t>
      </w:r>
      <w:r w:rsidR="001D3893" w:rsidRPr="00A23F18">
        <w:t xml:space="preserve">d'identité </w:t>
      </w:r>
      <w:r w:rsidR="00F9188C" w:rsidRPr="00A23F18">
        <w:t xml:space="preserve">affectant la navigation </w:t>
      </w:r>
      <w:r w:rsidR="00A23F18" w:rsidRPr="00A23F18">
        <w:t>–</w:t>
      </w:r>
      <w:r w:rsidR="00F9188C" w:rsidRPr="00A23F18">
        <w:t xml:space="preserve"> en particulier pour les vols et les opération</w:t>
      </w:r>
      <w:r w:rsidR="001D3893" w:rsidRPr="00A23F18">
        <w:t>s</w:t>
      </w:r>
      <w:r w:rsidR="00F9188C" w:rsidRPr="00A23F18">
        <w:t xml:space="preserve"> du Service aérien d'aide humanitaire des Nations Unies </w:t>
      </w:r>
      <w:r w:rsidR="00A23F18" w:rsidRPr="00A23F18">
        <w:t>–</w:t>
      </w:r>
      <w:r w:rsidR="00F9188C" w:rsidRPr="00A23F18">
        <w:t xml:space="preserve"> ainsi que les systèmes de communication par satellite. Dans certains cas, l'interruption des communications a eu des incidences à la fois pour la population et pour les organisations humanitaires, nuisant à la coordination opérationnelle, à la sécurité du personnel et à l'accès aux informations essentielles. Dans d'autres situations de crise, la connectivité reste </w:t>
      </w:r>
      <w:r w:rsidR="001D3893" w:rsidRPr="00A23F18">
        <w:t>extrêmement</w:t>
      </w:r>
      <w:r w:rsidR="00F9188C" w:rsidRPr="00A23F18">
        <w:t xml:space="preserve"> limitée pour la population civile et le personnel humanitaire, tandis que les </w:t>
      </w:r>
      <w:hyperlink r:id="rId12" w:history="1">
        <w:r w:rsidR="00F9188C" w:rsidRPr="00A23F18">
          <w:rPr>
            <w:rStyle w:val="Hyperlink"/>
            <w:rFonts w:eastAsia="Times New Roman" w:cs="Times New Roman"/>
            <w:szCs w:val="20"/>
          </w:rPr>
          <w:t>Groupe ETC</w:t>
        </w:r>
      </w:hyperlink>
      <w:r w:rsidR="00F9188C" w:rsidRPr="00A23F18">
        <w:t xml:space="preserve"> et les institutions partenaires se heurtent à des restrictions importantes concernant l'importa</w:t>
      </w:r>
      <w:r w:rsidR="001D3893" w:rsidRPr="00A23F18">
        <w:t>tion</w:t>
      </w:r>
      <w:r w:rsidR="00F9188C" w:rsidRPr="00A23F18">
        <w:t xml:space="preserve"> d'équipements, ce qui crée un environnement particulièrement risqué pour les opérations humanitaires.</w:t>
      </w:r>
    </w:p>
    <w:p w14:paraId="3C544BAF" w14:textId="2FF8B541" w:rsidR="00D35C66" w:rsidRPr="00A23F18" w:rsidRDefault="00C65016" w:rsidP="00F21C3A">
      <w:pPr>
        <w:jc w:val="both"/>
      </w:pPr>
      <w:r w:rsidRPr="00A23F18">
        <w:rPr>
          <w:lang w:eastAsia="ko-KR"/>
        </w:rPr>
        <w:t>2.4</w:t>
      </w:r>
      <w:r w:rsidRPr="00A23F18">
        <w:tab/>
      </w:r>
      <w:r w:rsidR="00D35C66" w:rsidRPr="00A23F18">
        <w:t xml:space="preserve">Le Groupe ETC, placé sous l'égide du PAM, est un réseau mondial d'organisations humanitaires, gouvernementales et privées qui agissent en collaboration pour fournir des services de communication partagés en situation d'urgence humanitaire. Il fait partie des groupes désignés par le Comité permanent interorganisations. L'UIT est un membre actif de </w:t>
      </w:r>
      <w:r w:rsidR="00D35C66" w:rsidRPr="00A23F18">
        <w:lastRenderedPageBreak/>
        <w:t xml:space="preserve">ce Groupe et contribue en mettant à disposition des compétences techniques spécialisées, des normes et des capacités de coordination dans le domaine des opérations utilisant les TIC et les télécommunications d'urgence. En particulier, grâce à ses travaux sur les </w:t>
      </w:r>
      <w:hyperlink r:id="rId13" w:history="1">
        <w:r w:rsidR="00D35C66" w:rsidRPr="00A23F18">
          <w:rPr>
            <w:rStyle w:val="Hyperlink"/>
            <w:rFonts w:eastAsia="Times New Roman" w:cs="Times New Roman"/>
            <w:szCs w:val="20"/>
          </w:rPr>
          <w:t>plans nationaux pour les télécommunications d'urgence</w:t>
        </w:r>
      </w:hyperlink>
      <w:r w:rsidR="00D35C66" w:rsidRPr="00A23F18">
        <w:t>, l'UIT aide les États Membres à définir des stratégies, des politiques et des procédures pour les communications d'urgence qui sont aligné</w:t>
      </w:r>
      <w:r w:rsidR="001D3893" w:rsidRPr="00A23F18">
        <w:t>e</w:t>
      </w:r>
      <w:r w:rsidR="00D35C66" w:rsidRPr="00A23F18">
        <w:t>s sur les mécanismes de coordination humanitaire.</w:t>
      </w:r>
    </w:p>
    <w:p w14:paraId="0F8CDD1A" w14:textId="2681CA25" w:rsidR="00D35C66" w:rsidRPr="00A23F18" w:rsidRDefault="00C65016" w:rsidP="00F21C3A">
      <w:pPr>
        <w:jc w:val="both"/>
      </w:pPr>
      <w:r w:rsidRPr="00A23F18">
        <w:rPr>
          <w:lang w:eastAsia="ko-KR"/>
        </w:rPr>
        <w:t>2.5</w:t>
      </w:r>
      <w:r w:rsidRPr="00A23F18">
        <w:tab/>
      </w:r>
      <w:r w:rsidR="00D35C66" w:rsidRPr="00A23F18">
        <w:t xml:space="preserve">L'UIT a en outre échangé avec le </w:t>
      </w:r>
      <w:hyperlink r:id="rId14" w:history="1">
        <w:r w:rsidR="00D35C66" w:rsidRPr="00A23F18">
          <w:rPr>
            <w:rStyle w:val="Hyperlink"/>
            <w:rFonts w:eastAsia="Times New Roman" w:cs="Times New Roman"/>
            <w:szCs w:val="20"/>
          </w:rPr>
          <w:t>Comité permanent interorganisations</w:t>
        </w:r>
      </w:hyperlink>
      <w:r w:rsidR="00D35C66" w:rsidRPr="00A23F18">
        <w:t xml:space="preserve"> en transmettant la déclaration </w:t>
      </w:r>
      <w:r w:rsidR="003B420C" w:rsidRPr="00A23F18">
        <w:t>adoptée</w:t>
      </w:r>
      <w:r w:rsidR="00D35C66" w:rsidRPr="00A23F18">
        <w:t xml:space="preserve"> à la CMDT et en faisant part de sa détermination à renforcer la collaboration et la coordination avec le Comité et ses membres afin de traiter ces problèmes essentiels au niveaux national, régional et mondial.</w:t>
      </w:r>
    </w:p>
    <w:p w14:paraId="4DB3BCDF" w14:textId="0217B8D0" w:rsidR="00A95AFD" w:rsidRPr="00A23F18" w:rsidRDefault="00C65016" w:rsidP="00F21C3A">
      <w:pPr>
        <w:jc w:val="both"/>
      </w:pPr>
      <w:r w:rsidRPr="00A23F18">
        <w:rPr>
          <w:lang w:eastAsia="ko-KR"/>
        </w:rPr>
        <w:t>2.6</w:t>
      </w:r>
      <w:r w:rsidRPr="00A23F18">
        <w:tab/>
      </w:r>
      <w:r w:rsidR="00A95AFD" w:rsidRPr="00A23F18">
        <w:t xml:space="preserve">La </w:t>
      </w:r>
      <w:hyperlink r:id="rId15" w:history="1">
        <w:r w:rsidR="00A95AFD" w:rsidRPr="00A23F18">
          <w:rPr>
            <w:rStyle w:val="Hyperlink"/>
            <w:rFonts w:eastAsia="Times New Roman" w:cs="Times New Roman"/>
            <w:szCs w:val="20"/>
          </w:rPr>
          <w:t>Convention de Tampere</w:t>
        </w:r>
      </w:hyperlink>
      <w:r w:rsidR="00A95AFD" w:rsidRPr="00A23F18">
        <w:t>, qui fournit un cadre juridique pour l'utilisation des télécommunications dans le cadre de l'assistance humanitaire et pour la réduction des obstacles réglementaires, réaffirme la priorité absolue accordée aux télécommunications d'urgence destinées à sauver des vies dans les instruments réglementaires internationaux. En outre, comme établi dans l</w:t>
      </w:r>
      <w:r w:rsidR="003B420C" w:rsidRPr="00A23F18">
        <w:t>a</w:t>
      </w:r>
      <w:r w:rsidR="00A95AFD" w:rsidRPr="00A23F18">
        <w:t xml:space="preserve"> Constitution de l'Union, dans les </w:t>
      </w:r>
      <w:hyperlink r:id="rId16" w:history="1">
        <w:r w:rsidR="00A95AFD" w:rsidRPr="00A23F18">
          <w:rPr>
            <w:rStyle w:val="Hyperlink"/>
            <w:rFonts w:eastAsia="Times New Roman" w:cs="Times New Roman"/>
            <w:szCs w:val="20"/>
          </w:rPr>
          <w:t>Résolutions 98</w:t>
        </w:r>
      </w:hyperlink>
      <w:r w:rsidR="00A95AFD" w:rsidRPr="00A23F18">
        <w:t xml:space="preserve"> (Minneapolis, 1998) et </w:t>
      </w:r>
      <w:hyperlink r:id="rId17" w:history="1">
        <w:r w:rsidR="00A95AFD" w:rsidRPr="00A23F18">
          <w:rPr>
            <w:rStyle w:val="Hyperlink"/>
            <w:rFonts w:eastAsia="Times New Roman" w:cs="Times New Roman"/>
            <w:szCs w:val="20"/>
          </w:rPr>
          <w:t>136</w:t>
        </w:r>
      </w:hyperlink>
      <w:r w:rsidR="00A95AFD" w:rsidRPr="00A23F18">
        <w:t xml:space="preserve"> (Rév. Bucarest, 2022) de la Conférence de plénipotentiaires de l'UIT, ainsi que dans d'autres Résolutions de la conférence mondiale des radiocommunications (CMR), l'infrastructure de télécommunication est une composante essentielle de l'assistance humanitaire </w:t>
      </w:r>
      <w:r w:rsidR="00924439" w:rsidRPr="00A23F18">
        <w:t xml:space="preserve">qui doit faire l'objet d'une protection juridique et </w:t>
      </w:r>
      <w:r w:rsidR="003B420C" w:rsidRPr="00A23F18">
        <w:t xml:space="preserve">être </w:t>
      </w:r>
      <w:r w:rsidR="00A23F18" w:rsidRPr="00A23F18">
        <w:t>facilitée</w:t>
      </w:r>
      <w:r w:rsidR="00924439" w:rsidRPr="00A23F18">
        <w:t>.</w:t>
      </w:r>
    </w:p>
    <w:p w14:paraId="23A2489D" w14:textId="6319A73A" w:rsidR="00C65016" w:rsidRPr="00A23F18" w:rsidRDefault="00C65016" w:rsidP="00AE533D">
      <w:pPr>
        <w:rPr>
          <w:sz w:val="28"/>
          <w:szCs w:val="28"/>
        </w:rPr>
      </w:pPr>
      <w:r w:rsidRPr="00A23F18">
        <w:rPr>
          <w:b/>
          <w:bCs/>
          <w:sz w:val="28"/>
          <w:szCs w:val="28"/>
        </w:rPr>
        <w:t>3</w:t>
      </w:r>
      <w:r w:rsidRPr="00A23F18">
        <w:tab/>
      </w:r>
      <w:r w:rsidR="00924439" w:rsidRPr="00A23F18">
        <w:rPr>
          <w:b/>
          <w:bCs/>
          <w:sz w:val="28"/>
          <w:szCs w:val="28"/>
          <w:lang w:eastAsia="ko-KR"/>
        </w:rPr>
        <w:t>Prochaines étapes</w:t>
      </w:r>
    </w:p>
    <w:p w14:paraId="0E0E45E6" w14:textId="75FD0DB8" w:rsidR="00924439" w:rsidRPr="00A23F18" w:rsidRDefault="00C65016" w:rsidP="00F21C3A">
      <w:pPr>
        <w:jc w:val="both"/>
      </w:pPr>
      <w:r w:rsidRPr="00A23F18">
        <w:t>3.1</w:t>
      </w:r>
      <w:r w:rsidRPr="00A23F18">
        <w:tab/>
      </w:r>
      <w:r w:rsidR="00924439" w:rsidRPr="00A23F18">
        <w:t xml:space="preserve">En vertu de la </w:t>
      </w:r>
      <w:hyperlink r:id="rId18" w:history="1">
        <w:r w:rsidR="00924439" w:rsidRPr="00A23F18">
          <w:rPr>
            <w:rStyle w:val="Hyperlink"/>
            <w:rFonts w:eastAsia="Times New Roman" w:cs="Times New Roman"/>
            <w:szCs w:val="20"/>
          </w:rPr>
          <w:t xml:space="preserve">déclaration </w:t>
        </w:r>
        <w:r w:rsidR="003B420C" w:rsidRPr="00A23F18">
          <w:rPr>
            <w:rStyle w:val="Hyperlink"/>
            <w:rFonts w:eastAsia="Times New Roman" w:cs="Times New Roman"/>
            <w:szCs w:val="20"/>
          </w:rPr>
          <w:t>adopté à</w:t>
        </w:r>
        <w:r w:rsidR="00924439" w:rsidRPr="00A23F18">
          <w:rPr>
            <w:rStyle w:val="Hyperlink"/>
            <w:rFonts w:eastAsia="Times New Roman" w:cs="Times New Roman"/>
            <w:szCs w:val="20"/>
          </w:rPr>
          <w:t xml:space="preserve"> la CMDT</w:t>
        </w:r>
      </w:hyperlink>
      <w:r w:rsidR="00924439" w:rsidRPr="00A23F18">
        <w:t>, la Secrétaire générale est chargée, en consultation avec les États Membres et les parties prenantes concernées, de mettre en</w:t>
      </w:r>
      <w:r w:rsidR="00A23F18" w:rsidRPr="00A23F18">
        <w:t> </w:t>
      </w:r>
      <w:r w:rsidR="00924439" w:rsidRPr="00A23F18">
        <w:t>œuvre un certain nombre de mesures afin de promouvoir la fourniture de services de communication d'urgence pour l'a</w:t>
      </w:r>
      <w:r w:rsidR="00F94290" w:rsidRPr="00A23F18">
        <w:t>ide humanitaire et la sécurité publique, qui sont essentielles et permettent de sauver des vies, et d'assurer la continuité du fonctionnement des réseaux et services de télécommunication publics en période de conflit armé ou de catastrophe. La Secrétaire générale travaille actuellement à l'élaboration d'un plan stratégique pour garantir la mise en œuvre de ces mesures.</w:t>
      </w:r>
    </w:p>
    <w:p w14:paraId="593E9F4D" w14:textId="080442C2" w:rsidR="00F94290" w:rsidRDefault="00C65016" w:rsidP="00F21C3A">
      <w:pPr>
        <w:jc w:val="both"/>
      </w:pPr>
      <w:r w:rsidRPr="00A23F18">
        <w:t>3.2</w:t>
      </w:r>
      <w:r w:rsidRPr="00A23F18">
        <w:tab/>
      </w:r>
      <w:r w:rsidR="00F94290" w:rsidRPr="00A23F18">
        <w:t xml:space="preserve">Toujours en vertu de la déclaration </w:t>
      </w:r>
      <w:r w:rsidR="003B420C" w:rsidRPr="00A23F18">
        <w:t>adoptée à</w:t>
      </w:r>
      <w:r w:rsidR="00F94290" w:rsidRPr="00A23F18">
        <w:t xml:space="preserve"> la CMDT, il est demandé à la Secrétaire générale de recenser les éventuels besoins budgétaires additionnels du Secrétariat pour financer les efforts visant à promouvoir la nécessité pour les organismes des Nations Unies d'appuyer la protection des réseaux et services de télécommunication </w:t>
      </w:r>
      <w:r w:rsidR="003B420C" w:rsidRPr="00A23F18">
        <w:t xml:space="preserve">publics </w:t>
      </w:r>
      <w:r w:rsidR="00F94290" w:rsidRPr="00A23F18">
        <w:t xml:space="preserve">en cas de conflit armé et de catastrophe. À ce stade initial, </w:t>
      </w:r>
      <w:r w:rsidR="00E10C85" w:rsidRPr="00A23F18">
        <w:t>il a été établi qu'il est nécessaire de recruter un responsable de la coordination dédié. Les États Membres sont invités à financer ce besoin, au moyen de contributions volontaires ou de prêts ou détachements de personnel.</w:t>
      </w:r>
    </w:p>
    <w:p w14:paraId="6C28BB0F" w14:textId="77777777" w:rsidR="00F21C3A" w:rsidRPr="00A23F18" w:rsidRDefault="00F21C3A" w:rsidP="00F21C3A">
      <w:pPr>
        <w:jc w:val="both"/>
      </w:pPr>
    </w:p>
    <w:p w14:paraId="3AD02AC1" w14:textId="4C9B5D8C" w:rsidR="00897553" w:rsidRPr="00A23F18" w:rsidRDefault="006A11AE" w:rsidP="002D2336">
      <w:pPr>
        <w:jc w:val="center"/>
      </w:pPr>
      <w:r w:rsidRPr="00A23F18">
        <w:t>______________</w:t>
      </w:r>
    </w:p>
    <w:sectPr w:rsidR="00897553" w:rsidRPr="00A23F18" w:rsidSect="00D72F49">
      <w:headerReference w:type="even" r:id="rId19"/>
      <w:footerReference w:type="even" r:id="rId20"/>
      <w:footerReference w:type="default" r:id="rId21"/>
      <w:headerReference w:type="first" r:id="rId22"/>
      <w:footerReference w:type="first" r:id="rId2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6645" w14:textId="77777777" w:rsidR="00694F78" w:rsidRDefault="00694F78">
      <w:r>
        <w:separator/>
      </w:r>
    </w:p>
  </w:endnote>
  <w:endnote w:type="continuationSeparator" w:id="0">
    <w:p w14:paraId="44606AE2" w14:textId="77777777" w:rsidR="00694F78" w:rsidRDefault="0069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8ADD" w14:textId="0ABCD8E9" w:rsidR="00732045" w:rsidRDefault="00A23F18">
    <w:pPr>
      <w:pStyle w:val="Footer"/>
    </w:pPr>
    <w:fldSimple w:instr=" FILENAME \p \* MERGEFORMAT ">
      <w:r w:rsidR="00A25E3A">
        <w:t>Document1</w:t>
      </w:r>
    </w:fldSimple>
    <w:r w:rsidR="00732045">
      <w:tab/>
    </w:r>
    <w:r w:rsidR="002F1B76">
      <w:fldChar w:fldCharType="begin"/>
    </w:r>
    <w:r w:rsidR="00732045">
      <w:instrText xml:space="preserve"> savedate \@ dd.MM.yy </w:instrText>
    </w:r>
    <w:r w:rsidR="002F1B76">
      <w:fldChar w:fldCharType="separate"/>
    </w:r>
    <w:r w:rsidR="0046130D">
      <w:t>16.04.26</w:t>
    </w:r>
    <w:r w:rsidR="002F1B76">
      <w:fldChar w:fldCharType="end"/>
    </w:r>
    <w:r w:rsidR="00732045">
      <w:tab/>
    </w:r>
    <w:r w:rsidR="002F1B76">
      <w:fldChar w:fldCharType="begin"/>
    </w:r>
    <w:r w:rsidR="00732045">
      <w:instrText xml:space="preserve"> printdate \@ dd.MM.yy </w:instrText>
    </w:r>
    <w:r w:rsidR="002F1B76">
      <w:fldChar w:fldCharType="separate"/>
    </w:r>
    <w:r w:rsidR="00A25E3A">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F041DF9" w14:textId="77777777" w:rsidTr="00E31DCE">
      <w:trPr>
        <w:jc w:val="center"/>
      </w:trPr>
      <w:tc>
        <w:tcPr>
          <w:tcW w:w="1803" w:type="dxa"/>
          <w:vAlign w:val="center"/>
        </w:tcPr>
        <w:p w14:paraId="6CD8A6B0" w14:textId="21A5E0B3" w:rsidR="00A51849" w:rsidRDefault="00AE533D" w:rsidP="00A51849">
          <w:pPr>
            <w:pStyle w:val="Header"/>
            <w:jc w:val="left"/>
            <w:rPr>
              <w:noProof/>
            </w:rPr>
          </w:pPr>
          <w:r>
            <w:rPr>
              <w:noProof/>
            </w:rPr>
            <w:t>2600736</w:t>
          </w:r>
        </w:p>
      </w:tc>
      <w:tc>
        <w:tcPr>
          <w:tcW w:w="8261" w:type="dxa"/>
        </w:tcPr>
        <w:p w14:paraId="4E7F91AB" w14:textId="3E28A6D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66019E">
            <w:rPr>
              <w:bCs/>
            </w:rPr>
            <w:t>64</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BFE8C8F"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D3AA4B3" w14:textId="77777777" w:rsidTr="00E31DCE">
      <w:trPr>
        <w:jc w:val="center"/>
      </w:trPr>
      <w:tc>
        <w:tcPr>
          <w:tcW w:w="1803" w:type="dxa"/>
          <w:vAlign w:val="center"/>
        </w:tcPr>
        <w:p w14:paraId="5215520C"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16F9839C" w14:textId="2921FB7C"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AE533D">
            <w:rPr>
              <w:bCs/>
            </w:rPr>
            <w:t>64</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DCD6D9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6B64" w14:textId="77777777" w:rsidR="00694F78" w:rsidRDefault="00694F78">
      <w:r>
        <w:t>____________________</w:t>
      </w:r>
    </w:p>
  </w:footnote>
  <w:footnote w:type="continuationSeparator" w:id="0">
    <w:p w14:paraId="56CC63E8" w14:textId="77777777" w:rsidR="00694F78" w:rsidRDefault="00694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942F"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8C289AC"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612" w14:textId="77777777" w:rsidR="00A51849" w:rsidRPr="001342E0" w:rsidRDefault="001342E0" w:rsidP="001342E0">
    <w:pPr>
      <w:pStyle w:val="Header"/>
    </w:pPr>
    <w:r>
      <w:rPr>
        <w:noProof/>
      </w:rPr>
      <w:drawing>
        <wp:inline distT="0" distB="0" distL="0" distR="0" wp14:anchorId="45CDF8FD" wp14:editId="09D5D53C">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3A"/>
    <w:rsid w:val="00041287"/>
    <w:rsid w:val="00076A2C"/>
    <w:rsid w:val="0008792D"/>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3893"/>
    <w:rsid w:val="001D4C31"/>
    <w:rsid w:val="001E4D21"/>
    <w:rsid w:val="00207CD1"/>
    <w:rsid w:val="00226657"/>
    <w:rsid w:val="00230C7C"/>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B420C"/>
    <w:rsid w:val="003C3FAE"/>
    <w:rsid w:val="004038CB"/>
    <w:rsid w:val="0040546F"/>
    <w:rsid w:val="004177BD"/>
    <w:rsid w:val="0042404A"/>
    <w:rsid w:val="00434E37"/>
    <w:rsid w:val="0044618F"/>
    <w:rsid w:val="0046130D"/>
    <w:rsid w:val="00465C35"/>
    <w:rsid w:val="0046769A"/>
    <w:rsid w:val="00475FB3"/>
    <w:rsid w:val="004B3F51"/>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019E"/>
    <w:rsid w:val="006643AB"/>
    <w:rsid w:val="00694F78"/>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D60F9"/>
    <w:rsid w:val="007F257A"/>
    <w:rsid w:val="007F3665"/>
    <w:rsid w:val="00800037"/>
    <w:rsid w:val="0080369D"/>
    <w:rsid w:val="0082299A"/>
    <w:rsid w:val="0083391C"/>
    <w:rsid w:val="0084546D"/>
    <w:rsid w:val="00861D73"/>
    <w:rsid w:val="00882919"/>
    <w:rsid w:val="00897553"/>
    <w:rsid w:val="008A4E87"/>
    <w:rsid w:val="008D76E6"/>
    <w:rsid w:val="0092392D"/>
    <w:rsid w:val="00924439"/>
    <w:rsid w:val="0093234A"/>
    <w:rsid w:val="00956A78"/>
    <w:rsid w:val="0097363B"/>
    <w:rsid w:val="00973F53"/>
    <w:rsid w:val="009747C9"/>
    <w:rsid w:val="0098348E"/>
    <w:rsid w:val="009A6BAA"/>
    <w:rsid w:val="009A76A8"/>
    <w:rsid w:val="009C307F"/>
    <w:rsid w:val="009C353C"/>
    <w:rsid w:val="009D5955"/>
    <w:rsid w:val="009F0FB8"/>
    <w:rsid w:val="00A01F4F"/>
    <w:rsid w:val="00A109AF"/>
    <w:rsid w:val="00A125FB"/>
    <w:rsid w:val="00A2113E"/>
    <w:rsid w:val="00A23A51"/>
    <w:rsid w:val="00A23F18"/>
    <w:rsid w:val="00A24607"/>
    <w:rsid w:val="00A25CD3"/>
    <w:rsid w:val="00A25E3A"/>
    <w:rsid w:val="00A51849"/>
    <w:rsid w:val="00A709FE"/>
    <w:rsid w:val="00A73C60"/>
    <w:rsid w:val="00A82767"/>
    <w:rsid w:val="00A95AFD"/>
    <w:rsid w:val="00AA332F"/>
    <w:rsid w:val="00AA7BBB"/>
    <w:rsid w:val="00AB64A8"/>
    <w:rsid w:val="00AC0266"/>
    <w:rsid w:val="00AC0F1D"/>
    <w:rsid w:val="00AD24EC"/>
    <w:rsid w:val="00AE533D"/>
    <w:rsid w:val="00B27B00"/>
    <w:rsid w:val="00B309F9"/>
    <w:rsid w:val="00B32B60"/>
    <w:rsid w:val="00B50A03"/>
    <w:rsid w:val="00B51005"/>
    <w:rsid w:val="00B61619"/>
    <w:rsid w:val="00BB38C1"/>
    <w:rsid w:val="00BB4545"/>
    <w:rsid w:val="00BD5873"/>
    <w:rsid w:val="00BF4B60"/>
    <w:rsid w:val="00C049D7"/>
    <w:rsid w:val="00C04BE3"/>
    <w:rsid w:val="00C25D29"/>
    <w:rsid w:val="00C2625E"/>
    <w:rsid w:val="00C27A7C"/>
    <w:rsid w:val="00C42437"/>
    <w:rsid w:val="00C65016"/>
    <w:rsid w:val="00CA08ED"/>
    <w:rsid w:val="00CC6EAA"/>
    <w:rsid w:val="00CE5172"/>
    <w:rsid w:val="00CF0534"/>
    <w:rsid w:val="00CF183B"/>
    <w:rsid w:val="00D35C66"/>
    <w:rsid w:val="00D375CD"/>
    <w:rsid w:val="00D37B53"/>
    <w:rsid w:val="00D553A2"/>
    <w:rsid w:val="00D72F49"/>
    <w:rsid w:val="00D774D3"/>
    <w:rsid w:val="00D904E8"/>
    <w:rsid w:val="00DA08C3"/>
    <w:rsid w:val="00DB5A3E"/>
    <w:rsid w:val="00DC22AA"/>
    <w:rsid w:val="00DD1A99"/>
    <w:rsid w:val="00DE62C6"/>
    <w:rsid w:val="00DF74DD"/>
    <w:rsid w:val="00E10C85"/>
    <w:rsid w:val="00E2134D"/>
    <w:rsid w:val="00E25AD0"/>
    <w:rsid w:val="00E4428F"/>
    <w:rsid w:val="00E4448E"/>
    <w:rsid w:val="00E47427"/>
    <w:rsid w:val="00E93668"/>
    <w:rsid w:val="00E95647"/>
    <w:rsid w:val="00EB6350"/>
    <w:rsid w:val="00ED799B"/>
    <w:rsid w:val="00F15B57"/>
    <w:rsid w:val="00F21C3A"/>
    <w:rsid w:val="00F35EF4"/>
    <w:rsid w:val="00F37FE5"/>
    <w:rsid w:val="00F427DB"/>
    <w:rsid w:val="00F9188C"/>
    <w:rsid w:val="00F94290"/>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CDA23"/>
  <w15:docId w15:val="{AF40041E-EFCD-4B89-99F8-DEAEE6AE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98-F.pdf" TargetMode="External"/><Relationship Id="rId13" Type="http://schemas.openxmlformats.org/officeDocument/2006/relationships/hyperlink" Target="https://www.itu.int/en/ITU-D/Emergency-Telecommunications/Pages/NETPs.aspx" TargetMode="External"/><Relationship Id="rId18" Type="http://schemas.openxmlformats.org/officeDocument/2006/relationships/hyperlink" Target="https://www.itu.int/en/ITU-D/Documents/BAP/D22-WTDC25-C-0090%21%21PDF-F.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itu.int/en/ITU-D/Documents/BAP/D22-WTDC25-C-0090%21%21PDF-F.pdf" TargetMode="External"/><Relationship Id="rId12" Type="http://schemas.openxmlformats.org/officeDocument/2006/relationships/hyperlink" Target="https://www.etcluster.org/" TargetMode="External"/><Relationship Id="rId17" Type="http://schemas.openxmlformats.org/officeDocument/2006/relationships/hyperlink" Target="https://www.itu.int/en/council/Documents/basic-texts-2023/RES-136-F.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en/council/Documents/basic-texts-2023/RES-098-F.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ITU-D/Emergency-Telecommunications/Pages/Early-Warnings-for-All-Initiative.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en/ITU-D/Emergency-Telecommunications/Pages/TampereConvention.aspx" TargetMode="External"/><Relationship Id="rId23" Type="http://schemas.openxmlformats.org/officeDocument/2006/relationships/footer" Target="footer3.xml"/><Relationship Id="rId10" Type="http://schemas.openxmlformats.org/officeDocument/2006/relationships/hyperlink" Target="https://www.itu.int/en/ITU-D/Documents/BAP/D22-WTDC25-C-0090%21%21PDF-F.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en/council/Documents/basic-texts-2023/RES-136-F.pdf" TargetMode="External"/><Relationship Id="rId14" Type="http://schemas.openxmlformats.org/officeDocument/2006/relationships/hyperlink" Target="https://interagencystandingcommittee.org/"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TotalTime>
  <Pages>3</Pages>
  <Words>1096</Words>
  <Characters>7532</Characters>
  <Application>Microsoft Office Word</Application>
  <DocSecurity>0</DocSecurity>
  <Lines>134</Lines>
  <Paragraphs>41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8587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menée pour protéger les télécommunications utilisées à des fins humanitaires lors des conflits et des catastrophes</dc:title>
  <dc:subject>Conseil 2026 de l'UIT</dc:subject>
  <cp:keywords>C26; C2026; Council 2026; PP26</cp:keywords>
  <dc:description/>
  <cp:lastPrinted>2000-07-18T08:55:00Z</cp:lastPrinted>
  <dcterms:created xsi:type="dcterms:W3CDTF">2026-04-28T16:50:00Z</dcterms:created>
  <dcterms:modified xsi:type="dcterms:W3CDTF">2026-04-28T16:52:00Z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