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2A7CD843" w14:textId="77777777" w:rsidTr="00F363FE">
        <w:tc>
          <w:tcPr>
            <w:tcW w:w="6512" w:type="dxa"/>
          </w:tcPr>
          <w:p w14:paraId="257D408E" w14:textId="56111809"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8B03B8">
              <w:rPr>
                <w:rFonts w:hint="cs"/>
                <w:b/>
                <w:bCs/>
                <w:rtl/>
                <w:lang w:bidi="ar-EG"/>
              </w:rPr>
              <w:t xml:space="preserve"> </w:t>
            </w:r>
            <w:r w:rsidR="00C715E3">
              <w:rPr>
                <w:b/>
                <w:bCs/>
                <w:lang w:bidi="ar-EG"/>
              </w:rPr>
              <w:t>PL</w:t>
            </w:r>
            <w:r w:rsidR="00C715E3">
              <w:rPr>
                <w:b/>
                <w:bCs/>
                <w:lang w:bidi="ar-EG"/>
              </w:rPr>
              <w:noBreakHyphen/>
              <w:t>2</w:t>
            </w:r>
          </w:p>
        </w:tc>
        <w:tc>
          <w:tcPr>
            <w:tcW w:w="3117" w:type="dxa"/>
          </w:tcPr>
          <w:p w14:paraId="5122434E" w14:textId="5106885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8B03B8">
              <w:rPr>
                <w:b/>
                <w:bCs/>
                <w:lang w:bidi="ar-EG"/>
              </w:rPr>
              <w:t>64</w:t>
            </w:r>
            <w:r w:rsidRPr="007B0AA0">
              <w:rPr>
                <w:b/>
                <w:bCs/>
                <w:lang w:bidi="ar-EG"/>
              </w:rPr>
              <w:t>-A</w:t>
            </w:r>
          </w:p>
        </w:tc>
      </w:tr>
      <w:tr w:rsidR="007B0AA0" w14:paraId="66268159" w14:textId="77777777" w:rsidTr="00F363FE">
        <w:tc>
          <w:tcPr>
            <w:tcW w:w="6512" w:type="dxa"/>
          </w:tcPr>
          <w:p w14:paraId="12813C6A" w14:textId="77777777" w:rsidR="007B0AA0" w:rsidRPr="007B0AA0" w:rsidRDefault="007B0AA0" w:rsidP="00F363FE">
            <w:pPr>
              <w:spacing w:before="60" w:after="60" w:line="260" w:lineRule="exact"/>
              <w:rPr>
                <w:b/>
                <w:bCs/>
                <w:rtl/>
                <w:lang w:bidi="ar-EG"/>
              </w:rPr>
            </w:pPr>
          </w:p>
        </w:tc>
        <w:tc>
          <w:tcPr>
            <w:tcW w:w="3117" w:type="dxa"/>
          </w:tcPr>
          <w:p w14:paraId="02F75939" w14:textId="282BD9FC" w:rsidR="007B0AA0" w:rsidRPr="007B0AA0" w:rsidRDefault="008B03B8" w:rsidP="00F363FE">
            <w:pPr>
              <w:spacing w:before="60" w:after="60" w:line="260" w:lineRule="exact"/>
              <w:rPr>
                <w:b/>
                <w:bCs/>
                <w:rtl/>
                <w:lang w:bidi="ar-EG"/>
              </w:rPr>
            </w:pPr>
            <w:r>
              <w:rPr>
                <w:rFonts w:hint="cs"/>
                <w:b/>
                <w:bCs/>
                <w:rtl/>
              </w:rPr>
              <w:t>‏30‏ مارس‏ 2026</w:t>
            </w:r>
          </w:p>
        </w:tc>
      </w:tr>
      <w:tr w:rsidR="007B0AA0" w14:paraId="6E27BBB4" w14:textId="77777777" w:rsidTr="00F363FE">
        <w:tc>
          <w:tcPr>
            <w:tcW w:w="6512" w:type="dxa"/>
          </w:tcPr>
          <w:p w14:paraId="6E3D2287" w14:textId="77777777" w:rsidR="007B0AA0" w:rsidRPr="007B0AA0" w:rsidRDefault="007B0AA0" w:rsidP="00F363FE">
            <w:pPr>
              <w:spacing w:before="60" w:after="60" w:line="260" w:lineRule="exact"/>
              <w:rPr>
                <w:b/>
                <w:bCs/>
                <w:rtl/>
                <w:lang w:bidi="ar-EG"/>
              </w:rPr>
            </w:pPr>
          </w:p>
        </w:tc>
        <w:tc>
          <w:tcPr>
            <w:tcW w:w="3117" w:type="dxa"/>
          </w:tcPr>
          <w:p w14:paraId="3A6274CD"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4CE9980" w14:textId="77777777" w:rsidTr="00F363FE">
        <w:tc>
          <w:tcPr>
            <w:tcW w:w="6512" w:type="dxa"/>
          </w:tcPr>
          <w:p w14:paraId="0558E36D" w14:textId="77777777" w:rsidR="007B0AA0" w:rsidRDefault="007B0AA0" w:rsidP="00F363FE">
            <w:pPr>
              <w:spacing w:before="60" w:after="60" w:line="260" w:lineRule="exact"/>
              <w:rPr>
                <w:lang w:bidi="ar-EG"/>
              </w:rPr>
            </w:pPr>
          </w:p>
        </w:tc>
        <w:tc>
          <w:tcPr>
            <w:tcW w:w="3117" w:type="dxa"/>
          </w:tcPr>
          <w:p w14:paraId="3E1989F7" w14:textId="77777777" w:rsidR="007B0AA0" w:rsidRDefault="007B0AA0" w:rsidP="00F363FE">
            <w:pPr>
              <w:spacing w:before="60" w:after="60" w:line="260" w:lineRule="exact"/>
              <w:rPr>
                <w:rtl/>
                <w:lang w:bidi="ar-EG"/>
              </w:rPr>
            </w:pPr>
          </w:p>
        </w:tc>
      </w:tr>
      <w:tr w:rsidR="007B0AA0" w14:paraId="1FBDEED0" w14:textId="77777777" w:rsidTr="00EE7446">
        <w:tc>
          <w:tcPr>
            <w:tcW w:w="9629" w:type="dxa"/>
            <w:gridSpan w:val="2"/>
          </w:tcPr>
          <w:p w14:paraId="34E3BC5C" w14:textId="77777777" w:rsidR="007B0AA0" w:rsidRDefault="001D64C7" w:rsidP="007B0AA0">
            <w:pPr>
              <w:pStyle w:val="Source"/>
              <w:jc w:val="left"/>
              <w:rPr>
                <w:lang w:bidi="ar-EG"/>
              </w:rPr>
            </w:pPr>
            <w:r>
              <w:rPr>
                <w:rFonts w:hint="cs"/>
                <w:rtl/>
                <w:lang w:bidi="ar-EG"/>
              </w:rPr>
              <w:t>تقرير من الأمينة العامة</w:t>
            </w:r>
          </w:p>
        </w:tc>
      </w:tr>
      <w:tr w:rsidR="007B0AA0" w14:paraId="37F06423" w14:textId="77777777" w:rsidTr="007B0AA0">
        <w:tc>
          <w:tcPr>
            <w:tcW w:w="9629" w:type="dxa"/>
            <w:gridSpan w:val="2"/>
            <w:tcBorders>
              <w:bottom w:val="single" w:sz="4" w:space="0" w:color="auto"/>
            </w:tcBorders>
          </w:tcPr>
          <w:p w14:paraId="547F6FC9" w14:textId="18AF8137" w:rsidR="007B0AA0" w:rsidRPr="005546CF" w:rsidRDefault="0033064B" w:rsidP="0033064B">
            <w:pPr>
              <w:pStyle w:val="Subtitle0"/>
              <w:rPr>
                <w:sz w:val="32"/>
                <w:szCs w:val="32"/>
              </w:rPr>
            </w:pPr>
            <w:r w:rsidRPr="0033064B">
              <w:rPr>
                <w:sz w:val="32"/>
                <w:szCs w:val="32"/>
                <w:rtl/>
                <w:lang w:bidi="ar-SA"/>
              </w:rPr>
              <w:t>الجهود المبذولة لحماية الاتصالات الإنسانية في حالات النزاعات والكوارث</w:t>
            </w:r>
          </w:p>
        </w:tc>
      </w:tr>
      <w:tr w:rsidR="007B0AA0" w14:paraId="42642A2E" w14:textId="77777777" w:rsidTr="007B0AA0">
        <w:tc>
          <w:tcPr>
            <w:tcW w:w="9629" w:type="dxa"/>
            <w:gridSpan w:val="2"/>
            <w:tcBorders>
              <w:top w:val="single" w:sz="4" w:space="0" w:color="auto"/>
              <w:bottom w:val="single" w:sz="4" w:space="0" w:color="auto"/>
            </w:tcBorders>
          </w:tcPr>
          <w:p w14:paraId="1C3E5EB2" w14:textId="77777777" w:rsidR="007B0AA0" w:rsidRPr="007B0AA0" w:rsidRDefault="007B0AA0" w:rsidP="007B0AA0">
            <w:pPr>
              <w:rPr>
                <w:b/>
                <w:bCs/>
                <w:rtl/>
              </w:rPr>
            </w:pPr>
            <w:r w:rsidRPr="00494119">
              <w:rPr>
                <w:rFonts w:hint="cs"/>
                <w:b/>
                <w:bCs/>
                <w:rtl/>
              </w:rPr>
              <w:t>الغرض</w:t>
            </w:r>
          </w:p>
          <w:p w14:paraId="1FC38D2F" w14:textId="22FAF19A" w:rsidR="007B0AA0" w:rsidRPr="001A566B" w:rsidRDefault="0033064B" w:rsidP="0033064B">
            <w:pPr>
              <w:rPr>
                <w:spacing w:val="-2"/>
                <w:rtl/>
              </w:rPr>
            </w:pPr>
            <w:r w:rsidRPr="001A566B">
              <w:rPr>
                <w:spacing w:val="-2"/>
                <w:rtl/>
              </w:rPr>
              <w:t xml:space="preserve">يعرض هذا التقرير جهود الاتحاد الدولي للاتصالات </w:t>
            </w:r>
            <w:r w:rsidR="00EA61D8" w:rsidRPr="001A566B">
              <w:rPr>
                <w:spacing w:val="-2"/>
              </w:rPr>
              <w:t>(ITU)</w:t>
            </w:r>
            <w:r w:rsidRPr="001A566B">
              <w:rPr>
                <w:spacing w:val="-2"/>
                <w:rtl/>
              </w:rPr>
              <w:t xml:space="preserve"> في </w:t>
            </w:r>
            <w:r w:rsidR="009463E6">
              <w:rPr>
                <w:rFonts w:hint="cs"/>
                <w:spacing w:val="-2"/>
                <w:rtl/>
              </w:rPr>
              <w:t>حماية</w:t>
            </w:r>
            <w:r w:rsidRPr="001A566B">
              <w:rPr>
                <w:spacing w:val="-2"/>
                <w:rtl/>
              </w:rPr>
              <w:t xml:space="preserve"> وتيسير شبكات وخدمات الاتصالات العمومية من أجل تقديم المساعدات الإنسانية الأساسية في حالات النزاعات المسلحة والكوارث.</w:t>
            </w:r>
          </w:p>
          <w:p w14:paraId="2C0C1898" w14:textId="77777777" w:rsidR="007B0AA0" w:rsidRPr="007B0AA0" w:rsidRDefault="007B0AA0" w:rsidP="007B0AA0">
            <w:pPr>
              <w:rPr>
                <w:b/>
                <w:bCs/>
                <w:rtl/>
              </w:rPr>
            </w:pPr>
            <w:r w:rsidRPr="007B0AA0">
              <w:rPr>
                <w:rFonts w:hint="cs"/>
                <w:b/>
                <w:bCs/>
                <w:rtl/>
              </w:rPr>
              <w:t>الإجراء المطلوب من المجلس</w:t>
            </w:r>
          </w:p>
          <w:p w14:paraId="671854DC" w14:textId="70AB453A" w:rsidR="007B0AA0" w:rsidRDefault="0033064B" w:rsidP="0033064B">
            <w:pPr>
              <w:rPr>
                <w:rtl/>
              </w:rPr>
            </w:pPr>
            <w:r w:rsidRPr="0033064B">
              <w:rPr>
                <w:rtl/>
              </w:rPr>
              <w:t xml:space="preserve">يُدعى المجلس إلى </w:t>
            </w:r>
            <w:r w:rsidRPr="00CE6C5D">
              <w:rPr>
                <w:b/>
                <w:bCs/>
                <w:rtl/>
              </w:rPr>
              <w:t>الإحاطة علماً</w:t>
            </w:r>
            <w:r w:rsidRPr="0033064B">
              <w:rPr>
                <w:rtl/>
              </w:rPr>
              <w:t xml:space="preserve"> بهذا التقرير.</w:t>
            </w:r>
          </w:p>
          <w:p w14:paraId="2B7C6D5D"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5F7C62C6" w14:textId="38361992" w:rsidR="007B0AA0" w:rsidRDefault="0033064B" w:rsidP="0033064B">
            <w:pPr>
              <w:rPr>
                <w:rtl/>
              </w:rPr>
            </w:pPr>
            <w:r w:rsidRPr="0033064B">
              <w:rPr>
                <w:rtl/>
              </w:rPr>
              <w:t>الشراكات والتعاون الدولي.</w:t>
            </w:r>
          </w:p>
          <w:p w14:paraId="41E6258A" w14:textId="77777777" w:rsidR="007B0AA0" w:rsidRDefault="007B0AA0" w:rsidP="00B97F32">
            <w:pPr>
              <w:rPr>
                <w:b/>
                <w:bCs/>
              </w:rPr>
            </w:pPr>
            <w:r w:rsidRPr="007B0AA0">
              <w:rPr>
                <w:rFonts w:hint="cs"/>
                <w:b/>
                <w:bCs/>
                <w:rtl/>
              </w:rPr>
              <w:t>الآثار المالية</w:t>
            </w:r>
          </w:p>
          <w:p w14:paraId="353AF048" w14:textId="5C56B6CB" w:rsidR="006F363C" w:rsidRPr="005546CF" w:rsidRDefault="0033064B" w:rsidP="0033064B">
            <w:pPr>
              <w:rPr>
                <w:rtl/>
              </w:rPr>
            </w:pPr>
            <w:r w:rsidRPr="0033064B">
              <w:rPr>
                <w:rtl/>
              </w:rPr>
              <w:t xml:space="preserve">ضمن الميزانية المخصصة لفترة السنتين </w:t>
            </w:r>
            <w:r>
              <w:t>2026</w:t>
            </w:r>
            <w:r>
              <w:noBreakHyphen/>
              <w:t>2025</w:t>
            </w:r>
            <w:r w:rsidRPr="0033064B">
              <w:rPr>
                <w:rtl/>
              </w:rPr>
              <w:t>.</w:t>
            </w:r>
          </w:p>
          <w:p w14:paraId="3120C922"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1D0E20F" w14:textId="77777777" w:rsidR="007B0AA0" w:rsidRPr="007B0AA0" w:rsidRDefault="007B0AA0" w:rsidP="007B0AA0">
            <w:pPr>
              <w:rPr>
                <w:b/>
                <w:bCs/>
                <w:rtl/>
              </w:rPr>
            </w:pPr>
            <w:r w:rsidRPr="007B0AA0">
              <w:rPr>
                <w:rFonts w:hint="cs"/>
                <w:b/>
                <w:bCs/>
                <w:rtl/>
              </w:rPr>
              <w:t>المراجع</w:t>
            </w:r>
          </w:p>
          <w:p w14:paraId="557D48F1" w14:textId="423DFDC3" w:rsidR="0033064B" w:rsidRPr="005546CF" w:rsidRDefault="0033064B" w:rsidP="00FC1EAA">
            <w:pPr>
              <w:rPr>
                <w:i/>
                <w:iCs/>
                <w:rtl/>
              </w:rPr>
            </w:pPr>
            <w:hyperlink r:id="rId8" w:history="1">
              <w:r w:rsidRPr="0033064B">
                <w:rPr>
                  <w:rStyle w:val="Hyperlink"/>
                  <w:i/>
                  <w:iCs/>
                  <w:noProof w:val="0"/>
                  <w:rtl/>
                  <w:lang w:val="en-US" w:eastAsia="zh-CN"/>
                </w:rPr>
                <w:t>التقرير النهائي المؤقت للمؤتمر العالمي لتنمية الاتصالات لعام</w:t>
              </w:r>
              <w:r w:rsidR="00FC1EAA">
                <w:rPr>
                  <w:rStyle w:val="Hyperlink"/>
                  <w:rFonts w:hint="cs"/>
                  <w:i/>
                  <w:iCs/>
                  <w:noProof w:val="0"/>
                  <w:rtl/>
                  <w:lang w:val="en-US" w:eastAsia="zh-CN"/>
                </w:rPr>
                <w:t xml:space="preserve"> </w:t>
              </w:r>
              <w:r w:rsidRPr="0033064B">
                <w:rPr>
                  <w:rStyle w:val="Hyperlink"/>
                  <w:i/>
                  <w:iCs/>
                  <w:noProof w:val="0"/>
                  <w:rtl/>
                  <w:lang w:val="en-US" w:eastAsia="zh-CN"/>
                </w:rPr>
                <w:t>2025</w:t>
              </w:r>
              <w:r w:rsidRPr="00A91E04">
                <w:rPr>
                  <w:i/>
                  <w:iCs/>
                  <w:rtl/>
                </w:rPr>
                <w:t>،</w:t>
              </w:r>
            </w:hyperlink>
            <w:r w:rsidR="00FC1EAA">
              <w:rPr>
                <w:rFonts w:hint="cs"/>
                <w:i/>
                <w:iCs/>
                <w:rtl/>
                <w:lang w:bidi="ar-EG"/>
              </w:rPr>
              <w:t xml:space="preserve"> </w:t>
            </w:r>
            <w:hyperlink r:id="rId9" w:history="1">
              <w:r w:rsidRPr="00FC1EAA">
                <w:rPr>
                  <w:rStyle w:val="Hyperlink"/>
                  <w:i/>
                  <w:iCs/>
                  <w:noProof w:val="0"/>
                  <w:rtl/>
                  <w:lang w:val="en-US" w:eastAsia="zh-CN" w:bidi="ar-AE"/>
                </w:rPr>
                <w:t>القرار 98 (مينيابوليس، 1998)</w:t>
              </w:r>
            </w:hyperlink>
            <w:r w:rsidRPr="0033064B">
              <w:rPr>
                <w:i/>
                <w:iCs/>
                <w:rtl/>
                <w:lang w:bidi="ar-AE"/>
              </w:rPr>
              <w:t xml:space="preserve"> و</w:t>
            </w:r>
            <w:hyperlink r:id="rId10" w:history="1">
              <w:r w:rsidRPr="00ED2F9F">
                <w:rPr>
                  <w:rStyle w:val="Hyperlink"/>
                  <w:i/>
                  <w:iCs/>
                  <w:noProof w:val="0"/>
                  <w:rtl/>
                  <w:lang w:val="en-US" w:eastAsia="zh-CN" w:bidi="ar-AE"/>
                </w:rPr>
                <w:t>القرار 136 (المراجَع في بوخارست، 2022)</w:t>
              </w:r>
            </w:hyperlink>
            <w:r w:rsidRPr="0033064B">
              <w:rPr>
                <w:i/>
                <w:iCs/>
                <w:rtl/>
                <w:lang w:bidi="ar-AE"/>
              </w:rPr>
              <w:t xml:space="preserve"> لمؤتمر المندوبين المفوضين</w:t>
            </w:r>
          </w:p>
        </w:tc>
      </w:tr>
    </w:tbl>
    <w:p w14:paraId="48D596A5" w14:textId="77777777" w:rsidR="00F50E3F" w:rsidRDefault="00F50E3F" w:rsidP="0043260A">
      <w:pPr>
        <w:rPr>
          <w:rtl/>
          <w:lang w:bidi="ar-EG"/>
        </w:rPr>
      </w:pPr>
      <w:r>
        <w:rPr>
          <w:rtl/>
          <w:lang w:bidi="ar-EG"/>
        </w:rPr>
        <w:br w:type="page"/>
      </w:r>
    </w:p>
    <w:p w14:paraId="7D7C08DF" w14:textId="77777777" w:rsidR="0033064B" w:rsidRPr="0033064B" w:rsidRDefault="0033064B" w:rsidP="00ED2F9F">
      <w:pPr>
        <w:pStyle w:val="Heading1"/>
      </w:pPr>
      <w:r w:rsidRPr="0033064B">
        <w:rPr>
          <w:rtl/>
        </w:rPr>
        <w:lastRenderedPageBreak/>
        <w:t>1</w:t>
      </w:r>
      <w:r w:rsidRPr="0033064B">
        <w:rPr>
          <w:rtl/>
        </w:rPr>
        <w:tab/>
        <w:t>مقدمة</w:t>
      </w:r>
    </w:p>
    <w:p w14:paraId="1A6D407C" w14:textId="26A116A5" w:rsidR="0033064B" w:rsidRPr="0033064B" w:rsidRDefault="00ED2F9F" w:rsidP="0033064B">
      <w:pPr>
        <w:rPr>
          <w:spacing w:val="-4"/>
        </w:rPr>
      </w:pPr>
      <w:r w:rsidRPr="00793408">
        <w:rPr>
          <w:spacing w:val="-4"/>
        </w:rPr>
        <w:t>1.1</w:t>
      </w:r>
      <w:r w:rsidR="0033064B" w:rsidRPr="0033064B">
        <w:rPr>
          <w:spacing w:val="-4"/>
          <w:rtl/>
        </w:rPr>
        <w:tab/>
        <w:t>اعتمدت الدول الأعضاء، في المؤتمر العالمي لتنمية الاتصالات لعام 2025 (WTDC-25) الذي عقد في</w:t>
      </w:r>
      <w:r w:rsidR="00793408">
        <w:rPr>
          <w:rFonts w:hint="cs"/>
          <w:spacing w:val="-4"/>
          <w:rtl/>
        </w:rPr>
        <w:t> </w:t>
      </w:r>
      <w:r w:rsidR="0033064B" w:rsidRPr="0033064B">
        <w:rPr>
          <w:spacing w:val="-4"/>
          <w:rtl/>
        </w:rPr>
        <w:t>باكو، أذربيجان، البيان المعنون "</w:t>
      </w:r>
      <w:hyperlink r:id="rId11" w:history="1">
        <w:r w:rsidR="0033064B" w:rsidRPr="0033064B">
          <w:rPr>
            <w:rStyle w:val="Hyperlink"/>
            <w:noProof w:val="0"/>
            <w:spacing w:val="-4"/>
            <w:rtl/>
            <w:lang w:val="en-US" w:eastAsia="zh-CN"/>
          </w:rPr>
          <w:t xml:space="preserve">الاعتراف بأهمية شبكات وخدمات الاتصالات </w:t>
        </w:r>
        <w:r w:rsidR="009463E6">
          <w:rPr>
            <w:rStyle w:val="Hyperlink"/>
            <w:rFonts w:hint="cs"/>
            <w:noProof w:val="0"/>
            <w:spacing w:val="-4"/>
            <w:rtl/>
            <w:lang w:val="en-US" w:eastAsia="zh-CN"/>
          </w:rPr>
          <w:t>العمومية</w:t>
        </w:r>
        <w:r w:rsidR="0033064B" w:rsidRPr="0033064B">
          <w:rPr>
            <w:rStyle w:val="Hyperlink"/>
            <w:noProof w:val="0"/>
            <w:spacing w:val="-4"/>
            <w:rtl/>
            <w:lang w:val="en-US" w:eastAsia="zh-CN"/>
          </w:rPr>
          <w:t xml:space="preserve"> كخدمات إنسانية أساسية يجب حمايتها وتسهيلها في حالات الحروب والنزاعات والكوارث</w:t>
        </w:r>
      </w:hyperlink>
      <w:r w:rsidR="0033064B" w:rsidRPr="0033064B">
        <w:rPr>
          <w:spacing w:val="-4"/>
          <w:rtl/>
        </w:rPr>
        <w:t>" إذ أقرت، بجملة أمور منها بالأهمية الحاسمة لشبكات الاتصالات وخدماتها في إنقاذ الأرواح، ودعم عمليات الإنقاذ والطوارئ، وتقديم المساعدة الإنسانية، والحفاظ على استمرارية الاتصالات بين السكان في أوقات هذه الأحداث</w:t>
      </w:r>
      <w:r w:rsidR="00AE73D7" w:rsidRPr="00793408">
        <w:rPr>
          <w:rFonts w:hint="cs"/>
          <w:spacing w:val="-4"/>
          <w:rtl/>
          <w:lang w:bidi="ar-EG"/>
        </w:rPr>
        <w:t>.</w:t>
      </w:r>
      <w:hyperlink r:id="rId12"/>
    </w:p>
    <w:p w14:paraId="6C4F970E" w14:textId="77777777" w:rsidR="0033064B" w:rsidRPr="0033064B" w:rsidRDefault="0033064B" w:rsidP="00ED2F9F">
      <w:pPr>
        <w:pStyle w:val="Heading1"/>
      </w:pPr>
      <w:r w:rsidRPr="0033064B">
        <w:rPr>
          <w:rtl/>
        </w:rPr>
        <w:t>2</w:t>
      </w:r>
      <w:r w:rsidRPr="0033064B">
        <w:rPr>
          <w:rtl/>
        </w:rPr>
        <w:tab/>
        <w:t>التعاون في منظومة الأمم المتحدة</w:t>
      </w:r>
    </w:p>
    <w:p w14:paraId="4462F543" w14:textId="3F8F54B0" w:rsidR="0033064B" w:rsidRPr="0033064B" w:rsidRDefault="00ED2F9F" w:rsidP="0033064B">
      <w:pPr>
        <w:rPr>
          <w:spacing w:val="-2"/>
        </w:rPr>
      </w:pPr>
      <w:r w:rsidRPr="0007738A">
        <w:rPr>
          <w:spacing w:val="-2"/>
        </w:rPr>
        <w:t>1.2</w:t>
      </w:r>
      <w:r w:rsidR="0033064B" w:rsidRPr="0033064B">
        <w:rPr>
          <w:spacing w:val="-2"/>
          <w:rtl/>
        </w:rPr>
        <w:tab/>
        <w:t>اعترافاً بالاتصالات بوصفها حاجة إنسانية أساسية وخدمة لإنقاذ الأرواح، تشاور الاتحاد مع برنامج الأغذية العالمي</w:t>
      </w:r>
      <w:r w:rsidR="0007738A">
        <w:rPr>
          <w:rFonts w:hint="eastAsia"/>
          <w:spacing w:val="-2"/>
          <w:rtl/>
        </w:rPr>
        <w:t> </w:t>
      </w:r>
      <w:r w:rsidR="00FF16C5" w:rsidRPr="0007738A">
        <w:rPr>
          <w:spacing w:val="-2"/>
        </w:rPr>
        <w:t>(WFP)</w:t>
      </w:r>
      <w:r w:rsidR="0033064B" w:rsidRPr="0033064B">
        <w:rPr>
          <w:spacing w:val="-2"/>
          <w:rtl/>
        </w:rPr>
        <w:t>، بصفته منسق المجموعة المعنية بالاتصالات في حالات الطوارئ</w:t>
      </w:r>
      <w:r w:rsidR="0070620B" w:rsidRPr="0007738A">
        <w:rPr>
          <w:rFonts w:hint="cs"/>
          <w:spacing w:val="-2"/>
          <w:rtl/>
          <w:lang w:bidi="ar-EG"/>
        </w:rPr>
        <w:t xml:space="preserve"> </w:t>
      </w:r>
      <w:r w:rsidR="0070620B" w:rsidRPr="0007738A">
        <w:rPr>
          <w:spacing w:val="-2"/>
          <w:lang w:bidi="ar-EG"/>
        </w:rPr>
        <w:t>(ETC)</w:t>
      </w:r>
      <w:r w:rsidR="0033064B" w:rsidRPr="0033064B">
        <w:rPr>
          <w:spacing w:val="-2"/>
          <w:rtl/>
        </w:rPr>
        <w:t>، والاتحاد الدولي لجمعيات الصليب الأحمر والهلال الأحمر</w:t>
      </w:r>
      <w:r w:rsidR="0070620B" w:rsidRPr="0007738A">
        <w:rPr>
          <w:rFonts w:hint="cs"/>
          <w:spacing w:val="-2"/>
          <w:rtl/>
          <w:lang w:bidi="ar-EG"/>
        </w:rPr>
        <w:t xml:space="preserve"> </w:t>
      </w:r>
      <w:r w:rsidR="0070620B" w:rsidRPr="0007738A">
        <w:rPr>
          <w:spacing w:val="-2"/>
          <w:lang w:bidi="ar-EG"/>
        </w:rPr>
        <w:t>(IFRC)</w:t>
      </w:r>
      <w:r w:rsidR="0033064B" w:rsidRPr="0033064B">
        <w:rPr>
          <w:spacing w:val="-2"/>
          <w:rtl/>
        </w:rPr>
        <w:t xml:space="preserve"> من أجل زيادة الوعي ببيان المؤتمر العالمي لتنمية الاتصالات وتعميق فهم هذه القضايا. وبالإضافة إلى ذلك، تعاون الاتحاد مع برنامج الأغذية العالمي والاتحاد الدولي لجمعيات الصليب الأحمر والهلال الأحمر في</w:t>
      </w:r>
      <w:r w:rsidR="0007738A">
        <w:rPr>
          <w:rFonts w:hint="cs"/>
          <w:spacing w:val="-2"/>
          <w:rtl/>
        </w:rPr>
        <w:t> </w:t>
      </w:r>
      <w:r w:rsidR="0033064B" w:rsidRPr="0033064B">
        <w:rPr>
          <w:spacing w:val="-2"/>
          <w:rtl/>
        </w:rPr>
        <w:t>اجتماع غير رسمي لشحذ الأفكار في فبراير 2026 وتواصل مع الدول الأعضاء المهتمة من خلال بعثاتها في نيويورك.</w:t>
      </w:r>
    </w:p>
    <w:p w14:paraId="2367EAE0" w14:textId="54D6EA8A" w:rsidR="0033064B" w:rsidRPr="0033064B" w:rsidRDefault="00ED2F9F" w:rsidP="0033064B">
      <w:r>
        <w:t>2.2</w:t>
      </w:r>
      <w:r w:rsidR="0033064B" w:rsidRPr="0033064B">
        <w:rPr>
          <w:rtl/>
        </w:rPr>
        <w:tab/>
        <w:t>وبناء على هذه الجهود، ساهم الاتحاد في إحاطة إعلامية غير رسمية عقدتها البعثة الدائمة للمملكة المتحدة في</w:t>
      </w:r>
      <w:r w:rsidR="0007738A">
        <w:rPr>
          <w:rFonts w:hint="cs"/>
          <w:rtl/>
        </w:rPr>
        <w:t> </w:t>
      </w:r>
      <w:r w:rsidR="0033064B" w:rsidRPr="0033064B">
        <w:rPr>
          <w:rtl/>
        </w:rPr>
        <w:t xml:space="preserve">مارس 2026 مع البعثات الدائمة المهتمة في جنيف، إذ أكَّد على الحاجة الملحة إلى حماية البنية التحتية للاتصالات بغية الحفاظ على تشغيل الخدمات الإنسانية أثناء الأزمات. واستكشفت المناقشة أيضاً الكيفية التي يمكن بها للأدوات الرقمية القادرة على الصمود والمسؤولة أن تعزز التأهب للكوارث والتصدي لها، بما في ذلك من خلال دعم مبادرة نظام </w:t>
      </w:r>
      <w:hyperlink r:id="rId13" w:history="1">
        <w:r w:rsidR="0033064B" w:rsidRPr="0033064B">
          <w:rPr>
            <w:rStyle w:val="Hyperlink"/>
            <w:noProof w:val="0"/>
            <w:rtl/>
            <w:lang w:val="en-US" w:eastAsia="zh-CN"/>
          </w:rPr>
          <w:t xml:space="preserve">الإنذار المبكر للجميع </w:t>
        </w:r>
        <w:r w:rsidR="00D94539" w:rsidRPr="00D94539">
          <w:rPr>
            <w:rStyle w:val="Hyperlink"/>
            <w:noProof w:val="0"/>
            <w:lang w:val="en-US" w:eastAsia="zh-CN"/>
          </w:rPr>
          <w:t>(EW4AII)</w:t>
        </w:r>
      </w:hyperlink>
      <w:r w:rsidR="0033064B" w:rsidRPr="0033064B">
        <w:rPr>
          <w:rtl/>
        </w:rPr>
        <w:t>، مع المساعدة في سد الفجوة الرقمية للمجتمعات الضعيفة.</w:t>
      </w:r>
      <w:hyperlink r:id="rId14"/>
    </w:p>
    <w:p w14:paraId="64AA5D8D" w14:textId="1D057F36" w:rsidR="0033064B" w:rsidRPr="0033064B" w:rsidRDefault="00ED2F9F" w:rsidP="0033064B">
      <w:pPr>
        <w:rPr>
          <w:spacing w:val="-4"/>
        </w:rPr>
      </w:pPr>
      <w:r w:rsidRPr="00802BE1">
        <w:rPr>
          <w:spacing w:val="-4"/>
        </w:rPr>
        <w:t>3.2</w:t>
      </w:r>
      <w:r w:rsidR="0033064B" w:rsidRPr="0033064B">
        <w:rPr>
          <w:spacing w:val="-4"/>
          <w:rtl/>
        </w:rPr>
        <w:tab/>
        <w:t xml:space="preserve">وشكل النفاذ إلى الاتصالات قضية خطيرة في سياقات عدة، مع نجاح محدود في استيراد معدات الاتصالات وتقارير عن تشويش وتزييف النظام العالمي لتحديد المواقع </w:t>
      </w:r>
      <w:r w:rsidR="0033064B" w:rsidRPr="0033064B">
        <w:rPr>
          <w:spacing w:val="-4"/>
        </w:rPr>
        <w:t>(GPS)</w:t>
      </w:r>
      <w:r w:rsidR="0033064B" w:rsidRPr="0033064B">
        <w:rPr>
          <w:spacing w:val="-4"/>
          <w:rtl/>
        </w:rPr>
        <w:t xml:space="preserve"> الذي يؤثر على الملاحة</w:t>
      </w:r>
      <w:r w:rsidR="001B43F6" w:rsidRPr="00802BE1">
        <w:rPr>
          <w:rFonts w:hint="cs"/>
          <w:spacing w:val="-4"/>
          <w:rtl/>
        </w:rPr>
        <w:t xml:space="preserve"> </w:t>
      </w:r>
      <w:r w:rsidR="0033064B" w:rsidRPr="0033064B">
        <w:rPr>
          <w:spacing w:val="-4"/>
          <w:rtl/>
        </w:rPr>
        <w:t xml:space="preserve">- ولا سيما بالنسبة للرحلات الجوية وعمليات </w:t>
      </w:r>
      <w:r w:rsidR="009463E6">
        <w:rPr>
          <w:rFonts w:hint="cs"/>
          <w:spacing w:val="-4"/>
          <w:rtl/>
        </w:rPr>
        <w:t>النقل الجوي للمساعدة الإنسانية</w:t>
      </w:r>
      <w:r w:rsidR="0033064B" w:rsidRPr="0033064B">
        <w:rPr>
          <w:spacing w:val="-4"/>
          <w:rtl/>
        </w:rPr>
        <w:t xml:space="preserve"> للأمم المتحدة </w:t>
      </w:r>
      <w:r w:rsidR="0033064B" w:rsidRPr="0033064B">
        <w:rPr>
          <w:spacing w:val="-4"/>
        </w:rPr>
        <w:t>(UNHAS)</w:t>
      </w:r>
      <w:r w:rsidR="001B43F6" w:rsidRPr="00802BE1">
        <w:rPr>
          <w:rFonts w:hint="cs"/>
          <w:spacing w:val="-4"/>
          <w:rtl/>
        </w:rPr>
        <w:t xml:space="preserve"> -</w:t>
      </w:r>
      <w:r w:rsidR="0033064B" w:rsidRPr="0033064B">
        <w:rPr>
          <w:spacing w:val="-4"/>
          <w:rtl/>
        </w:rPr>
        <w:t xml:space="preserve"> وكذلك أنظمة الاتصالات الساتلية. وفي</w:t>
      </w:r>
      <w:r w:rsidR="001B43F6" w:rsidRPr="00802BE1">
        <w:rPr>
          <w:rFonts w:hint="cs"/>
          <w:spacing w:val="-4"/>
          <w:rtl/>
        </w:rPr>
        <w:t> </w:t>
      </w:r>
      <w:r w:rsidR="0033064B" w:rsidRPr="0033064B">
        <w:rPr>
          <w:spacing w:val="-4"/>
          <w:rtl/>
        </w:rPr>
        <w:t>بعض الحالات، أثر</w:t>
      </w:r>
      <w:r w:rsidR="00C502C1">
        <w:rPr>
          <w:rFonts w:hint="cs"/>
          <w:spacing w:val="-4"/>
          <w:rtl/>
        </w:rPr>
        <w:t> </w:t>
      </w:r>
      <w:r w:rsidR="0033064B" w:rsidRPr="0033064B">
        <w:rPr>
          <w:spacing w:val="-4"/>
          <w:rtl/>
        </w:rPr>
        <w:t>انقطاع الاتصالات على عامة السكان والمنظمات الإنسانية على حد سواء، مما أعاق التنسيق التشغيلي وسلامة الموظفين والنفاذ إلى المعلومات الحيوية. وفي حالات الأزمات الأخرى، لا تزال التوصيلية محدودة للغاية بالنسبة للمدنيين والعاملين في</w:t>
      </w:r>
      <w:r w:rsidR="00802BE1">
        <w:rPr>
          <w:rFonts w:hint="cs"/>
          <w:spacing w:val="-4"/>
          <w:rtl/>
        </w:rPr>
        <w:t> </w:t>
      </w:r>
      <w:r w:rsidR="0033064B" w:rsidRPr="0033064B">
        <w:rPr>
          <w:spacing w:val="-4"/>
          <w:rtl/>
        </w:rPr>
        <w:t xml:space="preserve">المجال الإنساني، إذ تواجه </w:t>
      </w:r>
      <w:hyperlink r:id="rId15" w:history="1">
        <w:r w:rsidR="0033064B" w:rsidRPr="0033064B">
          <w:rPr>
            <w:rStyle w:val="Hyperlink"/>
            <w:noProof w:val="0"/>
            <w:spacing w:val="-4"/>
            <w:rtl/>
            <w:lang w:val="en-US" w:eastAsia="zh-CN"/>
          </w:rPr>
          <w:t>المجموعة المعنية بالاتصالات في حالات الطوارئ</w:t>
        </w:r>
        <w:r w:rsidR="00166E8B" w:rsidRPr="00802BE1">
          <w:rPr>
            <w:rStyle w:val="Hyperlink"/>
            <w:rFonts w:hint="cs"/>
            <w:noProof w:val="0"/>
            <w:spacing w:val="-4"/>
            <w:rtl/>
            <w:lang w:val="en-US" w:eastAsia="zh-CN" w:bidi="ar-EG"/>
          </w:rPr>
          <w:t xml:space="preserve"> </w:t>
        </w:r>
        <w:r w:rsidR="00166E8B" w:rsidRPr="00802BE1">
          <w:rPr>
            <w:rStyle w:val="Hyperlink"/>
            <w:noProof w:val="0"/>
            <w:spacing w:val="-4"/>
            <w:lang w:val="en-US" w:eastAsia="zh-CN" w:bidi="ar-EG"/>
          </w:rPr>
          <w:t>(ETC)</w:t>
        </w:r>
        <w:r w:rsidR="0033064B" w:rsidRPr="0033064B">
          <w:rPr>
            <w:rStyle w:val="Hyperlink"/>
            <w:noProof w:val="0"/>
            <w:spacing w:val="-4"/>
            <w:rtl/>
            <w:lang w:val="en-US" w:eastAsia="zh-CN"/>
          </w:rPr>
          <w:t xml:space="preserve"> التابعة للأمم المتحدة</w:t>
        </w:r>
      </w:hyperlink>
      <w:r w:rsidR="0033064B" w:rsidRPr="0033064B">
        <w:rPr>
          <w:spacing w:val="-4"/>
          <w:rtl/>
        </w:rPr>
        <w:t xml:space="preserve"> والوكالات الشريكة قيوداً كبيرة بشأن جلب المعدات، مما يخلق بيئة عالية المخاطر للعمليات الإنسانية.</w:t>
      </w:r>
      <w:hyperlink r:id="rId16"/>
    </w:p>
    <w:p w14:paraId="76D3E3AE" w14:textId="78AF3CA8" w:rsidR="0033064B" w:rsidRPr="0033064B" w:rsidRDefault="00ED2F9F" w:rsidP="0033064B">
      <w:pPr>
        <w:rPr>
          <w:spacing w:val="-4"/>
        </w:rPr>
      </w:pPr>
      <w:r w:rsidRPr="00C83ED9">
        <w:rPr>
          <w:spacing w:val="-4"/>
        </w:rPr>
        <w:t>4.2</w:t>
      </w:r>
      <w:r w:rsidR="0033064B" w:rsidRPr="0033064B">
        <w:rPr>
          <w:spacing w:val="-4"/>
          <w:rtl/>
        </w:rPr>
        <w:tab/>
        <w:t>والمجموعة المعنية بالاتصالات في حالات الطوارئ</w:t>
      </w:r>
      <w:r w:rsidR="003D3252" w:rsidRPr="00C83ED9">
        <w:rPr>
          <w:rFonts w:hint="cs"/>
          <w:spacing w:val="-4"/>
          <w:rtl/>
        </w:rPr>
        <w:t xml:space="preserve"> </w:t>
      </w:r>
      <w:r w:rsidR="003D3252" w:rsidRPr="00C83ED9">
        <w:rPr>
          <w:spacing w:val="-4"/>
        </w:rPr>
        <w:t>(ETC)</w:t>
      </w:r>
      <w:r w:rsidR="0033064B" w:rsidRPr="0033064B">
        <w:rPr>
          <w:spacing w:val="-4"/>
          <w:rtl/>
        </w:rPr>
        <w:t>، التي يقودها برنامج الأغذية العالمي، هي شبكة عالمية من المنظمات الإنسانية والمنظمات الحكومية ومنظمات القطاع الخاص التي تعمل معاً على إتاحة خدمات اتصالات مشتركة في حالات الطوارئ الإنسانية. وهذه المجموعة هي إحدى المجموعات التي عينتها اللجنة الدائمة المشتركة بين الوكالات التابعة للأمم المتحدة</w:t>
      </w:r>
      <w:r w:rsidR="003D3252" w:rsidRPr="00C83ED9">
        <w:rPr>
          <w:rFonts w:hint="cs"/>
          <w:spacing w:val="-4"/>
          <w:rtl/>
          <w:lang w:bidi="ar-EG"/>
        </w:rPr>
        <w:t xml:space="preserve"> </w:t>
      </w:r>
      <w:r w:rsidR="003D3252" w:rsidRPr="00C83ED9">
        <w:rPr>
          <w:spacing w:val="-4"/>
          <w:lang w:bidi="ar-EG"/>
        </w:rPr>
        <w:t>(</w:t>
      </w:r>
      <w:r w:rsidR="00993532" w:rsidRPr="00C83ED9">
        <w:rPr>
          <w:spacing w:val="-4"/>
          <w:lang w:bidi="ar-EG"/>
        </w:rPr>
        <w:t>IASC</w:t>
      </w:r>
      <w:r w:rsidR="003D3252" w:rsidRPr="00C83ED9">
        <w:rPr>
          <w:spacing w:val="-4"/>
          <w:lang w:bidi="ar-EG"/>
        </w:rPr>
        <w:t>)</w:t>
      </w:r>
      <w:r w:rsidR="0033064B" w:rsidRPr="0033064B">
        <w:rPr>
          <w:spacing w:val="-4"/>
          <w:rtl/>
        </w:rPr>
        <w:t>. والاتحاد عضو نشط في هذه المجموعة، ويسهم بالخبرات التقنية والمعايير وقدرات التنسيق في</w:t>
      </w:r>
      <w:r w:rsidR="005152A8">
        <w:rPr>
          <w:rFonts w:hint="cs"/>
          <w:spacing w:val="-4"/>
          <w:rtl/>
        </w:rPr>
        <w:t> </w:t>
      </w:r>
      <w:r w:rsidR="0033064B" w:rsidRPr="0033064B">
        <w:rPr>
          <w:spacing w:val="-4"/>
          <w:rtl/>
        </w:rPr>
        <w:t xml:space="preserve">مجال تكنولوجيا المعلومات والاتصالات وعمليات الاتصالات في حالات الطوارئ. وعلى وجه الخصوص، يدعم الاتحاد، من خلال عمله المتعلق </w:t>
      </w:r>
      <w:hyperlink r:id="rId17" w:history="1">
        <w:r w:rsidR="0033064B" w:rsidRPr="0033064B">
          <w:rPr>
            <w:rStyle w:val="Hyperlink"/>
            <w:noProof w:val="0"/>
            <w:spacing w:val="-4"/>
            <w:rtl/>
            <w:lang w:val="en-US" w:eastAsia="zh-CN"/>
          </w:rPr>
          <w:t xml:space="preserve">بالخطط الوطنية للاتصالات في حالات الطوارئ </w:t>
        </w:r>
        <w:r w:rsidR="0033064B" w:rsidRPr="0033064B">
          <w:rPr>
            <w:rStyle w:val="Hyperlink"/>
            <w:noProof w:val="0"/>
            <w:spacing w:val="-4"/>
            <w:lang w:val="en-US" w:eastAsia="zh-CN"/>
          </w:rPr>
          <w:t>(NETP)</w:t>
        </w:r>
      </w:hyperlink>
      <w:r w:rsidR="0033064B" w:rsidRPr="0033064B">
        <w:rPr>
          <w:spacing w:val="-4"/>
          <w:rtl/>
        </w:rPr>
        <w:t>، الدول الأعضاء في تحديد استراتيجيات وسياسات وإجراءات تتعلق بالاتصالات في حالات الطوارئ وتتماشى مع آليات تنسيق الشؤون الإنسانية.</w:t>
      </w:r>
      <w:hyperlink r:id="rId18" w:history="1"/>
    </w:p>
    <w:p w14:paraId="39D274E9" w14:textId="3452F9DF" w:rsidR="0033064B" w:rsidRPr="0033064B" w:rsidRDefault="00ED2F9F" w:rsidP="0033064B">
      <w:r>
        <w:t>5.2</w:t>
      </w:r>
      <w:r w:rsidR="0033064B" w:rsidRPr="0033064B">
        <w:rPr>
          <w:rtl/>
        </w:rPr>
        <w:tab/>
        <w:t xml:space="preserve">وتعاون الاتحاد أيضاً مع </w:t>
      </w:r>
      <w:hyperlink r:id="rId19" w:history="1">
        <w:r w:rsidR="0033064B" w:rsidRPr="0033064B">
          <w:rPr>
            <w:rStyle w:val="Hyperlink"/>
            <w:noProof w:val="0"/>
            <w:rtl/>
            <w:lang w:val="en-US" w:eastAsia="zh-CN"/>
          </w:rPr>
          <w:t>اللجنة الدائمة المشتركة بين الوكالات</w:t>
        </w:r>
        <w:r w:rsidR="00802BE1" w:rsidRPr="0092336B">
          <w:rPr>
            <w:rStyle w:val="Hyperlink"/>
            <w:rFonts w:hint="cs"/>
            <w:noProof w:val="0"/>
            <w:rtl/>
            <w:lang w:val="en-US" w:eastAsia="zh-CN"/>
          </w:rPr>
          <w:t xml:space="preserve"> </w:t>
        </w:r>
        <w:r w:rsidR="00802BE1" w:rsidRPr="0092336B">
          <w:rPr>
            <w:rStyle w:val="Hyperlink"/>
            <w:noProof w:val="0"/>
            <w:lang w:val="en-US" w:eastAsia="zh-CN"/>
          </w:rPr>
          <w:t>(IASC)</w:t>
        </w:r>
      </w:hyperlink>
      <w:r w:rsidR="0033064B" w:rsidRPr="0033064B">
        <w:rPr>
          <w:rtl/>
        </w:rPr>
        <w:t xml:space="preserve"> من خلال عرض بيان المؤتمر العالمي لتنمية الاتصالات والتعبير عن التزامه بتعزيز التعاون والتنسيق مع اللجنة وأعضائها لمعالجة هذه القضايا الحاسمة على المستويات الوطنية والإقليمية والعالمية.</w:t>
      </w:r>
      <w:hyperlink r:id="rId20" w:history="1"/>
    </w:p>
    <w:p w14:paraId="59DBDB4C" w14:textId="25AAC8A7" w:rsidR="0033064B" w:rsidRPr="0033064B" w:rsidRDefault="00ED2F9F" w:rsidP="0033064B">
      <w:pPr>
        <w:rPr>
          <w:spacing w:val="-2"/>
        </w:rPr>
      </w:pPr>
      <w:r w:rsidRPr="001B0079">
        <w:rPr>
          <w:spacing w:val="-2"/>
        </w:rPr>
        <w:t>6.2</w:t>
      </w:r>
      <w:r w:rsidR="0033064B" w:rsidRPr="0033064B">
        <w:rPr>
          <w:spacing w:val="-2"/>
          <w:rtl/>
        </w:rPr>
        <w:tab/>
        <w:t xml:space="preserve">وبموجب </w:t>
      </w:r>
      <w:hyperlink r:id="rId21" w:history="1">
        <w:r w:rsidR="0033064B" w:rsidRPr="0033064B">
          <w:rPr>
            <w:rStyle w:val="Hyperlink"/>
            <w:noProof w:val="0"/>
            <w:spacing w:val="-2"/>
            <w:rtl/>
            <w:lang w:val="en-US" w:eastAsia="zh-CN"/>
          </w:rPr>
          <w:t>اتفاقية تامبيري</w:t>
        </w:r>
      </w:hyperlink>
      <w:r w:rsidR="0033064B" w:rsidRPr="0033064B">
        <w:rPr>
          <w:spacing w:val="-2"/>
          <w:rtl/>
        </w:rPr>
        <w:t xml:space="preserve"> التي توفر إطاراً قانونياً لاستخدام الاتصالات في المساعدات الإنسانية والحد من الحواجز التنظيمية، أُعيد التأكيد على الأولويات المطلقة للاتصالات المنقذة للحياة في حالات الطوارئ ضمن الصكوك التنظيمية الدولية. وبالإضافة إلى ذلك، </w:t>
      </w:r>
      <w:r w:rsidR="009463E6">
        <w:rPr>
          <w:rFonts w:hint="cs"/>
          <w:spacing w:val="-2"/>
          <w:rtl/>
        </w:rPr>
        <w:t>ي</w:t>
      </w:r>
      <w:r w:rsidR="0033064B" w:rsidRPr="0033064B">
        <w:rPr>
          <w:spacing w:val="-2"/>
          <w:rtl/>
        </w:rPr>
        <w:t xml:space="preserve">عترف، على النحو المنصوص عليه في دستور الاتحاد، </w:t>
      </w:r>
      <w:hyperlink r:id="rId22" w:history="1">
        <w:r w:rsidR="0033064B" w:rsidRPr="0033064B">
          <w:rPr>
            <w:rStyle w:val="Hyperlink"/>
            <w:noProof w:val="0"/>
            <w:spacing w:val="-2"/>
            <w:rtl/>
            <w:lang w:val="en-US" w:eastAsia="zh-CN"/>
          </w:rPr>
          <w:t>القرار 98 (مينيابوليس، 1998)</w:t>
        </w:r>
      </w:hyperlink>
      <w:r w:rsidR="0033064B" w:rsidRPr="0033064B">
        <w:rPr>
          <w:spacing w:val="-2"/>
          <w:rtl/>
        </w:rPr>
        <w:t xml:space="preserve"> و</w:t>
      </w:r>
      <w:hyperlink r:id="rId23" w:history="1">
        <w:r w:rsidR="0033064B" w:rsidRPr="0033064B">
          <w:rPr>
            <w:rStyle w:val="Hyperlink"/>
            <w:noProof w:val="0"/>
            <w:spacing w:val="-2"/>
            <w:rtl/>
            <w:lang w:val="en-US" w:eastAsia="zh-CN"/>
          </w:rPr>
          <w:t>القرار</w:t>
        </w:r>
        <w:r w:rsidR="001B0079">
          <w:rPr>
            <w:rStyle w:val="Hyperlink"/>
            <w:rFonts w:hint="cs"/>
            <w:noProof w:val="0"/>
            <w:spacing w:val="-2"/>
            <w:rtl/>
            <w:lang w:val="en-US" w:eastAsia="zh-CN"/>
          </w:rPr>
          <w:t> </w:t>
        </w:r>
        <w:r w:rsidR="0033064B" w:rsidRPr="0033064B">
          <w:rPr>
            <w:rStyle w:val="Hyperlink"/>
            <w:noProof w:val="0"/>
            <w:spacing w:val="-2"/>
            <w:rtl/>
            <w:lang w:val="en-US" w:eastAsia="zh-CN"/>
          </w:rPr>
          <w:t>136 (المراجَع في بوخارست، 2022)</w:t>
        </w:r>
      </w:hyperlink>
      <w:r w:rsidR="0033064B" w:rsidRPr="0033064B">
        <w:rPr>
          <w:spacing w:val="-2"/>
          <w:rtl/>
        </w:rPr>
        <w:t xml:space="preserve"> لمؤتمر المندوبين المفوضين، وغيرهما من القرارات الأخرى الصادرة عن المؤتمر العالمي للاتصالات الراديوية، بالبنية التحتية للاتصالات باعتبارها عنصراً حاسماً في المساعدة الإنسانية يستلزم الحماية القانونية والتيسير.</w:t>
      </w:r>
      <w:hyperlink r:id="rId24"/>
      <w:hyperlink r:id="rId25"/>
      <w:hyperlink r:id="rId26"/>
    </w:p>
    <w:p w14:paraId="6278C57A" w14:textId="7A740F8A" w:rsidR="0033064B" w:rsidRPr="0033064B" w:rsidRDefault="0033064B" w:rsidP="00ED2F9F">
      <w:pPr>
        <w:pStyle w:val="Heading1"/>
      </w:pPr>
      <w:r w:rsidRPr="0033064B">
        <w:rPr>
          <w:rtl/>
        </w:rPr>
        <w:lastRenderedPageBreak/>
        <w:t>3</w:t>
      </w:r>
      <w:r w:rsidRPr="0033064B">
        <w:rPr>
          <w:rtl/>
        </w:rPr>
        <w:tab/>
        <w:t>الخطوات التالية</w:t>
      </w:r>
    </w:p>
    <w:p w14:paraId="4E3CD57A" w14:textId="11224A93" w:rsidR="0033064B" w:rsidRPr="0033064B" w:rsidRDefault="00ED2F9F" w:rsidP="0033064B">
      <w:pPr>
        <w:rPr>
          <w:spacing w:val="-2"/>
        </w:rPr>
      </w:pPr>
      <w:r w:rsidRPr="006B08D7">
        <w:rPr>
          <w:spacing w:val="-2"/>
        </w:rPr>
        <w:t>1.3</w:t>
      </w:r>
      <w:r w:rsidR="0033064B" w:rsidRPr="0033064B">
        <w:rPr>
          <w:spacing w:val="-2"/>
          <w:rtl/>
        </w:rPr>
        <w:tab/>
        <w:t xml:space="preserve">يكلِّف </w:t>
      </w:r>
      <w:hyperlink r:id="rId27" w:anchor="page=483" w:history="1">
        <w:r w:rsidR="0033064B" w:rsidRPr="0033064B">
          <w:rPr>
            <w:rStyle w:val="Hyperlink"/>
            <w:noProof w:val="0"/>
            <w:spacing w:val="-2"/>
            <w:rtl/>
            <w:lang w:val="en-US" w:eastAsia="zh-CN"/>
          </w:rPr>
          <w:t>بيان المؤتمر العالمي لتنمية الاتصالات</w:t>
        </w:r>
      </w:hyperlink>
      <w:r w:rsidR="0033064B" w:rsidRPr="0033064B">
        <w:rPr>
          <w:spacing w:val="-2"/>
          <w:rtl/>
        </w:rPr>
        <w:t xml:space="preserve"> الأمينةَ العامة بأن تضطلع، بالتشاور مع الدول الأعضاء وأصحاب المصلحة المعنيين بتنفيذ عدد من الإجراءات الرامية إلى تعزيز خدمات الاتصالات في حالات الطوارئ من أجل تقديم الإغاثة الإنسانية بالغة الأهمية لإنقاذ الأرواح والحفاظ على السلامة العامة، وتعزيز استمرارية شبكات وخدمات الاتصالات العامة في</w:t>
      </w:r>
      <w:r w:rsidR="006B08D7">
        <w:rPr>
          <w:rFonts w:hint="cs"/>
          <w:spacing w:val="-2"/>
          <w:rtl/>
        </w:rPr>
        <w:t> </w:t>
      </w:r>
      <w:r w:rsidR="0033064B" w:rsidRPr="0033064B">
        <w:rPr>
          <w:spacing w:val="-2"/>
          <w:rtl/>
        </w:rPr>
        <w:t>أثناء النزاعات المسلحة أو الكوارث. وتعمل الأمينة العامة على وضع خطة استراتيجية لضمان تنفيذ هذه الإجراءات.</w:t>
      </w:r>
      <w:hyperlink r:id="rId28" w:anchor="page=483"/>
    </w:p>
    <w:p w14:paraId="0ED68257" w14:textId="7C28F1F9" w:rsidR="0033064B" w:rsidRPr="0033064B" w:rsidRDefault="00ED2F9F" w:rsidP="0033064B">
      <w:pPr>
        <w:rPr>
          <w:spacing w:val="-2"/>
        </w:rPr>
      </w:pPr>
      <w:r w:rsidRPr="006B08D7">
        <w:rPr>
          <w:spacing w:val="-2"/>
        </w:rPr>
        <w:t>2.3</w:t>
      </w:r>
      <w:r w:rsidR="0033064B" w:rsidRPr="0033064B">
        <w:rPr>
          <w:spacing w:val="-2"/>
          <w:rtl/>
        </w:rPr>
        <w:tab/>
        <w:t>وبالإضافة إلى ذلك، يلتمس بيان المؤتمر العالمي لتنمية الاتصالات إلى الأمينة العامة تحديد أي احتياجات إضافية محتملة لأمانة الاتحاد من الميزانية لدعم الجهود الرامية إلى تعزيز الحاجة للحصول على الدعم من هيئات الأمم المتحدة لحماية شبكات وخدمات الاتصالات العامة في أوقات النزاعات المسلحة والكوارث. وفي هذه المرحلة الأولية، تبينت الحاجة إلى موظف تنسيق مخصص. ‏وتُدعى الدول الأعضاء إلى دعم هذه الحاجة من خلال التمويل الطوعي أو القروض الخاصة بالموظفين أو الإعارة.‎</w:t>
      </w:r>
    </w:p>
    <w:p w14:paraId="3BBB6F41"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9"/>
      <w:headerReference w:type="first" r:id="rId30"/>
      <w:footerReference w:type="first" r:id="rId3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6AC3" w14:textId="77777777" w:rsidR="008912C4" w:rsidRDefault="008912C4" w:rsidP="006C3242">
      <w:pPr>
        <w:spacing w:before="0" w:line="240" w:lineRule="auto"/>
      </w:pPr>
      <w:r>
        <w:separator/>
      </w:r>
    </w:p>
  </w:endnote>
  <w:endnote w:type="continuationSeparator" w:id="0">
    <w:p w14:paraId="7B0B212D" w14:textId="77777777" w:rsidR="008912C4" w:rsidRDefault="008912C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128855D" w14:textId="77777777" w:rsidTr="00A67F05">
      <w:trPr>
        <w:jc w:val="center"/>
      </w:trPr>
      <w:tc>
        <w:tcPr>
          <w:tcW w:w="868" w:type="pct"/>
          <w:vAlign w:val="center"/>
        </w:tcPr>
        <w:p w14:paraId="609C456F" w14:textId="1D4FF459" w:rsidR="00F50E3F" w:rsidRPr="007B0AA0" w:rsidRDefault="00C715E3"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2600736</w:t>
          </w:r>
        </w:p>
      </w:tc>
      <w:tc>
        <w:tcPr>
          <w:tcW w:w="3912" w:type="pct"/>
        </w:tcPr>
        <w:p w14:paraId="6620A2BE" w14:textId="00DCF535"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715E3">
            <w:rPr>
              <w:rFonts w:ascii="Calibri" w:hAnsi="Calibri" w:cs="Arial"/>
              <w:bCs/>
              <w:color w:val="7F7F7F"/>
              <w:sz w:val="18"/>
            </w:rPr>
            <w:t>64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D1030B0"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A9107D1"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6B030D6" w14:textId="77777777" w:rsidTr="00A67F05">
      <w:trPr>
        <w:jc w:val="center"/>
      </w:trPr>
      <w:tc>
        <w:tcPr>
          <w:tcW w:w="1013" w:type="pct"/>
          <w:vAlign w:val="center"/>
        </w:tcPr>
        <w:p w14:paraId="06CE41B5"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31BB819D" w14:textId="614D8512"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715E3">
            <w:rPr>
              <w:rFonts w:ascii="Calibri" w:hAnsi="Calibri" w:cs="Arial"/>
              <w:bCs/>
              <w:color w:val="7F7F7F"/>
              <w:sz w:val="18"/>
            </w:rPr>
            <w:t>64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1683B1B"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04E33CD"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9F15" w14:textId="77777777" w:rsidR="008912C4" w:rsidRDefault="008912C4" w:rsidP="006C3242">
      <w:pPr>
        <w:spacing w:before="0" w:line="240" w:lineRule="auto"/>
      </w:pPr>
      <w:r>
        <w:separator/>
      </w:r>
    </w:p>
  </w:footnote>
  <w:footnote w:type="continuationSeparator" w:id="0">
    <w:p w14:paraId="2F686FAC" w14:textId="77777777" w:rsidR="008912C4" w:rsidRDefault="008912C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C1F1" w14:textId="77777777" w:rsidR="001A3E13" w:rsidRPr="00057769" w:rsidRDefault="001A3E13" w:rsidP="001A3E13">
    <w:pPr>
      <w:pStyle w:val="Header"/>
    </w:pPr>
    <w:r>
      <w:rPr>
        <w:noProof/>
      </w:rPr>
      <w:drawing>
        <wp:inline distT="0" distB="0" distL="0" distR="0" wp14:anchorId="4EFE9E68" wp14:editId="190FDBEB">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72"/>
    <w:rsid w:val="000116AF"/>
    <w:rsid w:val="0006468A"/>
    <w:rsid w:val="0007738A"/>
    <w:rsid w:val="00077A58"/>
    <w:rsid w:val="00090574"/>
    <w:rsid w:val="000C1C0E"/>
    <w:rsid w:val="000C548A"/>
    <w:rsid w:val="0016579B"/>
    <w:rsid w:val="00166E8B"/>
    <w:rsid w:val="00191059"/>
    <w:rsid w:val="001A3E13"/>
    <w:rsid w:val="001A566B"/>
    <w:rsid w:val="001B0079"/>
    <w:rsid w:val="001B43F6"/>
    <w:rsid w:val="001B6E2B"/>
    <w:rsid w:val="001C0169"/>
    <w:rsid w:val="001C0C21"/>
    <w:rsid w:val="001D1D50"/>
    <w:rsid w:val="001D64C7"/>
    <w:rsid w:val="001D6745"/>
    <w:rsid w:val="001E446E"/>
    <w:rsid w:val="002154EE"/>
    <w:rsid w:val="002276D2"/>
    <w:rsid w:val="00230C7C"/>
    <w:rsid w:val="0023283D"/>
    <w:rsid w:val="00254393"/>
    <w:rsid w:val="0026373E"/>
    <w:rsid w:val="00271C43"/>
    <w:rsid w:val="00290728"/>
    <w:rsid w:val="002978F4"/>
    <w:rsid w:val="002B028D"/>
    <w:rsid w:val="002C3F32"/>
    <w:rsid w:val="002E6541"/>
    <w:rsid w:val="0033064B"/>
    <w:rsid w:val="00334924"/>
    <w:rsid w:val="00335685"/>
    <w:rsid w:val="003409BC"/>
    <w:rsid w:val="00357185"/>
    <w:rsid w:val="00383829"/>
    <w:rsid w:val="003D3252"/>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152A8"/>
    <w:rsid w:val="00525DDD"/>
    <w:rsid w:val="005409AC"/>
    <w:rsid w:val="005434E0"/>
    <w:rsid w:val="005546CF"/>
    <w:rsid w:val="0055516A"/>
    <w:rsid w:val="0058491B"/>
    <w:rsid w:val="00592EA5"/>
    <w:rsid w:val="005A3170"/>
    <w:rsid w:val="005E25F1"/>
    <w:rsid w:val="00657019"/>
    <w:rsid w:val="00660DEA"/>
    <w:rsid w:val="00677396"/>
    <w:rsid w:val="00683F16"/>
    <w:rsid w:val="0069200F"/>
    <w:rsid w:val="006A65CB"/>
    <w:rsid w:val="006B08D7"/>
    <w:rsid w:val="006B12E5"/>
    <w:rsid w:val="006C3242"/>
    <w:rsid w:val="006C7CC0"/>
    <w:rsid w:val="006F363C"/>
    <w:rsid w:val="006F63F7"/>
    <w:rsid w:val="006F6C53"/>
    <w:rsid w:val="007025C7"/>
    <w:rsid w:val="0070620B"/>
    <w:rsid w:val="00706D7A"/>
    <w:rsid w:val="00722F0D"/>
    <w:rsid w:val="00735081"/>
    <w:rsid w:val="0074420E"/>
    <w:rsid w:val="007648A6"/>
    <w:rsid w:val="0077110E"/>
    <w:rsid w:val="00783E26"/>
    <w:rsid w:val="00793408"/>
    <w:rsid w:val="007A6684"/>
    <w:rsid w:val="007B0AA0"/>
    <w:rsid w:val="007C3BC7"/>
    <w:rsid w:val="007C3BCD"/>
    <w:rsid w:val="007D4272"/>
    <w:rsid w:val="007D4ACF"/>
    <w:rsid w:val="007F0787"/>
    <w:rsid w:val="00802BE1"/>
    <w:rsid w:val="00810B7B"/>
    <w:rsid w:val="0082358A"/>
    <w:rsid w:val="008235CD"/>
    <w:rsid w:val="008247DE"/>
    <w:rsid w:val="008339C0"/>
    <w:rsid w:val="00840B10"/>
    <w:rsid w:val="008513CB"/>
    <w:rsid w:val="00874E9F"/>
    <w:rsid w:val="00876E99"/>
    <w:rsid w:val="008912C4"/>
    <w:rsid w:val="008A7F84"/>
    <w:rsid w:val="008B03B8"/>
    <w:rsid w:val="0091702E"/>
    <w:rsid w:val="0092336B"/>
    <w:rsid w:val="00923B0C"/>
    <w:rsid w:val="00924F46"/>
    <w:rsid w:val="00935AAC"/>
    <w:rsid w:val="0093725D"/>
    <w:rsid w:val="0094021C"/>
    <w:rsid w:val="009463E6"/>
    <w:rsid w:val="00952F86"/>
    <w:rsid w:val="0096716C"/>
    <w:rsid w:val="00982B28"/>
    <w:rsid w:val="009868AC"/>
    <w:rsid w:val="00993532"/>
    <w:rsid w:val="009D313F"/>
    <w:rsid w:val="00A00D46"/>
    <w:rsid w:val="00A47A5A"/>
    <w:rsid w:val="00A63AE6"/>
    <w:rsid w:val="00A6683B"/>
    <w:rsid w:val="00A67F05"/>
    <w:rsid w:val="00A91E04"/>
    <w:rsid w:val="00A97F94"/>
    <w:rsid w:val="00AA7EA2"/>
    <w:rsid w:val="00AB5A56"/>
    <w:rsid w:val="00AC73C9"/>
    <w:rsid w:val="00AE73D7"/>
    <w:rsid w:val="00B03099"/>
    <w:rsid w:val="00B05BC8"/>
    <w:rsid w:val="00B30F5E"/>
    <w:rsid w:val="00B64B47"/>
    <w:rsid w:val="00B95654"/>
    <w:rsid w:val="00B97F32"/>
    <w:rsid w:val="00BA04B2"/>
    <w:rsid w:val="00BB14DD"/>
    <w:rsid w:val="00C002DE"/>
    <w:rsid w:val="00C0602B"/>
    <w:rsid w:val="00C224DA"/>
    <w:rsid w:val="00C45566"/>
    <w:rsid w:val="00C502C1"/>
    <w:rsid w:val="00C53BF8"/>
    <w:rsid w:val="00C66157"/>
    <w:rsid w:val="00C674FE"/>
    <w:rsid w:val="00C67501"/>
    <w:rsid w:val="00C715E3"/>
    <w:rsid w:val="00C75633"/>
    <w:rsid w:val="00C83ED9"/>
    <w:rsid w:val="00C8578F"/>
    <w:rsid w:val="00CE2EE1"/>
    <w:rsid w:val="00CE3349"/>
    <w:rsid w:val="00CE36E5"/>
    <w:rsid w:val="00CE4360"/>
    <w:rsid w:val="00CE6C5D"/>
    <w:rsid w:val="00CF27F5"/>
    <w:rsid w:val="00CF3FFD"/>
    <w:rsid w:val="00D10CCF"/>
    <w:rsid w:val="00D13941"/>
    <w:rsid w:val="00D23F5F"/>
    <w:rsid w:val="00D43F7D"/>
    <w:rsid w:val="00D63735"/>
    <w:rsid w:val="00D77D0F"/>
    <w:rsid w:val="00D94539"/>
    <w:rsid w:val="00DA1CF0"/>
    <w:rsid w:val="00DA6A30"/>
    <w:rsid w:val="00DC1E02"/>
    <w:rsid w:val="00DC24B4"/>
    <w:rsid w:val="00DC5FB0"/>
    <w:rsid w:val="00DF16DC"/>
    <w:rsid w:val="00E45211"/>
    <w:rsid w:val="00E473C5"/>
    <w:rsid w:val="00E61BE8"/>
    <w:rsid w:val="00E83FF1"/>
    <w:rsid w:val="00E92863"/>
    <w:rsid w:val="00E979B2"/>
    <w:rsid w:val="00EA61D8"/>
    <w:rsid w:val="00EB796D"/>
    <w:rsid w:val="00ED2F9F"/>
    <w:rsid w:val="00F058DC"/>
    <w:rsid w:val="00F24FC4"/>
    <w:rsid w:val="00F2676C"/>
    <w:rsid w:val="00F363FE"/>
    <w:rsid w:val="00F50E3F"/>
    <w:rsid w:val="00F84366"/>
    <w:rsid w:val="00F85089"/>
    <w:rsid w:val="00F974C5"/>
    <w:rsid w:val="00FA3763"/>
    <w:rsid w:val="00FA6F46"/>
    <w:rsid w:val="00FC0E94"/>
    <w:rsid w:val="00FC1EAA"/>
    <w:rsid w:val="00FC4592"/>
    <w:rsid w:val="00FD527F"/>
    <w:rsid w:val="00FE5872"/>
    <w:rsid w:val="00FE7FCA"/>
    <w:rsid w:val="00FF16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56887"/>
  <w15:chartTrackingRefBased/>
  <w15:docId w15:val="{F330EF8D-27CF-4650-AC3B-2554977E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EA61D8"/>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D/Emergency-Telecommunications/Pages/Early-Warnings-for-All-Initiative.aspx" TargetMode="External"/><Relationship Id="rId18" Type="http://schemas.openxmlformats.org/officeDocument/2006/relationships/hyperlink" Target="https://www.itu.int/en/ITU-D/Emergency-Telecommunications/Pages/NETPs.aspx" TargetMode="External"/><Relationship Id="rId26" Type="http://schemas.openxmlformats.org/officeDocument/2006/relationships/hyperlink" Target="https://www.itu.int/en/council/Documents/basic-texts-2023/RES-136-E.pdf" TargetMode="External"/><Relationship Id="rId3" Type="http://schemas.openxmlformats.org/officeDocument/2006/relationships/styles" Target="styles.xml"/><Relationship Id="rId21" Type="http://schemas.openxmlformats.org/officeDocument/2006/relationships/hyperlink" Target="https://www.itu.int/en/ITU-D/Emergency-Telecommunications/Pages/TampereConvention.aspx" TargetMode="External"/><Relationship Id="rId7" Type="http://schemas.openxmlformats.org/officeDocument/2006/relationships/endnotes" Target="endnotes.xml"/><Relationship Id="rId12" Type="http://schemas.openxmlformats.org/officeDocument/2006/relationships/hyperlink" Target="https://www.itu.int/itu-d/meetings/wtdc25/wp-content/uploads/sites/29/2025/11/090-E.pdf" TargetMode="External"/><Relationship Id="rId17" Type="http://schemas.openxmlformats.org/officeDocument/2006/relationships/hyperlink" Target="https://www.itu.int/en/ITU-D/Emergency-Telecommunications/Pages/NETPs.aspx" TargetMode="External"/><Relationship Id="rId25" Type="http://schemas.openxmlformats.org/officeDocument/2006/relationships/hyperlink" Target="https://www.itu.int/en/council/Documents/basic-texts-2023/RES-098-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cluster.org/" TargetMode="External"/><Relationship Id="rId20" Type="http://schemas.openxmlformats.org/officeDocument/2006/relationships/hyperlink" Target="https://interagencystandingcommitte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d/meetings/wtdc25/wp-content/uploads/sites/29/2025/11/090-E.pdf" TargetMode="External"/><Relationship Id="rId24" Type="http://schemas.openxmlformats.org/officeDocument/2006/relationships/hyperlink" Target="https://www.itu.int/en/ITU-D/Emergency-Telecommunications/Pages/TampereConvention.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cluster.org/" TargetMode="External"/><Relationship Id="rId23" Type="http://schemas.openxmlformats.org/officeDocument/2006/relationships/hyperlink" Target="https://www.itu.int/en/council/Documents/basic-texts-2023/RES-136-A.pdf" TargetMode="External"/><Relationship Id="rId28" Type="http://schemas.openxmlformats.org/officeDocument/2006/relationships/hyperlink" Target="https://www.itu.int/itu-d/meetings/wtdc25/wp-content/uploads/sites/29/2025/11/090-E.pdf" TargetMode="External"/><Relationship Id="rId10" Type="http://schemas.openxmlformats.org/officeDocument/2006/relationships/hyperlink" Target="https://www.itu.int/en/council/Documents/basic-texts-2023/RES-136-A.pdf" TargetMode="External"/><Relationship Id="rId19" Type="http://schemas.openxmlformats.org/officeDocument/2006/relationships/hyperlink" Target="https://interagencystandingcommittee.or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2023/RES-098-A.pdf" TargetMode="External"/><Relationship Id="rId14" Type="http://schemas.openxmlformats.org/officeDocument/2006/relationships/hyperlink" Target="https://www.itu.int/en/ITU-D/Emergency-Telecommunications/Pages/Early-Warnings-for-All-Initiative.aspx" TargetMode="External"/><Relationship Id="rId22" Type="http://schemas.openxmlformats.org/officeDocument/2006/relationships/hyperlink" Target="https://www.itu.int/en/council/Documents/basic-texts-2023/RES-098-A.pdf" TargetMode="External"/><Relationship Id="rId27" Type="http://schemas.openxmlformats.org/officeDocument/2006/relationships/hyperlink" Target="https://www.itu.int/itu-d/meetings/wtdc25/wp-content/uploads/sites/29/2025/11/090-E.pdf" TargetMode="External"/><Relationship Id="rId30" Type="http://schemas.openxmlformats.org/officeDocument/2006/relationships/header" Target="header1.xml"/><Relationship Id="rId8" Type="http://schemas.openxmlformats.org/officeDocument/2006/relationships/hyperlink" Target="https://www.itu.int/itu-d/meetings/wtdc25/wp-content/uploads/sites/29/2025/11/090-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3</Pages>
  <Words>819</Words>
  <Characters>4810</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Efforts to safeguard humanitarian telecommunications in conflicts and disasters</dc:title>
  <dc:subject>ITU Council 2026</dc:subject>
  <cp:keywords>C26; C2026; Council 2026; PP26</cp:keywords>
  <dc:description/>
  <dcterms:created xsi:type="dcterms:W3CDTF">2026-04-28T16:51:00Z</dcterms:created>
  <dcterms:modified xsi:type="dcterms:W3CDTF">2026-04-28T16:51:00Z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