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D95798" w14:paraId="660F636D" w14:textId="77777777" w:rsidTr="00C4421B">
        <w:trPr>
          <w:cantSplit/>
          <w:trHeight w:val="23"/>
        </w:trPr>
        <w:tc>
          <w:tcPr>
            <w:tcW w:w="3969" w:type="dxa"/>
            <w:vMerge w:val="restart"/>
            <w:tcMar>
              <w:left w:w="0" w:type="dxa"/>
            </w:tcMar>
          </w:tcPr>
          <w:p w14:paraId="5922BCCF" w14:textId="6DDB6C6B" w:rsidR="00FE57F6" w:rsidRPr="00D95798" w:rsidRDefault="00CC1FAF" w:rsidP="00C4421B">
            <w:pPr>
              <w:tabs>
                <w:tab w:val="left" w:pos="851"/>
              </w:tabs>
              <w:spacing w:before="0" w:line="240" w:lineRule="atLeast"/>
              <w:rPr>
                <w:b/>
                <w:lang w:val="es-ES"/>
              </w:rPr>
            </w:pPr>
            <w:bookmarkStart w:id="0" w:name="_Hlk133421839"/>
            <w:r w:rsidRPr="00D95798">
              <w:rPr>
                <w:b/>
                <w:lang w:val="es-ES"/>
              </w:rPr>
              <w:t>Punto del o</w:t>
            </w:r>
            <w:r w:rsidR="00BB6FD8" w:rsidRPr="00D95798">
              <w:rPr>
                <w:b/>
                <w:lang w:val="es-ES"/>
              </w:rPr>
              <w:t>rden del día</w:t>
            </w:r>
            <w:r w:rsidR="00FE57F6" w:rsidRPr="00D95798">
              <w:rPr>
                <w:b/>
                <w:lang w:val="es-ES"/>
              </w:rPr>
              <w:t xml:space="preserve">: </w:t>
            </w:r>
            <w:r w:rsidR="004C4A8B" w:rsidRPr="00D95798">
              <w:rPr>
                <w:b/>
                <w:lang w:val="es-ES"/>
              </w:rPr>
              <w:t>ADM 3</w:t>
            </w:r>
          </w:p>
        </w:tc>
        <w:tc>
          <w:tcPr>
            <w:tcW w:w="5245" w:type="dxa"/>
          </w:tcPr>
          <w:p w14:paraId="24B2450A" w14:textId="15BDBB5D" w:rsidR="00FE57F6" w:rsidRPr="00D95798" w:rsidRDefault="00FE57F6" w:rsidP="00C4421B">
            <w:pPr>
              <w:tabs>
                <w:tab w:val="left" w:pos="851"/>
              </w:tabs>
              <w:spacing w:before="0" w:line="240" w:lineRule="atLeast"/>
              <w:jc w:val="right"/>
              <w:rPr>
                <w:b/>
                <w:lang w:val="es-ES"/>
              </w:rPr>
            </w:pPr>
            <w:r w:rsidRPr="00D95798">
              <w:rPr>
                <w:b/>
                <w:lang w:val="es-ES"/>
              </w:rPr>
              <w:t>Document</w:t>
            </w:r>
            <w:r w:rsidR="00F24B71" w:rsidRPr="00D95798">
              <w:rPr>
                <w:b/>
                <w:lang w:val="es-ES"/>
              </w:rPr>
              <w:t>o</w:t>
            </w:r>
            <w:r w:rsidRPr="00D95798">
              <w:rPr>
                <w:b/>
                <w:lang w:val="es-ES"/>
              </w:rPr>
              <w:t xml:space="preserve"> </w:t>
            </w:r>
            <w:proofErr w:type="spellStart"/>
            <w:r w:rsidRPr="00D95798">
              <w:rPr>
                <w:b/>
                <w:lang w:val="es-ES"/>
              </w:rPr>
              <w:t>C2</w:t>
            </w:r>
            <w:r w:rsidR="00F85E5C" w:rsidRPr="00D95798">
              <w:rPr>
                <w:b/>
                <w:lang w:val="es-ES"/>
              </w:rPr>
              <w:t>6</w:t>
            </w:r>
            <w:proofErr w:type="spellEnd"/>
            <w:r w:rsidRPr="00D95798">
              <w:rPr>
                <w:b/>
                <w:lang w:val="es-ES"/>
              </w:rPr>
              <w:t>/</w:t>
            </w:r>
            <w:r w:rsidR="004C4A8B" w:rsidRPr="00D95798">
              <w:rPr>
                <w:b/>
                <w:lang w:val="es-ES"/>
              </w:rPr>
              <w:t>62</w:t>
            </w:r>
            <w:r w:rsidRPr="00D95798">
              <w:rPr>
                <w:b/>
                <w:lang w:val="es-ES"/>
              </w:rPr>
              <w:t>-</w:t>
            </w:r>
            <w:r w:rsidR="00F24B71" w:rsidRPr="00D95798">
              <w:rPr>
                <w:b/>
                <w:lang w:val="es-ES"/>
              </w:rPr>
              <w:t>S</w:t>
            </w:r>
          </w:p>
        </w:tc>
      </w:tr>
      <w:tr w:rsidR="00FE57F6" w:rsidRPr="00D95798" w14:paraId="175E64FB" w14:textId="77777777" w:rsidTr="00C4421B">
        <w:trPr>
          <w:cantSplit/>
        </w:trPr>
        <w:tc>
          <w:tcPr>
            <w:tcW w:w="3969" w:type="dxa"/>
            <w:vMerge/>
          </w:tcPr>
          <w:p w14:paraId="776641C8" w14:textId="77777777" w:rsidR="00FE57F6" w:rsidRPr="00D95798" w:rsidRDefault="00FE57F6" w:rsidP="00C4421B">
            <w:pPr>
              <w:tabs>
                <w:tab w:val="left" w:pos="851"/>
              </w:tabs>
              <w:spacing w:line="240" w:lineRule="atLeast"/>
              <w:rPr>
                <w:b/>
                <w:lang w:val="es-ES"/>
              </w:rPr>
            </w:pPr>
          </w:p>
        </w:tc>
        <w:tc>
          <w:tcPr>
            <w:tcW w:w="5245" w:type="dxa"/>
          </w:tcPr>
          <w:p w14:paraId="28F69928" w14:textId="4661D0D4" w:rsidR="00FE57F6" w:rsidRPr="00D95798" w:rsidRDefault="004C4A8B" w:rsidP="00C4421B">
            <w:pPr>
              <w:tabs>
                <w:tab w:val="left" w:pos="851"/>
              </w:tabs>
              <w:spacing w:before="0"/>
              <w:jc w:val="right"/>
              <w:rPr>
                <w:b/>
                <w:lang w:val="es-ES"/>
              </w:rPr>
            </w:pPr>
            <w:r w:rsidRPr="00D95798">
              <w:rPr>
                <w:b/>
                <w:lang w:val="es-ES"/>
              </w:rPr>
              <w:t>30 de marzo de 2026</w:t>
            </w:r>
          </w:p>
        </w:tc>
      </w:tr>
      <w:tr w:rsidR="00FE57F6" w:rsidRPr="00D95798" w14:paraId="38617FBF" w14:textId="77777777" w:rsidTr="00C4421B">
        <w:trPr>
          <w:cantSplit/>
          <w:trHeight w:val="23"/>
        </w:trPr>
        <w:tc>
          <w:tcPr>
            <w:tcW w:w="3969" w:type="dxa"/>
            <w:vMerge/>
          </w:tcPr>
          <w:p w14:paraId="1B54B5AC" w14:textId="77777777" w:rsidR="00FE57F6" w:rsidRPr="00D95798" w:rsidRDefault="00FE57F6" w:rsidP="00C4421B">
            <w:pPr>
              <w:tabs>
                <w:tab w:val="left" w:pos="851"/>
              </w:tabs>
              <w:spacing w:line="240" w:lineRule="atLeast"/>
              <w:rPr>
                <w:b/>
                <w:lang w:val="es-ES"/>
              </w:rPr>
            </w:pPr>
          </w:p>
        </w:tc>
        <w:tc>
          <w:tcPr>
            <w:tcW w:w="5245" w:type="dxa"/>
          </w:tcPr>
          <w:p w14:paraId="1BCA3BB6" w14:textId="77777777" w:rsidR="00FE57F6" w:rsidRPr="00D95798" w:rsidRDefault="00F24B71" w:rsidP="00C4421B">
            <w:pPr>
              <w:tabs>
                <w:tab w:val="left" w:pos="851"/>
              </w:tabs>
              <w:spacing w:before="0" w:line="240" w:lineRule="atLeast"/>
              <w:jc w:val="right"/>
              <w:rPr>
                <w:b/>
                <w:bCs/>
                <w:lang w:val="es-ES"/>
              </w:rPr>
            </w:pPr>
            <w:r w:rsidRPr="00D95798">
              <w:rPr>
                <w:rFonts w:cstheme="minorHAnsi"/>
                <w:b/>
                <w:bCs/>
                <w:lang w:val="es-ES"/>
              </w:rPr>
              <w:t>Original: inglés</w:t>
            </w:r>
          </w:p>
        </w:tc>
      </w:tr>
      <w:tr w:rsidR="00FE57F6" w:rsidRPr="00D95798" w14:paraId="5A2FD539" w14:textId="77777777" w:rsidTr="00C4421B">
        <w:trPr>
          <w:cantSplit/>
          <w:trHeight w:val="23"/>
        </w:trPr>
        <w:tc>
          <w:tcPr>
            <w:tcW w:w="3969" w:type="dxa"/>
          </w:tcPr>
          <w:p w14:paraId="0F6E98EF" w14:textId="77777777" w:rsidR="00FE57F6" w:rsidRPr="00D95798" w:rsidRDefault="00FE57F6" w:rsidP="00C4421B">
            <w:pPr>
              <w:tabs>
                <w:tab w:val="left" w:pos="851"/>
              </w:tabs>
              <w:spacing w:line="240" w:lineRule="atLeast"/>
              <w:rPr>
                <w:b/>
                <w:lang w:val="es-ES"/>
              </w:rPr>
            </w:pPr>
          </w:p>
        </w:tc>
        <w:tc>
          <w:tcPr>
            <w:tcW w:w="5245" w:type="dxa"/>
          </w:tcPr>
          <w:p w14:paraId="20EDB46F" w14:textId="77777777" w:rsidR="00FE57F6" w:rsidRPr="00D95798" w:rsidRDefault="00FE57F6" w:rsidP="00C4421B">
            <w:pPr>
              <w:tabs>
                <w:tab w:val="left" w:pos="851"/>
              </w:tabs>
              <w:spacing w:before="0" w:line="240" w:lineRule="atLeast"/>
              <w:jc w:val="right"/>
              <w:rPr>
                <w:b/>
                <w:lang w:val="es-ES"/>
              </w:rPr>
            </w:pPr>
          </w:p>
        </w:tc>
      </w:tr>
      <w:tr w:rsidR="00FE57F6" w:rsidRPr="00E65CD4" w14:paraId="2B182BD1" w14:textId="77777777" w:rsidTr="00C4421B">
        <w:trPr>
          <w:cantSplit/>
        </w:trPr>
        <w:tc>
          <w:tcPr>
            <w:tcW w:w="9214" w:type="dxa"/>
            <w:gridSpan w:val="2"/>
            <w:tcMar>
              <w:left w:w="0" w:type="dxa"/>
            </w:tcMar>
          </w:tcPr>
          <w:p w14:paraId="7813CFCF" w14:textId="77777777" w:rsidR="00FE57F6" w:rsidRPr="001C499D" w:rsidRDefault="00157AC4" w:rsidP="001C499D">
            <w:pPr>
              <w:pStyle w:val="Source"/>
              <w:framePr w:hSpace="0" w:wrap="auto" w:vAnchor="margin" w:hAnchor="text" w:xAlign="left" w:yAlign="inline"/>
            </w:pPr>
            <w:r w:rsidRPr="001C499D">
              <w:t>Informe de la Secretaria General</w:t>
            </w:r>
          </w:p>
        </w:tc>
      </w:tr>
      <w:tr w:rsidR="00FE57F6" w:rsidRPr="00E65CD4" w14:paraId="472342FC" w14:textId="77777777" w:rsidTr="00C4421B">
        <w:trPr>
          <w:cantSplit/>
        </w:trPr>
        <w:tc>
          <w:tcPr>
            <w:tcW w:w="9214" w:type="dxa"/>
            <w:gridSpan w:val="2"/>
            <w:tcMar>
              <w:left w:w="0" w:type="dxa"/>
            </w:tcMar>
          </w:tcPr>
          <w:p w14:paraId="5955AEE4" w14:textId="47BDA1C0" w:rsidR="00FE57F6" w:rsidRPr="00D95798" w:rsidRDefault="00FF69A0" w:rsidP="00C4421B">
            <w:pPr>
              <w:pStyle w:val="Subtitle"/>
              <w:framePr w:hSpace="0" w:wrap="auto" w:hAnchor="text" w:xAlign="left" w:yAlign="inline"/>
              <w:rPr>
                <w:lang w:val="es-ES"/>
              </w:rPr>
            </w:pPr>
            <w:r w:rsidRPr="00D95798">
              <w:rPr>
                <w:lang w:val="es-ES"/>
              </w:rPr>
              <w:t xml:space="preserve">FORTALECIMIENTO DE LOS CIMIENTOS DIGITALES DE LA UIT PARA LA TRANSFORMACIÓN – ESTRATEGIA, ARQUITECTURA INSTITUCIONAL, GOBERNANZA DE TIC Y </w:t>
            </w:r>
            <w:r w:rsidR="008B5271">
              <w:rPr>
                <w:lang w:val="es-ES"/>
              </w:rPr>
              <w:br/>
            </w:r>
            <w:r w:rsidRPr="00D95798">
              <w:rPr>
                <w:lang w:val="es-ES"/>
              </w:rPr>
              <w:t>MODELO</w:t>
            </w:r>
            <w:r>
              <w:rPr>
                <w:lang w:val="es-ES"/>
              </w:rPr>
              <w:t xml:space="preserve"> </w:t>
            </w:r>
            <w:r w:rsidRPr="00D95798">
              <w:rPr>
                <w:lang w:val="es-ES"/>
              </w:rPr>
              <w:t>OPERATIVO DE TI</w:t>
            </w:r>
          </w:p>
        </w:tc>
      </w:tr>
      <w:tr w:rsidR="00FE57F6" w:rsidRPr="001C499D" w14:paraId="49F18F37" w14:textId="77777777" w:rsidTr="00C4421B">
        <w:trPr>
          <w:cantSplit/>
        </w:trPr>
        <w:tc>
          <w:tcPr>
            <w:tcW w:w="9214" w:type="dxa"/>
            <w:gridSpan w:val="2"/>
            <w:tcBorders>
              <w:top w:val="single" w:sz="4" w:space="0" w:color="auto"/>
              <w:bottom w:val="single" w:sz="4" w:space="0" w:color="auto"/>
            </w:tcBorders>
            <w:tcMar>
              <w:left w:w="0" w:type="dxa"/>
            </w:tcMar>
          </w:tcPr>
          <w:p w14:paraId="2ECD9570" w14:textId="77777777" w:rsidR="00FE57F6" w:rsidRPr="00D95798" w:rsidRDefault="00F24B71" w:rsidP="00C4421B">
            <w:pPr>
              <w:spacing w:before="160"/>
              <w:rPr>
                <w:b/>
                <w:bCs/>
                <w:sz w:val="26"/>
                <w:szCs w:val="26"/>
                <w:lang w:val="es-ES"/>
              </w:rPr>
            </w:pPr>
            <w:r w:rsidRPr="00D95798">
              <w:rPr>
                <w:b/>
                <w:bCs/>
                <w:sz w:val="26"/>
                <w:szCs w:val="26"/>
                <w:lang w:val="es-ES"/>
              </w:rPr>
              <w:t>Finalidad</w:t>
            </w:r>
          </w:p>
          <w:p w14:paraId="6158E490" w14:textId="77777777" w:rsidR="001C6114" w:rsidRPr="00D95798" w:rsidRDefault="001C6114" w:rsidP="001C499D">
            <w:pPr>
              <w:jc w:val="both"/>
              <w:rPr>
                <w:lang w:val="es-ES"/>
              </w:rPr>
            </w:pPr>
            <w:r w:rsidRPr="00D95798">
              <w:rPr>
                <w:lang w:val="es-ES"/>
              </w:rPr>
              <w:t xml:space="preserve">Este documento proporciona información actualizada al Consejo sobre los </w:t>
            </w:r>
            <w:r w:rsidRPr="00D95798">
              <w:rPr>
                <w:b/>
                <w:bCs/>
                <w:lang w:val="es-ES"/>
              </w:rPr>
              <w:t>avances realizados en el desarrollo</w:t>
            </w:r>
            <w:r w:rsidRPr="00D95798">
              <w:rPr>
                <w:lang w:val="es-ES"/>
              </w:rPr>
              <w:t xml:space="preserve"> de los cuatro pilares digitales interconectados: la estrategia y el plan digital interno de la UIT para 2026-2027, el proyecto de arquitectura institucional, el marco de gobernanza digital mejorado y el nuevo modelo operativo de </w:t>
            </w:r>
            <w:proofErr w:type="spellStart"/>
            <w:r w:rsidRPr="00D95798">
              <w:rPr>
                <w:lang w:val="es-ES"/>
              </w:rPr>
              <w:t>ISD</w:t>
            </w:r>
            <w:proofErr w:type="spellEnd"/>
            <w:r w:rsidRPr="00D95798">
              <w:rPr>
                <w:lang w:val="es-ES"/>
              </w:rPr>
              <w:t xml:space="preserve">. </w:t>
            </w:r>
          </w:p>
          <w:p w14:paraId="1FEAC600" w14:textId="2A456166" w:rsidR="00FE57F6" w:rsidRPr="00D95798" w:rsidRDefault="001C6114" w:rsidP="001C499D">
            <w:pPr>
              <w:jc w:val="both"/>
              <w:rPr>
                <w:lang w:val="es-ES"/>
              </w:rPr>
            </w:pPr>
            <w:r w:rsidRPr="00D95798">
              <w:rPr>
                <w:lang w:val="es-ES"/>
              </w:rPr>
              <w:t>Estos cuatro elementos fundamentales responden directamente a las orientaciones del Consejo sobre el fortalecimiento de la gobernanza, la transparencia y la obtención del valor de las inversiones en TIC. Están diseñados como un sistema integrado para la transformación digital interna de la UIT.</w:t>
            </w:r>
          </w:p>
          <w:p w14:paraId="0CBABF73" w14:textId="77777777" w:rsidR="00FE57F6" w:rsidRPr="00D95798" w:rsidRDefault="00F24B71" w:rsidP="00C4421B">
            <w:pPr>
              <w:spacing w:before="160"/>
              <w:rPr>
                <w:b/>
                <w:bCs/>
                <w:sz w:val="26"/>
                <w:szCs w:val="26"/>
                <w:lang w:val="es-ES"/>
              </w:rPr>
            </w:pPr>
            <w:r w:rsidRPr="00D95798">
              <w:rPr>
                <w:b/>
                <w:bCs/>
                <w:sz w:val="26"/>
                <w:szCs w:val="26"/>
                <w:lang w:val="es-ES"/>
              </w:rPr>
              <w:t xml:space="preserve">Acción solicitada </w:t>
            </w:r>
            <w:r w:rsidR="00677A97" w:rsidRPr="00D95798">
              <w:rPr>
                <w:b/>
                <w:bCs/>
                <w:sz w:val="26"/>
                <w:szCs w:val="26"/>
                <w:lang w:val="es-ES"/>
              </w:rPr>
              <w:t>al</w:t>
            </w:r>
            <w:r w:rsidRPr="00D95798">
              <w:rPr>
                <w:b/>
                <w:bCs/>
                <w:sz w:val="26"/>
                <w:szCs w:val="26"/>
                <w:lang w:val="es-ES"/>
              </w:rPr>
              <w:t xml:space="preserve"> Consejo</w:t>
            </w:r>
          </w:p>
          <w:p w14:paraId="734F6342" w14:textId="04E0BA13" w:rsidR="00F92BED" w:rsidRPr="00D95798" w:rsidRDefault="001C6114" w:rsidP="001C499D">
            <w:pPr>
              <w:jc w:val="both"/>
              <w:rPr>
                <w:szCs w:val="24"/>
                <w:lang w:val="es-ES"/>
              </w:rPr>
            </w:pPr>
            <w:r w:rsidRPr="00D95798">
              <w:rPr>
                <w:szCs w:val="24"/>
                <w:lang w:val="es-ES"/>
              </w:rPr>
              <w:t xml:space="preserve">Se invita al Consejo a </w:t>
            </w:r>
            <w:r w:rsidRPr="00D95798">
              <w:rPr>
                <w:b/>
                <w:bCs/>
                <w:szCs w:val="24"/>
                <w:lang w:val="es-ES"/>
              </w:rPr>
              <w:t>tomar nota</w:t>
            </w:r>
            <w:r w:rsidRPr="00D95798">
              <w:rPr>
                <w:szCs w:val="24"/>
                <w:lang w:val="es-ES"/>
              </w:rPr>
              <w:t xml:space="preserve"> de los progresos indicados en el presente informe y a </w:t>
            </w:r>
            <w:r w:rsidRPr="00D95798">
              <w:rPr>
                <w:b/>
                <w:bCs/>
                <w:szCs w:val="24"/>
                <w:lang w:val="es-ES"/>
              </w:rPr>
              <w:t>facilitar las orientaciones</w:t>
            </w:r>
            <w:r w:rsidRPr="00D95798">
              <w:rPr>
                <w:szCs w:val="24"/>
                <w:lang w:val="es-ES"/>
              </w:rPr>
              <w:t xml:space="preserve"> que estime oportunas.</w:t>
            </w:r>
          </w:p>
          <w:p w14:paraId="479FDBEE" w14:textId="77777777" w:rsidR="00F92BED" w:rsidRPr="00D95798" w:rsidRDefault="00F92BED" w:rsidP="00C4421B">
            <w:pPr>
              <w:spacing w:before="160"/>
              <w:rPr>
                <w:b/>
                <w:bCs/>
                <w:sz w:val="26"/>
                <w:szCs w:val="26"/>
                <w:lang w:val="es-ES"/>
              </w:rPr>
            </w:pPr>
            <w:r w:rsidRPr="00D95798">
              <w:rPr>
                <w:b/>
                <w:bCs/>
                <w:sz w:val="26"/>
                <w:szCs w:val="26"/>
                <w:lang w:val="es-ES"/>
              </w:rPr>
              <w:t>Vínculo(s) pertinente(s) con el Plan Estratégico</w:t>
            </w:r>
          </w:p>
          <w:p w14:paraId="5AC5042A" w14:textId="6E143E39" w:rsidR="00F92BED" w:rsidRPr="00D95798" w:rsidRDefault="001C6114" w:rsidP="00C4421B">
            <w:pPr>
              <w:rPr>
                <w:lang w:val="es-ES"/>
              </w:rPr>
            </w:pPr>
            <w:r w:rsidRPr="00D95798">
              <w:rPr>
                <w:lang w:val="es-ES"/>
              </w:rPr>
              <w:t>El marco habilitador y la excelencia en los recursos humanos e innovación institucional.</w:t>
            </w:r>
          </w:p>
          <w:p w14:paraId="533D9CC4" w14:textId="77777777" w:rsidR="00F92BED" w:rsidRPr="00D95798" w:rsidRDefault="00F92BED" w:rsidP="00C4421B">
            <w:pPr>
              <w:spacing w:before="160"/>
              <w:rPr>
                <w:b/>
                <w:bCs/>
                <w:sz w:val="26"/>
                <w:szCs w:val="26"/>
                <w:lang w:val="es-ES"/>
              </w:rPr>
            </w:pPr>
            <w:r w:rsidRPr="00D95798">
              <w:rPr>
                <w:b/>
                <w:bCs/>
                <w:sz w:val="26"/>
                <w:szCs w:val="26"/>
                <w:lang w:val="es-ES"/>
              </w:rPr>
              <w:t>Repercusiones financieras</w:t>
            </w:r>
          </w:p>
          <w:p w14:paraId="7DB3FF6A" w14:textId="365B014B" w:rsidR="00F92BED" w:rsidRPr="00D95798" w:rsidRDefault="001C6114" w:rsidP="00C4421B">
            <w:pPr>
              <w:rPr>
                <w:lang w:val="es-ES"/>
              </w:rPr>
            </w:pPr>
            <w:r w:rsidRPr="00D95798">
              <w:rPr>
                <w:lang w:val="es-ES"/>
              </w:rPr>
              <w:t>Con cargo al presupuesto asignado para 2026-2027.</w:t>
            </w:r>
          </w:p>
          <w:p w14:paraId="7D5A7B24" w14:textId="77777777" w:rsidR="00FE57F6" w:rsidRPr="00D95798" w:rsidRDefault="00FE57F6" w:rsidP="00C4421B">
            <w:pPr>
              <w:spacing w:before="160"/>
              <w:rPr>
                <w:caps/>
                <w:sz w:val="22"/>
                <w:lang w:val="es-ES"/>
              </w:rPr>
            </w:pPr>
            <w:r w:rsidRPr="00D95798">
              <w:rPr>
                <w:sz w:val="22"/>
                <w:lang w:val="es-ES"/>
              </w:rPr>
              <w:t>__________________</w:t>
            </w:r>
          </w:p>
          <w:p w14:paraId="13331B2D" w14:textId="77777777" w:rsidR="00FE57F6" w:rsidRPr="00D95798" w:rsidRDefault="00F24B71" w:rsidP="00C4421B">
            <w:pPr>
              <w:spacing w:before="160"/>
              <w:rPr>
                <w:b/>
                <w:bCs/>
                <w:sz w:val="26"/>
                <w:szCs w:val="26"/>
                <w:lang w:val="es-ES"/>
              </w:rPr>
            </w:pPr>
            <w:r w:rsidRPr="00D95798">
              <w:rPr>
                <w:b/>
                <w:bCs/>
                <w:sz w:val="26"/>
                <w:szCs w:val="26"/>
                <w:lang w:val="es-ES"/>
              </w:rPr>
              <w:t>Referencia</w:t>
            </w:r>
            <w:r w:rsidR="00F92BED" w:rsidRPr="00D95798">
              <w:rPr>
                <w:b/>
                <w:bCs/>
                <w:sz w:val="26"/>
                <w:szCs w:val="26"/>
                <w:lang w:val="es-ES"/>
              </w:rPr>
              <w:t>s</w:t>
            </w:r>
            <w:r w:rsidR="00D375E0" w:rsidRPr="00D95798">
              <w:rPr>
                <w:sz w:val="26"/>
                <w:szCs w:val="26"/>
                <w:lang w:val="es-ES"/>
              </w:rPr>
              <w:t xml:space="preserve"> </w:t>
            </w:r>
          </w:p>
          <w:p w14:paraId="2AA65402" w14:textId="31350B22" w:rsidR="00FE57F6" w:rsidRPr="001C499D" w:rsidRDefault="001C6114" w:rsidP="00C4421B">
            <w:pPr>
              <w:spacing w:after="160"/>
              <w:rPr>
                <w:i/>
                <w:iCs/>
                <w:sz w:val="22"/>
                <w:szCs w:val="22"/>
                <w:lang w:val="es-ES"/>
              </w:rPr>
            </w:pPr>
            <w:r w:rsidRPr="001C499D">
              <w:rPr>
                <w:i/>
                <w:iCs/>
                <w:sz w:val="22"/>
                <w:szCs w:val="22"/>
                <w:lang w:val="es-ES"/>
              </w:rPr>
              <w:t xml:space="preserve">Resolución </w:t>
            </w:r>
            <w:hyperlink r:id="rId6" w:history="1">
              <w:r w:rsidRPr="001C499D">
                <w:rPr>
                  <w:rStyle w:val="Hyperlink"/>
                  <w:rFonts w:eastAsia="Times New Roman" w:cs="Times New Roman"/>
                  <w:i/>
                  <w:iCs/>
                  <w:sz w:val="22"/>
                  <w:lang w:val="es-ES"/>
                </w:rPr>
                <w:t>71 (Rev. Bucarest, 2022)</w:t>
              </w:r>
            </w:hyperlink>
            <w:r w:rsidRPr="001C499D">
              <w:rPr>
                <w:i/>
                <w:iCs/>
                <w:sz w:val="22"/>
                <w:szCs w:val="22"/>
                <w:lang w:val="es-ES"/>
              </w:rPr>
              <w:t xml:space="preserve"> de la Conferencia de Plenipotenciarios; Documentos </w:t>
            </w:r>
            <w:hyperlink r:id="rId7" w:history="1">
              <w:proofErr w:type="spellStart"/>
              <w:r w:rsidRPr="001C499D">
                <w:rPr>
                  <w:rStyle w:val="Hyperlink"/>
                  <w:rFonts w:eastAsia="Times New Roman" w:cs="Times New Roman"/>
                  <w:i/>
                  <w:iCs/>
                  <w:sz w:val="22"/>
                  <w:lang w:val="es-ES"/>
                </w:rPr>
                <w:t>C20</w:t>
              </w:r>
              <w:proofErr w:type="spellEnd"/>
              <w:r w:rsidRPr="001C499D">
                <w:rPr>
                  <w:rStyle w:val="Hyperlink"/>
                  <w:rFonts w:eastAsia="Times New Roman" w:cs="Times New Roman"/>
                  <w:i/>
                  <w:iCs/>
                  <w:sz w:val="22"/>
                  <w:lang w:val="es-ES"/>
                </w:rPr>
                <w:t>/61</w:t>
              </w:r>
            </w:hyperlink>
            <w:r w:rsidRPr="001C499D">
              <w:rPr>
                <w:i/>
                <w:iCs/>
                <w:sz w:val="22"/>
                <w:szCs w:val="22"/>
                <w:lang w:val="es-ES"/>
              </w:rPr>
              <w:t xml:space="preserve">, </w:t>
            </w:r>
            <w:hyperlink r:id="rId8" w:history="1">
              <w:proofErr w:type="spellStart"/>
              <w:r w:rsidRPr="001C499D">
                <w:rPr>
                  <w:rStyle w:val="Hyperlink"/>
                  <w:rFonts w:eastAsia="Times New Roman" w:cs="Times New Roman"/>
                  <w:i/>
                  <w:iCs/>
                  <w:sz w:val="22"/>
                  <w:lang w:val="es-ES"/>
                </w:rPr>
                <w:t>C20</w:t>
              </w:r>
              <w:proofErr w:type="spellEnd"/>
              <w:r w:rsidRPr="001C499D">
                <w:rPr>
                  <w:rStyle w:val="Hyperlink"/>
                  <w:rFonts w:eastAsia="Times New Roman" w:cs="Times New Roman"/>
                  <w:i/>
                  <w:iCs/>
                  <w:sz w:val="22"/>
                  <w:lang w:val="es-ES"/>
                </w:rPr>
                <w:t>/74</w:t>
              </w:r>
            </w:hyperlink>
            <w:r w:rsidR="00D24BFD" w:rsidRPr="001C499D">
              <w:rPr>
                <w:i/>
                <w:iCs/>
                <w:sz w:val="22"/>
                <w:szCs w:val="22"/>
                <w:lang w:val="es-ES"/>
              </w:rPr>
              <w:t xml:space="preserve">. </w:t>
            </w:r>
            <w:hyperlink r:id="rId9" w:history="1">
              <w:proofErr w:type="spellStart"/>
              <w:r w:rsidRPr="001C499D">
                <w:rPr>
                  <w:rStyle w:val="Hyperlink"/>
                  <w:rFonts w:eastAsia="Times New Roman" w:cs="Times New Roman"/>
                  <w:i/>
                  <w:iCs/>
                  <w:sz w:val="22"/>
                  <w:lang w:val="es-ES"/>
                </w:rPr>
                <w:t>C21</w:t>
              </w:r>
              <w:proofErr w:type="spellEnd"/>
              <w:r w:rsidRPr="001C499D">
                <w:rPr>
                  <w:rStyle w:val="Hyperlink"/>
                  <w:rFonts w:eastAsia="Times New Roman" w:cs="Times New Roman"/>
                  <w:i/>
                  <w:iCs/>
                  <w:sz w:val="22"/>
                  <w:lang w:val="es-ES"/>
                </w:rPr>
                <w:t>/INF/15</w:t>
              </w:r>
            </w:hyperlink>
            <w:r w:rsidR="00D24BFD" w:rsidRPr="001C499D">
              <w:rPr>
                <w:i/>
                <w:iCs/>
                <w:sz w:val="22"/>
                <w:szCs w:val="22"/>
                <w:lang w:val="es-ES"/>
              </w:rPr>
              <w:t>,</w:t>
            </w:r>
            <w:r w:rsidRPr="001C499D">
              <w:rPr>
                <w:i/>
                <w:iCs/>
                <w:sz w:val="22"/>
                <w:szCs w:val="22"/>
                <w:lang w:val="es-ES"/>
              </w:rPr>
              <w:t xml:space="preserve"> </w:t>
            </w:r>
            <w:hyperlink r:id="rId10" w:history="1">
              <w:proofErr w:type="spellStart"/>
              <w:r w:rsidRPr="001C499D">
                <w:rPr>
                  <w:rStyle w:val="Hyperlink"/>
                  <w:rFonts w:eastAsia="Times New Roman" w:cs="Times New Roman"/>
                  <w:i/>
                  <w:iCs/>
                  <w:sz w:val="22"/>
                  <w:lang w:val="es-ES"/>
                </w:rPr>
                <w:t>C22</w:t>
              </w:r>
              <w:proofErr w:type="spellEnd"/>
              <w:r w:rsidRPr="001C499D">
                <w:rPr>
                  <w:rStyle w:val="Hyperlink"/>
                  <w:rFonts w:eastAsia="Times New Roman" w:cs="Times New Roman"/>
                  <w:i/>
                  <w:iCs/>
                  <w:sz w:val="22"/>
                  <w:lang w:val="es-ES"/>
                </w:rPr>
                <w:t>/INF/13</w:t>
              </w:r>
            </w:hyperlink>
            <w:r w:rsidRPr="001C499D">
              <w:rPr>
                <w:i/>
                <w:iCs/>
                <w:sz w:val="22"/>
                <w:szCs w:val="22"/>
                <w:lang w:val="es-ES"/>
              </w:rPr>
              <w:t xml:space="preserve">, </w:t>
            </w:r>
            <w:hyperlink r:id="rId11" w:history="1">
              <w:proofErr w:type="spellStart"/>
              <w:r w:rsidRPr="001C499D">
                <w:rPr>
                  <w:rStyle w:val="Hyperlink"/>
                  <w:rFonts w:eastAsia="Times New Roman" w:cs="Times New Roman"/>
                  <w:i/>
                  <w:iCs/>
                  <w:sz w:val="22"/>
                  <w:lang w:val="es-ES"/>
                </w:rPr>
                <w:t>C22</w:t>
              </w:r>
              <w:proofErr w:type="spellEnd"/>
              <w:r w:rsidRPr="001C499D">
                <w:rPr>
                  <w:rStyle w:val="Hyperlink"/>
                  <w:rFonts w:eastAsia="Times New Roman" w:cs="Times New Roman"/>
                  <w:i/>
                  <w:iCs/>
                  <w:sz w:val="22"/>
                  <w:lang w:val="es-ES"/>
                </w:rPr>
                <w:t>/40</w:t>
              </w:r>
            </w:hyperlink>
            <w:r w:rsidRPr="001C499D">
              <w:rPr>
                <w:i/>
                <w:iCs/>
                <w:sz w:val="22"/>
                <w:szCs w:val="22"/>
                <w:lang w:val="es-ES"/>
              </w:rPr>
              <w:t xml:space="preserve">, </w:t>
            </w:r>
            <w:hyperlink r:id="rId12" w:history="1">
              <w:proofErr w:type="spellStart"/>
              <w:r w:rsidRPr="001C499D">
                <w:rPr>
                  <w:rStyle w:val="Hyperlink"/>
                  <w:rFonts w:eastAsia="Times New Roman" w:cs="Times New Roman"/>
                  <w:i/>
                  <w:iCs/>
                  <w:sz w:val="22"/>
                  <w:lang w:val="es-ES"/>
                </w:rPr>
                <w:t>C22</w:t>
              </w:r>
              <w:proofErr w:type="spellEnd"/>
              <w:r w:rsidRPr="001C499D">
                <w:rPr>
                  <w:rStyle w:val="Hyperlink"/>
                  <w:rFonts w:eastAsia="Times New Roman" w:cs="Times New Roman"/>
                  <w:i/>
                  <w:iCs/>
                  <w:sz w:val="22"/>
                  <w:lang w:val="es-ES"/>
                </w:rPr>
                <w:t>/57</w:t>
              </w:r>
            </w:hyperlink>
            <w:r w:rsidR="00D24BFD" w:rsidRPr="001C499D">
              <w:rPr>
                <w:i/>
                <w:iCs/>
                <w:sz w:val="22"/>
                <w:szCs w:val="22"/>
                <w:lang w:val="es-ES"/>
              </w:rPr>
              <w:t>,</w:t>
            </w:r>
            <w:r w:rsidRPr="001C499D">
              <w:rPr>
                <w:i/>
                <w:iCs/>
                <w:sz w:val="22"/>
                <w:szCs w:val="22"/>
                <w:lang w:val="es-ES"/>
              </w:rPr>
              <w:t xml:space="preserve"> </w:t>
            </w:r>
            <w:hyperlink r:id="rId13" w:history="1">
              <w:proofErr w:type="spellStart"/>
              <w:r w:rsidRPr="001C499D">
                <w:rPr>
                  <w:rStyle w:val="Hyperlink"/>
                  <w:rFonts w:eastAsia="Times New Roman" w:cs="Times New Roman"/>
                  <w:i/>
                  <w:iCs/>
                  <w:sz w:val="22"/>
                  <w:lang w:val="es-ES"/>
                </w:rPr>
                <w:t>C23</w:t>
              </w:r>
              <w:proofErr w:type="spellEnd"/>
              <w:r w:rsidRPr="001C499D">
                <w:rPr>
                  <w:rStyle w:val="Hyperlink"/>
                  <w:rFonts w:eastAsia="Times New Roman" w:cs="Times New Roman"/>
                  <w:i/>
                  <w:iCs/>
                  <w:sz w:val="22"/>
                  <w:lang w:val="es-ES"/>
                </w:rPr>
                <w:t>/36</w:t>
              </w:r>
            </w:hyperlink>
            <w:r w:rsidRPr="001C499D">
              <w:rPr>
                <w:i/>
                <w:iCs/>
                <w:sz w:val="22"/>
                <w:szCs w:val="22"/>
                <w:lang w:val="es-ES"/>
              </w:rPr>
              <w:t xml:space="preserve">, </w:t>
            </w:r>
            <w:hyperlink r:id="rId14" w:history="1">
              <w:proofErr w:type="spellStart"/>
              <w:r w:rsidRPr="001C499D">
                <w:rPr>
                  <w:rStyle w:val="Hyperlink"/>
                  <w:rFonts w:eastAsia="Times New Roman" w:cs="Times New Roman"/>
                  <w:i/>
                  <w:iCs/>
                  <w:sz w:val="22"/>
                  <w:lang w:val="es-ES"/>
                </w:rPr>
                <w:t>C23</w:t>
              </w:r>
              <w:proofErr w:type="spellEnd"/>
              <w:r w:rsidRPr="001C499D">
                <w:rPr>
                  <w:rStyle w:val="Hyperlink"/>
                  <w:rFonts w:eastAsia="Times New Roman" w:cs="Times New Roman"/>
                  <w:i/>
                  <w:iCs/>
                  <w:sz w:val="22"/>
                  <w:lang w:val="es-ES"/>
                </w:rPr>
                <w:t>/50</w:t>
              </w:r>
            </w:hyperlink>
            <w:r w:rsidRPr="001C499D">
              <w:rPr>
                <w:i/>
                <w:iCs/>
                <w:sz w:val="22"/>
                <w:szCs w:val="22"/>
                <w:lang w:val="es-ES"/>
              </w:rPr>
              <w:t xml:space="preserve">, </w:t>
            </w:r>
            <w:hyperlink r:id="rId15" w:history="1">
              <w:proofErr w:type="spellStart"/>
              <w:r w:rsidRPr="001C499D">
                <w:rPr>
                  <w:rStyle w:val="Hyperlink"/>
                  <w:rFonts w:eastAsia="Times New Roman" w:cs="Times New Roman"/>
                  <w:i/>
                  <w:iCs/>
                  <w:sz w:val="22"/>
                  <w:lang w:val="es-ES"/>
                </w:rPr>
                <w:t>C23</w:t>
              </w:r>
              <w:proofErr w:type="spellEnd"/>
              <w:r w:rsidRPr="001C499D">
                <w:rPr>
                  <w:rStyle w:val="Hyperlink"/>
                  <w:rFonts w:eastAsia="Times New Roman" w:cs="Times New Roman"/>
                  <w:i/>
                  <w:iCs/>
                  <w:sz w:val="22"/>
                  <w:lang w:val="es-ES"/>
                </w:rPr>
                <w:t>/62</w:t>
              </w:r>
            </w:hyperlink>
            <w:r w:rsidRPr="001C499D">
              <w:rPr>
                <w:i/>
                <w:iCs/>
                <w:sz w:val="22"/>
                <w:szCs w:val="22"/>
                <w:lang w:val="es-ES"/>
              </w:rPr>
              <w:t xml:space="preserve">, </w:t>
            </w:r>
            <w:hyperlink r:id="rId16" w:history="1">
              <w:proofErr w:type="spellStart"/>
              <w:r w:rsidRPr="001C499D">
                <w:rPr>
                  <w:rStyle w:val="Hyperlink"/>
                  <w:rFonts w:eastAsia="Times New Roman" w:cs="Times New Roman"/>
                  <w:i/>
                  <w:iCs/>
                  <w:sz w:val="22"/>
                  <w:lang w:val="es-ES"/>
                </w:rPr>
                <w:t>C23</w:t>
              </w:r>
              <w:proofErr w:type="spellEnd"/>
              <w:r w:rsidRPr="001C499D">
                <w:rPr>
                  <w:rStyle w:val="Hyperlink"/>
                  <w:rFonts w:eastAsia="Times New Roman" w:cs="Times New Roman"/>
                  <w:i/>
                  <w:iCs/>
                  <w:sz w:val="22"/>
                  <w:lang w:val="es-ES"/>
                </w:rPr>
                <w:t>/INF/11</w:t>
              </w:r>
            </w:hyperlink>
            <w:r w:rsidRPr="001C499D">
              <w:rPr>
                <w:i/>
                <w:iCs/>
                <w:sz w:val="22"/>
                <w:szCs w:val="22"/>
                <w:lang w:val="es-ES"/>
              </w:rPr>
              <w:t xml:space="preserve">, </w:t>
            </w:r>
            <w:hyperlink r:id="rId17" w:history="1">
              <w:proofErr w:type="spellStart"/>
              <w:r w:rsidRPr="001C499D">
                <w:rPr>
                  <w:rStyle w:val="Hyperlink"/>
                  <w:rFonts w:eastAsia="Times New Roman" w:cs="Times New Roman"/>
                  <w:i/>
                  <w:iCs/>
                  <w:sz w:val="22"/>
                  <w:lang w:val="es-ES"/>
                </w:rPr>
                <w:t>C23</w:t>
              </w:r>
              <w:proofErr w:type="spellEnd"/>
              <w:r w:rsidRPr="001C499D">
                <w:rPr>
                  <w:rStyle w:val="Hyperlink"/>
                  <w:rFonts w:eastAsia="Times New Roman" w:cs="Times New Roman"/>
                  <w:i/>
                  <w:iCs/>
                  <w:sz w:val="22"/>
                  <w:lang w:val="es-ES"/>
                </w:rPr>
                <w:t>/INF/13</w:t>
              </w:r>
            </w:hyperlink>
            <w:r w:rsidR="00D24BFD" w:rsidRPr="001C499D">
              <w:rPr>
                <w:i/>
                <w:iCs/>
                <w:sz w:val="22"/>
                <w:szCs w:val="22"/>
                <w:lang w:val="es-ES"/>
              </w:rPr>
              <w:t>,</w:t>
            </w:r>
            <w:r w:rsidRPr="001C499D">
              <w:rPr>
                <w:i/>
                <w:iCs/>
                <w:sz w:val="22"/>
                <w:szCs w:val="22"/>
                <w:lang w:val="es-ES"/>
              </w:rPr>
              <w:t xml:space="preserve"> </w:t>
            </w:r>
            <w:hyperlink r:id="rId18" w:history="1">
              <w:proofErr w:type="spellStart"/>
              <w:r w:rsidRPr="001C499D">
                <w:rPr>
                  <w:rStyle w:val="Hyperlink"/>
                  <w:rFonts w:eastAsia="Times New Roman" w:cs="Times New Roman"/>
                  <w:i/>
                  <w:iCs/>
                  <w:sz w:val="22"/>
                  <w:lang w:val="es-ES"/>
                </w:rPr>
                <w:t>C24</w:t>
              </w:r>
              <w:proofErr w:type="spellEnd"/>
              <w:r w:rsidRPr="001C499D">
                <w:rPr>
                  <w:rStyle w:val="Hyperlink"/>
                  <w:rFonts w:eastAsia="Times New Roman" w:cs="Times New Roman"/>
                  <w:i/>
                  <w:iCs/>
                  <w:sz w:val="22"/>
                  <w:lang w:val="es-ES"/>
                </w:rPr>
                <w:t>/19</w:t>
              </w:r>
            </w:hyperlink>
            <w:r w:rsidRPr="001C499D">
              <w:rPr>
                <w:i/>
                <w:iCs/>
                <w:sz w:val="22"/>
                <w:szCs w:val="22"/>
                <w:lang w:val="es-ES"/>
              </w:rPr>
              <w:t xml:space="preserve">, </w:t>
            </w:r>
            <w:hyperlink r:id="rId19" w:history="1">
              <w:proofErr w:type="spellStart"/>
              <w:r w:rsidRPr="001C499D">
                <w:rPr>
                  <w:rStyle w:val="Hyperlink"/>
                  <w:rFonts w:eastAsia="Times New Roman" w:cs="Times New Roman"/>
                  <w:i/>
                  <w:iCs/>
                  <w:sz w:val="22"/>
                  <w:lang w:val="es-ES"/>
                </w:rPr>
                <w:t>C24</w:t>
              </w:r>
              <w:proofErr w:type="spellEnd"/>
              <w:r w:rsidRPr="001C499D">
                <w:rPr>
                  <w:rStyle w:val="Hyperlink"/>
                  <w:rFonts w:eastAsia="Times New Roman" w:cs="Times New Roman"/>
                  <w:i/>
                  <w:iCs/>
                  <w:sz w:val="22"/>
                  <w:lang w:val="es-ES"/>
                </w:rPr>
                <w:t>/53</w:t>
              </w:r>
            </w:hyperlink>
            <w:hyperlink r:id="rId20" w:history="1">
              <w:r w:rsidRPr="001C499D">
                <w:rPr>
                  <w:rStyle w:val="Hyperlink"/>
                  <w:rFonts w:eastAsia="Times New Roman" w:cs="Times New Roman"/>
                  <w:i/>
                  <w:iCs/>
                  <w:sz w:val="22"/>
                  <w:lang w:val="es-ES"/>
                </w:rPr>
                <w:t xml:space="preserve">, </w:t>
              </w:r>
              <w:proofErr w:type="spellStart"/>
              <w:r w:rsidRPr="001C499D">
                <w:rPr>
                  <w:rStyle w:val="Hyperlink"/>
                  <w:rFonts w:eastAsia="Times New Roman" w:cs="Times New Roman"/>
                  <w:i/>
                  <w:iCs/>
                  <w:sz w:val="22"/>
                  <w:lang w:val="es-ES"/>
                </w:rPr>
                <w:t>C24</w:t>
              </w:r>
              <w:proofErr w:type="spellEnd"/>
              <w:r w:rsidRPr="001C499D">
                <w:rPr>
                  <w:rStyle w:val="Hyperlink"/>
                  <w:rFonts w:eastAsia="Times New Roman" w:cs="Times New Roman"/>
                  <w:i/>
                  <w:iCs/>
                  <w:sz w:val="22"/>
                  <w:lang w:val="es-ES"/>
                </w:rPr>
                <w:t>/31</w:t>
              </w:r>
            </w:hyperlink>
            <w:r w:rsidR="00D24BFD" w:rsidRPr="001C499D">
              <w:rPr>
                <w:i/>
                <w:iCs/>
                <w:sz w:val="22"/>
                <w:szCs w:val="22"/>
                <w:lang w:val="es-ES"/>
              </w:rPr>
              <w:t>,</w:t>
            </w:r>
            <w:r w:rsidRPr="001C499D">
              <w:rPr>
                <w:i/>
                <w:iCs/>
                <w:sz w:val="22"/>
                <w:szCs w:val="22"/>
                <w:lang w:val="es-ES"/>
              </w:rPr>
              <w:t xml:space="preserve"> </w:t>
            </w:r>
            <w:hyperlink r:id="rId21" w:history="1">
              <w:proofErr w:type="spellStart"/>
              <w:r w:rsidRPr="001C499D">
                <w:rPr>
                  <w:rStyle w:val="Hyperlink"/>
                  <w:rFonts w:eastAsia="Times New Roman" w:cs="Times New Roman"/>
                  <w:i/>
                  <w:iCs/>
                  <w:sz w:val="22"/>
                  <w:lang w:val="es-ES"/>
                </w:rPr>
                <w:t>C25</w:t>
              </w:r>
              <w:proofErr w:type="spellEnd"/>
              <w:r w:rsidRPr="001C499D">
                <w:rPr>
                  <w:rStyle w:val="Hyperlink"/>
                  <w:rFonts w:eastAsia="Times New Roman" w:cs="Times New Roman"/>
                  <w:i/>
                  <w:iCs/>
                  <w:sz w:val="22"/>
                  <w:lang w:val="es-ES"/>
                </w:rPr>
                <w:t>/50</w:t>
              </w:r>
            </w:hyperlink>
            <w:r w:rsidRPr="001C499D">
              <w:rPr>
                <w:i/>
                <w:iCs/>
                <w:sz w:val="22"/>
                <w:szCs w:val="22"/>
                <w:lang w:val="es-ES"/>
              </w:rPr>
              <w:t xml:space="preserve">, </w:t>
            </w:r>
            <w:hyperlink r:id="rId22" w:history="1">
              <w:proofErr w:type="spellStart"/>
              <w:r w:rsidRPr="001C499D">
                <w:rPr>
                  <w:rStyle w:val="Hyperlink"/>
                  <w:rFonts w:eastAsia="Times New Roman" w:cs="Times New Roman"/>
                  <w:i/>
                  <w:iCs/>
                  <w:sz w:val="22"/>
                  <w:lang w:val="es-ES"/>
                </w:rPr>
                <w:t>C25</w:t>
              </w:r>
              <w:proofErr w:type="spellEnd"/>
              <w:r w:rsidRPr="001C499D">
                <w:rPr>
                  <w:rStyle w:val="Hyperlink"/>
                  <w:rFonts w:eastAsia="Times New Roman" w:cs="Times New Roman"/>
                  <w:i/>
                  <w:iCs/>
                  <w:sz w:val="22"/>
                  <w:lang w:val="es-ES"/>
                </w:rPr>
                <w:t>/55</w:t>
              </w:r>
            </w:hyperlink>
            <w:r w:rsidRPr="001C499D">
              <w:rPr>
                <w:i/>
                <w:iCs/>
                <w:sz w:val="22"/>
                <w:szCs w:val="22"/>
                <w:lang w:val="es-ES"/>
              </w:rPr>
              <w:t xml:space="preserve">, </w:t>
            </w:r>
            <w:hyperlink r:id="rId23" w:history="1">
              <w:proofErr w:type="spellStart"/>
              <w:r w:rsidRPr="001C499D">
                <w:rPr>
                  <w:rStyle w:val="Hyperlink"/>
                  <w:rFonts w:eastAsia="Times New Roman" w:cs="Times New Roman"/>
                  <w:i/>
                  <w:iCs/>
                  <w:sz w:val="22"/>
                  <w:lang w:val="es-ES"/>
                </w:rPr>
                <w:t>C25</w:t>
              </w:r>
              <w:proofErr w:type="spellEnd"/>
              <w:r w:rsidRPr="001C499D">
                <w:rPr>
                  <w:rStyle w:val="Hyperlink"/>
                  <w:rFonts w:eastAsia="Times New Roman" w:cs="Times New Roman"/>
                  <w:i/>
                  <w:iCs/>
                  <w:sz w:val="22"/>
                  <w:lang w:val="es-ES"/>
                </w:rPr>
                <w:t>/66</w:t>
              </w:r>
            </w:hyperlink>
            <w:r w:rsidRPr="001C499D">
              <w:rPr>
                <w:i/>
                <w:iCs/>
                <w:sz w:val="22"/>
                <w:szCs w:val="22"/>
                <w:lang w:val="es-ES"/>
              </w:rPr>
              <w:t xml:space="preserve">, </w:t>
            </w:r>
            <w:hyperlink r:id="rId24" w:history="1">
              <w:proofErr w:type="spellStart"/>
              <w:r w:rsidRPr="001C499D">
                <w:rPr>
                  <w:rStyle w:val="Hyperlink"/>
                  <w:rFonts w:eastAsia="Times New Roman" w:cs="Times New Roman"/>
                  <w:i/>
                  <w:iCs/>
                  <w:sz w:val="22"/>
                  <w:lang w:val="es-ES"/>
                </w:rPr>
                <w:t>C26</w:t>
              </w:r>
              <w:proofErr w:type="spellEnd"/>
              <w:r w:rsidRPr="001C499D">
                <w:rPr>
                  <w:rStyle w:val="Hyperlink"/>
                  <w:rFonts w:eastAsia="Times New Roman" w:cs="Times New Roman"/>
                  <w:i/>
                  <w:iCs/>
                  <w:sz w:val="22"/>
                  <w:lang w:val="es-ES"/>
                </w:rPr>
                <w:t>/INF/6</w:t>
              </w:r>
            </w:hyperlink>
            <w:r w:rsidR="001C499D" w:rsidRPr="001C499D">
              <w:rPr>
                <w:i/>
                <w:iCs/>
                <w:sz w:val="22"/>
                <w:szCs w:val="22"/>
                <w:lang w:val="es-ES"/>
              </w:rPr>
              <w:t xml:space="preserve"> </w:t>
            </w:r>
            <w:r w:rsidR="001C499D" w:rsidRPr="001C499D">
              <w:rPr>
                <w:i/>
                <w:iCs/>
                <w:sz w:val="22"/>
                <w:szCs w:val="22"/>
                <w:lang w:val="es-ES"/>
              </w:rPr>
              <w:t>del Consejo</w:t>
            </w:r>
            <w:r w:rsidRPr="001C499D">
              <w:rPr>
                <w:i/>
                <w:iCs/>
                <w:sz w:val="22"/>
                <w:szCs w:val="22"/>
                <w:lang w:val="es-ES"/>
              </w:rPr>
              <w:t>.</w:t>
            </w:r>
          </w:p>
        </w:tc>
      </w:tr>
      <w:bookmarkEnd w:id="0"/>
    </w:tbl>
    <w:p w14:paraId="2C4A8BA2" w14:textId="77777777" w:rsidR="001559F5" w:rsidRPr="001C499D"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1C499D">
        <w:rPr>
          <w:lang w:val="es-ES"/>
        </w:rPr>
        <w:br w:type="page"/>
      </w:r>
    </w:p>
    <w:p w14:paraId="6382CC37" w14:textId="77777777" w:rsidR="008F76F7" w:rsidRPr="00D95798" w:rsidRDefault="008F76F7" w:rsidP="008F76F7">
      <w:pPr>
        <w:pStyle w:val="Heading1"/>
        <w:rPr>
          <w:lang w:val="es-ES"/>
        </w:rPr>
      </w:pPr>
      <w:r w:rsidRPr="00D95798">
        <w:rPr>
          <w:lang w:val="es-ES"/>
        </w:rPr>
        <w:lastRenderedPageBreak/>
        <w:t>1</w:t>
      </w:r>
      <w:r w:rsidRPr="00D95798">
        <w:rPr>
          <w:lang w:val="es-ES"/>
        </w:rPr>
        <w:tab/>
        <w:t>Introducción</w:t>
      </w:r>
    </w:p>
    <w:p w14:paraId="2BE150E5" w14:textId="77777777" w:rsidR="008F76F7" w:rsidRPr="00D95798" w:rsidRDefault="008F76F7" w:rsidP="001C499D">
      <w:pPr>
        <w:jc w:val="both"/>
        <w:rPr>
          <w:lang w:val="es-ES"/>
        </w:rPr>
      </w:pPr>
      <w:r w:rsidRPr="00D95798">
        <w:rPr>
          <w:lang w:val="es-ES"/>
        </w:rPr>
        <w:t>La UIT ha avanzado significativamente en los cuatro pilares de su transformación digital interna:</w:t>
      </w:r>
    </w:p>
    <w:p w14:paraId="7DE91EC7" w14:textId="35BC28FC" w:rsidR="008F76F7" w:rsidRPr="00D95798" w:rsidRDefault="008F76F7" w:rsidP="001C499D">
      <w:pPr>
        <w:pStyle w:val="enumlev1"/>
        <w:jc w:val="both"/>
        <w:rPr>
          <w:lang w:val="es-ES"/>
        </w:rPr>
      </w:pPr>
      <w:r w:rsidRPr="00D95798">
        <w:rPr>
          <w:lang w:val="es-ES"/>
        </w:rPr>
        <w:t>1</w:t>
      </w:r>
      <w:r w:rsidRPr="00D95798">
        <w:rPr>
          <w:lang w:val="es-ES"/>
        </w:rPr>
        <w:tab/>
        <w:t>Desarrollo del Plan Estratégico y la Estrategia de Transformación Digital (2026-2027)</w:t>
      </w:r>
      <w:r w:rsidR="00AB2BD9" w:rsidRPr="00D95798">
        <w:rPr>
          <w:lang w:val="es-ES"/>
        </w:rPr>
        <w:t>.</w:t>
      </w:r>
    </w:p>
    <w:p w14:paraId="734EC455" w14:textId="70470D32" w:rsidR="008F76F7" w:rsidRPr="00D95798" w:rsidRDefault="008F76F7" w:rsidP="001C499D">
      <w:pPr>
        <w:pStyle w:val="enumlev1"/>
        <w:jc w:val="both"/>
        <w:rPr>
          <w:lang w:val="es-ES"/>
        </w:rPr>
      </w:pPr>
      <w:r w:rsidRPr="00D95798">
        <w:rPr>
          <w:lang w:val="es-ES"/>
        </w:rPr>
        <w:t>2</w:t>
      </w:r>
      <w:r w:rsidRPr="00D95798">
        <w:rPr>
          <w:lang w:val="es-ES"/>
        </w:rPr>
        <w:tab/>
        <w:t>Puesta en marcha del Programa de Arquitectura Institucional</w:t>
      </w:r>
      <w:r w:rsidR="00AB2BD9" w:rsidRPr="00D95798">
        <w:rPr>
          <w:lang w:val="es-ES"/>
        </w:rPr>
        <w:t>.</w:t>
      </w:r>
    </w:p>
    <w:p w14:paraId="2FCEDD74" w14:textId="70D239FC" w:rsidR="008F76F7" w:rsidRPr="00D95798" w:rsidRDefault="008F76F7" w:rsidP="001C499D">
      <w:pPr>
        <w:pStyle w:val="enumlev1"/>
        <w:jc w:val="both"/>
        <w:rPr>
          <w:lang w:val="es-ES"/>
        </w:rPr>
      </w:pPr>
      <w:r w:rsidRPr="00D95798">
        <w:rPr>
          <w:lang w:val="es-ES"/>
        </w:rPr>
        <w:t>3</w:t>
      </w:r>
      <w:r w:rsidRPr="00D95798">
        <w:rPr>
          <w:lang w:val="es-ES"/>
        </w:rPr>
        <w:tab/>
        <w:t>Perfeccionamiento del Marco de Gobernanza Digital</w:t>
      </w:r>
      <w:r w:rsidR="00AB2BD9" w:rsidRPr="00D95798">
        <w:rPr>
          <w:lang w:val="es-ES"/>
        </w:rPr>
        <w:t>.</w:t>
      </w:r>
    </w:p>
    <w:p w14:paraId="2E126643" w14:textId="77777777" w:rsidR="008F76F7" w:rsidRPr="00D95798" w:rsidRDefault="008F76F7" w:rsidP="001C499D">
      <w:pPr>
        <w:pStyle w:val="enumlev1"/>
        <w:jc w:val="both"/>
        <w:rPr>
          <w:lang w:val="es-ES"/>
        </w:rPr>
      </w:pPr>
      <w:r w:rsidRPr="00D95798">
        <w:rPr>
          <w:lang w:val="es-ES"/>
        </w:rPr>
        <w:t>4</w:t>
      </w:r>
      <w:r w:rsidRPr="00D95798">
        <w:rPr>
          <w:lang w:val="es-ES"/>
        </w:rPr>
        <w:tab/>
        <w:t>Rediseño del Modelo de Operacional del Departamento de Servicios Informáticos (IS).</w:t>
      </w:r>
    </w:p>
    <w:p w14:paraId="12E9D7E2" w14:textId="77777777" w:rsidR="008F76F7" w:rsidRPr="00D95798" w:rsidRDefault="008F76F7" w:rsidP="001C499D">
      <w:pPr>
        <w:jc w:val="both"/>
        <w:rPr>
          <w:lang w:val="es-ES"/>
        </w:rPr>
      </w:pPr>
      <w:r w:rsidRPr="00D95798">
        <w:rPr>
          <w:lang w:val="es-ES"/>
        </w:rPr>
        <w:t>Se ha elaborado un primer proyecto completo de cada uno de estos componentes. Juntos establecen un marco coherente e integrado para que la UIT pase de una prestación fragmentada de TIC a una organización digital gobernada, resiliente y basada en la IA.</w:t>
      </w:r>
    </w:p>
    <w:p w14:paraId="300BADC7" w14:textId="40CA4D24" w:rsidR="008F76F7" w:rsidRPr="00D95798" w:rsidRDefault="008F76F7" w:rsidP="001C499D">
      <w:pPr>
        <w:jc w:val="both"/>
        <w:rPr>
          <w:lang w:val="es-ES"/>
        </w:rPr>
      </w:pPr>
      <w:r w:rsidRPr="00D95798">
        <w:rPr>
          <w:lang w:val="es-ES"/>
        </w:rPr>
        <w:t>Estos proyectos se encuentran actualmente en una ronda final de consultas y comentarios en los Sectores y la Secretaría General. Con sujeción a este proceso, se presentarán para su apoyo y aprobación formal por el Comité de Gobernanza de las TIC (</w:t>
      </w:r>
      <w:proofErr w:type="spellStart"/>
      <w:r w:rsidRPr="00D95798">
        <w:rPr>
          <w:lang w:val="es-ES"/>
        </w:rPr>
        <w:t>ICTGC</w:t>
      </w:r>
      <w:proofErr w:type="spellEnd"/>
      <w:r w:rsidRPr="00D95798">
        <w:rPr>
          <w:lang w:val="es-ES"/>
        </w:rPr>
        <w:t>) y posteriormente por la Secretaria General (SG). Puede encontrarse más información al respecto en el Documento</w:t>
      </w:r>
      <w:r w:rsidR="001C499D">
        <w:rPr>
          <w:lang w:val="es-ES"/>
        </w:rPr>
        <w:t> </w:t>
      </w:r>
      <w:proofErr w:type="spellStart"/>
      <w:r>
        <w:fldChar w:fldCharType="begin"/>
      </w:r>
      <w:r w:rsidRPr="00E65CD4">
        <w:rPr>
          <w:lang w:val="es-ES"/>
        </w:rPr>
        <w:instrText>HYPERLINK "https://www.itu.int/md/S26-CL-INF-0006/es"</w:instrText>
      </w:r>
      <w:r>
        <w:fldChar w:fldCharType="separate"/>
      </w:r>
      <w:r w:rsidRPr="00D95798">
        <w:rPr>
          <w:rStyle w:val="Hyperlink"/>
          <w:lang w:val="es-ES"/>
        </w:rPr>
        <w:t>C26</w:t>
      </w:r>
      <w:proofErr w:type="spellEnd"/>
      <w:r w:rsidRPr="00D95798">
        <w:rPr>
          <w:rStyle w:val="Hyperlink"/>
          <w:lang w:val="es-ES"/>
        </w:rPr>
        <w:t>/INF/6</w:t>
      </w:r>
      <w:r>
        <w:fldChar w:fldCharType="end"/>
      </w:r>
      <w:r w:rsidRPr="00D95798">
        <w:rPr>
          <w:lang w:val="es-ES"/>
        </w:rPr>
        <w:t>.</w:t>
      </w:r>
    </w:p>
    <w:p w14:paraId="4B16795E" w14:textId="77777777" w:rsidR="008F76F7" w:rsidRPr="00D95798" w:rsidRDefault="008F76F7" w:rsidP="00E50AAB">
      <w:pPr>
        <w:pStyle w:val="Heading1"/>
        <w:rPr>
          <w:lang w:val="es-ES"/>
        </w:rPr>
      </w:pPr>
      <w:r w:rsidRPr="00D95798">
        <w:rPr>
          <w:bCs/>
          <w:lang w:val="es-ES"/>
        </w:rPr>
        <w:t>2</w:t>
      </w:r>
      <w:r w:rsidRPr="00D95798">
        <w:rPr>
          <w:lang w:val="es-ES"/>
        </w:rPr>
        <w:tab/>
        <w:t>Avances</w:t>
      </w:r>
      <w:r w:rsidRPr="00D95798">
        <w:rPr>
          <w:bCs/>
          <w:lang w:val="es-ES"/>
        </w:rPr>
        <w:t xml:space="preserve"> y próximas etapas</w:t>
      </w:r>
    </w:p>
    <w:p w14:paraId="383AEF54" w14:textId="535D28F5" w:rsidR="008F76F7" w:rsidRPr="00D95798" w:rsidRDefault="008F76F7" w:rsidP="00E50AAB">
      <w:pPr>
        <w:pStyle w:val="Heading2"/>
        <w:rPr>
          <w:lang w:val="es-ES"/>
        </w:rPr>
      </w:pPr>
      <w:r w:rsidRPr="00D95798">
        <w:rPr>
          <w:lang w:val="es-ES"/>
        </w:rPr>
        <w:t>2.1</w:t>
      </w:r>
      <w:r w:rsidRPr="00D95798">
        <w:rPr>
          <w:lang w:val="es-ES"/>
        </w:rPr>
        <w:tab/>
        <w:t>Desarrollo Interno de la Estrategia y el Plan Estratégico</w:t>
      </w:r>
      <w:r w:rsidR="00E50AAB" w:rsidRPr="00D95798">
        <w:rPr>
          <w:lang w:val="es-ES"/>
        </w:rPr>
        <w:br/>
      </w:r>
      <w:r w:rsidRPr="00D95798">
        <w:rPr>
          <w:lang w:val="es-ES"/>
        </w:rPr>
        <w:t>de Transformación Digital (2026-2027)</w:t>
      </w:r>
    </w:p>
    <w:p w14:paraId="47FC3DBC" w14:textId="77777777" w:rsidR="008F76F7" w:rsidRPr="00D95798" w:rsidRDefault="008F76F7" w:rsidP="001C499D">
      <w:pPr>
        <w:jc w:val="both"/>
        <w:rPr>
          <w:rFonts w:asciiTheme="minorHAnsi" w:hAnsiTheme="minorHAnsi" w:cstheme="minorBidi"/>
          <w:lang w:val="es-ES"/>
        </w:rPr>
      </w:pPr>
      <w:r w:rsidRPr="00D95798">
        <w:rPr>
          <w:lang w:val="es-ES"/>
        </w:rPr>
        <w:t xml:space="preserve">La UIT ha elaborado una Estrategia de Transformación Digital (de enlace) (2026-2027) y su correspondiente Plan Estratégico, para establecer una transición estructurada hacia un modelo institucional coherente, gobernado y habilitado por la IA. </w:t>
      </w:r>
    </w:p>
    <w:p w14:paraId="32D9356E" w14:textId="77777777" w:rsidR="008F76F7" w:rsidRPr="00D95798" w:rsidRDefault="008F76F7" w:rsidP="001C499D">
      <w:pPr>
        <w:jc w:val="both"/>
        <w:rPr>
          <w:rFonts w:asciiTheme="minorHAnsi" w:hAnsiTheme="minorHAnsi" w:cstheme="minorHAnsi"/>
          <w:lang w:val="es-ES"/>
        </w:rPr>
      </w:pPr>
      <w:r w:rsidRPr="00D95798">
        <w:rPr>
          <w:lang w:val="es-ES"/>
        </w:rPr>
        <w:t>La estrategia define la cuestión digital como una capacidad institucional fundamental que se basa en tres objetivos y compromisos estratégicos:</w:t>
      </w:r>
    </w:p>
    <w:p w14:paraId="51E39886" w14:textId="350ED920" w:rsidR="008F76F7" w:rsidRPr="00D95798" w:rsidRDefault="008F76F7" w:rsidP="001C499D">
      <w:pPr>
        <w:pStyle w:val="enumlev1"/>
        <w:jc w:val="both"/>
        <w:rPr>
          <w:lang w:val="es-ES"/>
        </w:rPr>
      </w:pPr>
      <w:r w:rsidRPr="00D95798">
        <w:rPr>
          <w:lang w:val="es-ES"/>
        </w:rPr>
        <w:t>–</w:t>
      </w:r>
      <w:r w:rsidRPr="00D95798">
        <w:rPr>
          <w:lang w:val="es-ES"/>
        </w:rPr>
        <w:tab/>
        <w:t>Núcleo digital resiliente – Modernización de los sistemas/plataformas institucionales, la infraestructura y la ciberseguridad</w:t>
      </w:r>
      <w:r w:rsidR="00AB2BD9" w:rsidRPr="00D95798">
        <w:rPr>
          <w:lang w:val="es-ES"/>
        </w:rPr>
        <w:t>.</w:t>
      </w:r>
    </w:p>
    <w:p w14:paraId="235F252C" w14:textId="15AC6364" w:rsidR="008F76F7" w:rsidRPr="00D95798" w:rsidRDefault="008F76F7" w:rsidP="001C499D">
      <w:pPr>
        <w:pStyle w:val="enumlev1"/>
        <w:jc w:val="both"/>
        <w:rPr>
          <w:lang w:val="es-ES"/>
        </w:rPr>
      </w:pPr>
      <w:r w:rsidRPr="00D95798">
        <w:rPr>
          <w:lang w:val="es-ES"/>
        </w:rPr>
        <w:t>–</w:t>
      </w:r>
      <w:r w:rsidRPr="00D95798">
        <w:rPr>
          <w:lang w:val="es-ES"/>
        </w:rPr>
        <w:tab/>
        <w:t>Excelencia operativa digital: mejora de la prestación de servicios, la eficiencia operativa y la experiencia del usuario</w:t>
      </w:r>
      <w:r w:rsidR="00AB2BD9" w:rsidRPr="00D95798">
        <w:rPr>
          <w:lang w:val="es-ES"/>
        </w:rPr>
        <w:t>.</w:t>
      </w:r>
    </w:p>
    <w:p w14:paraId="1421D052" w14:textId="77777777" w:rsidR="008F76F7" w:rsidRPr="00D95798" w:rsidRDefault="008F76F7" w:rsidP="001C499D">
      <w:pPr>
        <w:pStyle w:val="enumlev1"/>
        <w:jc w:val="both"/>
        <w:rPr>
          <w:lang w:val="es-ES"/>
        </w:rPr>
      </w:pPr>
      <w:r w:rsidRPr="00D95798">
        <w:rPr>
          <w:lang w:val="es-ES"/>
        </w:rPr>
        <w:t>–</w:t>
      </w:r>
      <w:r w:rsidRPr="00D95798">
        <w:rPr>
          <w:lang w:val="es-ES"/>
        </w:rPr>
        <w:tab/>
        <w:t>Innovación con IA y datos – Creación de capacidades de inteligencia artificial (IA) y bases de datos preparadas para la IA para una innovación ampliable y responsable.</w:t>
      </w:r>
    </w:p>
    <w:p w14:paraId="70418A44" w14:textId="77777777" w:rsidR="008F76F7" w:rsidRPr="00D95798" w:rsidRDefault="008F76F7" w:rsidP="001C499D">
      <w:pPr>
        <w:jc w:val="both"/>
        <w:rPr>
          <w:rFonts w:asciiTheme="minorHAnsi" w:hAnsiTheme="minorHAnsi" w:cstheme="minorHAnsi"/>
          <w:lang w:val="es-ES"/>
        </w:rPr>
      </w:pPr>
      <w:r w:rsidRPr="00D95798">
        <w:rPr>
          <w:lang w:val="es-ES"/>
        </w:rPr>
        <w:t>El Plan Estratégico traduce estos compromisos en una cartera basada en programas, estructurada en cuatro programas:</w:t>
      </w:r>
    </w:p>
    <w:p w14:paraId="1D62408D" w14:textId="4C077E71" w:rsidR="008F76F7" w:rsidRPr="00D95798" w:rsidRDefault="008F76F7" w:rsidP="001C499D">
      <w:pPr>
        <w:pStyle w:val="enumlev1"/>
        <w:jc w:val="both"/>
        <w:rPr>
          <w:rFonts w:asciiTheme="minorHAnsi" w:hAnsiTheme="minorHAnsi" w:cstheme="minorHAnsi"/>
          <w:lang w:val="es-ES"/>
        </w:rPr>
      </w:pPr>
      <w:r w:rsidRPr="00D95798">
        <w:rPr>
          <w:lang w:val="es-ES"/>
        </w:rPr>
        <w:t>–</w:t>
      </w:r>
      <w:r w:rsidRPr="00D95798">
        <w:rPr>
          <w:lang w:val="es-ES"/>
        </w:rPr>
        <w:tab/>
        <w:t>Programa 1: Modernización de las plataformas institucionales – Modernizar y armonizar los sistemas institucionales básicos para permitir operaciones institucionales integradas, eficientes y ampliables.</w:t>
      </w:r>
    </w:p>
    <w:p w14:paraId="5D531FC9" w14:textId="568AA5AB" w:rsidR="008F76F7" w:rsidRPr="00D95798" w:rsidRDefault="008F76F7" w:rsidP="001C499D">
      <w:pPr>
        <w:pStyle w:val="enumlev1"/>
        <w:jc w:val="both"/>
        <w:rPr>
          <w:rFonts w:asciiTheme="minorHAnsi" w:hAnsiTheme="minorHAnsi" w:cstheme="minorHAnsi"/>
          <w:lang w:val="es-ES"/>
        </w:rPr>
      </w:pPr>
      <w:r w:rsidRPr="00D95798">
        <w:rPr>
          <w:lang w:val="es-ES"/>
        </w:rPr>
        <w:t>–</w:t>
      </w:r>
      <w:r w:rsidRPr="00D95798">
        <w:rPr>
          <w:lang w:val="es-ES"/>
        </w:rPr>
        <w:tab/>
        <w:t>Programa 2: Resiliencia Digital Central y Reducción de la Deuda Técnica – Fortalecer los pilares de infraestructura, ciberseguridad y nube, reduciendo al mismo tiempo la complejidad de los sistemas heredados y el riesgo operativo a largo plazo.</w:t>
      </w:r>
    </w:p>
    <w:p w14:paraId="58F7558F" w14:textId="20026B30" w:rsidR="008F76F7" w:rsidRPr="00D95798" w:rsidRDefault="008F76F7" w:rsidP="001C499D">
      <w:pPr>
        <w:pStyle w:val="enumlev1"/>
        <w:jc w:val="both"/>
        <w:rPr>
          <w:rFonts w:asciiTheme="minorHAnsi" w:hAnsiTheme="minorHAnsi" w:cstheme="minorHAnsi"/>
          <w:lang w:val="es-ES"/>
        </w:rPr>
      </w:pPr>
      <w:r w:rsidRPr="00D95798">
        <w:rPr>
          <w:lang w:val="es-ES"/>
        </w:rPr>
        <w:t>–</w:t>
      </w:r>
      <w:r w:rsidRPr="00D95798">
        <w:rPr>
          <w:lang w:val="es-ES"/>
        </w:rPr>
        <w:tab/>
        <w:t>Programa 3: Experiencia Digital y Excelencia Operativa — Rediseñar los cambios, procesos y servicios digitales de extremo a extremo para mejorar la eficiencia, la facilidad de uso y la experiencia de los miembros y el personal.</w:t>
      </w:r>
    </w:p>
    <w:p w14:paraId="239A2C3D" w14:textId="77777777" w:rsidR="008F76F7" w:rsidRPr="00D95798" w:rsidRDefault="008F76F7" w:rsidP="001C499D">
      <w:pPr>
        <w:pStyle w:val="enumlev1"/>
        <w:jc w:val="both"/>
        <w:rPr>
          <w:rFonts w:asciiTheme="minorHAnsi" w:hAnsiTheme="minorHAnsi" w:cstheme="minorHAnsi"/>
          <w:lang w:val="es-ES"/>
        </w:rPr>
      </w:pPr>
      <w:r w:rsidRPr="00D95798">
        <w:rPr>
          <w:lang w:val="es-ES"/>
        </w:rPr>
        <w:lastRenderedPageBreak/>
        <w:t>–</w:t>
      </w:r>
      <w:r w:rsidRPr="00D95798">
        <w:rPr>
          <w:lang w:val="es-ES"/>
        </w:rPr>
        <w:tab/>
        <w:t>Programa 4: Innovación Exponencial con IA y Datos – Establecer bases de datos preparadas para la IA y ampliar las capacidades de análisis e IA responsable para lograr operaciones y servicios inteligentes basados en datos.</w:t>
      </w:r>
    </w:p>
    <w:p w14:paraId="6C9FD91A" w14:textId="77777777" w:rsidR="008F76F7" w:rsidRPr="00D95798" w:rsidRDefault="008F76F7" w:rsidP="001C499D">
      <w:pPr>
        <w:jc w:val="both"/>
        <w:rPr>
          <w:rFonts w:asciiTheme="minorHAnsi" w:hAnsiTheme="minorHAnsi" w:cstheme="minorHAnsi"/>
          <w:lang w:val="es-ES"/>
        </w:rPr>
      </w:pPr>
      <w:r w:rsidRPr="00D95798">
        <w:rPr>
          <w:lang w:val="es-ES"/>
        </w:rPr>
        <w:t>La ejecución se estructura a través de una hoja de ruta de dos fases (2026-2027), respaldada por un marco de inversión basado en cartera, un modelo de rendimiento de Objetivos y Resultados Clave (</w:t>
      </w:r>
      <w:proofErr w:type="spellStart"/>
      <w:r w:rsidRPr="00D95798">
        <w:rPr>
          <w:lang w:val="es-ES"/>
        </w:rPr>
        <w:t>OKR</w:t>
      </w:r>
      <w:proofErr w:type="spellEnd"/>
      <w:r w:rsidRPr="00D95798">
        <w:rPr>
          <w:lang w:val="es-ES"/>
        </w:rPr>
        <w:t xml:space="preserve">) e Indicadores Fundamentales de Rendimiento (KPI), la alineación con flujos de valor institucionales y una transición hacia un modelo de entrega de </w:t>
      </w:r>
      <w:proofErr w:type="spellStart"/>
      <w:r w:rsidRPr="00D95798">
        <w:rPr>
          <w:lang w:val="es-ES"/>
        </w:rPr>
        <w:t>ISD</w:t>
      </w:r>
      <w:proofErr w:type="spellEnd"/>
      <w:r w:rsidRPr="00D95798">
        <w:rPr>
          <w:lang w:val="es-ES"/>
        </w:rPr>
        <w:t xml:space="preserve"> basado en productos. Esto establece un modelo de transformación digital disciplinado y orientado a los resultados, asegurando que todas las iniciativas estén vinculadas a las prioridades institucionales y a resultados medibles. </w:t>
      </w:r>
    </w:p>
    <w:p w14:paraId="4B58BC72" w14:textId="77777777" w:rsidR="008F76F7" w:rsidRPr="00D95798" w:rsidRDefault="008F76F7" w:rsidP="001C499D">
      <w:pPr>
        <w:pStyle w:val="Headingb"/>
        <w:jc w:val="both"/>
        <w:rPr>
          <w:lang w:val="es-ES"/>
        </w:rPr>
      </w:pPr>
      <w:r w:rsidRPr="00D95798">
        <w:rPr>
          <w:lang w:val="es-ES"/>
        </w:rPr>
        <w:t>Próximos pasos (2026-2027)</w:t>
      </w:r>
    </w:p>
    <w:p w14:paraId="264240F3" w14:textId="77777777" w:rsidR="008F76F7" w:rsidRPr="00D95798" w:rsidRDefault="008F76F7" w:rsidP="001C499D">
      <w:pPr>
        <w:pStyle w:val="enumlev1"/>
        <w:jc w:val="both"/>
        <w:rPr>
          <w:lang w:val="es-ES"/>
        </w:rPr>
      </w:pPr>
      <w:r w:rsidRPr="00D95798">
        <w:rPr>
          <w:lang w:val="es-ES"/>
        </w:rPr>
        <w:t>–</w:t>
      </w:r>
      <w:r w:rsidRPr="00D95798">
        <w:rPr>
          <w:lang w:val="es-ES"/>
        </w:rPr>
        <w:tab/>
        <w:t xml:space="preserve">Respaldo y aprobación oficiales por el </w:t>
      </w:r>
      <w:proofErr w:type="spellStart"/>
      <w:r w:rsidRPr="00D95798">
        <w:rPr>
          <w:lang w:val="es-ES"/>
        </w:rPr>
        <w:t>ICTGC</w:t>
      </w:r>
      <w:proofErr w:type="spellEnd"/>
      <w:r w:rsidRPr="00D95798">
        <w:rPr>
          <w:lang w:val="es-ES"/>
        </w:rPr>
        <w:t xml:space="preserve"> y la Secretaria General, e implantación de la Estrategia y el Plan Estratégico</w:t>
      </w:r>
    </w:p>
    <w:p w14:paraId="56C27475" w14:textId="77777777" w:rsidR="008F76F7" w:rsidRPr="00D95798" w:rsidRDefault="008F76F7" w:rsidP="001C499D">
      <w:pPr>
        <w:pStyle w:val="enumlev1"/>
        <w:jc w:val="both"/>
        <w:rPr>
          <w:lang w:val="es-ES"/>
        </w:rPr>
      </w:pPr>
      <w:r w:rsidRPr="00D95798">
        <w:rPr>
          <w:lang w:val="es-ES"/>
        </w:rPr>
        <w:t>–</w:t>
      </w:r>
      <w:r w:rsidRPr="00D95798">
        <w:rPr>
          <w:lang w:val="es-ES"/>
        </w:rPr>
        <w:tab/>
        <w:t>Puesta en marcha de programas prioritarios (ERP, CRM, nube, ciberseguridad, datos/IA)</w:t>
      </w:r>
    </w:p>
    <w:p w14:paraId="7CFA7F99" w14:textId="77777777" w:rsidR="008F76F7" w:rsidRPr="00D95798" w:rsidRDefault="008F76F7" w:rsidP="001C499D">
      <w:pPr>
        <w:pStyle w:val="enumlev1"/>
        <w:jc w:val="both"/>
        <w:rPr>
          <w:lang w:val="es-ES"/>
        </w:rPr>
      </w:pPr>
      <w:r w:rsidRPr="00D95798">
        <w:rPr>
          <w:lang w:val="es-ES"/>
        </w:rPr>
        <w:t>–</w:t>
      </w:r>
      <w:r w:rsidRPr="00D95798">
        <w:rPr>
          <w:lang w:val="es-ES"/>
        </w:rPr>
        <w:tab/>
        <w:t xml:space="preserve">Aplicación de la gobernanza de cartera y supervisión de </w:t>
      </w:r>
      <w:proofErr w:type="spellStart"/>
      <w:r w:rsidRPr="00D95798">
        <w:rPr>
          <w:lang w:val="es-ES"/>
        </w:rPr>
        <w:t>OKR</w:t>
      </w:r>
      <w:proofErr w:type="spellEnd"/>
    </w:p>
    <w:p w14:paraId="30FDFB48" w14:textId="77777777" w:rsidR="008F76F7" w:rsidRPr="00D95798" w:rsidRDefault="008F76F7" w:rsidP="001C499D">
      <w:pPr>
        <w:pStyle w:val="enumlev1"/>
        <w:jc w:val="both"/>
        <w:rPr>
          <w:lang w:val="es-ES"/>
        </w:rPr>
      </w:pPr>
      <w:r w:rsidRPr="00D95798">
        <w:rPr>
          <w:lang w:val="es-ES"/>
        </w:rPr>
        <w:t>–</w:t>
      </w:r>
      <w:r w:rsidRPr="00D95798">
        <w:rPr>
          <w:lang w:val="es-ES"/>
        </w:rPr>
        <w:tab/>
        <w:t>Preparación de la Estrategia Digital 2028-2031.</w:t>
      </w:r>
    </w:p>
    <w:p w14:paraId="1A9DC5CF" w14:textId="77777777" w:rsidR="008F76F7" w:rsidRPr="00D95798" w:rsidRDefault="008F76F7" w:rsidP="00E50AAB">
      <w:pPr>
        <w:pStyle w:val="Heading2"/>
        <w:rPr>
          <w:lang w:val="es-ES"/>
        </w:rPr>
      </w:pPr>
      <w:r w:rsidRPr="00D95798">
        <w:rPr>
          <w:lang w:val="es-ES"/>
        </w:rPr>
        <w:t>2.2</w:t>
      </w:r>
      <w:r w:rsidRPr="00D95798">
        <w:rPr>
          <w:lang w:val="es-ES"/>
        </w:rPr>
        <w:tab/>
        <w:t>Puesta en marcha del Programa de Arquitectura Institucional</w:t>
      </w:r>
    </w:p>
    <w:p w14:paraId="31BA6912" w14:textId="77777777" w:rsidR="008F76F7" w:rsidRPr="00FF69A0" w:rsidRDefault="008F76F7" w:rsidP="001C499D">
      <w:pPr>
        <w:jc w:val="both"/>
        <w:rPr>
          <w:spacing w:val="-3"/>
          <w:lang w:val="es-ES"/>
        </w:rPr>
      </w:pPr>
      <w:r w:rsidRPr="00FF69A0">
        <w:rPr>
          <w:spacing w:val="-3"/>
          <w:lang w:val="es-ES"/>
        </w:rPr>
        <w:t xml:space="preserve">La Arquitectura Institucional se puso en marcha en octubre de 2025 como fase 1 del programa de arquitectura institucional de la UIT, con el apoyo del Centro Internacional de Cálculos Electrónicos de las Naciones Unidas (CICE). Los primeros resultados se comunicaron en marzo de 2026 y constituyen la primera evaluación exhaustiva y empírica del panorama digital de la UIT. </w:t>
      </w:r>
    </w:p>
    <w:p w14:paraId="575DAD55" w14:textId="77777777" w:rsidR="008F76F7" w:rsidRPr="00D95798" w:rsidRDefault="008F76F7" w:rsidP="001C499D">
      <w:pPr>
        <w:jc w:val="both"/>
        <w:rPr>
          <w:rFonts w:cstheme="minorHAnsi"/>
          <w:lang w:val="es-ES"/>
        </w:rPr>
      </w:pPr>
      <w:r w:rsidRPr="00D95798">
        <w:rPr>
          <w:lang w:val="es-ES"/>
        </w:rPr>
        <w:t>La fase 1 se centró en comprender claramente la arquitectura actual, establecer cuáles eran las limitaciones estructurales y definir los elementos fundamentales necesarios para guiar la transformación digital de la UIT. Proporcionó:</w:t>
      </w:r>
    </w:p>
    <w:p w14:paraId="3FCF6EE5" w14:textId="77777777" w:rsidR="008F76F7" w:rsidRPr="00D95798" w:rsidRDefault="008F76F7" w:rsidP="001C499D">
      <w:pPr>
        <w:pStyle w:val="enumlev1"/>
        <w:jc w:val="both"/>
        <w:rPr>
          <w:lang w:val="es-ES"/>
        </w:rPr>
      </w:pPr>
      <w:r w:rsidRPr="00D95798">
        <w:rPr>
          <w:lang w:val="es-ES"/>
        </w:rPr>
        <w:t>–</w:t>
      </w:r>
      <w:r w:rsidRPr="00D95798">
        <w:rPr>
          <w:lang w:val="es-ES"/>
        </w:rPr>
        <w:tab/>
        <w:t>Una evaluación exhaustiva del panorama de aplicaciones, datos e infraestructura de la UIT, destacando la fragmentación, duplicación y complejidad (400+ aplicaciones, la mayoría personalizadas)</w:t>
      </w:r>
    </w:p>
    <w:p w14:paraId="13DE18F1" w14:textId="77777777" w:rsidR="008F76F7" w:rsidRPr="00D95798" w:rsidRDefault="008F76F7" w:rsidP="001C499D">
      <w:pPr>
        <w:pStyle w:val="enumlev1"/>
        <w:jc w:val="both"/>
        <w:rPr>
          <w:lang w:val="es-ES"/>
        </w:rPr>
      </w:pPr>
      <w:r w:rsidRPr="00D95798">
        <w:rPr>
          <w:lang w:val="es-ES"/>
        </w:rPr>
        <w:t>–</w:t>
      </w:r>
      <w:r w:rsidRPr="00D95798">
        <w:rPr>
          <w:lang w:val="es-ES"/>
        </w:rPr>
        <w:tab/>
        <w:t>Una evaluación de la madurez de la arquitectura institucional, confirmando la necesidad de una gobernanza estructurada y el desarrollo de capacidades, y una base de referencia baja de Nivel 1,2 (</w:t>
      </w:r>
      <w:r w:rsidRPr="00D95798">
        <w:rPr>
          <w:i/>
          <w:iCs/>
          <w:lang w:val="es-ES"/>
        </w:rPr>
        <w:t>ad-hoc</w:t>
      </w:r>
      <w:r w:rsidRPr="00D95798">
        <w:rPr>
          <w:lang w:val="es-ES"/>
        </w:rPr>
        <w:t>) sobre 5. El nivel de madurez se evaluó de acuerdo con el Marco de Arquitectura de Grupo Abierto (</w:t>
      </w:r>
      <w:proofErr w:type="spellStart"/>
      <w:r w:rsidRPr="00D95798">
        <w:rPr>
          <w:lang w:val="es-ES"/>
        </w:rPr>
        <w:t>TOGAF</w:t>
      </w:r>
      <w:proofErr w:type="spellEnd"/>
      <w:r w:rsidRPr="00D95798">
        <w:rPr>
          <w:lang w:val="es-ES"/>
        </w:rPr>
        <w:t xml:space="preserve">). El marco completo de Arquitectura Institucional utilizado a nivel mundial. </w:t>
      </w:r>
    </w:p>
    <w:p w14:paraId="4A6F8F8C" w14:textId="77777777" w:rsidR="008F76F7" w:rsidRPr="00D95798" w:rsidRDefault="008F76F7" w:rsidP="001C499D">
      <w:pPr>
        <w:pStyle w:val="enumlev1"/>
        <w:jc w:val="both"/>
        <w:rPr>
          <w:lang w:val="es-ES"/>
        </w:rPr>
      </w:pPr>
      <w:r w:rsidRPr="00D95798">
        <w:rPr>
          <w:lang w:val="es-ES"/>
        </w:rPr>
        <w:t>–</w:t>
      </w:r>
      <w:r w:rsidRPr="00D95798">
        <w:rPr>
          <w:lang w:val="es-ES"/>
        </w:rPr>
        <w:tab/>
        <w:t>Identificación de los principales problemas estructurales, incluida la deuda técnica, el aislamiento de las inversiones, la falta de interoperabilidad y la ausencia de gobernanza de datos en toda la institución.</w:t>
      </w:r>
    </w:p>
    <w:p w14:paraId="34E2B7F7" w14:textId="77777777" w:rsidR="008F76F7" w:rsidRPr="00D95798" w:rsidRDefault="008F76F7" w:rsidP="001C499D">
      <w:pPr>
        <w:pStyle w:val="enumlev1"/>
        <w:jc w:val="both"/>
        <w:rPr>
          <w:lang w:val="es-ES"/>
        </w:rPr>
      </w:pPr>
      <w:r w:rsidRPr="00D95798">
        <w:rPr>
          <w:lang w:val="es-ES"/>
        </w:rPr>
        <w:t>–</w:t>
      </w:r>
      <w:r w:rsidRPr="00D95798">
        <w:rPr>
          <w:lang w:val="es-ES"/>
        </w:rPr>
        <w:tab/>
        <w:t>Una visión consolidada de los riesgos y las dependencias, que sirve de base para priorizar los esfuerzos de modernización.</w:t>
      </w:r>
    </w:p>
    <w:p w14:paraId="78B84ADB" w14:textId="77777777" w:rsidR="008F76F7" w:rsidRPr="00D95798" w:rsidRDefault="008F76F7" w:rsidP="001C499D">
      <w:pPr>
        <w:keepNext/>
        <w:keepLines/>
        <w:jc w:val="both"/>
        <w:rPr>
          <w:rFonts w:asciiTheme="minorHAnsi" w:hAnsiTheme="minorHAnsi" w:cstheme="minorHAnsi"/>
          <w:lang w:val="es-ES"/>
        </w:rPr>
      </w:pPr>
      <w:r w:rsidRPr="00D95798">
        <w:rPr>
          <w:lang w:val="es-ES"/>
        </w:rPr>
        <w:t>Sobre la base de esta evaluación, en la fase 1 también se establecieron las bases para la arquitectura objetivo, entre ellas:</w:t>
      </w:r>
    </w:p>
    <w:p w14:paraId="511CA260" w14:textId="77777777" w:rsidR="008F76F7" w:rsidRPr="00D95798" w:rsidRDefault="008F76F7" w:rsidP="001C499D">
      <w:pPr>
        <w:pStyle w:val="enumlev1"/>
        <w:jc w:val="both"/>
        <w:rPr>
          <w:lang w:val="es-ES"/>
        </w:rPr>
      </w:pPr>
      <w:r w:rsidRPr="00D95798">
        <w:rPr>
          <w:lang w:val="es-ES"/>
        </w:rPr>
        <w:t>–</w:t>
      </w:r>
      <w:r w:rsidRPr="00D95798">
        <w:rPr>
          <w:lang w:val="es-ES"/>
        </w:rPr>
        <w:tab/>
        <w:t>Un conjunto de 25 principios de Arquitectura Institucional para guiar todas las futuras inversiones y decisiones digitales</w:t>
      </w:r>
    </w:p>
    <w:p w14:paraId="528E2F97" w14:textId="77777777" w:rsidR="008F76F7" w:rsidRPr="00D95798" w:rsidRDefault="008F76F7" w:rsidP="001C499D">
      <w:pPr>
        <w:pStyle w:val="enumlev1"/>
        <w:jc w:val="both"/>
        <w:rPr>
          <w:lang w:val="es-ES"/>
        </w:rPr>
      </w:pPr>
      <w:r w:rsidRPr="00D95798">
        <w:rPr>
          <w:lang w:val="es-ES"/>
        </w:rPr>
        <w:lastRenderedPageBreak/>
        <w:t>–</w:t>
      </w:r>
      <w:r w:rsidRPr="00D95798">
        <w:rPr>
          <w:lang w:val="es-ES"/>
        </w:rPr>
        <w:tab/>
        <w:t>Un modelo de arquitectura federada, en el que se equilibran las normas centralizadas con la flexibilidad específica del sector.</w:t>
      </w:r>
    </w:p>
    <w:p w14:paraId="33C49138" w14:textId="77777777" w:rsidR="008F76F7" w:rsidRPr="00D95798" w:rsidRDefault="008F76F7" w:rsidP="001C499D">
      <w:pPr>
        <w:pStyle w:val="enumlev1"/>
        <w:jc w:val="both"/>
        <w:rPr>
          <w:lang w:val="es-ES"/>
        </w:rPr>
      </w:pPr>
      <w:r w:rsidRPr="00D95798">
        <w:rPr>
          <w:lang w:val="es-ES"/>
        </w:rPr>
        <w:t>–</w:t>
      </w:r>
      <w:r w:rsidRPr="00D95798">
        <w:rPr>
          <w:lang w:val="es-ES"/>
        </w:rPr>
        <w:tab/>
        <w:t>Introducción de la Arquitectura Institucional como una capa de control de gobernanza obligatoria y creación de un plan de arquitectura objetivo para definir la dirección para un ecosistema digital más integrado, ampliable y seguro</w:t>
      </w:r>
    </w:p>
    <w:p w14:paraId="1703D143" w14:textId="5415FC8D" w:rsidR="008F76F7" w:rsidRPr="00D95798" w:rsidRDefault="008F76F7" w:rsidP="001C499D">
      <w:pPr>
        <w:pStyle w:val="enumlev1"/>
        <w:jc w:val="both"/>
        <w:rPr>
          <w:lang w:val="es-ES"/>
        </w:rPr>
      </w:pPr>
      <w:r w:rsidRPr="00D95798">
        <w:rPr>
          <w:lang w:val="es-ES"/>
        </w:rPr>
        <w:t>–</w:t>
      </w:r>
      <w:r w:rsidRPr="00D95798">
        <w:rPr>
          <w:lang w:val="es-ES"/>
        </w:rPr>
        <w:tab/>
        <w:t>Un conjunto de recomendaciones prioritarias y una hoja de ruta para reducir la fragmentación y mejorar progresivamente la madurez de la arquitectura hasta el nivel</w:t>
      </w:r>
      <w:r w:rsidR="00A7442A" w:rsidRPr="00D95798">
        <w:rPr>
          <w:lang w:val="es-ES"/>
        </w:rPr>
        <w:t> </w:t>
      </w:r>
      <w:r w:rsidRPr="00D95798">
        <w:rPr>
          <w:lang w:val="es-ES"/>
        </w:rPr>
        <w:t>3 (gestionado) para finales de 2027. Los principios y recomendaciones de la Arquitectura Institucional se elaboraron en estrecha colaboración con los Sectores de la UIT y la Secretaría General, garantizando que reflejan un enfoque unificado e institucionalmente armonizado de la transformación digital.</w:t>
      </w:r>
    </w:p>
    <w:p w14:paraId="087FA87F" w14:textId="77777777" w:rsidR="008F76F7" w:rsidRPr="00D95798" w:rsidRDefault="008F76F7" w:rsidP="001C499D">
      <w:pPr>
        <w:jc w:val="both"/>
        <w:rPr>
          <w:lang w:val="es-ES"/>
        </w:rPr>
      </w:pPr>
      <w:r w:rsidRPr="00D95798">
        <w:rPr>
          <w:lang w:val="es-ES"/>
        </w:rPr>
        <w:t>En conjunto, estos productos convierten a la Arquitectura Institucional en un facilitador fundamental y una disciplina de gobernanza, garantizando que las inversiones futuras sean coherentes, interoperables y estén alineadas con las prioridades estratégicas de la UIT.</w:t>
      </w:r>
    </w:p>
    <w:p w14:paraId="246FC99C" w14:textId="77777777" w:rsidR="008F76F7" w:rsidRPr="00D95798" w:rsidRDefault="008F76F7" w:rsidP="00E50AAB">
      <w:pPr>
        <w:pStyle w:val="Headingb"/>
        <w:rPr>
          <w:lang w:val="es-ES"/>
        </w:rPr>
      </w:pPr>
      <w:r w:rsidRPr="00D95798">
        <w:rPr>
          <w:lang w:val="es-ES"/>
        </w:rPr>
        <w:t>Próximos pasos</w:t>
      </w:r>
    </w:p>
    <w:p w14:paraId="6F96255C" w14:textId="6A867FDE" w:rsidR="008F76F7" w:rsidRPr="00D95798" w:rsidRDefault="008F76F7" w:rsidP="001C499D">
      <w:pPr>
        <w:pStyle w:val="enumlev1"/>
        <w:jc w:val="both"/>
        <w:rPr>
          <w:lang w:val="es-ES"/>
        </w:rPr>
      </w:pPr>
      <w:r w:rsidRPr="00D95798">
        <w:rPr>
          <w:lang w:val="es-ES"/>
        </w:rPr>
        <w:t>–</w:t>
      </w:r>
      <w:r w:rsidRPr="00D95798">
        <w:rPr>
          <w:lang w:val="es-ES"/>
        </w:rPr>
        <w:tab/>
        <w:t>Adopción formal del modelo de gobernanza y los principios de la Arquitectura Institucional</w:t>
      </w:r>
      <w:r w:rsidR="00A7442A" w:rsidRPr="00D95798">
        <w:rPr>
          <w:lang w:val="es-ES"/>
        </w:rPr>
        <w:t>.</w:t>
      </w:r>
    </w:p>
    <w:p w14:paraId="6E242365" w14:textId="44E44EE6" w:rsidR="008F76F7" w:rsidRPr="00D95798" w:rsidRDefault="008F76F7" w:rsidP="001C499D">
      <w:pPr>
        <w:pStyle w:val="enumlev1"/>
        <w:jc w:val="both"/>
        <w:rPr>
          <w:lang w:val="es-ES"/>
        </w:rPr>
      </w:pPr>
      <w:r w:rsidRPr="00D95798">
        <w:rPr>
          <w:lang w:val="es-ES"/>
        </w:rPr>
        <w:t>–</w:t>
      </w:r>
      <w:r w:rsidRPr="00D95798">
        <w:rPr>
          <w:lang w:val="es-ES"/>
        </w:rPr>
        <w:tab/>
        <w:t>Creación de la Junta de Arquitectura Institucional (</w:t>
      </w:r>
      <w:proofErr w:type="spellStart"/>
      <w:r w:rsidRPr="00D95798">
        <w:rPr>
          <w:lang w:val="es-ES"/>
        </w:rPr>
        <w:t>EAB</w:t>
      </w:r>
      <w:proofErr w:type="spellEnd"/>
      <w:r w:rsidRPr="00D95798">
        <w:rPr>
          <w:lang w:val="es-ES"/>
        </w:rPr>
        <w:t>)</w:t>
      </w:r>
      <w:r w:rsidR="00A7442A" w:rsidRPr="00D95798">
        <w:rPr>
          <w:lang w:val="es-ES"/>
        </w:rPr>
        <w:t>.</w:t>
      </w:r>
    </w:p>
    <w:p w14:paraId="7B6EC5F6" w14:textId="05B3B2F0" w:rsidR="008F76F7" w:rsidRPr="00D95798" w:rsidRDefault="008F76F7" w:rsidP="001C499D">
      <w:pPr>
        <w:pStyle w:val="enumlev1"/>
        <w:jc w:val="both"/>
        <w:rPr>
          <w:lang w:val="es-ES"/>
        </w:rPr>
      </w:pPr>
      <w:r w:rsidRPr="00D95798">
        <w:rPr>
          <w:lang w:val="es-ES"/>
        </w:rPr>
        <w:t>–</w:t>
      </w:r>
      <w:r w:rsidRPr="00D95798">
        <w:rPr>
          <w:lang w:val="es-ES"/>
        </w:rPr>
        <w:tab/>
        <w:t>Integración de la Arquitectura Institucional en todas las decisiones de inversión y adquisiciones</w:t>
      </w:r>
      <w:r w:rsidR="00A7442A" w:rsidRPr="00D95798">
        <w:rPr>
          <w:lang w:val="es-ES"/>
        </w:rPr>
        <w:t>.</w:t>
      </w:r>
    </w:p>
    <w:p w14:paraId="63AD5A56" w14:textId="59E44B72" w:rsidR="008F76F7" w:rsidRPr="00D95798" w:rsidRDefault="008F76F7" w:rsidP="001C499D">
      <w:pPr>
        <w:pStyle w:val="enumlev1"/>
        <w:jc w:val="both"/>
        <w:rPr>
          <w:lang w:val="es-ES"/>
        </w:rPr>
      </w:pPr>
      <w:r w:rsidRPr="00D95798">
        <w:rPr>
          <w:lang w:val="es-ES"/>
        </w:rPr>
        <w:t>–</w:t>
      </w:r>
      <w:r w:rsidRPr="00D95798">
        <w:rPr>
          <w:lang w:val="es-ES"/>
        </w:rPr>
        <w:tab/>
        <w:t>Aplicación de puntos de revisión de la arquitectura</w:t>
      </w:r>
      <w:r w:rsidR="00A7442A" w:rsidRPr="00D95798">
        <w:rPr>
          <w:lang w:val="es-ES"/>
        </w:rPr>
        <w:t>.</w:t>
      </w:r>
    </w:p>
    <w:p w14:paraId="0C6F8BB5" w14:textId="77777777" w:rsidR="008F76F7" w:rsidRPr="00D95798" w:rsidRDefault="008F76F7" w:rsidP="001C499D">
      <w:pPr>
        <w:pStyle w:val="enumlev1"/>
        <w:jc w:val="both"/>
        <w:rPr>
          <w:lang w:val="es-ES"/>
        </w:rPr>
      </w:pPr>
      <w:r w:rsidRPr="00D95798">
        <w:rPr>
          <w:lang w:val="es-ES"/>
        </w:rPr>
        <w:t>–</w:t>
      </w:r>
      <w:r w:rsidRPr="00D95798">
        <w:rPr>
          <w:lang w:val="es-ES"/>
        </w:rPr>
        <w:tab/>
        <w:t>Ejecución de la hoja de ruta de arquitectura (identidad, datos, ERP, integración, nube).</w:t>
      </w:r>
    </w:p>
    <w:p w14:paraId="2E4F58E6" w14:textId="77777777" w:rsidR="008F76F7" w:rsidRPr="00D95798" w:rsidRDefault="008F76F7" w:rsidP="00E50AAB">
      <w:pPr>
        <w:pStyle w:val="Heading2"/>
        <w:rPr>
          <w:lang w:val="es-ES"/>
        </w:rPr>
      </w:pPr>
      <w:r w:rsidRPr="00D95798">
        <w:rPr>
          <w:lang w:val="es-ES"/>
        </w:rPr>
        <w:t>2.3</w:t>
      </w:r>
      <w:r w:rsidRPr="00D95798">
        <w:rPr>
          <w:lang w:val="es-ES"/>
        </w:rPr>
        <w:tab/>
        <w:t>Perfeccionamiento del Marco de Gobernanza Digital</w:t>
      </w:r>
    </w:p>
    <w:p w14:paraId="35124799" w14:textId="5FE000BE" w:rsidR="008F76F7" w:rsidRPr="00D95798" w:rsidRDefault="008F76F7" w:rsidP="001C499D">
      <w:pPr>
        <w:jc w:val="both"/>
        <w:rPr>
          <w:rFonts w:asciiTheme="minorHAnsi" w:hAnsiTheme="minorHAnsi" w:cstheme="minorBidi"/>
          <w:lang w:val="es-ES"/>
        </w:rPr>
      </w:pPr>
      <w:r w:rsidRPr="00D95798">
        <w:rPr>
          <w:lang w:val="es-ES"/>
        </w:rPr>
        <w:t>En la Carta de Gobernanza Digital prevista se establece un modelo de gobernanza moderno para toda la empresa para la transformación digital de la UIT, haciendo que la Unión pase de la gobernanza tradicional de las TIC a una gobernanza digital integrada.</w:t>
      </w:r>
    </w:p>
    <w:p w14:paraId="19517C78" w14:textId="77777777" w:rsidR="008F76F7" w:rsidRPr="00D95798" w:rsidRDefault="008F76F7" w:rsidP="001C499D">
      <w:pPr>
        <w:jc w:val="both"/>
        <w:rPr>
          <w:rFonts w:asciiTheme="minorHAnsi" w:hAnsiTheme="minorHAnsi" w:cstheme="minorBidi"/>
          <w:lang w:val="es-ES"/>
        </w:rPr>
      </w:pPr>
      <w:r w:rsidRPr="00D95798">
        <w:rPr>
          <w:lang w:val="es-ES"/>
        </w:rPr>
        <w:t xml:space="preserve">Un elemento clave de la carta perfeccionada es la evolución del </w:t>
      </w:r>
      <w:proofErr w:type="spellStart"/>
      <w:r w:rsidRPr="00D95798">
        <w:rPr>
          <w:lang w:val="es-ES"/>
        </w:rPr>
        <w:t>ICTGC</w:t>
      </w:r>
      <w:proofErr w:type="spellEnd"/>
      <w:r w:rsidRPr="00D95798">
        <w:rPr>
          <w:lang w:val="es-ES"/>
        </w:rPr>
        <w:t xml:space="preserve"> hacia una Junta de Gobernanza Digital (</w:t>
      </w:r>
      <w:proofErr w:type="spellStart"/>
      <w:r w:rsidRPr="00D95798">
        <w:rPr>
          <w:lang w:val="es-ES"/>
        </w:rPr>
        <w:t>DGB</w:t>
      </w:r>
      <w:proofErr w:type="spellEnd"/>
      <w:r w:rsidRPr="00D95798">
        <w:rPr>
          <w:lang w:val="es-ES"/>
        </w:rPr>
        <w:t>) más amplia, con un mandato que abarca:</w:t>
      </w:r>
    </w:p>
    <w:p w14:paraId="6620D0CC" w14:textId="6D709B15" w:rsidR="008F76F7" w:rsidRPr="00D95798" w:rsidRDefault="008F76F7" w:rsidP="001C499D">
      <w:pPr>
        <w:pStyle w:val="enumlev1"/>
        <w:jc w:val="both"/>
        <w:rPr>
          <w:lang w:val="es-ES"/>
        </w:rPr>
      </w:pPr>
      <w:r w:rsidRPr="00D95798">
        <w:rPr>
          <w:lang w:val="es-ES"/>
        </w:rPr>
        <w:t>–</w:t>
      </w:r>
      <w:r w:rsidRPr="00D95798">
        <w:rPr>
          <w:lang w:val="es-ES"/>
        </w:rPr>
        <w:tab/>
        <w:t>la supervisión de la estrategia y la transformación digital</w:t>
      </w:r>
      <w:r w:rsidR="00D95798" w:rsidRPr="00D95798">
        <w:rPr>
          <w:lang w:val="es-ES"/>
        </w:rPr>
        <w:t>.</w:t>
      </w:r>
    </w:p>
    <w:p w14:paraId="13F70DB6" w14:textId="071986E5" w:rsidR="008F76F7" w:rsidRPr="00D95798" w:rsidRDefault="008F76F7" w:rsidP="001C499D">
      <w:pPr>
        <w:pStyle w:val="enumlev1"/>
        <w:jc w:val="both"/>
        <w:rPr>
          <w:lang w:val="es-ES"/>
        </w:rPr>
      </w:pPr>
      <w:r w:rsidRPr="00D95798">
        <w:rPr>
          <w:lang w:val="es-ES"/>
        </w:rPr>
        <w:t>–</w:t>
      </w:r>
      <w:r w:rsidRPr="00D95798">
        <w:rPr>
          <w:lang w:val="es-ES"/>
        </w:rPr>
        <w:tab/>
        <w:t>la priorización de inversiones y la gobernanza de carteras</w:t>
      </w:r>
      <w:r w:rsidR="00D95798" w:rsidRPr="00D95798">
        <w:rPr>
          <w:lang w:val="es-ES"/>
        </w:rPr>
        <w:t>.</w:t>
      </w:r>
    </w:p>
    <w:p w14:paraId="07D5AC4D" w14:textId="5821DA71" w:rsidR="008F76F7" w:rsidRPr="00D95798" w:rsidRDefault="008F76F7" w:rsidP="001C499D">
      <w:pPr>
        <w:pStyle w:val="enumlev1"/>
        <w:jc w:val="both"/>
        <w:rPr>
          <w:lang w:val="es-ES"/>
        </w:rPr>
      </w:pPr>
      <w:r w:rsidRPr="00D95798">
        <w:rPr>
          <w:lang w:val="es-ES"/>
        </w:rPr>
        <w:t>–</w:t>
      </w:r>
      <w:r w:rsidRPr="00D95798">
        <w:rPr>
          <w:lang w:val="es-ES"/>
        </w:rPr>
        <w:tab/>
        <w:t>la arquitectura institucional</w:t>
      </w:r>
      <w:r w:rsidR="00D95798" w:rsidRPr="00D95798">
        <w:rPr>
          <w:lang w:val="es-ES"/>
        </w:rPr>
        <w:t>.</w:t>
      </w:r>
    </w:p>
    <w:p w14:paraId="2B3FCDC1" w14:textId="39CBF0C1" w:rsidR="008F76F7" w:rsidRPr="00D95798" w:rsidRDefault="008F76F7" w:rsidP="001C499D">
      <w:pPr>
        <w:pStyle w:val="enumlev1"/>
        <w:jc w:val="both"/>
        <w:rPr>
          <w:lang w:val="es-ES"/>
        </w:rPr>
      </w:pPr>
      <w:r w:rsidRPr="00D95798">
        <w:rPr>
          <w:lang w:val="es-ES"/>
        </w:rPr>
        <w:t>–</w:t>
      </w:r>
      <w:r w:rsidRPr="00D95798">
        <w:rPr>
          <w:lang w:val="es-ES"/>
        </w:rPr>
        <w:tab/>
        <w:t>la gobernanza de IA y datos</w:t>
      </w:r>
      <w:r w:rsidR="00D95798" w:rsidRPr="00D95798">
        <w:rPr>
          <w:lang w:val="es-ES"/>
        </w:rPr>
        <w:t>.</w:t>
      </w:r>
    </w:p>
    <w:p w14:paraId="49C53F67" w14:textId="77777777" w:rsidR="008F76F7" w:rsidRPr="00D95798" w:rsidRDefault="008F76F7" w:rsidP="001C499D">
      <w:pPr>
        <w:pStyle w:val="enumlev1"/>
        <w:jc w:val="both"/>
        <w:rPr>
          <w:lang w:val="es-ES"/>
        </w:rPr>
      </w:pPr>
      <w:r w:rsidRPr="00D95798">
        <w:rPr>
          <w:lang w:val="es-ES"/>
        </w:rPr>
        <w:t>–</w:t>
      </w:r>
      <w:r w:rsidRPr="00D95798">
        <w:rPr>
          <w:lang w:val="es-ES"/>
        </w:rPr>
        <w:tab/>
        <w:t>la ciberseguridad y la resiliencia digital.</w:t>
      </w:r>
    </w:p>
    <w:p w14:paraId="2F1E278A" w14:textId="77777777" w:rsidR="008F76F7" w:rsidRPr="00D95798" w:rsidRDefault="008F76F7" w:rsidP="001C499D">
      <w:pPr>
        <w:keepNext/>
        <w:keepLines/>
        <w:jc w:val="both"/>
        <w:rPr>
          <w:lang w:val="es-ES"/>
        </w:rPr>
      </w:pPr>
      <w:r w:rsidRPr="00D95798">
        <w:rPr>
          <w:lang w:val="es-ES"/>
        </w:rPr>
        <w:t>El marco introduce un modelo de gobernanza en tres niveles:</w:t>
      </w:r>
    </w:p>
    <w:p w14:paraId="32DF99CC" w14:textId="73F86350" w:rsidR="008F76F7" w:rsidRPr="00D95798" w:rsidRDefault="008F76F7" w:rsidP="001C499D">
      <w:pPr>
        <w:pStyle w:val="enumlev1"/>
        <w:keepNext/>
        <w:keepLines/>
        <w:jc w:val="both"/>
        <w:rPr>
          <w:lang w:val="es-ES"/>
        </w:rPr>
      </w:pPr>
      <w:r w:rsidRPr="00D95798">
        <w:rPr>
          <w:lang w:val="es-ES"/>
        </w:rPr>
        <w:t>–</w:t>
      </w:r>
      <w:r w:rsidRPr="00D95798">
        <w:rPr>
          <w:lang w:val="es-ES"/>
        </w:rPr>
        <w:tab/>
        <w:t>la gobernanza estratégica (</w:t>
      </w:r>
      <w:proofErr w:type="spellStart"/>
      <w:r w:rsidRPr="00D95798">
        <w:rPr>
          <w:lang w:val="es-ES"/>
        </w:rPr>
        <w:t>DGB</w:t>
      </w:r>
      <w:proofErr w:type="spellEnd"/>
      <w:r w:rsidRPr="00D95798">
        <w:rPr>
          <w:lang w:val="es-ES"/>
        </w:rPr>
        <w:t>)</w:t>
      </w:r>
      <w:r w:rsidR="00D95798" w:rsidRPr="00D95798">
        <w:rPr>
          <w:lang w:val="es-ES"/>
        </w:rPr>
        <w:t>.</w:t>
      </w:r>
    </w:p>
    <w:p w14:paraId="471BF795" w14:textId="738275B5" w:rsidR="008F76F7" w:rsidRPr="00D95798" w:rsidRDefault="008F76F7" w:rsidP="001C499D">
      <w:pPr>
        <w:pStyle w:val="enumlev1"/>
        <w:keepNext/>
        <w:keepLines/>
        <w:jc w:val="both"/>
        <w:rPr>
          <w:lang w:val="es-ES"/>
        </w:rPr>
      </w:pPr>
      <w:r w:rsidRPr="00D95798">
        <w:rPr>
          <w:lang w:val="es-ES"/>
        </w:rPr>
        <w:t>–</w:t>
      </w:r>
      <w:r w:rsidRPr="00D95798">
        <w:rPr>
          <w:lang w:val="es-ES"/>
        </w:rPr>
        <w:tab/>
        <w:t xml:space="preserve">la gobernanza de arquitectura y cartera (Oficina del Jefe de Información (OCIO) y </w:t>
      </w:r>
      <w:proofErr w:type="spellStart"/>
      <w:r w:rsidRPr="00D95798">
        <w:rPr>
          <w:lang w:val="es-ES"/>
        </w:rPr>
        <w:t>EAB</w:t>
      </w:r>
      <w:proofErr w:type="spellEnd"/>
      <w:r w:rsidRPr="00D95798">
        <w:rPr>
          <w:lang w:val="es-ES"/>
        </w:rPr>
        <w:t>)</w:t>
      </w:r>
      <w:r w:rsidR="00D95798" w:rsidRPr="00D95798">
        <w:rPr>
          <w:lang w:val="es-ES"/>
        </w:rPr>
        <w:t>.</w:t>
      </w:r>
    </w:p>
    <w:p w14:paraId="16F5EC1E" w14:textId="77777777" w:rsidR="008F76F7" w:rsidRPr="00D95798" w:rsidRDefault="008F76F7" w:rsidP="001C499D">
      <w:pPr>
        <w:pStyle w:val="enumlev1"/>
        <w:jc w:val="both"/>
        <w:rPr>
          <w:lang w:val="es-ES"/>
        </w:rPr>
      </w:pPr>
      <w:r w:rsidRPr="00D95798">
        <w:rPr>
          <w:lang w:val="es-ES"/>
        </w:rPr>
        <w:t>–</w:t>
      </w:r>
      <w:r w:rsidRPr="00D95798">
        <w:rPr>
          <w:lang w:val="es-ES"/>
        </w:rPr>
        <w:tab/>
        <w:t>la gobernanza de la prestación (programas y equipos de productos).</w:t>
      </w:r>
    </w:p>
    <w:p w14:paraId="736FFE55" w14:textId="77777777" w:rsidR="008F76F7" w:rsidRPr="00D95798" w:rsidRDefault="008F76F7" w:rsidP="001C499D">
      <w:pPr>
        <w:jc w:val="both"/>
        <w:rPr>
          <w:lang w:val="es-ES"/>
        </w:rPr>
      </w:pPr>
      <w:r w:rsidRPr="00D95798">
        <w:rPr>
          <w:lang w:val="es-ES"/>
        </w:rPr>
        <w:t xml:space="preserve">También se formalizan derechos de decisión (modelo RACI – Responsabilidad, Rendición de cuentas, Consulta, Información), la gobernanza de las inversiones y la supervisión del </w:t>
      </w:r>
      <w:r w:rsidRPr="00D95798">
        <w:rPr>
          <w:lang w:val="es-ES"/>
        </w:rPr>
        <w:lastRenderedPageBreak/>
        <w:t>rendimiento y los riesgos, en consonancia con los marcos de gobernanza de las TI reconocidos, como los Objetivos de Control para la Información y la Tecnología Relacionada (COBIT).</w:t>
      </w:r>
    </w:p>
    <w:p w14:paraId="2A7CEF01" w14:textId="77777777" w:rsidR="008F76F7" w:rsidRPr="00D95798" w:rsidRDefault="008F76F7" w:rsidP="001C499D">
      <w:pPr>
        <w:jc w:val="both"/>
        <w:rPr>
          <w:rFonts w:asciiTheme="minorHAnsi" w:hAnsiTheme="minorHAnsi" w:cstheme="minorHAnsi"/>
          <w:lang w:val="es-ES"/>
        </w:rPr>
      </w:pPr>
      <w:r w:rsidRPr="00D95798">
        <w:rPr>
          <w:lang w:val="es-ES"/>
        </w:rPr>
        <w:t>El marco garantiza una clara separación entre gobernanza y ejecución, al tiempo que refuerza la armonización con las estructuras de supervisión más amplias de la UIT, incluido el Consejo, el Grupo de Trabajo del Consejo sobre Recursos Humanos y Financieros (GTC-RHF) y el Comité Asesor Independiente sobre la Gestión (CAIG).</w:t>
      </w:r>
    </w:p>
    <w:p w14:paraId="15E9B10A" w14:textId="77777777" w:rsidR="008F76F7" w:rsidRPr="00D95798" w:rsidRDefault="008F76F7" w:rsidP="00E50AAB">
      <w:pPr>
        <w:pStyle w:val="Headingb"/>
        <w:rPr>
          <w:lang w:val="es-ES"/>
        </w:rPr>
      </w:pPr>
      <w:r w:rsidRPr="00D95798">
        <w:rPr>
          <w:lang w:val="es-ES"/>
        </w:rPr>
        <w:t>Próximos pasos</w:t>
      </w:r>
    </w:p>
    <w:p w14:paraId="41397E89" w14:textId="2F8950B1" w:rsidR="008F76F7" w:rsidRPr="00D95798" w:rsidRDefault="008F76F7" w:rsidP="001C499D">
      <w:pPr>
        <w:pStyle w:val="enumlev1"/>
        <w:jc w:val="both"/>
        <w:rPr>
          <w:lang w:val="es-ES"/>
        </w:rPr>
      </w:pPr>
      <w:r w:rsidRPr="00D95798">
        <w:rPr>
          <w:lang w:val="es-ES"/>
        </w:rPr>
        <w:t>–</w:t>
      </w:r>
      <w:r w:rsidRPr="00D95798">
        <w:rPr>
          <w:lang w:val="es-ES"/>
        </w:rPr>
        <w:tab/>
        <w:t xml:space="preserve">Formalización los procedimientos operativos del mandato de la </w:t>
      </w:r>
      <w:proofErr w:type="spellStart"/>
      <w:r w:rsidRPr="00D95798">
        <w:rPr>
          <w:lang w:val="es-ES"/>
        </w:rPr>
        <w:t>DGB</w:t>
      </w:r>
      <w:proofErr w:type="spellEnd"/>
      <w:r w:rsidR="00D95798" w:rsidRPr="00D95798">
        <w:rPr>
          <w:lang w:val="es-ES"/>
        </w:rPr>
        <w:t>.</w:t>
      </w:r>
    </w:p>
    <w:p w14:paraId="55B8268F" w14:textId="41E95DB5" w:rsidR="008F76F7" w:rsidRPr="00D95798" w:rsidRDefault="008F76F7" w:rsidP="001C499D">
      <w:pPr>
        <w:pStyle w:val="enumlev1"/>
        <w:jc w:val="both"/>
        <w:rPr>
          <w:lang w:val="es-ES"/>
        </w:rPr>
      </w:pPr>
      <w:r w:rsidRPr="00D95798">
        <w:rPr>
          <w:lang w:val="es-ES"/>
        </w:rPr>
        <w:t>–</w:t>
      </w:r>
      <w:r w:rsidRPr="00D95798">
        <w:rPr>
          <w:lang w:val="es-ES"/>
        </w:rPr>
        <w:tab/>
        <w:t>Plena integración de la gobernanza con los procesos de inversión y cartera</w:t>
      </w:r>
      <w:r w:rsidR="00D95798" w:rsidRPr="00D95798">
        <w:rPr>
          <w:lang w:val="es-ES"/>
        </w:rPr>
        <w:t>.</w:t>
      </w:r>
    </w:p>
    <w:p w14:paraId="14AC1F28" w14:textId="30BCC691" w:rsidR="008F76F7" w:rsidRPr="00D95798" w:rsidRDefault="008F76F7" w:rsidP="001C499D">
      <w:pPr>
        <w:pStyle w:val="enumlev1"/>
        <w:jc w:val="both"/>
        <w:rPr>
          <w:lang w:val="es-ES"/>
        </w:rPr>
      </w:pPr>
      <w:r w:rsidRPr="00D95798">
        <w:rPr>
          <w:lang w:val="es-ES"/>
        </w:rPr>
        <w:t>–</w:t>
      </w:r>
      <w:r w:rsidRPr="00D95798">
        <w:rPr>
          <w:lang w:val="es-ES"/>
        </w:rPr>
        <w:tab/>
        <w:t>Implementación de cuadros de mando e informes sobre KPI/</w:t>
      </w:r>
      <w:proofErr w:type="spellStart"/>
      <w:r w:rsidRPr="00D95798">
        <w:rPr>
          <w:lang w:val="es-ES"/>
        </w:rPr>
        <w:t>OKR</w:t>
      </w:r>
      <w:proofErr w:type="spellEnd"/>
      <w:r w:rsidR="00D95798" w:rsidRPr="00D95798">
        <w:rPr>
          <w:lang w:val="es-ES"/>
        </w:rPr>
        <w:t>.</w:t>
      </w:r>
    </w:p>
    <w:p w14:paraId="2A3407E4" w14:textId="551A6C09" w:rsidR="008F76F7" w:rsidRPr="00D95798" w:rsidRDefault="008F76F7" w:rsidP="001C499D">
      <w:pPr>
        <w:pStyle w:val="enumlev1"/>
        <w:jc w:val="both"/>
        <w:rPr>
          <w:lang w:val="es-ES"/>
        </w:rPr>
      </w:pPr>
      <w:r w:rsidRPr="00D95798">
        <w:rPr>
          <w:lang w:val="es-ES"/>
        </w:rPr>
        <w:t>–</w:t>
      </w:r>
      <w:r w:rsidRPr="00D95798">
        <w:rPr>
          <w:lang w:val="es-ES"/>
        </w:rPr>
        <w:tab/>
        <w:t>Armonización con los ciclos de presentación de informes del Consejo</w:t>
      </w:r>
      <w:r w:rsidR="00D95798" w:rsidRPr="00D95798">
        <w:rPr>
          <w:lang w:val="es-ES"/>
        </w:rPr>
        <w:t>.</w:t>
      </w:r>
    </w:p>
    <w:p w14:paraId="291F7ECF" w14:textId="77777777" w:rsidR="008F76F7" w:rsidRPr="00D95798" w:rsidRDefault="008F76F7" w:rsidP="001C499D">
      <w:pPr>
        <w:pStyle w:val="enumlev1"/>
        <w:jc w:val="both"/>
        <w:rPr>
          <w:lang w:val="es-ES"/>
        </w:rPr>
      </w:pPr>
      <w:r w:rsidRPr="00D95798">
        <w:rPr>
          <w:lang w:val="es-ES"/>
        </w:rPr>
        <w:t>–</w:t>
      </w:r>
      <w:r w:rsidRPr="00D95798">
        <w:rPr>
          <w:lang w:val="es-ES"/>
        </w:rPr>
        <w:tab/>
        <w:t>Examen anual de la eficacia de la gobernanza.</w:t>
      </w:r>
    </w:p>
    <w:p w14:paraId="3850A1E4" w14:textId="77777777" w:rsidR="008F76F7" w:rsidRPr="00D95798" w:rsidRDefault="008F76F7" w:rsidP="00E50AAB">
      <w:pPr>
        <w:pStyle w:val="Heading2"/>
        <w:rPr>
          <w:lang w:val="es-ES"/>
        </w:rPr>
      </w:pPr>
      <w:r w:rsidRPr="00D95798">
        <w:rPr>
          <w:lang w:val="es-ES"/>
        </w:rPr>
        <w:t>2.4</w:t>
      </w:r>
      <w:r w:rsidRPr="00D95798">
        <w:rPr>
          <w:lang w:val="es-ES"/>
        </w:rPr>
        <w:tab/>
        <w:t>Rediseño del modelo operativo del IS</w:t>
      </w:r>
    </w:p>
    <w:p w14:paraId="085F87BD" w14:textId="6A8C71A7" w:rsidR="008F76F7" w:rsidRPr="00D95798" w:rsidRDefault="008F76F7" w:rsidP="00FF69A0">
      <w:pPr>
        <w:jc w:val="both"/>
        <w:rPr>
          <w:lang w:val="es-ES"/>
        </w:rPr>
      </w:pPr>
      <w:r w:rsidRPr="00D95798">
        <w:rPr>
          <w:lang w:val="es-ES"/>
        </w:rPr>
        <w:t>El rediseño del modelo operativo del IS tiene como objetivo posicionar a la tecnología como un motor estratégico del desempeño institucional y la innovación, en lugar de una función puramente operativa.</w:t>
      </w:r>
    </w:p>
    <w:p w14:paraId="53E72451" w14:textId="77777777" w:rsidR="008F76F7" w:rsidRPr="00D95798" w:rsidRDefault="008F76F7" w:rsidP="008F76F7">
      <w:pPr>
        <w:jc w:val="both"/>
        <w:rPr>
          <w:lang w:val="es-ES"/>
        </w:rPr>
      </w:pPr>
      <w:r w:rsidRPr="00D95798">
        <w:rPr>
          <w:lang w:val="es-ES"/>
        </w:rPr>
        <w:t>Las principales direcciones de rediseño incluyen:</w:t>
      </w:r>
    </w:p>
    <w:p w14:paraId="65691C47" w14:textId="6EEA9B09" w:rsidR="008F76F7" w:rsidRPr="00D95798" w:rsidRDefault="008F76F7" w:rsidP="008F76F7">
      <w:pPr>
        <w:pStyle w:val="enumlev1"/>
        <w:rPr>
          <w:lang w:val="es-ES"/>
        </w:rPr>
      </w:pPr>
      <w:r w:rsidRPr="00D95798">
        <w:rPr>
          <w:lang w:val="es-ES"/>
        </w:rPr>
        <w:t>–</w:t>
      </w:r>
      <w:r w:rsidRPr="00D95798">
        <w:rPr>
          <w:lang w:val="es-ES"/>
        </w:rPr>
        <w:tab/>
        <w:t>La creación de la Oficina del Jefe de Información (OCIO)</w:t>
      </w:r>
      <w:r w:rsidR="00D95798" w:rsidRPr="00D95798">
        <w:rPr>
          <w:lang w:val="es-ES"/>
        </w:rPr>
        <w:t>.</w:t>
      </w:r>
    </w:p>
    <w:p w14:paraId="0C6EBC5E" w14:textId="394A92E5" w:rsidR="008F76F7" w:rsidRPr="00D95798" w:rsidRDefault="008F76F7" w:rsidP="008F76F7">
      <w:pPr>
        <w:pStyle w:val="enumlev1"/>
        <w:rPr>
          <w:lang w:val="es-ES"/>
        </w:rPr>
      </w:pPr>
      <w:r w:rsidRPr="00D95798">
        <w:rPr>
          <w:lang w:val="es-ES"/>
        </w:rPr>
        <w:t>–</w:t>
      </w:r>
      <w:r w:rsidRPr="00D95798">
        <w:rPr>
          <w:lang w:val="es-ES"/>
        </w:rPr>
        <w:tab/>
        <w:t>La transición a un modelo de entrega basado en productos</w:t>
      </w:r>
      <w:r w:rsidR="00D95798" w:rsidRPr="00D95798">
        <w:rPr>
          <w:lang w:val="es-ES"/>
        </w:rPr>
        <w:t>.</w:t>
      </w:r>
    </w:p>
    <w:p w14:paraId="0F3D1D32" w14:textId="77777777" w:rsidR="008F76F7" w:rsidRPr="00D95798" w:rsidRDefault="008F76F7" w:rsidP="008F76F7">
      <w:pPr>
        <w:pStyle w:val="enumlev1"/>
        <w:rPr>
          <w:lang w:val="es-ES"/>
        </w:rPr>
      </w:pPr>
      <w:r w:rsidRPr="00D95798">
        <w:rPr>
          <w:lang w:val="es-ES"/>
        </w:rPr>
        <w:t>–</w:t>
      </w:r>
      <w:r w:rsidRPr="00D95798">
        <w:rPr>
          <w:lang w:val="es-ES"/>
        </w:rPr>
        <w:tab/>
        <w:t>La integración de capacidades digitales, de datos, de IA y de infraestructura.</w:t>
      </w:r>
    </w:p>
    <w:p w14:paraId="3695BFBC" w14:textId="77777777" w:rsidR="008F76F7" w:rsidRPr="00D95798" w:rsidRDefault="008F76F7" w:rsidP="008F76F7">
      <w:pPr>
        <w:rPr>
          <w:lang w:val="es-ES"/>
        </w:rPr>
      </w:pPr>
      <w:r w:rsidRPr="00D95798">
        <w:rPr>
          <w:lang w:val="es-ES"/>
        </w:rPr>
        <w:t>La nueva estructura se organiza en torno a cinco dominios funcionales:</w:t>
      </w:r>
    </w:p>
    <w:p w14:paraId="29E96E75" w14:textId="7CF220F2" w:rsidR="008F76F7" w:rsidRPr="00D95798" w:rsidRDefault="008F76F7" w:rsidP="008F76F7">
      <w:pPr>
        <w:pStyle w:val="enumlev1"/>
        <w:rPr>
          <w:lang w:val="es-ES"/>
        </w:rPr>
      </w:pPr>
      <w:r w:rsidRPr="00D95798">
        <w:rPr>
          <w:lang w:val="es-ES"/>
        </w:rPr>
        <w:t>–</w:t>
      </w:r>
      <w:r w:rsidRPr="00D95798">
        <w:rPr>
          <w:lang w:val="es-ES"/>
        </w:rPr>
        <w:tab/>
        <w:t>La Oficina del Oficial de Información (estrategia, gobernanza, cartera, innovación)</w:t>
      </w:r>
      <w:r w:rsidR="00D95798" w:rsidRPr="00D95798">
        <w:rPr>
          <w:lang w:val="es-ES"/>
        </w:rPr>
        <w:t>.</w:t>
      </w:r>
    </w:p>
    <w:p w14:paraId="7B3F4C34" w14:textId="6FE6E83C" w:rsidR="008F76F7" w:rsidRPr="00D95798" w:rsidRDefault="008F76F7" w:rsidP="008F76F7">
      <w:pPr>
        <w:pStyle w:val="enumlev1"/>
        <w:rPr>
          <w:lang w:val="es-ES"/>
        </w:rPr>
      </w:pPr>
      <w:r w:rsidRPr="00D95798">
        <w:rPr>
          <w:lang w:val="es-ES"/>
        </w:rPr>
        <w:t>–</w:t>
      </w:r>
      <w:r w:rsidRPr="00D95798">
        <w:rPr>
          <w:lang w:val="es-ES"/>
        </w:rPr>
        <w:tab/>
        <w:t>Los productos y servicios digitales (plataformas institucionales y de miembros)</w:t>
      </w:r>
      <w:r w:rsidR="00D95798" w:rsidRPr="00D95798">
        <w:rPr>
          <w:lang w:val="es-ES"/>
        </w:rPr>
        <w:t>.</w:t>
      </w:r>
    </w:p>
    <w:p w14:paraId="465B4E97" w14:textId="08683D9C" w:rsidR="008F76F7" w:rsidRPr="00D95798" w:rsidRDefault="008F76F7" w:rsidP="008F76F7">
      <w:pPr>
        <w:pStyle w:val="enumlev1"/>
        <w:rPr>
          <w:lang w:val="es-ES"/>
        </w:rPr>
      </w:pPr>
      <w:r w:rsidRPr="00D95798">
        <w:rPr>
          <w:lang w:val="es-ES"/>
        </w:rPr>
        <w:t>–</w:t>
      </w:r>
      <w:r w:rsidRPr="00D95798">
        <w:rPr>
          <w:lang w:val="es-ES"/>
        </w:rPr>
        <w:tab/>
        <w:t>La gestión de la IA, los datos y el conocimiento</w:t>
      </w:r>
      <w:r w:rsidR="00D95798" w:rsidRPr="00D95798">
        <w:rPr>
          <w:lang w:val="es-ES"/>
        </w:rPr>
        <w:t>.</w:t>
      </w:r>
    </w:p>
    <w:p w14:paraId="37E2DFAE" w14:textId="22104E3C" w:rsidR="008F76F7" w:rsidRPr="00D95798" w:rsidRDefault="008F76F7" w:rsidP="008F76F7">
      <w:pPr>
        <w:pStyle w:val="enumlev1"/>
        <w:rPr>
          <w:lang w:val="es-ES"/>
        </w:rPr>
      </w:pPr>
      <w:r w:rsidRPr="00D95798">
        <w:rPr>
          <w:lang w:val="es-ES"/>
        </w:rPr>
        <w:t>–</w:t>
      </w:r>
      <w:r w:rsidRPr="00D95798">
        <w:rPr>
          <w:lang w:val="es-ES"/>
        </w:rPr>
        <w:tab/>
        <w:t>La infraestructura y la ciberseguridad</w:t>
      </w:r>
      <w:r w:rsidR="00D95798" w:rsidRPr="00D95798">
        <w:rPr>
          <w:lang w:val="es-ES"/>
        </w:rPr>
        <w:t>.</w:t>
      </w:r>
    </w:p>
    <w:p w14:paraId="15ABF479" w14:textId="77777777" w:rsidR="008F76F7" w:rsidRPr="00D95798" w:rsidRDefault="008F76F7" w:rsidP="008F76F7">
      <w:pPr>
        <w:pStyle w:val="enumlev1"/>
        <w:rPr>
          <w:lang w:val="es-ES"/>
        </w:rPr>
      </w:pPr>
      <w:r w:rsidRPr="00D95798">
        <w:rPr>
          <w:lang w:val="es-ES"/>
        </w:rPr>
        <w:t>–</w:t>
      </w:r>
      <w:r w:rsidRPr="00D95798">
        <w:rPr>
          <w:lang w:val="es-ES"/>
        </w:rPr>
        <w:tab/>
        <w:t>La seguridad y la protección.</w:t>
      </w:r>
    </w:p>
    <w:p w14:paraId="00CE8CC5" w14:textId="77777777" w:rsidR="008F76F7" w:rsidRPr="00D95798" w:rsidRDefault="008F76F7" w:rsidP="008F76F7">
      <w:pPr>
        <w:rPr>
          <w:lang w:val="es-ES"/>
        </w:rPr>
      </w:pPr>
      <w:r w:rsidRPr="00D95798">
        <w:rPr>
          <w:lang w:val="es-ES"/>
        </w:rPr>
        <w:t>Este modelo permite:</w:t>
      </w:r>
    </w:p>
    <w:p w14:paraId="0EFB07A2" w14:textId="77777777" w:rsidR="008F76F7" w:rsidRPr="00D95798" w:rsidRDefault="008F76F7" w:rsidP="00FF69A0">
      <w:pPr>
        <w:pStyle w:val="enumlev1"/>
        <w:jc w:val="both"/>
        <w:rPr>
          <w:lang w:val="es-ES"/>
        </w:rPr>
      </w:pPr>
      <w:r w:rsidRPr="00D95798">
        <w:rPr>
          <w:lang w:val="es-ES"/>
        </w:rPr>
        <w:t>–</w:t>
      </w:r>
      <w:r w:rsidRPr="00D95798">
        <w:rPr>
          <w:lang w:val="es-ES"/>
        </w:rPr>
        <w:tab/>
        <w:t>la propiedad de extremo a extremo de productos digitales</w:t>
      </w:r>
    </w:p>
    <w:p w14:paraId="4F608FD1" w14:textId="77777777" w:rsidR="008F76F7" w:rsidRPr="00D95798" w:rsidRDefault="008F76F7" w:rsidP="00FF69A0">
      <w:pPr>
        <w:pStyle w:val="enumlev1"/>
        <w:jc w:val="both"/>
        <w:rPr>
          <w:lang w:val="es-ES"/>
        </w:rPr>
      </w:pPr>
      <w:r w:rsidRPr="00D95798">
        <w:rPr>
          <w:lang w:val="es-ES"/>
        </w:rPr>
        <w:t>–</w:t>
      </w:r>
      <w:r w:rsidRPr="00D95798">
        <w:rPr>
          <w:lang w:val="es-ES"/>
        </w:rPr>
        <w:tab/>
        <w:t>una mayor armonización con los flujos de valor</w:t>
      </w:r>
    </w:p>
    <w:p w14:paraId="467A3295" w14:textId="77777777" w:rsidR="008F76F7" w:rsidRPr="00D95798" w:rsidRDefault="008F76F7" w:rsidP="00FF69A0">
      <w:pPr>
        <w:pStyle w:val="enumlev1"/>
        <w:jc w:val="both"/>
        <w:rPr>
          <w:lang w:val="es-ES"/>
        </w:rPr>
      </w:pPr>
      <w:r w:rsidRPr="00D95798">
        <w:rPr>
          <w:lang w:val="es-ES"/>
        </w:rPr>
        <w:t>–</w:t>
      </w:r>
      <w:r w:rsidRPr="00D95798">
        <w:rPr>
          <w:lang w:val="es-ES"/>
        </w:rPr>
        <w:tab/>
        <w:t>una mayor rendición de cuentas y agilidad de la prestación</w:t>
      </w:r>
    </w:p>
    <w:p w14:paraId="58F364A1" w14:textId="77777777" w:rsidR="008F76F7" w:rsidRPr="00D95798" w:rsidRDefault="008F76F7" w:rsidP="00FF69A0">
      <w:pPr>
        <w:pStyle w:val="enumlev1"/>
        <w:jc w:val="both"/>
        <w:rPr>
          <w:lang w:val="es-ES"/>
        </w:rPr>
      </w:pPr>
      <w:r w:rsidRPr="00D95798">
        <w:rPr>
          <w:lang w:val="es-ES"/>
        </w:rPr>
        <w:t>–</w:t>
      </w:r>
      <w:r w:rsidRPr="00D95798">
        <w:rPr>
          <w:lang w:val="es-ES"/>
        </w:rPr>
        <w:tab/>
        <w:t>la integración de las capacidades de datos y la IA en las operaciones.</w:t>
      </w:r>
    </w:p>
    <w:p w14:paraId="0C6860EA" w14:textId="77777777" w:rsidR="008F76F7" w:rsidRPr="00D95798" w:rsidRDefault="008F76F7" w:rsidP="00E50AAB">
      <w:pPr>
        <w:pStyle w:val="Headingb"/>
        <w:rPr>
          <w:lang w:val="es-ES"/>
        </w:rPr>
      </w:pPr>
      <w:r w:rsidRPr="00D95798">
        <w:rPr>
          <w:lang w:val="es-ES"/>
        </w:rPr>
        <w:t>Próximos pasos</w:t>
      </w:r>
    </w:p>
    <w:p w14:paraId="1B5A9E1E" w14:textId="66960EFD" w:rsidR="008F76F7" w:rsidRPr="00D95798" w:rsidRDefault="008F76F7" w:rsidP="00FF69A0">
      <w:pPr>
        <w:pStyle w:val="enumlev1"/>
        <w:jc w:val="both"/>
        <w:rPr>
          <w:lang w:val="es-ES"/>
        </w:rPr>
      </w:pPr>
      <w:r w:rsidRPr="00D95798">
        <w:rPr>
          <w:lang w:val="es-ES"/>
        </w:rPr>
        <w:t>–</w:t>
      </w:r>
      <w:r w:rsidRPr="00D95798">
        <w:rPr>
          <w:lang w:val="es-ES"/>
        </w:rPr>
        <w:tab/>
        <w:t>Finalizar el rediseño y proceder con el proceso de reestructuración con una implementación por fases alineada con la hoja de ruta de transformación digital.</w:t>
      </w:r>
    </w:p>
    <w:p w14:paraId="7E70A5B5" w14:textId="25C9ECC8" w:rsidR="008F76F7" w:rsidRPr="00D95798" w:rsidRDefault="008F76F7" w:rsidP="00FF69A0">
      <w:pPr>
        <w:pStyle w:val="enumlev1"/>
        <w:jc w:val="both"/>
        <w:rPr>
          <w:lang w:val="es-ES"/>
        </w:rPr>
      </w:pPr>
      <w:r w:rsidRPr="00D95798">
        <w:rPr>
          <w:lang w:val="es-ES"/>
        </w:rPr>
        <w:t>–</w:t>
      </w:r>
      <w:r w:rsidRPr="00D95798">
        <w:rPr>
          <w:lang w:val="es-ES"/>
        </w:rPr>
        <w:tab/>
        <w:t>Implementación de la entrega basada en productos en dominios prioritarios</w:t>
      </w:r>
      <w:r w:rsidR="00D95798" w:rsidRPr="00D95798">
        <w:rPr>
          <w:lang w:val="es-ES"/>
        </w:rPr>
        <w:t>.</w:t>
      </w:r>
    </w:p>
    <w:p w14:paraId="42921587" w14:textId="4E8D8B93" w:rsidR="008F76F7" w:rsidRPr="00D95798" w:rsidRDefault="008F76F7" w:rsidP="00FF69A0">
      <w:pPr>
        <w:pStyle w:val="enumlev1"/>
        <w:jc w:val="both"/>
        <w:rPr>
          <w:lang w:val="es-ES"/>
        </w:rPr>
      </w:pPr>
      <w:r w:rsidRPr="00D95798">
        <w:rPr>
          <w:lang w:val="es-ES"/>
        </w:rPr>
        <w:t>–</w:t>
      </w:r>
      <w:r w:rsidRPr="00D95798">
        <w:rPr>
          <w:lang w:val="es-ES"/>
        </w:rPr>
        <w:tab/>
        <w:t>Fortalecimiento de la propiedad y la rendición de cuentas de la plataforma</w:t>
      </w:r>
      <w:r w:rsidR="00D95798" w:rsidRPr="00D95798">
        <w:rPr>
          <w:lang w:val="es-ES"/>
        </w:rPr>
        <w:t>.</w:t>
      </w:r>
    </w:p>
    <w:p w14:paraId="7950B0C9" w14:textId="273054DB" w:rsidR="008F76F7" w:rsidRPr="00D95798" w:rsidRDefault="008F76F7" w:rsidP="00FF69A0">
      <w:pPr>
        <w:pStyle w:val="enumlev1"/>
        <w:jc w:val="both"/>
        <w:rPr>
          <w:lang w:val="es-ES"/>
        </w:rPr>
      </w:pPr>
      <w:r w:rsidRPr="00D95798">
        <w:rPr>
          <w:lang w:val="es-ES"/>
        </w:rPr>
        <w:t>–</w:t>
      </w:r>
      <w:r w:rsidRPr="00D95798">
        <w:rPr>
          <w:lang w:val="es-ES"/>
        </w:rPr>
        <w:tab/>
        <w:t>Expansión de las capacidades de datos e IA</w:t>
      </w:r>
      <w:r w:rsidR="00D95798" w:rsidRPr="00D95798">
        <w:rPr>
          <w:lang w:val="es-ES"/>
        </w:rPr>
        <w:t>.</w:t>
      </w:r>
    </w:p>
    <w:p w14:paraId="279AF992" w14:textId="04340FDB" w:rsidR="008F76F7" w:rsidRPr="00D95798" w:rsidRDefault="008F76F7" w:rsidP="008F76F7">
      <w:pPr>
        <w:pStyle w:val="enumlev1"/>
        <w:rPr>
          <w:lang w:val="es-ES"/>
        </w:rPr>
      </w:pPr>
      <w:r w:rsidRPr="00D95798">
        <w:rPr>
          <w:lang w:val="es-ES"/>
        </w:rPr>
        <w:lastRenderedPageBreak/>
        <w:t>–</w:t>
      </w:r>
      <w:r w:rsidRPr="00D95798">
        <w:rPr>
          <w:lang w:val="es-ES"/>
        </w:rPr>
        <w:tab/>
        <w:t>Puesta en marcha de un modelo de entrega federado/mundial</w:t>
      </w:r>
      <w:r w:rsidR="00D95798" w:rsidRPr="00D95798">
        <w:rPr>
          <w:lang w:val="es-ES"/>
        </w:rPr>
        <w:t>.</w:t>
      </w:r>
    </w:p>
    <w:p w14:paraId="7F6514E6" w14:textId="77777777" w:rsidR="008F76F7" w:rsidRPr="00D95798" w:rsidRDefault="008F76F7" w:rsidP="008F76F7">
      <w:pPr>
        <w:pStyle w:val="enumlev1"/>
        <w:rPr>
          <w:lang w:val="es-ES"/>
        </w:rPr>
      </w:pPr>
      <w:r w:rsidRPr="00D95798">
        <w:rPr>
          <w:lang w:val="es-ES"/>
        </w:rPr>
        <w:t>–</w:t>
      </w:r>
      <w:r w:rsidRPr="00D95798">
        <w:rPr>
          <w:lang w:val="es-ES"/>
        </w:rPr>
        <w:tab/>
        <w:t>Mejora de las competencias y desarrollo de capacidades del personal.</w:t>
      </w:r>
    </w:p>
    <w:p w14:paraId="63DFCAF7" w14:textId="77777777" w:rsidR="008F76F7" w:rsidRPr="00D95798" w:rsidRDefault="008F76F7" w:rsidP="00E50AAB">
      <w:pPr>
        <w:pStyle w:val="Heading1"/>
        <w:rPr>
          <w:lang w:val="es-ES"/>
        </w:rPr>
      </w:pPr>
      <w:r w:rsidRPr="00D95798">
        <w:rPr>
          <w:bCs/>
          <w:lang w:val="es-ES"/>
        </w:rPr>
        <w:t>3</w:t>
      </w:r>
      <w:r w:rsidRPr="00D95798">
        <w:rPr>
          <w:lang w:val="es-ES"/>
        </w:rPr>
        <w:tab/>
        <w:t>Perspectivas</w:t>
      </w:r>
      <w:r w:rsidRPr="00D95798">
        <w:rPr>
          <w:bCs/>
          <w:lang w:val="es-ES"/>
        </w:rPr>
        <w:t xml:space="preserve"> integradas de transformación digital</w:t>
      </w:r>
    </w:p>
    <w:p w14:paraId="1B7A590C" w14:textId="77777777" w:rsidR="008F76F7" w:rsidRPr="00D95798" w:rsidRDefault="008F76F7" w:rsidP="00FF69A0">
      <w:pPr>
        <w:jc w:val="both"/>
        <w:rPr>
          <w:lang w:val="es-ES"/>
        </w:rPr>
      </w:pPr>
      <w:r w:rsidRPr="00D95798">
        <w:rPr>
          <w:lang w:val="es-ES"/>
        </w:rPr>
        <w:t>Los cuatro pilares digitales están ahora armonizados como un sistema de transformación digital cohesionado:</w:t>
      </w:r>
    </w:p>
    <w:p w14:paraId="3FB6E9BE" w14:textId="5C51042C" w:rsidR="008F76F7" w:rsidRPr="00D95798" w:rsidRDefault="008F76F7" w:rsidP="00FF69A0">
      <w:pPr>
        <w:pStyle w:val="enumlev1"/>
        <w:jc w:val="both"/>
        <w:rPr>
          <w:lang w:val="es-ES"/>
        </w:rPr>
      </w:pPr>
      <w:r w:rsidRPr="00D95798">
        <w:rPr>
          <w:lang w:val="es-ES"/>
        </w:rPr>
        <w:t>–</w:t>
      </w:r>
      <w:r w:rsidRPr="00D95798">
        <w:rPr>
          <w:lang w:val="es-ES"/>
        </w:rPr>
        <w:tab/>
        <w:t>La estrategia y el plan definen la dirección y la ejecución</w:t>
      </w:r>
      <w:r w:rsidR="00D95798" w:rsidRPr="00D95798">
        <w:rPr>
          <w:lang w:val="es-ES"/>
        </w:rPr>
        <w:t>.</w:t>
      </w:r>
    </w:p>
    <w:p w14:paraId="6731E354" w14:textId="2B19EDFE" w:rsidR="008F76F7" w:rsidRPr="00D95798" w:rsidRDefault="008F76F7" w:rsidP="00FF69A0">
      <w:pPr>
        <w:pStyle w:val="enumlev1"/>
        <w:jc w:val="both"/>
        <w:rPr>
          <w:lang w:val="es-ES"/>
        </w:rPr>
      </w:pPr>
      <w:r w:rsidRPr="00D95798">
        <w:rPr>
          <w:lang w:val="es-ES"/>
        </w:rPr>
        <w:t>–</w:t>
      </w:r>
      <w:r w:rsidRPr="00D95798">
        <w:rPr>
          <w:lang w:val="es-ES"/>
        </w:rPr>
        <w:tab/>
        <w:t>La Arquitectura Institucional garantiza la coherencia estructural y la sostenibilidad</w:t>
      </w:r>
      <w:r w:rsidR="00D95798" w:rsidRPr="00D95798">
        <w:rPr>
          <w:lang w:val="es-ES"/>
        </w:rPr>
        <w:t>.</w:t>
      </w:r>
    </w:p>
    <w:p w14:paraId="7FEB0E64" w14:textId="1CCBF33B" w:rsidR="008F76F7" w:rsidRPr="00D95798" w:rsidRDefault="008F76F7" w:rsidP="00FF69A0">
      <w:pPr>
        <w:pStyle w:val="enumlev1"/>
        <w:jc w:val="both"/>
        <w:rPr>
          <w:lang w:val="es-ES"/>
        </w:rPr>
      </w:pPr>
      <w:r w:rsidRPr="00D95798">
        <w:rPr>
          <w:lang w:val="es-ES"/>
        </w:rPr>
        <w:t>–</w:t>
      </w:r>
      <w:r w:rsidRPr="00D95798">
        <w:rPr>
          <w:lang w:val="es-ES"/>
        </w:rPr>
        <w:tab/>
        <w:t>La gobernanza garantiza la rendición de cuentas y la disciplina de inversión</w:t>
      </w:r>
      <w:r w:rsidR="00D95798" w:rsidRPr="00D95798">
        <w:rPr>
          <w:lang w:val="es-ES"/>
        </w:rPr>
        <w:t>.</w:t>
      </w:r>
    </w:p>
    <w:p w14:paraId="7793FC59" w14:textId="77777777" w:rsidR="008F76F7" w:rsidRPr="00D95798" w:rsidRDefault="008F76F7" w:rsidP="00FF69A0">
      <w:pPr>
        <w:pStyle w:val="enumlev1"/>
        <w:jc w:val="both"/>
        <w:rPr>
          <w:lang w:val="es-ES"/>
        </w:rPr>
      </w:pPr>
      <w:r w:rsidRPr="00D95798">
        <w:rPr>
          <w:lang w:val="es-ES"/>
        </w:rPr>
        <w:t>–</w:t>
      </w:r>
      <w:r w:rsidRPr="00D95798">
        <w:rPr>
          <w:lang w:val="es-ES"/>
        </w:rPr>
        <w:tab/>
        <w:t>El modelo operativo permite la entrega y la innovación.</w:t>
      </w:r>
    </w:p>
    <w:p w14:paraId="0344E370" w14:textId="77777777" w:rsidR="008F76F7" w:rsidRPr="00D95798" w:rsidRDefault="008F76F7" w:rsidP="00FF69A0">
      <w:pPr>
        <w:jc w:val="both"/>
        <w:rPr>
          <w:lang w:val="es-ES"/>
        </w:rPr>
      </w:pPr>
      <w:r w:rsidRPr="00D95798">
        <w:rPr>
          <w:lang w:val="es-ES"/>
        </w:rPr>
        <w:t>Juntos, permiten a la UIT pasar de una TI fragmentada que requiere mucho mantenimiento a una organización digital integrada, gobernada y habilitada por la IA.</w:t>
      </w:r>
    </w:p>
    <w:p w14:paraId="04D5F1F8" w14:textId="77777777" w:rsidR="008F76F7" w:rsidRPr="00D95798" w:rsidRDefault="008F76F7" w:rsidP="00FF69A0">
      <w:pPr>
        <w:jc w:val="both"/>
        <w:rPr>
          <w:rFonts w:asciiTheme="minorHAnsi" w:hAnsiTheme="minorHAnsi" w:cstheme="minorHAnsi"/>
          <w:lang w:val="es-ES"/>
        </w:rPr>
      </w:pPr>
      <w:r w:rsidRPr="00D95798">
        <w:rPr>
          <w:lang w:val="es-ES"/>
        </w:rPr>
        <w:t>Se espera que, en 2027, la UIT logre:</w:t>
      </w:r>
    </w:p>
    <w:p w14:paraId="1EB06601" w14:textId="573EDC9F" w:rsidR="008F76F7" w:rsidRPr="00D95798" w:rsidRDefault="008F76F7" w:rsidP="00FF69A0">
      <w:pPr>
        <w:pStyle w:val="enumlev1"/>
        <w:jc w:val="both"/>
        <w:rPr>
          <w:lang w:val="es-ES"/>
        </w:rPr>
      </w:pPr>
      <w:r w:rsidRPr="00D95798">
        <w:rPr>
          <w:lang w:val="es-ES"/>
        </w:rPr>
        <w:t>–</w:t>
      </w:r>
      <w:r w:rsidRPr="00D95798">
        <w:rPr>
          <w:lang w:val="es-ES"/>
        </w:rPr>
        <w:tab/>
        <w:t>Un núcleo digital moderno y resiliente</w:t>
      </w:r>
      <w:r w:rsidR="00D95798" w:rsidRPr="00D95798">
        <w:rPr>
          <w:lang w:val="es-ES"/>
        </w:rPr>
        <w:t>.</w:t>
      </w:r>
    </w:p>
    <w:p w14:paraId="7045F397" w14:textId="21A2B6D3" w:rsidR="008F76F7" w:rsidRPr="00D95798" w:rsidRDefault="008F76F7" w:rsidP="00FF69A0">
      <w:pPr>
        <w:pStyle w:val="enumlev1"/>
        <w:jc w:val="both"/>
        <w:rPr>
          <w:lang w:val="es-ES"/>
        </w:rPr>
      </w:pPr>
      <w:r w:rsidRPr="00D95798">
        <w:rPr>
          <w:lang w:val="es-ES"/>
        </w:rPr>
        <w:t>–</w:t>
      </w:r>
      <w:r w:rsidRPr="00D95798">
        <w:rPr>
          <w:lang w:val="es-ES"/>
        </w:rPr>
        <w:tab/>
        <w:t>Una mejora de la eficiencia operativa y la experiencia del usuario</w:t>
      </w:r>
      <w:r w:rsidR="00D95798" w:rsidRPr="00D95798">
        <w:rPr>
          <w:lang w:val="es-ES"/>
        </w:rPr>
        <w:t>.</w:t>
      </w:r>
    </w:p>
    <w:p w14:paraId="469EE480" w14:textId="7A4C882D" w:rsidR="008F76F7" w:rsidRPr="00D95798" w:rsidRDefault="008F76F7" w:rsidP="00FF69A0">
      <w:pPr>
        <w:pStyle w:val="enumlev1"/>
        <w:jc w:val="both"/>
        <w:rPr>
          <w:lang w:val="es-ES"/>
        </w:rPr>
      </w:pPr>
      <w:r w:rsidRPr="00D95798">
        <w:rPr>
          <w:lang w:val="es-ES"/>
        </w:rPr>
        <w:t>–</w:t>
      </w:r>
      <w:r w:rsidRPr="00D95798">
        <w:rPr>
          <w:lang w:val="es-ES"/>
        </w:rPr>
        <w:tab/>
        <w:t>Capacidades establecidas de IA y datos a escala</w:t>
      </w:r>
      <w:r w:rsidR="00D95798" w:rsidRPr="00D95798">
        <w:rPr>
          <w:lang w:val="es-ES"/>
        </w:rPr>
        <w:t>.</w:t>
      </w:r>
    </w:p>
    <w:p w14:paraId="58B0CF4D" w14:textId="77777777" w:rsidR="008F76F7" w:rsidRPr="00D95798" w:rsidRDefault="008F76F7" w:rsidP="00FF69A0">
      <w:pPr>
        <w:pStyle w:val="enumlev1"/>
        <w:jc w:val="both"/>
        <w:rPr>
          <w:lang w:val="es-ES"/>
        </w:rPr>
      </w:pPr>
      <w:r w:rsidRPr="00D95798">
        <w:rPr>
          <w:lang w:val="es-ES"/>
        </w:rPr>
        <w:t>–</w:t>
      </w:r>
      <w:r w:rsidRPr="00D95798">
        <w:rPr>
          <w:lang w:val="es-ES"/>
        </w:rPr>
        <w:tab/>
        <w:t>Una gobernanza sostenible y un modelo operativo.</w:t>
      </w:r>
    </w:p>
    <w:p w14:paraId="120D9DC8" w14:textId="77777777" w:rsidR="008F76F7" w:rsidRPr="00D95798" w:rsidRDefault="008F76F7" w:rsidP="00E50AAB">
      <w:pPr>
        <w:pStyle w:val="Headingb"/>
        <w:rPr>
          <w:lang w:val="es-ES"/>
        </w:rPr>
      </w:pPr>
      <w:r w:rsidRPr="00D95798">
        <w:rPr>
          <w:lang w:val="es-ES"/>
        </w:rPr>
        <w:t>Próximos pasos (transversales)</w:t>
      </w:r>
    </w:p>
    <w:p w14:paraId="2F6ACF35" w14:textId="77777777" w:rsidR="008F76F7" w:rsidRPr="00D95798" w:rsidRDefault="008F76F7" w:rsidP="00FF69A0">
      <w:pPr>
        <w:jc w:val="both"/>
        <w:rPr>
          <w:lang w:val="es-ES"/>
        </w:rPr>
      </w:pPr>
      <w:r w:rsidRPr="00D95798">
        <w:rPr>
          <w:lang w:val="es-ES"/>
        </w:rPr>
        <w:t>En todos los componentes, las medidas prioritarias incluyen:</w:t>
      </w:r>
    </w:p>
    <w:p w14:paraId="2F9BFE05" w14:textId="65112A25" w:rsidR="008F76F7" w:rsidRPr="00D95798" w:rsidRDefault="008F76F7" w:rsidP="00FF69A0">
      <w:pPr>
        <w:pStyle w:val="enumlev1"/>
        <w:jc w:val="both"/>
        <w:rPr>
          <w:lang w:val="es-ES"/>
        </w:rPr>
      </w:pPr>
      <w:r w:rsidRPr="00D95798">
        <w:rPr>
          <w:lang w:val="es-ES"/>
        </w:rPr>
        <w:t>–</w:t>
      </w:r>
      <w:r w:rsidRPr="00D95798">
        <w:rPr>
          <w:lang w:val="es-ES"/>
        </w:rPr>
        <w:tab/>
        <w:t>Aprobaciones formales y despliegue de marcos</w:t>
      </w:r>
      <w:r w:rsidR="00D95798" w:rsidRPr="00D95798">
        <w:rPr>
          <w:lang w:val="es-ES"/>
        </w:rPr>
        <w:t>.</w:t>
      </w:r>
    </w:p>
    <w:p w14:paraId="0E6CD086" w14:textId="5E8ABAC3" w:rsidR="008F76F7" w:rsidRPr="00D95798" w:rsidRDefault="008F76F7" w:rsidP="00FF69A0">
      <w:pPr>
        <w:pStyle w:val="enumlev1"/>
        <w:jc w:val="both"/>
        <w:rPr>
          <w:lang w:val="es-ES"/>
        </w:rPr>
      </w:pPr>
      <w:r w:rsidRPr="00D95798">
        <w:rPr>
          <w:lang w:val="es-ES"/>
        </w:rPr>
        <w:t>–</w:t>
      </w:r>
      <w:r w:rsidRPr="00D95798">
        <w:rPr>
          <w:lang w:val="es-ES"/>
        </w:rPr>
        <w:tab/>
        <w:t>Lanzamiento y gobernanza de programas de transformación</w:t>
      </w:r>
      <w:r w:rsidR="00D95798" w:rsidRPr="00D95798">
        <w:rPr>
          <w:lang w:val="es-ES"/>
        </w:rPr>
        <w:t>.</w:t>
      </w:r>
    </w:p>
    <w:p w14:paraId="7F885BD3" w14:textId="0B2BA535" w:rsidR="008F76F7" w:rsidRPr="00D95798" w:rsidRDefault="008F76F7" w:rsidP="00FF69A0">
      <w:pPr>
        <w:pStyle w:val="enumlev1"/>
        <w:jc w:val="both"/>
        <w:rPr>
          <w:lang w:val="es-ES"/>
        </w:rPr>
      </w:pPr>
      <w:r w:rsidRPr="00D95798">
        <w:rPr>
          <w:lang w:val="es-ES"/>
        </w:rPr>
        <w:t>–</w:t>
      </w:r>
      <w:r w:rsidRPr="00D95798">
        <w:rPr>
          <w:lang w:val="es-ES"/>
        </w:rPr>
        <w:tab/>
        <w:t>Fortalecimiento de la arquitectura empresarial y la gobernanza de datos</w:t>
      </w:r>
      <w:r w:rsidR="00D95798" w:rsidRPr="00D95798">
        <w:rPr>
          <w:lang w:val="es-ES"/>
        </w:rPr>
        <w:t>.</w:t>
      </w:r>
    </w:p>
    <w:p w14:paraId="2D37A1DE" w14:textId="246D97FB" w:rsidR="008F76F7" w:rsidRPr="00D95798" w:rsidRDefault="008F76F7" w:rsidP="00FF69A0">
      <w:pPr>
        <w:pStyle w:val="enumlev1"/>
        <w:jc w:val="both"/>
        <w:rPr>
          <w:lang w:val="es-ES"/>
        </w:rPr>
      </w:pPr>
      <w:r w:rsidRPr="00D95798">
        <w:rPr>
          <w:lang w:val="es-ES"/>
        </w:rPr>
        <w:t>–</w:t>
      </w:r>
      <w:r w:rsidRPr="00D95798">
        <w:rPr>
          <w:lang w:val="es-ES"/>
        </w:rPr>
        <w:tab/>
        <w:t>Aplicación de los marcos de rendimiento y presentación de informes</w:t>
      </w:r>
      <w:r w:rsidR="00D95798" w:rsidRPr="00D95798">
        <w:rPr>
          <w:lang w:val="es-ES"/>
        </w:rPr>
        <w:t>.</w:t>
      </w:r>
    </w:p>
    <w:p w14:paraId="4A4990FF" w14:textId="77777777" w:rsidR="008F76F7" w:rsidRPr="00D95798" w:rsidRDefault="008F76F7" w:rsidP="00FF69A0">
      <w:pPr>
        <w:pStyle w:val="enumlev1"/>
        <w:jc w:val="both"/>
        <w:rPr>
          <w:lang w:val="es-ES"/>
        </w:rPr>
      </w:pPr>
      <w:r w:rsidRPr="00D95798">
        <w:rPr>
          <w:lang w:val="es-ES"/>
        </w:rPr>
        <w:t>–</w:t>
      </w:r>
      <w:r w:rsidRPr="00D95798">
        <w:rPr>
          <w:lang w:val="es-ES"/>
        </w:rPr>
        <w:tab/>
        <w:t>Preparación del próximo ciclo estratégico (2028-2031).</w:t>
      </w:r>
    </w:p>
    <w:p w14:paraId="5119F464" w14:textId="77777777" w:rsidR="00F92BED" w:rsidRPr="00D95798" w:rsidRDefault="00F92BED" w:rsidP="0032202E">
      <w:pPr>
        <w:pStyle w:val="Reasons"/>
        <w:rPr>
          <w:lang w:val="es-ES"/>
        </w:rPr>
      </w:pPr>
    </w:p>
    <w:p w14:paraId="6BC1881A" w14:textId="77777777" w:rsidR="00F92BED" w:rsidRPr="00D95798" w:rsidRDefault="00F92BED" w:rsidP="00F92BED">
      <w:pPr>
        <w:jc w:val="center"/>
        <w:rPr>
          <w:lang w:val="es-ES"/>
        </w:rPr>
      </w:pPr>
      <w:r w:rsidRPr="00D95798">
        <w:rPr>
          <w:lang w:val="es-ES"/>
        </w:rPr>
        <w:t>______________</w:t>
      </w:r>
    </w:p>
    <w:sectPr w:rsidR="00F92BED" w:rsidRPr="00D95798" w:rsidSect="00C538FC">
      <w:footerReference w:type="default" r:id="rId25"/>
      <w:headerReference w:type="first" r:id="rId26"/>
      <w:footerReference w:type="first" r:id="rId2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A94E" w14:textId="77777777" w:rsidR="00F4407E" w:rsidRDefault="00F4407E">
      <w:r>
        <w:separator/>
      </w:r>
    </w:p>
  </w:endnote>
  <w:endnote w:type="continuationSeparator" w:id="0">
    <w:p w14:paraId="6E06F2FF" w14:textId="77777777" w:rsidR="00F4407E" w:rsidRDefault="00F4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8AB4B28" w14:textId="77777777" w:rsidTr="00E31DCE">
      <w:trPr>
        <w:jc w:val="center"/>
      </w:trPr>
      <w:tc>
        <w:tcPr>
          <w:tcW w:w="1803" w:type="dxa"/>
          <w:vAlign w:val="center"/>
        </w:tcPr>
        <w:p w14:paraId="2800D468" w14:textId="2969A841" w:rsidR="003273A4" w:rsidRDefault="002946E2" w:rsidP="003273A4">
          <w:pPr>
            <w:pStyle w:val="Header"/>
            <w:jc w:val="left"/>
            <w:rPr>
              <w:noProof/>
            </w:rPr>
          </w:pPr>
          <w:r>
            <w:rPr>
              <w:noProof/>
            </w:rPr>
            <w:t xml:space="preserve">gDoc </w:t>
          </w:r>
          <w:r w:rsidR="004C4A8B" w:rsidRPr="004C4A8B">
            <w:rPr>
              <w:noProof/>
            </w:rPr>
            <w:t>2600735</w:t>
          </w:r>
          <w:r w:rsidR="004C4A8B">
            <w:rPr>
              <w:noProof/>
            </w:rPr>
            <w:t>S</w:t>
          </w:r>
        </w:p>
      </w:tc>
      <w:tc>
        <w:tcPr>
          <w:tcW w:w="8261" w:type="dxa"/>
        </w:tcPr>
        <w:p w14:paraId="42E14F48" w14:textId="42869C62"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C4A8B">
            <w:rPr>
              <w:bCs/>
            </w:rPr>
            <w:t>62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E6F1ABE"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2AA478D" w14:textId="77777777" w:rsidTr="00E31DCE">
      <w:trPr>
        <w:jc w:val="center"/>
      </w:trPr>
      <w:tc>
        <w:tcPr>
          <w:tcW w:w="1803" w:type="dxa"/>
          <w:vAlign w:val="center"/>
        </w:tcPr>
        <w:p w14:paraId="791377DC"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AEA1EBE" w14:textId="2E6C56D8"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C4A8B">
            <w:rPr>
              <w:bCs/>
            </w:rPr>
            <w:t>62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987AEAF"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3D3C" w14:textId="77777777" w:rsidR="00F4407E" w:rsidRDefault="00F4407E">
      <w:r>
        <w:t>____________________</w:t>
      </w:r>
    </w:p>
  </w:footnote>
  <w:footnote w:type="continuationSeparator" w:id="0">
    <w:p w14:paraId="33497C3B" w14:textId="77777777" w:rsidR="00F4407E" w:rsidRDefault="00F4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A68C" w14:textId="77777777" w:rsidR="001559F5" w:rsidRPr="00B1560D" w:rsidRDefault="00B1560D" w:rsidP="00B1560D">
    <w:pPr>
      <w:pStyle w:val="Header"/>
    </w:pPr>
    <w:r>
      <w:rPr>
        <w:noProof/>
      </w:rPr>
      <w:drawing>
        <wp:inline distT="0" distB="0" distL="0" distR="0" wp14:anchorId="263152F3" wp14:editId="4D47F311">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7E"/>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C499D"/>
    <w:rsid w:val="001C6114"/>
    <w:rsid w:val="001F14A2"/>
    <w:rsid w:val="00277DEA"/>
    <w:rsid w:val="002801AA"/>
    <w:rsid w:val="002946E2"/>
    <w:rsid w:val="002C3F32"/>
    <w:rsid w:val="002C4676"/>
    <w:rsid w:val="002C70B0"/>
    <w:rsid w:val="002F3CC4"/>
    <w:rsid w:val="003032E2"/>
    <w:rsid w:val="0031104E"/>
    <w:rsid w:val="0031300A"/>
    <w:rsid w:val="003273A4"/>
    <w:rsid w:val="0034796E"/>
    <w:rsid w:val="004571B0"/>
    <w:rsid w:val="00465C35"/>
    <w:rsid w:val="00473962"/>
    <w:rsid w:val="004B5D49"/>
    <w:rsid w:val="004C4A8B"/>
    <w:rsid w:val="004D3A3C"/>
    <w:rsid w:val="00513630"/>
    <w:rsid w:val="00560125"/>
    <w:rsid w:val="00585553"/>
    <w:rsid w:val="005A4BCE"/>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B5271"/>
    <w:rsid w:val="008F6ABC"/>
    <w:rsid w:val="008F76F7"/>
    <w:rsid w:val="00913B9C"/>
    <w:rsid w:val="00927F93"/>
    <w:rsid w:val="00956E77"/>
    <w:rsid w:val="009A338E"/>
    <w:rsid w:val="009A76A8"/>
    <w:rsid w:val="009F4811"/>
    <w:rsid w:val="00A01F4F"/>
    <w:rsid w:val="00A109AF"/>
    <w:rsid w:val="00A7442A"/>
    <w:rsid w:val="00A94438"/>
    <w:rsid w:val="00AA390C"/>
    <w:rsid w:val="00AB2BD9"/>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4BFD"/>
    <w:rsid w:val="00D2750E"/>
    <w:rsid w:val="00D375E0"/>
    <w:rsid w:val="00D50A36"/>
    <w:rsid w:val="00D62446"/>
    <w:rsid w:val="00D95798"/>
    <w:rsid w:val="00DA4EA2"/>
    <w:rsid w:val="00DC3D3E"/>
    <w:rsid w:val="00DE2C90"/>
    <w:rsid w:val="00DE3B24"/>
    <w:rsid w:val="00DE7376"/>
    <w:rsid w:val="00E06947"/>
    <w:rsid w:val="00E11319"/>
    <w:rsid w:val="00E21444"/>
    <w:rsid w:val="00E34072"/>
    <w:rsid w:val="00E3592D"/>
    <w:rsid w:val="00E50AAB"/>
    <w:rsid w:val="00E50D76"/>
    <w:rsid w:val="00E65CD4"/>
    <w:rsid w:val="00E8018B"/>
    <w:rsid w:val="00E92DE8"/>
    <w:rsid w:val="00EB1212"/>
    <w:rsid w:val="00ED65AB"/>
    <w:rsid w:val="00F12850"/>
    <w:rsid w:val="00F24B71"/>
    <w:rsid w:val="00F33BF4"/>
    <w:rsid w:val="00F4407E"/>
    <w:rsid w:val="00F7105E"/>
    <w:rsid w:val="00F75F57"/>
    <w:rsid w:val="00F82FEE"/>
    <w:rsid w:val="00F85E5C"/>
    <w:rsid w:val="00F92BED"/>
    <w:rsid w:val="00FD57D3"/>
    <w:rsid w:val="00FE57F6"/>
    <w:rsid w:val="00FF11BD"/>
    <w:rsid w:val="00FF69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EA75E6"/>
  <w15:docId w15:val="{F9FA1E3C-B2A5-461A-A705-B0D8FAA5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1C499D"/>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0-CL-C-0074/es" TargetMode="External"/><Relationship Id="rId13" Type="http://schemas.openxmlformats.org/officeDocument/2006/relationships/hyperlink" Target="https://www.itu.int/md/S23-CL-C-0036/es" TargetMode="External"/><Relationship Id="rId18" Type="http://schemas.openxmlformats.org/officeDocument/2006/relationships/hyperlink" Target="https://www.itu.int/md/S24-CL-C-0019/es"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md/S25-CL-C-0050/es" TargetMode="External"/><Relationship Id="rId7" Type="http://schemas.openxmlformats.org/officeDocument/2006/relationships/hyperlink" Target="https://www.itu.int/md/S20-CL-C-0061/es" TargetMode="External"/><Relationship Id="rId12" Type="http://schemas.openxmlformats.org/officeDocument/2006/relationships/hyperlink" Target="https://www.itu.int/md/S22-CL-C-0057/es" TargetMode="External"/><Relationship Id="rId17" Type="http://schemas.openxmlformats.org/officeDocument/2006/relationships/hyperlink" Target="https://www.itu.int/md/S23-CL-INF-0013/es"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itu.int/md/S23-CL-INF-0011/es" TargetMode="External"/><Relationship Id="rId20" Type="http://schemas.openxmlformats.org/officeDocument/2006/relationships/hyperlink" Target="https://www.itu.int/md/S24-CL-C-0031/e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en/council/Documents/basic-texts-2023/RES-071-S.pdf" TargetMode="External"/><Relationship Id="rId11" Type="http://schemas.openxmlformats.org/officeDocument/2006/relationships/hyperlink" Target="https://www.itu.int/md/S22-CL-C-0040/es" TargetMode="External"/><Relationship Id="rId24" Type="http://schemas.openxmlformats.org/officeDocument/2006/relationships/hyperlink" Target="https://www.itu.int/md/S26-CL-INF-0006/es" TargetMode="External"/><Relationship Id="rId5" Type="http://schemas.openxmlformats.org/officeDocument/2006/relationships/endnotes" Target="endnotes.xml"/><Relationship Id="rId15" Type="http://schemas.openxmlformats.org/officeDocument/2006/relationships/hyperlink" Target="https://www.itu.int/md/S23-CL-C-0063/es" TargetMode="External"/><Relationship Id="rId23" Type="http://schemas.openxmlformats.org/officeDocument/2006/relationships/hyperlink" Target="https://www.itu.int/md/S25-CL-C-0066/es" TargetMode="External"/><Relationship Id="rId28" Type="http://schemas.openxmlformats.org/officeDocument/2006/relationships/fontTable" Target="fontTable.xml"/><Relationship Id="rId10" Type="http://schemas.openxmlformats.org/officeDocument/2006/relationships/hyperlink" Target="https://www.itu.int/md/S22-CL-INF-0013/es" TargetMode="External"/><Relationship Id="rId19" Type="http://schemas.openxmlformats.org/officeDocument/2006/relationships/hyperlink" Target="https://www.itu.int/md/S24-CL-C-0053/es" TargetMode="External"/><Relationship Id="rId4" Type="http://schemas.openxmlformats.org/officeDocument/2006/relationships/footnotes" Target="footnotes.xml"/><Relationship Id="rId9" Type="http://schemas.openxmlformats.org/officeDocument/2006/relationships/hyperlink" Target="https://www.itu.int/md/S21-CL-INF-0015/es" TargetMode="External"/><Relationship Id="rId14" Type="http://schemas.openxmlformats.org/officeDocument/2006/relationships/hyperlink" Target="https://www.itu.int/md/S23-CL-C-0050/es" TargetMode="External"/><Relationship Id="rId22" Type="http://schemas.openxmlformats.org/officeDocument/2006/relationships/hyperlink" Target="https://www.itu.int/md/S25-CL-C-0055/e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9</TotalTime>
  <Pages>6</Pages>
  <Words>1995</Words>
  <Characters>12939</Characters>
  <Application>Microsoft Office Word</Application>
  <DocSecurity>0</DocSecurity>
  <Lines>215</Lines>
  <Paragraphs>60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14874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Fortalecimiento de los cimientos digitales de la UIT para la transformación – Estrategia, arquitectura institucional, gobernanza de TIC y modelo operativo de TI</dc:title>
  <dc:subject>Consejo 2026 de la UIT</dc:subject>
  <cp:keywords>C26; C2026; Council 2026; PP26</cp:keywords>
  <dc:description/>
  <cp:lastPrinted>2006-03-24T09:51:00Z</cp:lastPrinted>
  <dcterms:created xsi:type="dcterms:W3CDTF">2026-04-08T15:35:00Z</dcterms:created>
  <dcterms:modified xsi:type="dcterms:W3CDTF">2026-04-08T15:41:00Z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