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5C43B0" w14:paraId="2117DDFE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1DEDA9D" w14:textId="003CFD1C" w:rsidR="00796BD3" w:rsidRPr="005C43B0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5C43B0">
              <w:rPr>
                <w:b/>
                <w:lang w:val="ru-RU"/>
              </w:rPr>
              <w:t>Пункт повестки дня:</w:t>
            </w:r>
            <w:r w:rsidR="00D13D46" w:rsidRPr="005C43B0">
              <w:rPr>
                <w:b/>
                <w:lang w:val="ru-RU"/>
              </w:rPr>
              <w:t xml:space="preserve"> ADM 3</w:t>
            </w:r>
          </w:p>
        </w:tc>
        <w:tc>
          <w:tcPr>
            <w:tcW w:w="5245" w:type="dxa"/>
          </w:tcPr>
          <w:p w14:paraId="7D75890E" w14:textId="32A5ECCF" w:rsidR="00796BD3" w:rsidRPr="005C43B0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C43B0">
              <w:rPr>
                <w:b/>
                <w:lang w:val="ru-RU"/>
              </w:rPr>
              <w:t xml:space="preserve">Документ </w:t>
            </w:r>
            <w:r w:rsidR="00796BD3" w:rsidRPr="005C43B0">
              <w:rPr>
                <w:b/>
                <w:lang w:val="ru-RU"/>
              </w:rPr>
              <w:t>C2</w:t>
            </w:r>
            <w:r w:rsidR="00BE00DD" w:rsidRPr="005C43B0">
              <w:rPr>
                <w:b/>
                <w:lang w:val="ru-RU"/>
              </w:rPr>
              <w:t>6</w:t>
            </w:r>
            <w:r w:rsidR="00796BD3" w:rsidRPr="005C43B0">
              <w:rPr>
                <w:b/>
                <w:lang w:val="ru-RU"/>
              </w:rPr>
              <w:t>/</w:t>
            </w:r>
            <w:r w:rsidR="00102AE7" w:rsidRPr="005C43B0">
              <w:rPr>
                <w:b/>
                <w:lang w:val="ru-RU"/>
              </w:rPr>
              <w:t>62</w:t>
            </w:r>
            <w:r w:rsidR="00796BD3" w:rsidRPr="005C43B0">
              <w:rPr>
                <w:b/>
                <w:lang w:val="ru-RU"/>
              </w:rPr>
              <w:t>-R</w:t>
            </w:r>
          </w:p>
        </w:tc>
      </w:tr>
      <w:tr w:rsidR="00796BD3" w:rsidRPr="005C43B0" w14:paraId="31618C20" w14:textId="77777777" w:rsidTr="00D17718">
        <w:trPr>
          <w:cantSplit/>
        </w:trPr>
        <w:tc>
          <w:tcPr>
            <w:tcW w:w="3969" w:type="dxa"/>
            <w:vMerge/>
          </w:tcPr>
          <w:p w14:paraId="2BAC0F26" w14:textId="77777777" w:rsidR="00796BD3" w:rsidRPr="005C43B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2CDEF4A" w14:textId="2AAF134D" w:rsidR="00796BD3" w:rsidRPr="005C43B0" w:rsidRDefault="00102AE7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5C43B0">
              <w:rPr>
                <w:b/>
                <w:lang w:val="ru-RU"/>
              </w:rPr>
              <w:t xml:space="preserve">30 марта 2026 </w:t>
            </w:r>
            <w:r w:rsidR="00AE2C6A" w:rsidRPr="005C43B0">
              <w:rPr>
                <w:b/>
                <w:lang w:val="ru-RU"/>
              </w:rPr>
              <w:t>года</w:t>
            </w:r>
          </w:p>
        </w:tc>
      </w:tr>
      <w:tr w:rsidR="00796BD3" w:rsidRPr="005C43B0" w14:paraId="1FBB980F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64981D8" w14:textId="77777777" w:rsidR="00796BD3" w:rsidRPr="005C43B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D06FA42" w14:textId="77777777" w:rsidR="00796BD3" w:rsidRPr="005C43B0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5C43B0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5C43B0" w14:paraId="3D3FC910" w14:textId="77777777" w:rsidTr="00D17718">
        <w:trPr>
          <w:cantSplit/>
          <w:trHeight w:val="23"/>
        </w:trPr>
        <w:tc>
          <w:tcPr>
            <w:tcW w:w="3969" w:type="dxa"/>
          </w:tcPr>
          <w:p w14:paraId="7AC5485E" w14:textId="77777777" w:rsidR="00796BD3" w:rsidRPr="005C43B0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D7644F1" w14:textId="77777777" w:rsidR="00796BD3" w:rsidRPr="005C43B0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5C43B0" w14:paraId="56E59EF6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31139DC" w14:textId="77777777" w:rsidR="00796BD3" w:rsidRPr="005C43B0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5C43B0">
              <w:t>Отчет Генерального секретаря</w:t>
            </w:r>
          </w:p>
        </w:tc>
      </w:tr>
      <w:tr w:rsidR="00796BD3" w:rsidRPr="000D7E6D" w14:paraId="01DDEDAB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2102EBD" w14:textId="48571D33" w:rsidR="00796BD3" w:rsidRPr="001D42A7" w:rsidRDefault="008B0C10" w:rsidP="00A405F9">
            <w:pPr>
              <w:pStyle w:val="Subtitle"/>
              <w:framePr w:hSpace="0" w:wrap="auto" w:xAlign="left" w:yAlign="inline"/>
              <w:suppressOverlap w:val="0"/>
              <w:rPr>
                <w:caps/>
                <w:sz w:val="32"/>
              </w:rPr>
            </w:pPr>
            <w:bookmarkStart w:id="6" w:name="_Hlk215581931"/>
            <w:bookmarkStart w:id="7" w:name="dtitle1" w:colFirst="0" w:colLast="0"/>
            <w:bookmarkEnd w:id="5"/>
            <w:r w:rsidRPr="001D42A7">
              <w:rPr>
                <w:caps/>
                <w:color w:val="000000"/>
                <w:sz w:val="32"/>
              </w:rPr>
              <w:t xml:space="preserve">Укрепление внутренних цифровых основ МСЭ для трансформации – стратегия, архитектура </w:t>
            </w:r>
            <w:r w:rsidR="00A54A2D" w:rsidRPr="001D42A7">
              <w:rPr>
                <w:caps/>
                <w:color w:val="000000"/>
                <w:sz w:val="32"/>
              </w:rPr>
              <w:t>организации</w:t>
            </w:r>
            <w:r w:rsidRPr="001D42A7">
              <w:rPr>
                <w:caps/>
                <w:color w:val="000000"/>
                <w:sz w:val="32"/>
              </w:rPr>
              <w:t>, управление ИКТ и операционная модель ИТ</w:t>
            </w:r>
            <w:bookmarkEnd w:id="6"/>
          </w:p>
        </w:tc>
      </w:tr>
      <w:tr w:rsidR="00796BD3" w:rsidRPr="000D7E6D" w14:paraId="2120624E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F366E7" w14:textId="77777777" w:rsidR="00796BD3" w:rsidRPr="005C43B0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C43B0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68E4A2F5" w14:textId="62689851" w:rsidR="008B0C10" w:rsidRPr="005C43B0" w:rsidRDefault="008B0C10" w:rsidP="0047677E">
            <w:pPr>
              <w:rPr>
                <w:lang w:val="ru-RU"/>
              </w:rPr>
            </w:pPr>
            <w:r w:rsidRPr="005C43B0">
              <w:rPr>
                <w:lang w:val="ru-RU"/>
              </w:rPr>
              <w:t xml:space="preserve">В настоящем документе Совету представлена обновленная информация о </w:t>
            </w:r>
            <w:r w:rsidRPr="005C43B0">
              <w:rPr>
                <w:b/>
                <w:bCs/>
                <w:lang w:val="ru-RU"/>
              </w:rPr>
              <w:t xml:space="preserve">прогрессе, достигнутом в разработке </w:t>
            </w:r>
            <w:r w:rsidRPr="005C43B0">
              <w:rPr>
                <w:lang w:val="ru-RU"/>
              </w:rPr>
              <w:t xml:space="preserve">четырех взаимосвязанных цифровых основ: внутренней цифровой стратегии и плана МСЭ на 2026−2027 годы, концепции архитектуры </w:t>
            </w:r>
            <w:r w:rsidR="00A54A2D" w:rsidRPr="005C43B0">
              <w:rPr>
                <w:lang w:val="ru-RU"/>
              </w:rPr>
              <w:t>организации</w:t>
            </w:r>
            <w:r w:rsidRPr="005C43B0">
              <w:rPr>
                <w:lang w:val="ru-RU"/>
              </w:rPr>
              <w:t>, усовершенствованной системы цифрового управления и новой операционной модели ISD.</w:t>
            </w:r>
          </w:p>
          <w:p w14:paraId="49BF8516" w14:textId="5D0C1227" w:rsidR="00796BD3" w:rsidRPr="005C43B0" w:rsidRDefault="008B0C10" w:rsidP="0047677E">
            <w:pPr>
              <w:rPr>
                <w:lang w:val="ru-RU"/>
              </w:rPr>
            </w:pPr>
            <w:r w:rsidRPr="005C43B0">
              <w:rPr>
                <w:lang w:val="ru-RU"/>
              </w:rPr>
              <w:t xml:space="preserve">Эти четыре основополагающих элемента непосредственно соответствуют руководящим указаниям Совета по укреплению управления, повышению прозрачности и эффективности инвестиций в ИКТ. Они </w:t>
            </w:r>
            <w:r w:rsidR="00444BD9" w:rsidRPr="005C43B0">
              <w:rPr>
                <w:lang w:val="ru-RU"/>
              </w:rPr>
              <w:t>разработаны</w:t>
            </w:r>
            <w:r w:rsidRPr="005C43B0">
              <w:rPr>
                <w:lang w:val="ru-RU"/>
              </w:rPr>
              <w:t xml:space="preserve"> как комплексная система внутренней цифровой трансформации МСЭ.</w:t>
            </w:r>
          </w:p>
          <w:p w14:paraId="53616D51" w14:textId="77777777" w:rsidR="00796BD3" w:rsidRPr="005C43B0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C43B0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5BAB8B79" w14:textId="6E6C1425" w:rsidR="00796BD3" w:rsidRPr="005C43B0" w:rsidRDefault="00A660E5" w:rsidP="00D17718">
            <w:pPr>
              <w:rPr>
                <w:lang w:val="ru-RU"/>
              </w:rPr>
            </w:pPr>
            <w:r w:rsidRPr="005C43B0">
              <w:rPr>
                <w:color w:val="000000"/>
                <w:lang w:val="ru-RU"/>
              </w:rPr>
              <w:t xml:space="preserve">Совету предлагается </w:t>
            </w:r>
            <w:r w:rsidRPr="005C43B0">
              <w:rPr>
                <w:b/>
                <w:bCs/>
                <w:color w:val="000000"/>
                <w:lang w:val="ru-RU"/>
              </w:rPr>
              <w:t>принять к сведению</w:t>
            </w:r>
            <w:r w:rsidRPr="005C43B0">
              <w:rPr>
                <w:color w:val="000000"/>
                <w:lang w:val="ru-RU"/>
              </w:rPr>
              <w:t xml:space="preserve"> информацию о ходе работы, приведенную в</w:t>
            </w:r>
            <w:r w:rsidR="00CD6C54" w:rsidRPr="005C43B0">
              <w:rPr>
                <w:color w:val="000000"/>
                <w:lang w:val="ru-RU"/>
              </w:rPr>
              <w:t> </w:t>
            </w:r>
            <w:r w:rsidRPr="005C43B0">
              <w:rPr>
                <w:color w:val="000000"/>
                <w:lang w:val="ru-RU"/>
              </w:rPr>
              <w:t xml:space="preserve">настоящем отчете, и </w:t>
            </w:r>
            <w:r w:rsidRPr="005C43B0">
              <w:rPr>
                <w:b/>
                <w:bCs/>
                <w:color w:val="000000"/>
                <w:lang w:val="ru-RU"/>
              </w:rPr>
              <w:t>представить любые руководящие указания</w:t>
            </w:r>
            <w:r w:rsidRPr="005C43B0">
              <w:rPr>
                <w:color w:val="000000"/>
                <w:lang w:val="ru-RU"/>
              </w:rPr>
              <w:t>, в случае необходимости</w:t>
            </w:r>
            <w:r w:rsidR="008B0C10" w:rsidRPr="005C43B0">
              <w:rPr>
                <w:color w:val="000000"/>
                <w:lang w:val="ru-RU"/>
              </w:rPr>
              <w:t>.</w:t>
            </w:r>
          </w:p>
          <w:p w14:paraId="5F1292FF" w14:textId="77777777" w:rsidR="00796BD3" w:rsidRPr="005C43B0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C43B0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669E2C02" w14:textId="689AF65A" w:rsidR="00796BD3" w:rsidRPr="005C43B0" w:rsidRDefault="00F477DE" w:rsidP="00D17718">
            <w:pPr>
              <w:rPr>
                <w:lang w:val="ru-RU"/>
              </w:rPr>
            </w:pPr>
            <w:r w:rsidRPr="005C43B0">
              <w:rPr>
                <w:color w:val="000000"/>
                <w:lang w:val="ru-RU"/>
              </w:rPr>
              <w:t>Система средств достижения целей и р</w:t>
            </w:r>
            <w:r w:rsidR="008B0C10" w:rsidRPr="005C43B0">
              <w:rPr>
                <w:color w:val="000000"/>
                <w:lang w:val="ru-RU"/>
              </w:rPr>
              <w:t>азвитие людских ресурсов и организационные инновации</w:t>
            </w:r>
            <w:r w:rsidR="004A7EEF" w:rsidRPr="005C43B0">
              <w:rPr>
                <w:color w:val="000000"/>
                <w:lang w:val="ru-RU"/>
              </w:rPr>
              <w:t>.</w:t>
            </w:r>
          </w:p>
          <w:p w14:paraId="5D0B2DBA" w14:textId="77777777" w:rsidR="00796BD3" w:rsidRPr="005C43B0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5C43B0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10E63315" w14:textId="3B919812" w:rsidR="00345D2A" w:rsidRPr="005C43B0" w:rsidRDefault="008B0C10" w:rsidP="008D5177">
            <w:pPr>
              <w:rPr>
                <w:szCs w:val="22"/>
                <w:lang w:val="ru-RU"/>
              </w:rPr>
            </w:pPr>
            <w:r w:rsidRPr="005C43B0">
              <w:rPr>
                <w:color w:val="000000"/>
                <w:lang w:val="ru-RU"/>
              </w:rPr>
              <w:t>В рамках выделенного бюджета на 2026</w:t>
            </w:r>
            <w:r w:rsidR="001D42A7">
              <w:rPr>
                <w:rFonts w:cs="Calibri"/>
                <w:color w:val="000000"/>
                <w:lang w:val="ru-RU"/>
              </w:rPr>
              <w:t>−</w:t>
            </w:r>
            <w:r w:rsidRPr="005C43B0">
              <w:rPr>
                <w:color w:val="000000"/>
                <w:lang w:val="ru-RU"/>
              </w:rPr>
              <w:t>2027 годы.</w:t>
            </w:r>
          </w:p>
          <w:p w14:paraId="6A425F6E" w14:textId="77777777" w:rsidR="00796BD3" w:rsidRPr="005C43B0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5C43B0">
              <w:rPr>
                <w:sz w:val="20"/>
                <w:szCs w:val="18"/>
                <w:lang w:val="ru-RU"/>
              </w:rPr>
              <w:t>__________________</w:t>
            </w:r>
          </w:p>
          <w:p w14:paraId="0F53DEA6" w14:textId="77777777" w:rsidR="00796BD3" w:rsidRPr="005C43B0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5C43B0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F91380F" w14:textId="4B9B0388" w:rsidR="00796BD3" w:rsidRPr="005C43B0" w:rsidRDefault="008B0C10" w:rsidP="00D17718">
            <w:pPr>
              <w:spacing w:after="160"/>
              <w:rPr>
                <w:i/>
                <w:iCs/>
                <w:lang w:val="ru-RU"/>
              </w:rPr>
            </w:pPr>
            <w:r w:rsidRPr="005C43B0">
              <w:rPr>
                <w:i/>
                <w:iCs/>
                <w:color w:val="000000"/>
                <w:lang w:val="ru-RU"/>
              </w:rPr>
              <w:t xml:space="preserve">Резолюция </w:t>
            </w:r>
            <w:hyperlink r:id="rId7" w:history="1">
              <w:r w:rsidRPr="005C43B0">
                <w:rPr>
                  <w:rStyle w:val="Hyperlink"/>
                  <w:i/>
                  <w:iCs/>
                  <w:lang w:val="ru-RU"/>
                </w:rPr>
                <w:t>71 (Пересм. Бухарест, 2022 г.)</w:t>
              </w:r>
            </w:hyperlink>
            <w:r w:rsidRPr="005C43B0">
              <w:rPr>
                <w:i/>
                <w:iCs/>
                <w:color w:val="000000"/>
                <w:lang w:val="ru-RU"/>
              </w:rPr>
              <w:t xml:space="preserve"> Полномочной конференции;</w:t>
            </w:r>
            <w:r w:rsidRPr="005C43B0">
              <w:rPr>
                <w:color w:val="000000"/>
                <w:lang w:val="ru-RU"/>
              </w:rPr>
              <w:t xml:space="preserve"> </w:t>
            </w:r>
            <w:r w:rsidRPr="005C43B0">
              <w:rPr>
                <w:i/>
                <w:iCs/>
                <w:color w:val="000000"/>
                <w:lang w:val="ru-RU"/>
              </w:rPr>
              <w:t xml:space="preserve">Документы </w:t>
            </w:r>
            <w:hyperlink r:id="rId8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C20/61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, </w:t>
            </w:r>
            <w:hyperlink r:id="rId9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C20/74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; </w:t>
            </w:r>
            <w:hyperlink r:id="rId10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C21/INF/15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; </w:t>
            </w:r>
            <w:hyperlink r:id="rId11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C22/INF/13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, </w:t>
            </w:r>
            <w:hyperlink r:id="rId12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C22/40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, </w:t>
            </w:r>
            <w:hyperlink r:id="rId13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C22/57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; </w:t>
            </w:r>
            <w:hyperlink r:id="rId14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C23/36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, </w:t>
            </w:r>
            <w:hyperlink r:id="rId15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C23/50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, </w:t>
            </w:r>
            <w:hyperlink r:id="rId16">
              <w:r w:rsidR="003537BE" w:rsidRPr="00B314B0">
                <w:rPr>
                  <w:rStyle w:val="Hyperlink"/>
                  <w:i/>
                  <w:iCs/>
                  <w:szCs w:val="22"/>
                  <w:lang w:val="ru-RU"/>
                </w:rPr>
                <w:t>C23/62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, </w:t>
            </w:r>
            <w:hyperlink r:id="rId17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C23/INF/11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, </w:t>
            </w:r>
            <w:hyperlink r:id="rId18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C23/INF/13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; </w:t>
            </w:r>
            <w:hyperlink r:id="rId19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C24/19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, </w:t>
            </w:r>
            <w:hyperlink r:id="rId20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C24/53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, </w:t>
            </w:r>
            <w:hyperlink r:id="rId21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C24/31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; </w:t>
            </w:r>
            <w:hyperlink r:id="rId22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C25/50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, </w:t>
            </w:r>
            <w:hyperlink r:id="rId23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C25/55,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 </w:t>
            </w:r>
            <w:hyperlink r:id="rId24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C25/66</w:t>
              </w:r>
            </w:hyperlink>
            <w:r w:rsidR="003537BE" w:rsidRPr="005C43B0">
              <w:rPr>
                <w:i/>
                <w:iCs/>
                <w:szCs w:val="22"/>
                <w:lang w:val="ru-RU"/>
              </w:rPr>
              <w:t xml:space="preserve">, </w:t>
            </w:r>
            <w:hyperlink r:id="rId25" w:history="1">
              <w:r w:rsidR="003537BE" w:rsidRPr="005C43B0">
                <w:rPr>
                  <w:rStyle w:val="Hyperlink"/>
                  <w:i/>
                  <w:iCs/>
                  <w:szCs w:val="22"/>
                  <w:lang w:val="ru-RU"/>
                </w:rPr>
                <w:t>C26/INF/6</w:t>
              </w:r>
            </w:hyperlink>
            <w:r w:rsidRPr="005C43B0">
              <w:rPr>
                <w:i/>
                <w:iCs/>
                <w:color w:val="000000"/>
                <w:lang w:val="ru-RU"/>
              </w:rPr>
              <w:t xml:space="preserve"> Совета</w:t>
            </w:r>
          </w:p>
        </w:tc>
      </w:tr>
      <w:bookmarkEnd w:id="2"/>
      <w:bookmarkEnd w:id="7"/>
    </w:tbl>
    <w:p w14:paraId="72680F6B" w14:textId="77777777" w:rsidR="00796BD3" w:rsidRPr="005C43B0" w:rsidRDefault="00796BD3" w:rsidP="00796BD3">
      <w:pPr>
        <w:rPr>
          <w:lang w:val="ru-RU"/>
        </w:rPr>
      </w:pPr>
    </w:p>
    <w:p w14:paraId="1D2467D8" w14:textId="77777777" w:rsidR="00D17718" w:rsidRPr="005C43B0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18B09992" w14:textId="77777777" w:rsidR="00165D06" w:rsidRPr="005C43B0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5C43B0">
        <w:rPr>
          <w:lang w:val="ru-RU"/>
        </w:rPr>
        <w:br w:type="page"/>
      </w:r>
    </w:p>
    <w:p w14:paraId="36FC5392" w14:textId="77777777" w:rsidR="008B0C10" w:rsidRPr="005C43B0" w:rsidRDefault="008B0C10" w:rsidP="00CD6C54">
      <w:pPr>
        <w:pStyle w:val="Heading1"/>
        <w:rPr>
          <w:lang w:val="ru-RU"/>
        </w:rPr>
      </w:pPr>
      <w:r w:rsidRPr="005C43B0">
        <w:rPr>
          <w:lang w:val="ru-RU"/>
        </w:rPr>
        <w:lastRenderedPageBreak/>
        <w:t>1</w:t>
      </w:r>
      <w:r w:rsidRPr="005C43B0">
        <w:rPr>
          <w:lang w:val="ru-RU"/>
        </w:rPr>
        <w:tab/>
        <w:t>Введение</w:t>
      </w:r>
    </w:p>
    <w:p w14:paraId="091EE268" w14:textId="045BD0AF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t xml:space="preserve">МСЭ добился значительного прогресса в </w:t>
      </w:r>
      <w:r w:rsidR="007722E3" w:rsidRPr="005C43B0">
        <w:rPr>
          <w:lang w:val="ru-RU"/>
        </w:rPr>
        <w:t>развитии</w:t>
      </w:r>
      <w:r w:rsidRPr="005C43B0">
        <w:rPr>
          <w:lang w:val="ru-RU"/>
        </w:rPr>
        <w:t xml:space="preserve"> четырех основополагающих элементов своей внутренней цифровой трансформации:</w:t>
      </w:r>
    </w:p>
    <w:p w14:paraId="00E06582" w14:textId="53BE9139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1</w:t>
      </w:r>
      <w:r w:rsidRPr="005C43B0">
        <w:rPr>
          <w:lang w:val="ru-RU"/>
        </w:rPr>
        <w:tab/>
      </w:r>
      <w:r w:rsidR="004A7EEF" w:rsidRPr="005C43B0">
        <w:rPr>
          <w:lang w:val="ru-RU"/>
        </w:rPr>
        <w:t>р</w:t>
      </w:r>
      <w:r w:rsidRPr="005C43B0">
        <w:rPr>
          <w:lang w:val="ru-RU"/>
        </w:rPr>
        <w:t>азработка стратегии</w:t>
      </w:r>
      <w:r w:rsidR="004A7EEF" w:rsidRPr="005C43B0">
        <w:rPr>
          <w:lang w:val="ru-RU"/>
        </w:rPr>
        <w:t xml:space="preserve"> </w:t>
      </w:r>
      <w:r w:rsidRPr="005C43B0">
        <w:rPr>
          <w:lang w:val="ru-RU"/>
        </w:rPr>
        <w:t>цифровой трансформации</w:t>
      </w:r>
      <w:r w:rsidR="004A7EEF" w:rsidRPr="005C43B0">
        <w:rPr>
          <w:lang w:val="ru-RU"/>
        </w:rPr>
        <w:t xml:space="preserve"> и Стратегического плана</w:t>
      </w:r>
      <w:r w:rsidRPr="005C43B0">
        <w:rPr>
          <w:lang w:val="ru-RU"/>
        </w:rPr>
        <w:t xml:space="preserve"> (2026−2027</w:t>
      </w:r>
      <w:r w:rsidR="00CD6C54" w:rsidRPr="005C43B0">
        <w:rPr>
          <w:lang w:val="ru-RU"/>
        </w:rPr>
        <w:t> </w:t>
      </w:r>
      <w:r w:rsidRPr="005C43B0">
        <w:rPr>
          <w:lang w:val="ru-RU"/>
        </w:rPr>
        <w:t>гг.)</w:t>
      </w:r>
      <w:r w:rsidR="004A7EEF" w:rsidRPr="005C43B0">
        <w:rPr>
          <w:lang w:val="ru-RU"/>
        </w:rPr>
        <w:t>;</w:t>
      </w:r>
    </w:p>
    <w:p w14:paraId="3BA2E8C5" w14:textId="1F773B97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2</w:t>
      </w:r>
      <w:r w:rsidRPr="005C43B0">
        <w:rPr>
          <w:lang w:val="ru-RU"/>
        </w:rPr>
        <w:tab/>
      </w:r>
      <w:r w:rsidR="004A7EEF" w:rsidRPr="005C43B0">
        <w:rPr>
          <w:lang w:val="ru-RU"/>
        </w:rPr>
        <w:t>з</w:t>
      </w:r>
      <w:r w:rsidRPr="005C43B0">
        <w:rPr>
          <w:lang w:val="ru-RU"/>
        </w:rPr>
        <w:t xml:space="preserve">апуск программы "Архитектура </w:t>
      </w:r>
      <w:r w:rsidR="00A54A2D" w:rsidRPr="005C43B0">
        <w:rPr>
          <w:lang w:val="ru-RU"/>
        </w:rPr>
        <w:t>организации</w:t>
      </w:r>
      <w:r w:rsidRPr="005C43B0">
        <w:rPr>
          <w:lang w:val="ru-RU"/>
        </w:rPr>
        <w:t>" (EA)</w:t>
      </w:r>
      <w:r w:rsidR="004A7EEF" w:rsidRPr="005C43B0">
        <w:rPr>
          <w:lang w:val="ru-RU"/>
        </w:rPr>
        <w:t>;</w:t>
      </w:r>
    </w:p>
    <w:p w14:paraId="73C89E6A" w14:textId="44B40F3B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3</w:t>
      </w:r>
      <w:r w:rsidRPr="005C43B0">
        <w:rPr>
          <w:lang w:val="ru-RU"/>
        </w:rPr>
        <w:tab/>
      </w:r>
      <w:r w:rsidR="004A7EEF" w:rsidRPr="005C43B0">
        <w:rPr>
          <w:lang w:val="ru-RU"/>
        </w:rPr>
        <w:t>с</w:t>
      </w:r>
      <w:r w:rsidRPr="005C43B0">
        <w:rPr>
          <w:lang w:val="ru-RU"/>
        </w:rPr>
        <w:t>овершенствование системы цифрового управления</w:t>
      </w:r>
      <w:r w:rsidR="004A7EEF" w:rsidRPr="005C43B0">
        <w:rPr>
          <w:lang w:val="ru-RU"/>
        </w:rPr>
        <w:t>;</w:t>
      </w:r>
    </w:p>
    <w:p w14:paraId="72722D6F" w14:textId="33B9F95F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4</w:t>
      </w:r>
      <w:r w:rsidRPr="005C43B0">
        <w:rPr>
          <w:lang w:val="ru-RU"/>
        </w:rPr>
        <w:tab/>
      </w:r>
      <w:r w:rsidR="00CD0F97" w:rsidRPr="005C43B0">
        <w:rPr>
          <w:lang w:val="ru-RU"/>
        </w:rPr>
        <w:t>пересмотр</w:t>
      </w:r>
      <w:r w:rsidRPr="005C43B0">
        <w:rPr>
          <w:lang w:val="ru-RU"/>
        </w:rPr>
        <w:t xml:space="preserve"> операционной модели Департамента информационных служб (ISD).</w:t>
      </w:r>
    </w:p>
    <w:p w14:paraId="2145EEF1" w14:textId="3ECBF524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t xml:space="preserve">В настоящее время разработан первый полный проект каждого из этих компонентов. </w:t>
      </w:r>
      <w:r w:rsidR="00C259B4" w:rsidRPr="005C43B0">
        <w:rPr>
          <w:lang w:val="ru-RU"/>
        </w:rPr>
        <w:t>В</w:t>
      </w:r>
      <w:r w:rsidR="00CD6C54" w:rsidRPr="005C43B0">
        <w:rPr>
          <w:lang w:val="ru-RU"/>
        </w:rPr>
        <w:t> </w:t>
      </w:r>
      <w:r w:rsidR="00C259B4" w:rsidRPr="005C43B0">
        <w:rPr>
          <w:lang w:val="ru-RU"/>
        </w:rPr>
        <w:t>совокупности они</w:t>
      </w:r>
      <w:r w:rsidRPr="005C43B0">
        <w:rPr>
          <w:lang w:val="ru-RU"/>
        </w:rPr>
        <w:t xml:space="preserve"> создают последовательную и комплексную основу для перехода МСЭ от</w:t>
      </w:r>
      <w:r w:rsidR="00CD6C54" w:rsidRPr="005C43B0">
        <w:rPr>
          <w:lang w:val="ru-RU"/>
        </w:rPr>
        <w:t> </w:t>
      </w:r>
      <w:r w:rsidRPr="005C43B0">
        <w:rPr>
          <w:lang w:val="ru-RU"/>
        </w:rPr>
        <w:t xml:space="preserve">разрозненности </w:t>
      </w:r>
      <w:r w:rsidR="00C259B4" w:rsidRPr="005C43B0">
        <w:rPr>
          <w:lang w:val="ru-RU"/>
        </w:rPr>
        <w:t>обеспечиваемых результатов в области</w:t>
      </w:r>
      <w:r w:rsidRPr="005C43B0">
        <w:rPr>
          <w:lang w:val="ru-RU"/>
        </w:rPr>
        <w:t xml:space="preserve"> ИКТ к управляемой, устойчивой цифровой организации с поддержкой ИИ.</w:t>
      </w:r>
    </w:p>
    <w:p w14:paraId="12EC5185" w14:textId="0EE57534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t xml:space="preserve">В настоящее время </w:t>
      </w:r>
      <w:r w:rsidR="00C259B4" w:rsidRPr="005C43B0">
        <w:rPr>
          <w:lang w:val="ru-RU"/>
        </w:rPr>
        <w:t>проходит заключительный раунд консультаций и сбора обратной связи в</w:t>
      </w:r>
      <w:r w:rsidR="00CD6C54" w:rsidRPr="005C43B0">
        <w:rPr>
          <w:lang w:val="ru-RU"/>
        </w:rPr>
        <w:t> </w:t>
      </w:r>
      <w:r w:rsidR="00C259B4" w:rsidRPr="005C43B0">
        <w:rPr>
          <w:lang w:val="ru-RU"/>
        </w:rPr>
        <w:t xml:space="preserve">отношении этих </w:t>
      </w:r>
      <w:r w:rsidR="002E5AC8" w:rsidRPr="005C43B0">
        <w:rPr>
          <w:lang w:val="ru-RU"/>
        </w:rPr>
        <w:t xml:space="preserve">проектов </w:t>
      </w:r>
      <w:r w:rsidR="00C259B4" w:rsidRPr="005C43B0">
        <w:rPr>
          <w:lang w:val="ru-RU"/>
        </w:rPr>
        <w:t xml:space="preserve">в </w:t>
      </w:r>
      <w:r w:rsidR="008053C0" w:rsidRPr="005C43B0">
        <w:rPr>
          <w:lang w:val="ru-RU"/>
        </w:rPr>
        <w:t xml:space="preserve">рамках </w:t>
      </w:r>
      <w:r w:rsidRPr="005C43B0">
        <w:rPr>
          <w:lang w:val="ru-RU"/>
        </w:rPr>
        <w:t>Сектор</w:t>
      </w:r>
      <w:r w:rsidR="008053C0" w:rsidRPr="005C43B0">
        <w:rPr>
          <w:lang w:val="ru-RU"/>
        </w:rPr>
        <w:t>ов</w:t>
      </w:r>
      <w:r w:rsidRPr="005C43B0">
        <w:rPr>
          <w:lang w:val="ru-RU"/>
        </w:rPr>
        <w:t xml:space="preserve"> и Генеральн</w:t>
      </w:r>
      <w:r w:rsidR="00C259B4" w:rsidRPr="005C43B0">
        <w:rPr>
          <w:lang w:val="ru-RU"/>
        </w:rPr>
        <w:t>о</w:t>
      </w:r>
      <w:r w:rsidR="008053C0" w:rsidRPr="005C43B0">
        <w:rPr>
          <w:lang w:val="ru-RU"/>
        </w:rPr>
        <w:t>го</w:t>
      </w:r>
      <w:r w:rsidRPr="005C43B0">
        <w:rPr>
          <w:lang w:val="ru-RU"/>
        </w:rPr>
        <w:t xml:space="preserve"> секретариат</w:t>
      </w:r>
      <w:r w:rsidR="008053C0" w:rsidRPr="005C43B0">
        <w:rPr>
          <w:lang w:val="ru-RU"/>
        </w:rPr>
        <w:t>а</w:t>
      </w:r>
      <w:r w:rsidRPr="005C43B0">
        <w:rPr>
          <w:lang w:val="ru-RU"/>
        </w:rPr>
        <w:t>. В соответствии с</w:t>
      </w:r>
      <w:r w:rsidR="00CD6C54" w:rsidRPr="005C43B0">
        <w:rPr>
          <w:lang w:val="ru-RU"/>
        </w:rPr>
        <w:t> </w:t>
      </w:r>
      <w:r w:rsidRPr="005C43B0">
        <w:rPr>
          <w:lang w:val="ru-RU"/>
        </w:rPr>
        <w:t xml:space="preserve">этим процессом они будут </w:t>
      </w:r>
      <w:r w:rsidR="00C259B4" w:rsidRPr="005C43B0">
        <w:rPr>
          <w:lang w:val="ru-RU"/>
        </w:rPr>
        <w:t>представлены</w:t>
      </w:r>
      <w:r w:rsidRPr="005C43B0">
        <w:rPr>
          <w:lang w:val="ru-RU"/>
        </w:rPr>
        <w:t xml:space="preserve"> на официальное одобрение и утверждение Комитетом по управлению ИКТ (ICTGC) и последующее утверждение Генеральным секретарем (ГС). </w:t>
      </w:r>
      <w:r w:rsidR="00C259B4" w:rsidRPr="005C43B0">
        <w:rPr>
          <w:lang w:val="ru-RU"/>
        </w:rPr>
        <w:t>Более п</w:t>
      </w:r>
      <w:r w:rsidRPr="005C43B0">
        <w:rPr>
          <w:lang w:val="ru-RU"/>
        </w:rPr>
        <w:t xml:space="preserve">одробная информация представлена в Документе </w:t>
      </w:r>
      <w:hyperlink r:id="rId26" w:history="1">
        <w:r w:rsidR="003537BE" w:rsidRPr="005C43B0">
          <w:rPr>
            <w:rStyle w:val="Hyperlink"/>
            <w:lang w:val="ru-RU"/>
          </w:rPr>
          <w:t>C26/INF/6</w:t>
        </w:r>
      </w:hyperlink>
      <w:r w:rsidRPr="005C43B0">
        <w:rPr>
          <w:lang w:val="ru-RU"/>
        </w:rPr>
        <w:t>.</w:t>
      </w:r>
    </w:p>
    <w:p w14:paraId="0F00171D" w14:textId="52E96CB9" w:rsidR="008B0C10" w:rsidRPr="005C43B0" w:rsidRDefault="008B0C10" w:rsidP="00CD6C54">
      <w:pPr>
        <w:pStyle w:val="Heading1"/>
        <w:rPr>
          <w:lang w:val="ru-RU"/>
        </w:rPr>
      </w:pPr>
      <w:r w:rsidRPr="005C43B0">
        <w:rPr>
          <w:lang w:val="ru-RU"/>
        </w:rPr>
        <w:t>2</w:t>
      </w:r>
      <w:r w:rsidRPr="005C43B0">
        <w:rPr>
          <w:lang w:val="ru-RU"/>
        </w:rPr>
        <w:tab/>
      </w:r>
      <w:r w:rsidR="007722E3" w:rsidRPr="005C43B0">
        <w:rPr>
          <w:lang w:val="ru-RU"/>
        </w:rPr>
        <w:t xml:space="preserve">Ход работы </w:t>
      </w:r>
      <w:r w:rsidRPr="005C43B0">
        <w:rPr>
          <w:lang w:val="ru-RU"/>
        </w:rPr>
        <w:t>и последующие шаги</w:t>
      </w:r>
    </w:p>
    <w:p w14:paraId="11836511" w14:textId="7B50A7D0" w:rsidR="008B0C10" w:rsidRPr="005C43B0" w:rsidRDefault="008B0C10" w:rsidP="00CD6C54">
      <w:pPr>
        <w:pStyle w:val="Heading2"/>
        <w:rPr>
          <w:lang w:val="ru-RU"/>
        </w:rPr>
      </w:pPr>
      <w:r w:rsidRPr="005C43B0">
        <w:rPr>
          <w:lang w:val="ru-RU"/>
        </w:rPr>
        <w:t>2.1</w:t>
      </w:r>
      <w:r w:rsidRPr="005C43B0">
        <w:rPr>
          <w:lang w:val="ru-RU"/>
        </w:rPr>
        <w:tab/>
        <w:t xml:space="preserve">Разработка внутренней </w:t>
      </w:r>
      <w:r w:rsidR="00DF1F6F" w:rsidRPr="005C43B0">
        <w:rPr>
          <w:lang w:val="ru-RU"/>
        </w:rPr>
        <w:t>С</w:t>
      </w:r>
      <w:r w:rsidRPr="005C43B0">
        <w:rPr>
          <w:lang w:val="ru-RU"/>
        </w:rPr>
        <w:t>тратегии цифровой трансформации</w:t>
      </w:r>
      <w:r w:rsidR="00DF1F6F" w:rsidRPr="005C43B0">
        <w:rPr>
          <w:lang w:val="ru-RU"/>
        </w:rPr>
        <w:t xml:space="preserve"> и Стратегического плана</w:t>
      </w:r>
      <w:r w:rsidRPr="005C43B0">
        <w:rPr>
          <w:lang w:val="ru-RU"/>
        </w:rPr>
        <w:t xml:space="preserve"> (2026−2027 г</w:t>
      </w:r>
      <w:r w:rsidR="007722E3" w:rsidRPr="005C43B0">
        <w:rPr>
          <w:lang w:val="ru-RU"/>
        </w:rPr>
        <w:t>г.</w:t>
      </w:r>
      <w:r w:rsidRPr="005C43B0">
        <w:rPr>
          <w:lang w:val="ru-RU"/>
        </w:rPr>
        <w:t>)</w:t>
      </w:r>
    </w:p>
    <w:p w14:paraId="78C8F31F" w14:textId="2D6E059B" w:rsidR="008B0C10" w:rsidRPr="005C43B0" w:rsidRDefault="008B0C10" w:rsidP="009A54B3">
      <w:pPr>
        <w:jc w:val="both"/>
        <w:rPr>
          <w:rFonts w:asciiTheme="minorHAnsi" w:hAnsiTheme="minorHAnsi" w:cstheme="minorBidi"/>
          <w:lang w:val="ru-RU"/>
        </w:rPr>
      </w:pPr>
      <w:r w:rsidRPr="005C43B0">
        <w:rPr>
          <w:lang w:val="ru-RU"/>
        </w:rPr>
        <w:t>МСЭ разработал (переходн</w:t>
      </w:r>
      <w:r w:rsidR="00DF1F6F" w:rsidRPr="005C43B0">
        <w:rPr>
          <w:lang w:val="ru-RU"/>
        </w:rPr>
        <w:t>ую</w:t>
      </w:r>
      <w:r w:rsidRPr="005C43B0">
        <w:rPr>
          <w:lang w:val="ru-RU"/>
        </w:rPr>
        <w:t>)</w:t>
      </w:r>
      <w:r w:rsidR="00DF1F6F" w:rsidRPr="005C43B0">
        <w:rPr>
          <w:lang w:val="ru-RU"/>
        </w:rPr>
        <w:t xml:space="preserve"> Стратегию</w:t>
      </w:r>
      <w:r w:rsidRPr="005C43B0">
        <w:rPr>
          <w:lang w:val="ru-RU"/>
        </w:rPr>
        <w:t xml:space="preserve"> цифровой трансформации (2026</w:t>
      </w:r>
      <w:r w:rsidR="001D42A7">
        <w:rPr>
          <w:rFonts w:cs="Calibri"/>
          <w:lang w:val="ru-RU"/>
        </w:rPr>
        <w:t>−</w:t>
      </w:r>
      <w:r w:rsidRPr="005C43B0">
        <w:rPr>
          <w:lang w:val="ru-RU"/>
        </w:rPr>
        <w:t>2027 г</w:t>
      </w:r>
      <w:r w:rsidR="00CD0F97" w:rsidRPr="005C43B0">
        <w:rPr>
          <w:lang w:val="ru-RU"/>
        </w:rPr>
        <w:t>г.</w:t>
      </w:r>
      <w:r w:rsidRPr="005C43B0">
        <w:rPr>
          <w:lang w:val="ru-RU"/>
        </w:rPr>
        <w:t>) и соответствующий ей Стратегический план, устанавливающий структурированный переход к</w:t>
      </w:r>
      <w:r w:rsidR="00CD6C54" w:rsidRPr="005C43B0">
        <w:rPr>
          <w:lang w:val="ru-RU"/>
        </w:rPr>
        <w:t> </w:t>
      </w:r>
      <w:r w:rsidRPr="005C43B0">
        <w:rPr>
          <w:lang w:val="ru-RU"/>
        </w:rPr>
        <w:t>согласованной, управляемой институциональной модели</w:t>
      </w:r>
      <w:r w:rsidR="00DF1F6F" w:rsidRPr="005C43B0">
        <w:rPr>
          <w:lang w:val="ru-RU"/>
        </w:rPr>
        <w:t>, работающей на базе ИИ</w:t>
      </w:r>
      <w:r w:rsidRPr="005C43B0">
        <w:rPr>
          <w:lang w:val="ru-RU"/>
        </w:rPr>
        <w:t>.</w:t>
      </w:r>
    </w:p>
    <w:p w14:paraId="5023E412" w14:textId="77777777" w:rsidR="008B0C10" w:rsidRPr="005C43B0" w:rsidRDefault="008B0C10" w:rsidP="009A54B3">
      <w:pPr>
        <w:jc w:val="both"/>
        <w:rPr>
          <w:rFonts w:asciiTheme="minorHAnsi" w:hAnsiTheme="minorHAnsi" w:cstheme="minorHAnsi"/>
          <w:lang w:val="ru-RU"/>
        </w:rPr>
      </w:pPr>
      <w:r w:rsidRPr="005C43B0">
        <w:rPr>
          <w:lang w:val="ru-RU"/>
        </w:rPr>
        <w:t>В стратегии цифровые технологии позиционируются как ключевой институциональный потенциал, и ее основу составляют три стратегические цели и обязательства:</w:t>
      </w:r>
    </w:p>
    <w:p w14:paraId="0BF17177" w14:textId="0DBE76C8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DF1F6F" w:rsidRPr="005C43B0">
        <w:rPr>
          <w:lang w:val="ru-RU"/>
        </w:rPr>
        <w:t>у</w:t>
      </w:r>
      <w:r w:rsidRPr="005C43B0">
        <w:rPr>
          <w:lang w:val="ru-RU"/>
        </w:rPr>
        <w:t xml:space="preserve">стойчивое цифровое ядро </w:t>
      </w:r>
      <w:r w:rsidR="001D42A7">
        <w:rPr>
          <w:rFonts w:cs="Calibri"/>
          <w:lang w:val="ru-RU"/>
        </w:rPr>
        <w:t>−</w:t>
      </w:r>
      <w:r w:rsidRPr="005C43B0">
        <w:rPr>
          <w:lang w:val="ru-RU"/>
        </w:rPr>
        <w:t xml:space="preserve"> </w:t>
      </w:r>
      <w:r w:rsidR="00DF1F6F" w:rsidRPr="005C43B0">
        <w:rPr>
          <w:lang w:val="ru-RU"/>
        </w:rPr>
        <w:t>м</w:t>
      </w:r>
      <w:r w:rsidRPr="005C43B0">
        <w:rPr>
          <w:lang w:val="ru-RU"/>
        </w:rPr>
        <w:t>одернизация систем/платформ, инфраструктуры и кибербезопасности</w:t>
      </w:r>
      <w:r w:rsidR="00A54A2D" w:rsidRPr="005C43B0">
        <w:rPr>
          <w:lang w:val="ru-RU"/>
        </w:rPr>
        <w:t xml:space="preserve"> организации</w:t>
      </w:r>
      <w:r w:rsidR="00DF1F6F" w:rsidRPr="005C43B0">
        <w:rPr>
          <w:lang w:val="ru-RU"/>
        </w:rPr>
        <w:t>;</w:t>
      </w:r>
    </w:p>
    <w:p w14:paraId="489A9D6C" w14:textId="5B33542E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3B547E" w:rsidRPr="005C43B0">
        <w:rPr>
          <w:lang w:val="ru-RU"/>
        </w:rPr>
        <w:t>эффективность операционной деятельности в области цифровых технологий</w:t>
      </w:r>
      <w:r w:rsidRPr="005C43B0">
        <w:rPr>
          <w:lang w:val="ru-RU"/>
        </w:rPr>
        <w:t xml:space="preserve"> </w:t>
      </w:r>
      <w:r w:rsidR="001D42A7">
        <w:rPr>
          <w:rFonts w:cs="Calibri"/>
          <w:lang w:val="ru-RU"/>
        </w:rPr>
        <w:t>−</w:t>
      </w:r>
      <w:r w:rsidRPr="005C43B0">
        <w:rPr>
          <w:lang w:val="ru-RU"/>
        </w:rPr>
        <w:t xml:space="preserve"> </w:t>
      </w:r>
      <w:r w:rsidR="00DF1F6F" w:rsidRPr="005C43B0">
        <w:rPr>
          <w:lang w:val="ru-RU"/>
        </w:rPr>
        <w:t>у</w:t>
      </w:r>
      <w:r w:rsidRPr="005C43B0">
        <w:rPr>
          <w:lang w:val="ru-RU"/>
        </w:rPr>
        <w:t>лучшен</w:t>
      </w:r>
      <w:r w:rsidR="002E2D1D" w:rsidRPr="005C43B0">
        <w:rPr>
          <w:lang w:val="ru-RU"/>
        </w:rPr>
        <w:t>ие</w:t>
      </w:r>
      <w:r w:rsidRPr="005C43B0">
        <w:rPr>
          <w:lang w:val="ru-RU"/>
        </w:rPr>
        <w:t xml:space="preserve"> предоставлени</w:t>
      </w:r>
      <w:r w:rsidR="002E2D1D" w:rsidRPr="005C43B0">
        <w:rPr>
          <w:lang w:val="ru-RU"/>
        </w:rPr>
        <w:t>я</w:t>
      </w:r>
      <w:r w:rsidRPr="005C43B0">
        <w:rPr>
          <w:lang w:val="ru-RU"/>
        </w:rPr>
        <w:t xml:space="preserve"> услуг, </w:t>
      </w:r>
      <w:r w:rsidR="002E2D1D" w:rsidRPr="005C43B0">
        <w:rPr>
          <w:lang w:val="ru-RU"/>
        </w:rPr>
        <w:t xml:space="preserve">повышение </w:t>
      </w:r>
      <w:r w:rsidRPr="005C43B0">
        <w:rPr>
          <w:lang w:val="ru-RU"/>
        </w:rPr>
        <w:t>операционн</w:t>
      </w:r>
      <w:r w:rsidR="002E2D1D" w:rsidRPr="005C43B0">
        <w:rPr>
          <w:lang w:val="ru-RU"/>
        </w:rPr>
        <w:t>ой</w:t>
      </w:r>
      <w:r w:rsidRPr="005C43B0">
        <w:rPr>
          <w:lang w:val="ru-RU"/>
        </w:rPr>
        <w:t xml:space="preserve"> эффективност</w:t>
      </w:r>
      <w:r w:rsidR="002E2D1D" w:rsidRPr="005C43B0">
        <w:rPr>
          <w:lang w:val="ru-RU"/>
        </w:rPr>
        <w:t>и</w:t>
      </w:r>
      <w:r w:rsidRPr="005C43B0">
        <w:rPr>
          <w:lang w:val="ru-RU"/>
        </w:rPr>
        <w:t xml:space="preserve"> и </w:t>
      </w:r>
      <w:r w:rsidR="002E2D1D" w:rsidRPr="005C43B0">
        <w:rPr>
          <w:lang w:val="ru-RU"/>
        </w:rPr>
        <w:t xml:space="preserve">удобства </w:t>
      </w:r>
      <w:r w:rsidRPr="005C43B0">
        <w:rPr>
          <w:lang w:val="ru-RU"/>
        </w:rPr>
        <w:t>пользовател</w:t>
      </w:r>
      <w:r w:rsidR="002E2D1D" w:rsidRPr="005C43B0">
        <w:rPr>
          <w:lang w:val="ru-RU"/>
        </w:rPr>
        <w:t>ей</w:t>
      </w:r>
      <w:r w:rsidR="00DF1F6F" w:rsidRPr="005C43B0">
        <w:rPr>
          <w:lang w:val="ru-RU"/>
        </w:rPr>
        <w:t>;</w:t>
      </w:r>
    </w:p>
    <w:p w14:paraId="6E96251A" w14:textId="583A406F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DF1F6F" w:rsidRPr="005C43B0">
        <w:rPr>
          <w:lang w:val="ru-RU"/>
        </w:rPr>
        <w:t>и</w:t>
      </w:r>
      <w:r w:rsidRPr="005C43B0">
        <w:rPr>
          <w:lang w:val="ru-RU"/>
        </w:rPr>
        <w:t xml:space="preserve">нновации с использованием ИИ и данных </w:t>
      </w:r>
      <w:r w:rsidR="001D42A7">
        <w:rPr>
          <w:rFonts w:cs="Calibri"/>
          <w:lang w:val="ru-RU"/>
        </w:rPr>
        <w:t>−</w:t>
      </w:r>
      <w:r w:rsidRPr="005C43B0">
        <w:rPr>
          <w:lang w:val="ru-RU"/>
        </w:rPr>
        <w:t xml:space="preserve"> </w:t>
      </w:r>
      <w:r w:rsidR="00A62256" w:rsidRPr="005C43B0">
        <w:rPr>
          <w:lang w:val="ru-RU"/>
        </w:rPr>
        <w:t>с</w:t>
      </w:r>
      <w:r w:rsidRPr="005C43B0">
        <w:rPr>
          <w:lang w:val="ru-RU"/>
        </w:rPr>
        <w:t>оздание возможностей</w:t>
      </w:r>
      <w:r w:rsidR="00A62256" w:rsidRPr="005C43B0">
        <w:rPr>
          <w:lang w:val="ru-RU"/>
        </w:rPr>
        <w:t xml:space="preserve"> для применения</w:t>
      </w:r>
      <w:r w:rsidRPr="005C43B0">
        <w:rPr>
          <w:lang w:val="ru-RU"/>
        </w:rPr>
        <w:t xml:space="preserve"> искусственного интеллекта (ИИ) и основ данных</w:t>
      </w:r>
      <w:r w:rsidR="003B547E" w:rsidRPr="005C43B0">
        <w:rPr>
          <w:lang w:val="ru-RU"/>
        </w:rPr>
        <w:t>, готовых к использованию в ИИ,</w:t>
      </w:r>
      <w:r w:rsidRPr="005C43B0">
        <w:rPr>
          <w:lang w:val="ru-RU"/>
        </w:rPr>
        <w:t xml:space="preserve"> для</w:t>
      </w:r>
      <w:r w:rsidR="00CD6C54" w:rsidRPr="005C43B0">
        <w:rPr>
          <w:lang w:val="ru-RU"/>
        </w:rPr>
        <w:t> </w:t>
      </w:r>
      <w:r w:rsidRPr="005C43B0">
        <w:rPr>
          <w:lang w:val="ru-RU"/>
        </w:rPr>
        <w:t>масштабируемых и ответственных инноваций.</w:t>
      </w:r>
    </w:p>
    <w:p w14:paraId="111A53BB" w14:textId="3C8ABE15" w:rsidR="008B0C10" w:rsidRPr="005C43B0" w:rsidRDefault="008B0C10" w:rsidP="009A54B3">
      <w:pPr>
        <w:jc w:val="both"/>
        <w:rPr>
          <w:rFonts w:asciiTheme="minorHAnsi" w:hAnsiTheme="minorHAnsi" w:cstheme="minorHAnsi"/>
          <w:lang w:val="ru-RU"/>
        </w:rPr>
      </w:pPr>
      <w:r w:rsidRPr="005C43B0">
        <w:rPr>
          <w:lang w:val="ru-RU"/>
        </w:rPr>
        <w:t xml:space="preserve">Стратегический план преобразует эти обязательства в портфель на основе </w:t>
      </w:r>
      <w:r w:rsidR="00A62256" w:rsidRPr="005C43B0">
        <w:rPr>
          <w:lang w:val="ru-RU"/>
        </w:rPr>
        <w:t xml:space="preserve">четырех </w:t>
      </w:r>
      <w:r w:rsidRPr="005C43B0">
        <w:rPr>
          <w:lang w:val="ru-RU"/>
        </w:rPr>
        <w:t xml:space="preserve">программ, структурированный </w:t>
      </w:r>
      <w:r w:rsidR="00A62256" w:rsidRPr="005C43B0">
        <w:rPr>
          <w:lang w:val="ru-RU"/>
        </w:rPr>
        <w:t>следующим образом</w:t>
      </w:r>
      <w:r w:rsidRPr="005C43B0">
        <w:rPr>
          <w:lang w:val="ru-RU"/>
        </w:rPr>
        <w:t>:</w:t>
      </w:r>
    </w:p>
    <w:p w14:paraId="3A0AD505" w14:textId="439145FF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Программа 1</w:t>
      </w:r>
      <w:r w:rsidR="00022169" w:rsidRPr="005C43B0">
        <w:rPr>
          <w:lang w:val="ru-RU"/>
        </w:rPr>
        <w:t>.</w:t>
      </w:r>
      <w:r w:rsidRPr="005C43B0">
        <w:rPr>
          <w:lang w:val="ru-RU"/>
        </w:rPr>
        <w:t xml:space="preserve"> </w:t>
      </w:r>
      <w:r w:rsidR="00022169" w:rsidRPr="005C43B0">
        <w:rPr>
          <w:lang w:val="ru-RU"/>
        </w:rPr>
        <w:t xml:space="preserve">Модернизация </w:t>
      </w:r>
      <w:r w:rsidRPr="005C43B0">
        <w:rPr>
          <w:lang w:val="ru-RU"/>
        </w:rPr>
        <w:t xml:space="preserve">корпоративных платформ </w:t>
      </w:r>
      <w:r w:rsidR="001D42A7">
        <w:rPr>
          <w:rFonts w:cs="Calibri"/>
          <w:lang w:val="ru-RU"/>
        </w:rPr>
        <w:t>−</w:t>
      </w:r>
      <w:r w:rsidRPr="005C43B0">
        <w:rPr>
          <w:lang w:val="ru-RU"/>
        </w:rPr>
        <w:t xml:space="preserve"> </w:t>
      </w:r>
      <w:r w:rsidR="00A62256" w:rsidRPr="005C43B0">
        <w:rPr>
          <w:lang w:val="ru-RU"/>
        </w:rPr>
        <w:t>м</w:t>
      </w:r>
      <w:r w:rsidRPr="005C43B0">
        <w:rPr>
          <w:lang w:val="ru-RU"/>
        </w:rPr>
        <w:t>одерниз</w:t>
      </w:r>
      <w:r w:rsidR="00A62256" w:rsidRPr="005C43B0">
        <w:rPr>
          <w:lang w:val="ru-RU"/>
        </w:rPr>
        <w:t>ация</w:t>
      </w:r>
      <w:r w:rsidRPr="005C43B0">
        <w:rPr>
          <w:lang w:val="ru-RU"/>
        </w:rPr>
        <w:t xml:space="preserve"> и </w:t>
      </w:r>
      <w:r w:rsidR="00A62256" w:rsidRPr="005C43B0">
        <w:rPr>
          <w:lang w:val="ru-RU"/>
        </w:rPr>
        <w:t>согласование</w:t>
      </w:r>
      <w:r w:rsidRPr="005C43B0">
        <w:rPr>
          <w:lang w:val="ru-RU"/>
        </w:rPr>
        <w:t xml:space="preserve"> основны</w:t>
      </w:r>
      <w:r w:rsidR="00A62256" w:rsidRPr="005C43B0">
        <w:rPr>
          <w:lang w:val="ru-RU"/>
        </w:rPr>
        <w:t>х</w:t>
      </w:r>
      <w:r w:rsidRPr="005C43B0">
        <w:rPr>
          <w:lang w:val="ru-RU"/>
        </w:rPr>
        <w:t xml:space="preserve"> корпоративны</w:t>
      </w:r>
      <w:r w:rsidR="00A62256" w:rsidRPr="005C43B0">
        <w:rPr>
          <w:lang w:val="ru-RU"/>
        </w:rPr>
        <w:t>х</w:t>
      </w:r>
      <w:r w:rsidRPr="005C43B0">
        <w:rPr>
          <w:lang w:val="ru-RU"/>
        </w:rPr>
        <w:t xml:space="preserve"> систем для обеспечения интегрированных, эффективных и масштабируемых институциональных операций.</w:t>
      </w:r>
    </w:p>
    <w:p w14:paraId="4C9B0179" w14:textId="0EE56387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Программа 2</w:t>
      </w:r>
      <w:r w:rsidR="00022169" w:rsidRPr="005C43B0">
        <w:rPr>
          <w:lang w:val="ru-RU"/>
        </w:rPr>
        <w:t>.</w:t>
      </w:r>
      <w:r w:rsidRPr="005C43B0">
        <w:rPr>
          <w:lang w:val="ru-RU"/>
        </w:rPr>
        <w:t xml:space="preserve"> </w:t>
      </w:r>
      <w:r w:rsidR="00022169" w:rsidRPr="005C43B0">
        <w:rPr>
          <w:lang w:val="ru-RU"/>
        </w:rPr>
        <w:t xml:space="preserve">Устойчивость </w:t>
      </w:r>
      <w:r w:rsidRPr="005C43B0">
        <w:rPr>
          <w:lang w:val="ru-RU"/>
        </w:rPr>
        <w:t>цифрово</w:t>
      </w:r>
      <w:r w:rsidR="00CD0F97" w:rsidRPr="005C43B0">
        <w:rPr>
          <w:lang w:val="ru-RU"/>
        </w:rPr>
        <w:t xml:space="preserve">го ядра </w:t>
      </w:r>
      <w:r w:rsidRPr="005C43B0">
        <w:rPr>
          <w:lang w:val="ru-RU"/>
        </w:rPr>
        <w:t xml:space="preserve">и </w:t>
      </w:r>
      <w:r w:rsidR="003B547E" w:rsidRPr="005C43B0">
        <w:rPr>
          <w:lang w:val="ru-RU"/>
        </w:rPr>
        <w:t>сокращение техническо</w:t>
      </w:r>
      <w:r w:rsidR="00CD0F97" w:rsidRPr="005C43B0">
        <w:rPr>
          <w:lang w:val="ru-RU"/>
        </w:rPr>
        <w:t>го долга</w:t>
      </w:r>
      <w:r w:rsidRPr="005C43B0">
        <w:rPr>
          <w:lang w:val="ru-RU"/>
        </w:rPr>
        <w:t xml:space="preserve"> </w:t>
      </w:r>
      <w:r w:rsidR="001D42A7">
        <w:rPr>
          <w:rFonts w:cs="Calibri"/>
          <w:lang w:val="ru-RU"/>
        </w:rPr>
        <w:t>−</w:t>
      </w:r>
      <w:r w:rsidRPr="005C43B0">
        <w:rPr>
          <w:lang w:val="ru-RU"/>
        </w:rPr>
        <w:t xml:space="preserve"> укрепление инфраструктуры, кибербезопасности и основ облачных вычислений при</w:t>
      </w:r>
      <w:r w:rsidR="00CD6C54" w:rsidRPr="005C43B0">
        <w:rPr>
          <w:lang w:val="ru-RU"/>
        </w:rPr>
        <w:t> </w:t>
      </w:r>
      <w:r w:rsidRPr="005C43B0">
        <w:rPr>
          <w:lang w:val="ru-RU"/>
        </w:rPr>
        <w:t>одновременном снижении сложности устаревших систем и долгосрочных операционных рисков.</w:t>
      </w:r>
    </w:p>
    <w:p w14:paraId="719464EF" w14:textId="6F338E44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lastRenderedPageBreak/>
        <w:t>–</w:t>
      </w:r>
      <w:r w:rsidRPr="005C43B0">
        <w:rPr>
          <w:lang w:val="ru-RU"/>
        </w:rPr>
        <w:tab/>
        <w:t>Программа 3</w:t>
      </w:r>
      <w:r w:rsidR="00022169" w:rsidRPr="005C43B0">
        <w:rPr>
          <w:lang w:val="ru-RU"/>
        </w:rPr>
        <w:t>.</w:t>
      </w:r>
      <w:r w:rsidRPr="005C43B0">
        <w:rPr>
          <w:lang w:val="ru-RU"/>
        </w:rPr>
        <w:t xml:space="preserve"> </w:t>
      </w:r>
      <w:r w:rsidR="00022169" w:rsidRPr="005C43B0">
        <w:rPr>
          <w:lang w:val="ru-RU"/>
        </w:rPr>
        <w:t xml:space="preserve">Цифровой </w:t>
      </w:r>
      <w:r w:rsidRPr="005C43B0">
        <w:rPr>
          <w:lang w:val="ru-RU"/>
        </w:rPr>
        <w:t>опыт и эффективность</w:t>
      </w:r>
      <w:r w:rsidR="003B547E" w:rsidRPr="005C43B0">
        <w:rPr>
          <w:lang w:val="ru-RU"/>
        </w:rPr>
        <w:t xml:space="preserve"> операционной деятельности</w:t>
      </w:r>
      <w:r w:rsidRPr="005C43B0">
        <w:rPr>
          <w:lang w:val="ru-RU"/>
        </w:rPr>
        <w:t xml:space="preserve"> </w:t>
      </w:r>
      <w:r w:rsidR="001D42A7">
        <w:rPr>
          <w:rFonts w:cs="Calibri"/>
          <w:lang w:val="ru-RU"/>
        </w:rPr>
        <w:t>−</w:t>
      </w:r>
      <w:r w:rsidRPr="005C43B0">
        <w:rPr>
          <w:lang w:val="ru-RU"/>
        </w:rPr>
        <w:t xml:space="preserve"> </w:t>
      </w:r>
      <w:r w:rsidR="00B37D55" w:rsidRPr="005C43B0">
        <w:rPr>
          <w:lang w:val="ru-RU"/>
        </w:rPr>
        <w:t>р</w:t>
      </w:r>
      <w:r w:rsidRPr="005C43B0">
        <w:rPr>
          <w:lang w:val="ru-RU"/>
        </w:rPr>
        <w:t xml:space="preserve">еорганизация сквозных цифровых </w:t>
      </w:r>
      <w:r w:rsidR="003B547E" w:rsidRPr="005C43B0">
        <w:rPr>
          <w:lang w:val="ru-RU"/>
        </w:rPr>
        <w:t>маршрутов</w:t>
      </w:r>
      <w:r w:rsidRPr="005C43B0">
        <w:rPr>
          <w:lang w:val="ru-RU"/>
        </w:rPr>
        <w:t>, процессов и услуг для повышения эффективности, удобства использования, а также опыта членов и персонала.</w:t>
      </w:r>
    </w:p>
    <w:p w14:paraId="64F106D4" w14:textId="33071B4F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Программа 4</w:t>
      </w:r>
      <w:r w:rsidR="00022169" w:rsidRPr="005C43B0">
        <w:rPr>
          <w:lang w:val="ru-RU"/>
        </w:rPr>
        <w:t>.</w:t>
      </w:r>
      <w:r w:rsidR="00491CC3" w:rsidRPr="005C43B0">
        <w:rPr>
          <w:lang w:val="ru-RU"/>
        </w:rPr>
        <w:t xml:space="preserve"> </w:t>
      </w:r>
      <w:r w:rsidR="00022169" w:rsidRPr="005C43B0">
        <w:rPr>
          <w:lang w:val="ru-RU"/>
        </w:rPr>
        <w:t xml:space="preserve">Экспоненциальные </w:t>
      </w:r>
      <w:r w:rsidRPr="005C43B0">
        <w:rPr>
          <w:lang w:val="ru-RU"/>
        </w:rPr>
        <w:t xml:space="preserve">инновации с использованием ИИ и данных </w:t>
      </w:r>
      <w:r w:rsidR="001D42A7">
        <w:rPr>
          <w:rFonts w:cs="Calibri"/>
          <w:lang w:val="ru-RU"/>
        </w:rPr>
        <w:t>−</w:t>
      </w:r>
      <w:r w:rsidRPr="005C43B0">
        <w:rPr>
          <w:lang w:val="ru-RU"/>
        </w:rPr>
        <w:t xml:space="preserve"> создание основ данных с поддержкой ИИ и масштабирование возможностей </w:t>
      </w:r>
      <w:r w:rsidR="00491CC3" w:rsidRPr="005C43B0">
        <w:rPr>
          <w:lang w:val="ru-RU"/>
        </w:rPr>
        <w:t xml:space="preserve">в области </w:t>
      </w:r>
      <w:r w:rsidRPr="005C43B0">
        <w:rPr>
          <w:lang w:val="ru-RU"/>
        </w:rPr>
        <w:t>ответственного ИИ и аналитики для обеспечения интеллектуальных операций и услуг на основе данных.</w:t>
      </w:r>
    </w:p>
    <w:p w14:paraId="0D9FE356" w14:textId="44524307" w:rsidR="008B0C10" w:rsidRPr="005C43B0" w:rsidRDefault="008B0C10" w:rsidP="009A54B3">
      <w:pPr>
        <w:jc w:val="both"/>
        <w:rPr>
          <w:rFonts w:asciiTheme="minorHAnsi" w:hAnsiTheme="minorHAnsi" w:cstheme="minorHAnsi"/>
          <w:lang w:val="ru-RU"/>
        </w:rPr>
      </w:pPr>
      <w:r w:rsidRPr="005C43B0">
        <w:rPr>
          <w:lang w:val="ru-RU"/>
        </w:rPr>
        <w:t>Исполнение структурировано на основе двухэтапной дорожной карты (2026</w:t>
      </w:r>
      <w:r w:rsidR="001D42A7">
        <w:rPr>
          <w:rFonts w:cs="Calibri"/>
          <w:lang w:val="ru-RU"/>
        </w:rPr>
        <w:t>−</w:t>
      </w:r>
      <w:r w:rsidRPr="005C43B0">
        <w:rPr>
          <w:lang w:val="ru-RU"/>
        </w:rPr>
        <w:t>2027 г</w:t>
      </w:r>
      <w:r w:rsidR="00022169" w:rsidRPr="005C43B0">
        <w:rPr>
          <w:lang w:val="ru-RU"/>
        </w:rPr>
        <w:t>г.</w:t>
      </w:r>
      <w:r w:rsidRPr="005C43B0">
        <w:rPr>
          <w:lang w:val="ru-RU"/>
        </w:rPr>
        <w:t xml:space="preserve">), поддерживаемой инвестиционной структурой на основе портфеля, моделью эффективности </w:t>
      </w:r>
      <w:r w:rsidR="00022169" w:rsidRPr="005C43B0">
        <w:rPr>
          <w:lang w:val="ru-RU"/>
        </w:rPr>
        <w:t>на</w:t>
      </w:r>
      <w:r w:rsidR="00563F4D" w:rsidRPr="005C43B0">
        <w:rPr>
          <w:lang w:val="ru-RU"/>
        </w:rPr>
        <w:t> </w:t>
      </w:r>
      <w:r w:rsidR="00022169" w:rsidRPr="005C43B0">
        <w:rPr>
          <w:lang w:val="ru-RU"/>
        </w:rPr>
        <w:t xml:space="preserve">основе задач </w:t>
      </w:r>
      <w:r w:rsidRPr="005C43B0">
        <w:rPr>
          <w:lang w:val="ru-RU"/>
        </w:rPr>
        <w:t>и ключевы</w:t>
      </w:r>
      <w:r w:rsidR="00022169" w:rsidRPr="005C43B0">
        <w:rPr>
          <w:lang w:val="ru-RU"/>
        </w:rPr>
        <w:t>х</w:t>
      </w:r>
      <w:r w:rsidRPr="005C43B0">
        <w:rPr>
          <w:lang w:val="ru-RU"/>
        </w:rPr>
        <w:t xml:space="preserve"> результат</w:t>
      </w:r>
      <w:r w:rsidR="00022169" w:rsidRPr="005C43B0">
        <w:rPr>
          <w:lang w:val="ru-RU"/>
        </w:rPr>
        <w:t>ов</w:t>
      </w:r>
      <w:r w:rsidRPr="005C43B0">
        <w:rPr>
          <w:lang w:val="ru-RU"/>
        </w:rPr>
        <w:t xml:space="preserve"> (OKR)</w:t>
      </w:r>
      <w:r w:rsidR="00022169" w:rsidRPr="005C43B0">
        <w:rPr>
          <w:lang w:val="ru-RU"/>
        </w:rPr>
        <w:t>, а также</w:t>
      </w:r>
      <w:r w:rsidRPr="005C43B0">
        <w:rPr>
          <w:lang w:val="ru-RU"/>
        </w:rPr>
        <w:t xml:space="preserve"> ключевы</w:t>
      </w:r>
      <w:r w:rsidR="00022169" w:rsidRPr="005C43B0">
        <w:rPr>
          <w:lang w:val="ru-RU"/>
        </w:rPr>
        <w:t>х</w:t>
      </w:r>
      <w:r w:rsidRPr="005C43B0">
        <w:rPr>
          <w:lang w:val="ru-RU"/>
        </w:rPr>
        <w:t xml:space="preserve"> показател</w:t>
      </w:r>
      <w:r w:rsidR="00022169" w:rsidRPr="005C43B0">
        <w:rPr>
          <w:lang w:val="ru-RU"/>
        </w:rPr>
        <w:t>ей</w:t>
      </w:r>
      <w:r w:rsidRPr="005C43B0">
        <w:rPr>
          <w:lang w:val="ru-RU"/>
        </w:rPr>
        <w:t xml:space="preserve"> деятельности (KPI), согласованием с потоками институциональной ценности и переходом к модели предоставления ISD, основанной на продуктах. Это создает упорядоченную модель цифровой трансформации, ориентированную на результаты, гарантирующую соответствие всех инициатив институциональным приоритетам и измеримым результатам.</w:t>
      </w:r>
    </w:p>
    <w:p w14:paraId="49E1186F" w14:textId="43655E53" w:rsidR="008B0C10" w:rsidRPr="005C43B0" w:rsidRDefault="008B0C10" w:rsidP="00563F4D">
      <w:pPr>
        <w:pStyle w:val="Headingb"/>
        <w:rPr>
          <w:lang w:val="ru-RU"/>
        </w:rPr>
      </w:pPr>
      <w:r w:rsidRPr="005C43B0">
        <w:rPr>
          <w:lang w:val="ru-RU"/>
        </w:rPr>
        <w:t>Следующие шаги (2026–2027 г</w:t>
      </w:r>
      <w:r w:rsidR="00022169" w:rsidRPr="005C43B0">
        <w:rPr>
          <w:lang w:val="ru-RU"/>
        </w:rPr>
        <w:t>г.</w:t>
      </w:r>
      <w:r w:rsidRPr="005C43B0">
        <w:rPr>
          <w:lang w:val="ru-RU"/>
        </w:rPr>
        <w:t>)</w:t>
      </w:r>
      <w:r w:rsidR="008B4595" w:rsidRPr="001D42A7">
        <w:rPr>
          <w:b w:val="0"/>
          <w:bCs/>
          <w:lang w:val="ru-RU"/>
        </w:rPr>
        <w:t>:</w:t>
      </w:r>
    </w:p>
    <w:p w14:paraId="5B732B05" w14:textId="5B4393BD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8B4595" w:rsidRPr="005C43B0">
        <w:rPr>
          <w:lang w:val="ru-RU"/>
        </w:rPr>
        <w:t>о</w:t>
      </w:r>
      <w:r w:rsidRPr="005C43B0">
        <w:rPr>
          <w:lang w:val="ru-RU"/>
        </w:rPr>
        <w:t xml:space="preserve">фициальное одобрение и утверждение со стороны ICTGC и ГС и внедрение стратегии и </w:t>
      </w:r>
      <w:r w:rsidR="008B4595" w:rsidRPr="005C43B0">
        <w:rPr>
          <w:lang w:val="ru-RU"/>
        </w:rPr>
        <w:t>С</w:t>
      </w:r>
      <w:r w:rsidRPr="005C43B0">
        <w:rPr>
          <w:lang w:val="ru-RU"/>
        </w:rPr>
        <w:t>тратегического плана</w:t>
      </w:r>
      <w:r w:rsidR="008B4595" w:rsidRPr="005C43B0">
        <w:rPr>
          <w:lang w:val="ru-RU"/>
        </w:rPr>
        <w:t>;</w:t>
      </w:r>
    </w:p>
    <w:p w14:paraId="6C4650B4" w14:textId="7E50D1A4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8B4595" w:rsidRPr="005C43B0">
        <w:rPr>
          <w:lang w:val="ru-RU"/>
        </w:rPr>
        <w:t>з</w:t>
      </w:r>
      <w:r w:rsidRPr="005C43B0">
        <w:rPr>
          <w:lang w:val="ru-RU"/>
        </w:rPr>
        <w:t>апуск приоритетных программ (ERP, CRM, облачные вычисления, кибербезопасность, данные/ИИ)</w:t>
      </w:r>
      <w:r w:rsidR="0023084E" w:rsidRPr="005C43B0">
        <w:rPr>
          <w:lang w:val="ru-RU"/>
        </w:rPr>
        <w:t>;</w:t>
      </w:r>
    </w:p>
    <w:p w14:paraId="60930D30" w14:textId="64542C6B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23084E" w:rsidRPr="005C43B0">
        <w:rPr>
          <w:lang w:val="ru-RU"/>
        </w:rPr>
        <w:t>в</w:t>
      </w:r>
      <w:r w:rsidRPr="005C43B0">
        <w:rPr>
          <w:lang w:val="ru-RU"/>
        </w:rPr>
        <w:t>недрение управления портфелем и мониторинг OKR</w:t>
      </w:r>
      <w:r w:rsidR="009901C1" w:rsidRPr="005C43B0">
        <w:rPr>
          <w:lang w:val="ru-RU"/>
        </w:rPr>
        <w:t>;</w:t>
      </w:r>
    </w:p>
    <w:p w14:paraId="046DD7C3" w14:textId="5BFACE8A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9901C1" w:rsidRPr="005C43B0">
        <w:rPr>
          <w:lang w:val="ru-RU"/>
        </w:rPr>
        <w:t>п</w:t>
      </w:r>
      <w:r w:rsidRPr="005C43B0">
        <w:rPr>
          <w:lang w:val="ru-RU"/>
        </w:rPr>
        <w:t>одготовка Цифровой стратегии на 2028</w:t>
      </w:r>
      <w:r w:rsidR="001D42A7">
        <w:rPr>
          <w:rFonts w:cs="Calibri"/>
          <w:lang w:val="ru-RU"/>
        </w:rPr>
        <w:t>−</w:t>
      </w:r>
      <w:r w:rsidRPr="005C43B0">
        <w:rPr>
          <w:lang w:val="ru-RU"/>
        </w:rPr>
        <w:t>2031 годы.</w:t>
      </w:r>
    </w:p>
    <w:p w14:paraId="04FB07D8" w14:textId="6B19079C" w:rsidR="008B0C10" w:rsidRPr="005C43B0" w:rsidRDefault="008B0C10" w:rsidP="00563F4D">
      <w:pPr>
        <w:pStyle w:val="Heading2"/>
        <w:rPr>
          <w:lang w:val="ru-RU"/>
        </w:rPr>
      </w:pPr>
      <w:r w:rsidRPr="005C43B0">
        <w:rPr>
          <w:lang w:val="ru-RU"/>
        </w:rPr>
        <w:t>2.2</w:t>
      </w:r>
      <w:r w:rsidRPr="005C43B0">
        <w:rPr>
          <w:lang w:val="ru-RU"/>
        </w:rPr>
        <w:tab/>
        <w:t xml:space="preserve">Запуск программы "Архитектура </w:t>
      </w:r>
      <w:r w:rsidR="00A54A2D" w:rsidRPr="005C43B0">
        <w:rPr>
          <w:lang w:val="ru-RU"/>
        </w:rPr>
        <w:t>организации</w:t>
      </w:r>
      <w:r w:rsidRPr="005C43B0">
        <w:rPr>
          <w:lang w:val="ru-RU"/>
        </w:rPr>
        <w:t>" (EA)</w:t>
      </w:r>
    </w:p>
    <w:p w14:paraId="2D689F32" w14:textId="4F9EABFD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t xml:space="preserve">Реализация программы "Архитектура </w:t>
      </w:r>
      <w:r w:rsidR="00A54A2D" w:rsidRPr="005C43B0">
        <w:rPr>
          <w:lang w:val="ru-RU"/>
        </w:rPr>
        <w:t>организации</w:t>
      </w:r>
      <w:r w:rsidRPr="005C43B0">
        <w:rPr>
          <w:lang w:val="ru-RU"/>
        </w:rPr>
        <w:t>" (EA) была начата в октябре 2025</w:t>
      </w:r>
      <w:r w:rsidR="00563F4D" w:rsidRPr="005C43B0">
        <w:rPr>
          <w:lang w:val="ru-RU"/>
        </w:rPr>
        <w:t> </w:t>
      </w:r>
      <w:r w:rsidRPr="005C43B0">
        <w:rPr>
          <w:lang w:val="ru-RU"/>
        </w:rPr>
        <w:t>года в</w:t>
      </w:r>
      <w:r w:rsidR="00563F4D" w:rsidRPr="005C43B0">
        <w:rPr>
          <w:lang w:val="ru-RU"/>
        </w:rPr>
        <w:t> </w:t>
      </w:r>
      <w:r w:rsidRPr="005C43B0">
        <w:rPr>
          <w:lang w:val="ru-RU"/>
        </w:rPr>
        <w:t xml:space="preserve">рамках первого этапа программы МСЭ по архитектуре </w:t>
      </w:r>
      <w:r w:rsidR="00A54A2D" w:rsidRPr="005C43B0">
        <w:rPr>
          <w:lang w:val="ru-RU"/>
        </w:rPr>
        <w:t xml:space="preserve">организации </w:t>
      </w:r>
      <w:r w:rsidRPr="005C43B0">
        <w:rPr>
          <w:lang w:val="ru-RU"/>
        </w:rPr>
        <w:t>при поддержке Международного вычислительного центра Организации Объединенных Наций (МВЦ</w:t>
      </w:r>
      <w:r w:rsidR="009901C1" w:rsidRPr="005C43B0">
        <w:rPr>
          <w:lang w:val="ru-RU"/>
        </w:rPr>
        <w:t xml:space="preserve"> ООН</w:t>
      </w:r>
      <w:r w:rsidRPr="005C43B0">
        <w:rPr>
          <w:lang w:val="ru-RU"/>
        </w:rPr>
        <w:t xml:space="preserve">). </w:t>
      </w:r>
      <w:r w:rsidR="009901C1" w:rsidRPr="005C43B0">
        <w:rPr>
          <w:lang w:val="ru-RU"/>
        </w:rPr>
        <w:t>В</w:t>
      </w:r>
      <w:r w:rsidR="00563F4D" w:rsidRPr="005C43B0">
        <w:rPr>
          <w:lang w:val="ru-RU"/>
        </w:rPr>
        <w:t> </w:t>
      </w:r>
      <w:r w:rsidR="009901C1" w:rsidRPr="005C43B0">
        <w:rPr>
          <w:lang w:val="ru-RU"/>
        </w:rPr>
        <w:t>марте 2026 года были представлены п</w:t>
      </w:r>
      <w:r w:rsidRPr="005C43B0">
        <w:rPr>
          <w:lang w:val="ru-RU"/>
        </w:rPr>
        <w:t xml:space="preserve">ервые результаты, </w:t>
      </w:r>
      <w:r w:rsidR="009901C1" w:rsidRPr="005C43B0">
        <w:rPr>
          <w:lang w:val="ru-RU"/>
        </w:rPr>
        <w:t>что ознаменовало</w:t>
      </w:r>
      <w:r w:rsidRPr="005C43B0">
        <w:rPr>
          <w:lang w:val="ru-RU"/>
        </w:rPr>
        <w:t xml:space="preserve"> перв</w:t>
      </w:r>
      <w:r w:rsidR="009901C1" w:rsidRPr="005C43B0">
        <w:rPr>
          <w:lang w:val="ru-RU"/>
        </w:rPr>
        <w:t>ую</w:t>
      </w:r>
      <w:r w:rsidRPr="005C43B0">
        <w:rPr>
          <w:lang w:val="ru-RU"/>
        </w:rPr>
        <w:t xml:space="preserve"> комплексн</w:t>
      </w:r>
      <w:r w:rsidR="009901C1" w:rsidRPr="005C43B0">
        <w:rPr>
          <w:lang w:val="ru-RU"/>
        </w:rPr>
        <w:t>ую</w:t>
      </w:r>
      <w:r w:rsidRPr="005C43B0">
        <w:rPr>
          <w:lang w:val="ru-RU"/>
        </w:rPr>
        <w:t xml:space="preserve"> оценк</w:t>
      </w:r>
      <w:r w:rsidR="009901C1" w:rsidRPr="005C43B0">
        <w:rPr>
          <w:lang w:val="ru-RU"/>
        </w:rPr>
        <w:t>у</w:t>
      </w:r>
      <w:r w:rsidRPr="005C43B0">
        <w:rPr>
          <w:lang w:val="ru-RU"/>
        </w:rPr>
        <w:t xml:space="preserve"> цифровой среды МСЭ</w:t>
      </w:r>
      <w:r w:rsidR="009901C1" w:rsidRPr="005C43B0">
        <w:rPr>
          <w:lang w:val="ru-RU"/>
        </w:rPr>
        <w:t>, основанную на фактических данных</w:t>
      </w:r>
      <w:r w:rsidRPr="005C43B0">
        <w:rPr>
          <w:lang w:val="ru-RU"/>
        </w:rPr>
        <w:t>.</w:t>
      </w:r>
    </w:p>
    <w:p w14:paraId="21AFFDB5" w14:textId="73018DA3" w:rsidR="008B0C10" w:rsidRPr="005C43B0" w:rsidRDefault="008B0C10" w:rsidP="009A54B3">
      <w:pPr>
        <w:jc w:val="both"/>
        <w:rPr>
          <w:rFonts w:cstheme="minorHAnsi"/>
          <w:lang w:val="ru-RU"/>
        </w:rPr>
      </w:pPr>
      <w:r w:rsidRPr="005C43B0">
        <w:rPr>
          <w:lang w:val="ru-RU"/>
        </w:rPr>
        <w:t xml:space="preserve">Этап 1 был посвящен установлению четкого понимания современной архитектуры, выявлению структурных ограничений и определению основополагающих элементов, необходимых для направления цифровой трансформации МСЭ. В рамках </w:t>
      </w:r>
      <w:r w:rsidR="009901C1" w:rsidRPr="005C43B0">
        <w:rPr>
          <w:lang w:val="ru-RU"/>
        </w:rPr>
        <w:t>этапа было</w:t>
      </w:r>
      <w:r w:rsidRPr="005C43B0">
        <w:rPr>
          <w:lang w:val="ru-RU"/>
        </w:rPr>
        <w:t xml:space="preserve"> предусмотрено следующее:</w:t>
      </w:r>
    </w:p>
    <w:p w14:paraId="77A4D999" w14:textId="7B213D4B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9901C1" w:rsidRPr="005C43B0">
        <w:rPr>
          <w:lang w:val="ru-RU"/>
        </w:rPr>
        <w:t>в</w:t>
      </w:r>
      <w:r w:rsidRPr="005C43B0">
        <w:rPr>
          <w:lang w:val="ru-RU"/>
        </w:rPr>
        <w:t>сесторонняя оценка состояния приложений, данных и инфраструктуры МСЭ с</w:t>
      </w:r>
      <w:r w:rsidR="005C43B0" w:rsidRPr="005C43B0">
        <w:rPr>
          <w:lang w:val="ru-RU"/>
        </w:rPr>
        <w:t> </w:t>
      </w:r>
      <w:r w:rsidRPr="005C43B0">
        <w:rPr>
          <w:lang w:val="ru-RU"/>
        </w:rPr>
        <w:t>акцентом на фрагментаци</w:t>
      </w:r>
      <w:r w:rsidR="009901C1" w:rsidRPr="005C43B0">
        <w:rPr>
          <w:lang w:val="ru-RU"/>
        </w:rPr>
        <w:t>и</w:t>
      </w:r>
      <w:r w:rsidRPr="005C43B0">
        <w:rPr>
          <w:lang w:val="ru-RU"/>
        </w:rPr>
        <w:t>, дублировани</w:t>
      </w:r>
      <w:r w:rsidR="009901C1" w:rsidRPr="005C43B0">
        <w:rPr>
          <w:lang w:val="ru-RU"/>
        </w:rPr>
        <w:t>и</w:t>
      </w:r>
      <w:r w:rsidRPr="005C43B0">
        <w:rPr>
          <w:lang w:val="ru-RU"/>
        </w:rPr>
        <w:t xml:space="preserve"> и сложност</w:t>
      </w:r>
      <w:r w:rsidR="009901C1" w:rsidRPr="005C43B0">
        <w:rPr>
          <w:lang w:val="ru-RU"/>
        </w:rPr>
        <w:t>и</w:t>
      </w:r>
      <w:r w:rsidRPr="005C43B0">
        <w:rPr>
          <w:lang w:val="ru-RU"/>
        </w:rPr>
        <w:t xml:space="preserve"> (</w:t>
      </w:r>
      <w:r w:rsidR="009901C1" w:rsidRPr="005C43B0">
        <w:rPr>
          <w:lang w:val="ru-RU"/>
        </w:rPr>
        <w:t xml:space="preserve">более </w:t>
      </w:r>
      <w:r w:rsidRPr="005C43B0">
        <w:rPr>
          <w:lang w:val="ru-RU"/>
        </w:rPr>
        <w:t>400 приложений, большинство из которых созданы индивидуально)</w:t>
      </w:r>
      <w:r w:rsidR="009901C1" w:rsidRPr="005C43B0">
        <w:rPr>
          <w:lang w:val="ru-RU"/>
        </w:rPr>
        <w:t>;</w:t>
      </w:r>
    </w:p>
    <w:p w14:paraId="0A3CC26A" w14:textId="2F8C2136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9901C1" w:rsidRPr="005C43B0">
        <w:rPr>
          <w:lang w:val="ru-RU"/>
        </w:rPr>
        <w:t>о</w:t>
      </w:r>
      <w:r w:rsidRPr="005C43B0">
        <w:rPr>
          <w:lang w:val="ru-RU"/>
        </w:rPr>
        <w:t xml:space="preserve">ценка зрелости архитектуры </w:t>
      </w:r>
      <w:r w:rsidR="00A54A2D" w:rsidRPr="005C43B0">
        <w:rPr>
          <w:lang w:val="ru-RU"/>
        </w:rPr>
        <w:t>организации</w:t>
      </w:r>
      <w:r w:rsidRPr="005C43B0">
        <w:rPr>
          <w:lang w:val="ru-RU"/>
        </w:rPr>
        <w:t xml:space="preserve">, подтверждающая необходимость структурированного управления и развития потенциала, а также низкий базовый уровень 1.2 (специальный) из 5. Оценка уровня зрелости проводилась в соответствии со Структурой архитектуры </w:t>
      </w:r>
      <w:r w:rsidR="00E87564" w:rsidRPr="005C43B0">
        <w:rPr>
          <w:lang w:val="ru-RU"/>
        </w:rPr>
        <w:t>группы открытых систем</w:t>
      </w:r>
      <w:r w:rsidRPr="005C43B0">
        <w:rPr>
          <w:lang w:val="ru-RU"/>
        </w:rPr>
        <w:t xml:space="preserve"> (TOGAF)</w:t>
      </w:r>
      <w:r w:rsidR="00A2283E" w:rsidRPr="005C43B0">
        <w:rPr>
          <w:lang w:val="ru-RU"/>
        </w:rPr>
        <w:t xml:space="preserve">, </w:t>
      </w:r>
      <w:r w:rsidRPr="005C43B0">
        <w:rPr>
          <w:lang w:val="ru-RU"/>
        </w:rPr>
        <w:t>повсеместно используем</w:t>
      </w:r>
      <w:r w:rsidR="00A2283E" w:rsidRPr="005C43B0">
        <w:rPr>
          <w:lang w:val="ru-RU"/>
        </w:rPr>
        <w:t>ой</w:t>
      </w:r>
      <w:r w:rsidRPr="005C43B0">
        <w:rPr>
          <w:lang w:val="ru-RU"/>
        </w:rPr>
        <w:t xml:space="preserve"> комплексн</w:t>
      </w:r>
      <w:r w:rsidR="00A2283E" w:rsidRPr="005C43B0">
        <w:rPr>
          <w:lang w:val="ru-RU"/>
        </w:rPr>
        <w:t>ой</w:t>
      </w:r>
      <w:r w:rsidRPr="005C43B0">
        <w:rPr>
          <w:lang w:val="ru-RU"/>
        </w:rPr>
        <w:t xml:space="preserve"> структур</w:t>
      </w:r>
      <w:r w:rsidR="00A2283E" w:rsidRPr="005C43B0">
        <w:rPr>
          <w:lang w:val="ru-RU"/>
        </w:rPr>
        <w:t>ы</w:t>
      </w:r>
      <w:r w:rsidRPr="005C43B0">
        <w:rPr>
          <w:lang w:val="ru-RU"/>
        </w:rPr>
        <w:t xml:space="preserve"> EA</w:t>
      </w:r>
      <w:r w:rsidR="00A2283E" w:rsidRPr="005C43B0">
        <w:rPr>
          <w:lang w:val="ru-RU"/>
        </w:rPr>
        <w:t>;</w:t>
      </w:r>
    </w:p>
    <w:p w14:paraId="57FB0B56" w14:textId="7F6CE51F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 xml:space="preserve">выявление основных структурных проблем, включая технический долг, разрозненные инвестиции, ограниченную функциональную совместимость и отсутствие </w:t>
      </w:r>
      <w:r w:rsidR="00A54A2D" w:rsidRPr="005C43B0">
        <w:rPr>
          <w:lang w:val="ru-RU"/>
        </w:rPr>
        <w:t xml:space="preserve">общеорганизационного </w:t>
      </w:r>
      <w:r w:rsidRPr="005C43B0">
        <w:rPr>
          <w:lang w:val="ru-RU"/>
        </w:rPr>
        <w:t>управления данными;</w:t>
      </w:r>
    </w:p>
    <w:p w14:paraId="54EED03C" w14:textId="3D805D7F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A2283E" w:rsidRPr="005C43B0">
        <w:rPr>
          <w:lang w:val="ru-RU"/>
        </w:rPr>
        <w:t>с</w:t>
      </w:r>
      <w:r w:rsidRPr="005C43B0">
        <w:rPr>
          <w:lang w:val="ru-RU"/>
        </w:rPr>
        <w:t>водное представление о рисках и зависимостях с информацией для определения приоритетов работ по модернизации.</w:t>
      </w:r>
    </w:p>
    <w:p w14:paraId="68B78083" w14:textId="0DBDB2C1" w:rsidR="008B0C10" w:rsidRPr="005C43B0" w:rsidRDefault="008B0C10" w:rsidP="009A54B3">
      <w:pPr>
        <w:keepNext/>
        <w:jc w:val="both"/>
        <w:rPr>
          <w:rFonts w:asciiTheme="minorHAnsi" w:hAnsiTheme="minorHAnsi" w:cstheme="minorHAnsi"/>
          <w:lang w:val="ru-RU"/>
        </w:rPr>
      </w:pPr>
      <w:r w:rsidRPr="005C43B0">
        <w:rPr>
          <w:lang w:val="ru-RU"/>
        </w:rPr>
        <w:lastRenderedPageBreak/>
        <w:t xml:space="preserve">На основе этой оценки на </w:t>
      </w:r>
      <w:r w:rsidR="00A2283E" w:rsidRPr="005C43B0">
        <w:rPr>
          <w:lang w:val="ru-RU"/>
        </w:rPr>
        <w:t>Э</w:t>
      </w:r>
      <w:r w:rsidRPr="005C43B0">
        <w:rPr>
          <w:lang w:val="ru-RU"/>
        </w:rPr>
        <w:t xml:space="preserve">тапе </w:t>
      </w:r>
      <w:r w:rsidR="00A2283E" w:rsidRPr="005C43B0">
        <w:rPr>
          <w:lang w:val="ru-RU"/>
        </w:rPr>
        <w:t xml:space="preserve">1 </w:t>
      </w:r>
      <w:r w:rsidRPr="005C43B0">
        <w:rPr>
          <w:lang w:val="ru-RU"/>
        </w:rPr>
        <w:t>были заложены основы для архитектуры целевого состояния, в том числе:</w:t>
      </w:r>
    </w:p>
    <w:p w14:paraId="62C9FEF3" w14:textId="4A7C1FEF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A2283E" w:rsidRPr="005C43B0">
        <w:rPr>
          <w:lang w:val="ru-RU"/>
        </w:rPr>
        <w:t>н</w:t>
      </w:r>
      <w:r w:rsidRPr="005C43B0">
        <w:rPr>
          <w:lang w:val="ru-RU"/>
        </w:rPr>
        <w:t>абор из 25 принципов EA, которые будут использоваться для направления всех будущих цифровых инвестиций и решений;</w:t>
      </w:r>
    </w:p>
    <w:p w14:paraId="7A46968D" w14:textId="77777777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модель федеративной архитектуры, уравновешивающая централизованные стандарты с гибкостью для конкретного сектора;</w:t>
      </w:r>
    </w:p>
    <w:p w14:paraId="010A9D1B" w14:textId="7EB37ACD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 xml:space="preserve">EA была представлена в качестве обязательного уровня контроля управления и </w:t>
      </w:r>
      <w:r w:rsidR="00606CA2" w:rsidRPr="005C43B0">
        <w:rPr>
          <w:lang w:val="ru-RU"/>
        </w:rPr>
        <w:t xml:space="preserve">был </w:t>
      </w:r>
      <w:r w:rsidRPr="005C43B0">
        <w:rPr>
          <w:lang w:val="ru-RU"/>
        </w:rPr>
        <w:t>представлен проект целевой архитектуры, определяющий направление развития более интегрированной, масштабируемой и безопасной цифровой экосистемы;</w:t>
      </w:r>
    </w:p>
    <w:p w14:paraId="0F39CE48" w14:textId="704F5F5A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набор приоритетных рекомендаций и дорожная карта по уменьшению фрагментации и постепенному повышению зрелости архитектуры до уровня 3 (управляемого) к концу 2027</w:t>
      </w:r>
      <w:r w:rsidR="005C43B0" w:rsidRPr="005C43B0">
        <w:rPr>
          <w:lang w:val="ru-RU"/>
        </w:rPr>
        <w:t> </w:t>
      </w:r>
      <w:r w:rsidRPr="005C43B0">
        <w:rPr>
          <w:lang w:val="ru-RU"/>
        </w:rPr>
        <w:t>года</w:t>
      </w:r>
      <w:r w:rsidR="00606CA2" w:rsidRPr="005C43B0">
        <w:rPr>
          <w:lang w:val="ru-RU"/>
        </w:rPr>
        <w:t>.</w:t>
      </w:r>
      <w:r w:rsidRPr="005C43B0">
        <w:rPr>
          <w:lang w:val="ru-RU"/>
        </w:rPr>
        <w:t xml:space="preserve"> Принципы и рекомендации EA были разработаны на основе широкого сотрудничества с Секторами МСЭ и Генеральным секретариатом, благодаря чему они отражают единый и институционально согласованный подход к цифровой трансформации.</w:t>
      </w:r>
    </w:p>
    <w:p w14:paraId="37AB5FD9" w14:textId="34BB9708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t>В совокупности эти намеченные результаты деятельности делают EA основополагающим инструментом реализации и дисциплиной управления, гарантирующ</w:t>
      </w:r>
      <w:r w:rsidR="00606CA2" w:rsidRPr="005C43B0">
        <w:rPr>
          <w:lang w:val="ru-RU"/>
        </w:rPr>
        <w:t>ей</w:t>
      </w:r>
      <w:r w:rsidRPr="005C43B0">
        <w:rPr>
          <w:lang w:val="ru-RU"/>
        </w:rPr>
        <w:t>, что будущие инвестиции будут согласованными, функционально совместимыми и согласованными со стратегическими приоритетами МСЭ.</w:t>
      </w:r>
    </w:p>
    <w:p w14:paraId="4488D5F2" w14:textId="1B9DCE1F" w:rsidR="008B0C10" w:rsidRPr="005C43B0" w:rsidRDefault="008B0C10" w:rsidP="005C43B0">
      <w:pPr>
        <w:pStyle w:val="Headingb"/>
        <w:rPr>
          <w:lang w:val="ru-RU"/>
        </w:rPr>
      </w:pPr>
      <w:r w:rsidRPr="005C43B0">
        <w:rPr>
          <w:lang w:val="ru-RU"/>
        </w:rPr>
        <w:t>Следующие шаги</w:t>
      </w:r>
      <w:r w:rsidR="00606CA2" w:rsidRPr="001D42A7">
        <w:rPr>
          <w:b w:val="0"/>
          <w:bCs/>
          <w:lang w:val="ru-RU"/>
        </w:rPr>
        <w:t>:</w:t>
      </w:r>
    </w:p>
    <w:p w14:paraId="5084796F" w14:textId="7A858140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606CA2" w:rsidRPr="005C43B0">
        <w:rPr>
          <w:lang w:val="ru-RU"/>
        </w:rPr>
        <w:t>о</w:t>
      </w:r>
      <w:r w:rsidRPr="005C43B0">
        <w:rPr>
          <w:lang w:val="ru-RU"/>
        </w:rPr>
        <w:t>фициальное принятие принципов и модели управления</w:t>
      </w:r>
      <w:r w:rsidR="00B83C6E" w:rsidRPr="005C43B0">
        <w:rPr>
          <w:lang w:val="ru-RU"/>
        </w:rPr>
        <w:t xml:space="preserve"> EA;</w:t>
      </w:r>
    </w:p>
    <w:p w14:paraId="05336CF9" w14:textId="5272CF4D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B83C6E" w:rsidRPr="005C43B0">
        <w:rPr>
          <w:lang w:val="ru-RU"/>
        </w:rPr>
        <w:t>с</w:t>
      </w:r>
      <w:r w:rsidRPr="005C43B0">
        <w:rPr>
          <w:lang w:val="ru-RU"/>
        </w:rPr>
        <w:t xml:space="preserve">оздание Совета по архитектуре </w:t>
      </w:r>
      <w:r w:rsidR="00A54A2D" w:rsidRPr="005C43B0">
        <w:rPr>
          <w:lang w:val="ru-RU"/>
        </w:rPr>
        <w:t xml:space="preserve">организации </w:t>
      </w:r>
      <w:r w:rsidRPr="005C43B0">
        <w:rPr>
          <w:lang w:val="ru-RU"/>
        </w:rPr>
        <w:t>(EAB)</w:t>
      </w:r>
      <w:r w:rsidR="00B83C6E" w:rsidRPr="005C43B0">
        <w:rPr>
          <w:lang w:val="ru-RU"/>
        </w:rPr>
        <w:t>;</w:t>
      </w:r>
    </w:p>
    <w:p w14:paraId="20E8312D" w14:textId="48ABA4BE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B83C6E" w:rsidRPr="005C43B0">
        <w:rPr>
          <w:lang w:val="ru-RU"/>
        </w:rPr>
        <w:t>в</w:t>
      </w:r>
      <w:r w:rsidRPr="005C43B0">
        <w:rPr>
          <w:lang w:val="ru-RU"/>
        </w:rPr>
        <w:t>ключение EA во все решения по инвестициям и закупкам</w:t>
      </w:r>
      <w:r w:rsidR="00B83C6E" w:rsidRPr="005C43B0">
        <w:rPr>
          <w:lang w:val="ru-RU"/>
        </w:rPr>
        <w:t>;</w:t>
      </w:r>
    </w:p>
    <w:p w14:paraId="06B33EFA" w14:textId="22FA3943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B83C6E" w:rsidRPr="005C43B0">
        <w:rPr>
          <w:lang w:val="ru-RU"/>
        </w:rPr>
        <w:t>р</w:t>
      </w:r>
      <w:r w:rsidRPr="005C43B0">
        <w:rPr>
          <w:lang w:val="ru-RU"/>
        </w:rPr>
        <w:t xml:space="preserve">еализация </w:t>
      </w:r>
      <w:r w:rsidR="00CD0F97" w:rsidRPr="005C43B0">
        <w:rPr>
          <w:lang w:val="ru-RU"/>
        </w:rPr>
        <w:t>контрольных точек</w:t>
      </w:r>
      <w:r w:rsidRPr="005C43B0">
        <w:rPr>
          <w:lang w:val="ru-RU"/>
        </w:rPr>
        <w:t xml:space="preserve"> обзора архитектуры</w:t>
      </w:r>
      <w:r w:rsidR="00B83C6E" w:rsidRPr="005C43B0">
        <w:rPr>
          <w:lang w:val="ru-RU"/>
        </w:rPr>
        <w:t>;</w:t>
      </w:r>
    </w:p>
    <w:p w14:paraId="2583B611" w14:textId="255CF56E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B83C6E" w:rsidRPr="005C43B0">
        <w:rPr>
          <w:lang w:val="ru-RU"/>
        </w:rPr>
        <w:t>с</w:t>
      </w:r>
      <w:r w:rsidRPr="005C43B0">
        <w:rPr>
          <w:lang w:val="ru-RU"/>
        </w:rPr>
        <w:t>оставление дорожной карты архитектуры (идентичность, данные, ERP, интеграция, облако).</w:t>
      </w:r>
    </w:p>
    <w:p w14:paraId="48EC7B53" w14:textId="77777777" w:rsidR="008B0C10" w:rsidRPr="005C43B0" w:rsidRDefault="008B0C10" w:rsidP="005C43B0">
      <w:pPr>
        <w:pStyle w:val="Heading2"/>
        <w:rPr>
          <w:lang w:val="ru-RU"/>
        </w:rPr>
      </w:pPr>
      <w:r w:rsidRPr="005C43B0">
        <w:rPr>
          <w:lang w:val="ru-RU"/>
        </w:rPr>
        <w:t>2.3</w:t>
      </w:r>
      <w:r w:rsidRPr="005C43B0">
        <w:rPr>
          <w:lang w:val="ru-RU"/>
        </w:rPr>
        <w:tab/>
        <w:t>Совершенствование системы цифрового управления</w:t>
      </w:r>
    </w:p>
    <w:p w14:paraId="3343EE21" w14:textId="6373FB3E" w:rsidR="008B0C10" w:rsidRPr="005C43B0" w:rsidRDefault="008B0C10" w:rsidP="009A54B3">
      <w:pPr>
        <w:jc w:val="both"/>
        <w:rPr>
          <w:rFonts w:asciiTheme="minorHAnsi" w:hAnsiTheme="minorHAnsi" w:cstheme="minorBidi"/>
          <w:lang w:val="ru-RU"/>
        </w:rPr>
      </w:pPr>
      <w:r w:rsidRPr="005C43B0">
        <w:rPr>
          <w:lang w:val="ru-RU"/>
        </w:rPr>
        <w:t xml:space="preserve">Предусматриваемая Хартия цифрового управления устанавливает современную </w:t>
      </w:r>
      <w:r w:rsidR="00A54A2D" w:rsidRPr="005C43B0">
        <w:rPr>
          <w:lang w:val="ru-RU"/>
        </w:rPr>
        <w:t xml:space="preserve">модель </w:t>
      </w:r>
      <w:r w:rsidRPr="005C43B0">
        <w:rPr>
          <w:lang w:val="ru-RU"/>
        </w:rPr>
        <w:t>обще</w:t>
      </w:r>
      <w:r w:rsidR="00A54A2D" w:rsidRPr="005C43B0">
        <w:rPr>
          <w:lang w:val="ru-RU"/>
        </w:rPr>
        <w:t xml:space="preserve">организационного </w:t>
      </w:r>
      <w:r w:rsidRPr="005C43B0">
        <w:rPr>
          <w:lang w:val="ru-RU"/>
        </w:rPr>
        <w:t xml:space="preserve">управления цифровой трансформацией МСЭ, </w:t>
      </w:r>
      <w:r w:rsidR="00B83C6E" w:rsidRPr="005C43B0">
        <w:rPr>
          <w:lang w:val="ru-RU"/>
        </w:rPr>
        <w:t>что обеспечивает переход</w:t>
      </w:r>
      <w:r w:rsidRPr="005C43B0">
        <w:rPr>
          <w:lang w:val="ru-RU"/>
        </w:rPr>
        <w:t xml:space="preserve"> МСЭ от традиционного управления </w:t>
      </w:r>
      <w:r w:rsidR="00B83C6E" w:rsidRPr="005C43B0">
        <w:rPr>
          <w:lang w:val="ru-RU"/>
        </w:rPr>
        <w:t xml:space="preserve">в области </w:t>
      </w:r>
      <w:r w:rsidRPr="005C43B0">
        <w:rPr>
          <w:lang w:val="ru-RU"/>
        </w:rPr>
        <w:t xml:space="preserve">ИКТ к </w:t>
      </w:r>
      <w:r w:rsidR="00B83C6E" w:rsidRPr="005C43B0">
        <w:rPr>
          <w:lang w:val="ru-RU"/>
        </w:rPr>
        <w:t>комплексному</w:t>
      </w:r>
      <w:r w:rsidRPr="005C43B0">
        <w:rPr>
          <w:lang w:val="ru-RU"/>
        </w:rPr>
        <w:t xml:space="preserve"> цифровому управлению.</w:t>
      </w:r>
    </w:p>
    <w:p w14:paraId="50132CB2" w14:textId="77777777" w:rsidR="008B0C10" w:rsidRPr="005C43B0" w:rsidRDefault="008B0C10" w:rsidP="009A54B3">
      <w:pPr>
        <w:jc w:val="both"/>
        <w:rPr>
          <w:rFonts w:asciiTheme="minorHAnsi" w:hAnsiTheme="minorHAnsi" w:cstheme="minorBidi"/>
          <w:lang w:val="ru-RU"/>
        </w:rPr>
      </w:pPr>
      <w:r w:rsidRPr="005C43B0">
        <w:rPr>
          <w:lang w:val="ru-RU"/>
        </w:rPr>
        <w:t>Ключевым элементом доработанной хартии является преобразование ICTGC в более широкий Совет по цифровому управлению (DGB), мандат которого охватывает:</w:t>
      </w:r>
    </w:p>
    <w:p w14:paraId="0AA69829" w14:textId="737A71EE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надзор за цифровой стратегией и трансформацией;</w:t>
      </w:r>
    </w:p>
    <w:p w14:paraId="34281B29" w14:textId="3B71B3B1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приоритизацию инвестиций и управление портфелем;</w:t>
      </w:r>
    </w:p>
    <w:p w14:paraId="01A6CB91" w14:textId="7BFE16E2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 xml:space="preserve">архитектуру </w:t>
      </w:r>
      <w:r w:rsidR="00A54A2D" w:rsidRPr="005C43B0">
        <w:rPr>
          <w:lang w:val="ru-RU"/>
        </w:rPr>
        <w:t>организации</w:t>
      </w:r>
      <w:r w:rsidRPr="005C43B0">
        <w:rPr>
          <w:lang w:val="ru-RU"/>
        </w:rPr>
        <w:t>;</w:t>
      </w:r>
    </w:p>
    <w:p w14:paraId="76DC1AB7" w14:textId="14076D70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управление данными и ИИ;</w:t>
      </w:r>
    </w:p>
    <w:p w14:paraId="74F9E2A7" w14:textId="567ED7FF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кибербезопасность и риски в цифровой среде</w:t>
      </w:r>
      <w:r w:rsidR="00F90A8D" w:rsidRPr="005C43B0">
        <w:rPr>
          <w:lang w:val="ru-RU"/>
        </w:rPr>
        <w:t>.</w:t>
      </w:r>
    </w:p>
    <w:p w14:paraId="317915EF" w14:textId="77777777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t>В этой системе представлена трехуровневая модель управления:</w:t>
      </w:r>
    </w:p>
    <w:p w14:paraId="0D4B2FA5" w14:textId="25A7BD0E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A72528" w:rsidRPr="005C43B0">
        <w:rPr>
          <w:lang w:val="ru-RU"/>
        </w:rPr>
        <w:t>с</w:t>
      </w:r>
      <w:r w:rsidRPr="005C43B0">
        <w:rPr>
          <w:lang w:val="ru-RU"/>
        </w:rPr>
        <w:t>тратегическое управление (DGB)</w:t>
      </w:r>
      <w:r w:rsidR="00A72528" w:rsidRPr="005C43B0">
        <w:rPr>
          <w:lang w:val="ru-RU"/>
        </w:rPr>
        <w:t>;</w:t>
      </w:r>
    </w:p>
    <w:p w14:paraId="186F7ACD" w14:textId="306F0ECE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A72528" w:rsidRPr="005C43B0">
        <w:rPr>
          <w:lang w:val="ru-RU"/>
        </w:rPr>
        <w:t>у</w:t>
      </w:r>
      <w:r w:rsidRPr="005C43B0">
        <w:rPr>
          <w:lang w:val="ru-RU"/>
        </w:rPr>
        <w:t>правление портфелем и архитектурой (Канцелярия Директора по информационным технологиям (OCIO) и EAB)</w:t>
      </w:r>
      <w:r w:rsidR="00A72528" w:rsidRPr="005C43B0">
        <w:rPr>
          <w:lang w:val="ru-RU"/>
        </w:rPr>
        <w:t>;</w:t>
      </w:r>
    </w:p>
    <w:p w14:paraId="07C6C43F" w14:textId="77777777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управление реализацией (программы и группы по продуктам).</w:t>
      </w:r>
    </w:p>
    <w:p w14:paraId="6F635A15" w14:textId="1101F0D1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lastRenderedPageBreak/>
        <w:t xml:space="preserve">Она также формализует права на принятие решений (модель RACI – ответственный, подотчетный, консультирующий, владеющий информацией), управление инвестициями и надзор за показателями деятельности и рисками, согласованные с признанными структурами управления ИТ, такими как Задачи управления для информационных </w:t>
      </w:r>
      <w:r w:rsidR="002947AF" w:rsidRPr="005C43B0">
        <w:rPr>
          <w:lang w:val="ru-RU"/>
        </w:rPr>
        <w:t xml:space="preserve">технологий </w:t>
      </w:r>
      <w:r w:rsidRPr="005C43B0">
        <w:rPr>
          <w:lang w:val="ru-RU"/>
        </w:rPr>
        <w:t xml:space="preserve">и </w:t>
      </w:r>
      <w:r w:rsidR="002947AF" w:rsidRPr="005C43B0">
        <w:rPr>
          <w:lang w:val="ru-RU"/>
        </w:rPr>
        <w:t xml:space="preserve">технологий, связанных с ней </w:t>
      </w:r>
      <w:r w:rsidRPr="005C43B0">
        <w:rPr>
          <w:lang w:val="ru-RU"/>
        </w:rPr>
        <w:t>(COBIT).</w:t>
      </w:r>
    </w:p>
    <w:p w14:paraId="5183D67B" w14:textId="77777777" w:rsidR="008B0C10" w:rsidRPr="005C43B0" w:rsidRDefault="008B0C10" w:rsidP="009A54B3">
      <w:pPr>
        <w:jc w:val="both"/>
        <w:rPr>
          <w:rFonts w:asciiTheme="minorHAnsi" w:hAnsiTheme="minorHAnsi" w:cstheme="minorHAnsi"/>
          <w:lang w:val="ru-RU"/>
        </w:rPr>
      </w:pPr>
      <w:r w:rsidRPr="005C43B0">
        <w:rPr>
          <w:lang w:val="ru-RU"/>
        </w:rPr>
        <w:t>Система обеспечивает четкое разделение управления и исполнения, при этом укрепляя согласованность с более широкими надзорными структурами МСЭ, включая Совет, Рабочую группу Совета по финансовым и людским ресурсам (РГС-ФЛР) и Независимый консультативный комитет по управлению (IMAC).</w:t>
      </w:r>
    </w:p>
    <w:p w14:paraId="49C81A74" w14:textId="4EB60339" w:rsidR="008B0C10" w:rsidRPr="005C43B0" w:rsidRDefault="008B0C10" w:rsidP="009A54B3">
      <w:pPr>
        <w:pStyle w:val="Headingb"/>
        <w:jc w:val="both"/>
        <w:rPr>
          <w:lang w:val="ru-RU"/>
        </w:rPr>
      </w:pPr>
      <w:r w:rsidRPr="005C43B0">
        <w:rPr>
          <w:lang w:val="ru-RU"/>
        </w:rPr>
        <w:t>Следующие шаги</w:t>
      </w:r>
      <w:r w:rsidR="008E7958" w:rsidRPr="001D42A7">
        <w:rPr>
          <w:b w:val="0"/>
          <w:bCs/>
          <w:lang w:val="ru-RU"/>
        </w:rPr>
        <w:t>:</w:t>
      </w:r>
    </w:p>
    <w:p w14:paraId="1CABB1F4" w14:textId="483E1979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8E7958" w:rsidRPr="005C43B0">
        <w:rPr>
          <w:lang w:val="ru-RU"/>
        </w:rPr>
        <w:t>о</w:t>
      </w:r>
      <w:r w:rsidRPr="005C43B0">
        <w:rPr>
          <w:lang w:val="ru-RU"/>
        </w:rPr>
        <w:t>фициальное оформление мандата и рабочих процедур DGB</w:t>
      </w:r>
      <w:r w:rsidR="008E7958" w:rsidRPr="005C43B0">
        <w:rPr>
          <w:lang w:val="ru-RU"/>
        </w:rPr>
        <w:t>;</w:t>
      </w:r>
    </w:p>
    <w:p w14:paraId="01D6A101" w14:textId="0E4B21B4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BD4F93" w:rsidRPr="005C43B0">
        <w:rPr>
          <w:lang w:val="ru-RU"/>
        </w:rPr>
        <w:t>п</w:t>
      </w:r>
      <w:r w:rsidRPr="005C43B0">
        <w:rPr>
          <w:lang w:val="ru-RU"/>
        </w:rPr>
        <w:t>олная интеграция управления с портфельными и инвестиционными процессами</w:t>
      </w:r>
      <w:r w:rsidR="002C1338" w:rsidRPr="005C43B0">
        <w:rPr>
          <w:lang w:val="ru-RU"/>
        </w:rPr>
        <w:t>;</w:t>
      </w:r>
    </w:p>
    <w:p w14:paraId="21EB6228" w14:textId="2E6369C3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2C1338" w:rsidRPr="005C43B0">
        <w:rPr>
          <w:lang w:val="ru-RU"/>
        </w:rPr>
        <w:t>в</w:t>
      </w:r>
      <w:r w:rsidRPr="005C43B0">
        <w:rPr>
          <w:lang w:val="ru-RU"/>
        </w:rPr>
        <w:t>недрение информационных панелей и отчетность по KPI/OKR;</w:t>
      </w:r>
    </w:p>
    <w:p w14:paraId="5E215440" w14:textId="5D74B97D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2C1338" w:rsidRPr="005C43B0">
        <w:rPr>
          <w:lang w:val="ru-RU"/>
        </w:rPr>
        <w:t>с</w:t>
      </w:r>
      <w:r w:rsidRPr="005C43B0">
        <w:rPr>
          <w:lang w:val="ru-RU"/>
        </w:rPr>
        <w:t>огласование с циклами отчетности Совета;</w:t>
      </w:r>
    </w:p>
    <w:p w14:paraId="3FAA032D" w14:textId="3B6339DA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2C1338" w:rsidRPr="005C43B0">
        <w:rPr>
          <w:lang w:val="ru-RU"/>
        </w:rPr>
        <w:t>е</w:t>
      </w:r>
      <w:r w:rsidRPr="005C43B0">
        <w:rPr>
          <w:lang w:val="ru-RU"/>
        </w:rPr>
        <w:t>жегодный обзор эффективности управления.</w:t>
      </w:r>
    </w:p>
    <w:p w14:paraId="7848ACB6" w14:textId="77777777" w:rsidR="008B0C10" w:rsidRPr="005C43B0" w:rsidRDefault="008B0C10" w:rsidP="009A54B3">
      <w:pPr>
        <w:pStyle w:val="Heading2"/>
        <w:jc w:val="both"/>
        <w:rPr>
          <w:lang w:val="ru-RU"/>
        </w:rPr>
      </w:pPr>
      <w:r w:rsidRPr="005C43B0">
        <w:rPr>
          <w:lang w:val="ru-RU"/>
        </w:rPr>
        <w:t>2.4</w:t>
      </w:r>
      <w:r w:rsidRPr="005C43B0">
        <w:rPr>
          <w:lang w:val="ru-RU"/>
        </w:rPr>
        <w:tab/>
        <w:t>Пересмотр операционной модели ISD</w:t>
      </w:r>
    </w:p>
    <w:p w14:paraId="1716BA61" w14:textId="01E3B69B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t xml:space="preserve">Пересмотр операционной модели ISD направлен на позиционирование технологий как стратегической движущей силы институциональной эффективности и инноваций, а не как </w:t>
      </w:r>
      <w:r w:rsidR="002C1338" w:rsidRPr="005C43B0">
        <w:rPr>
          <w:lang w:val="ru-RU"/>
        </w:rPr>
        <w:t>исключительно</w:t>
      </w:r>
      <w:r w:rsidRPr="005C43B0">
        <w:rPr>
          <w:lang w:val="ru-RU"/>
        </w:rPr>
        <w:t xml:space="preserve"> операционной функции.</w:t>
      </w:r>
    </w:p>
    <w:p w14:paraId="5DF8E33E" w14:textId="77777777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t>Ключевые направления пересмотра включают:</w:t>
      </w:r>
    </w:p>
    <w:p w14:paraId="3032B0B8" w14:textId="6421B968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2C1338" w:rsidRPr="005C43B0">
        <w:rPr>
          <w:lang w:val="ru-RU"/>
        </w:rPr>
        <w:t>с</w:t>
      </w:r>
      <w:r w:rsidRPr="005C43B0">
        <w:rPr>
          <w:lang w:val="ru-RU"/>
        </w:rPr>
        <w:t>оздание Канцелярии Старшего сотрудника по вопросам информации (OCIO)</w:t>
      </w:r>
      <w:r w:rsidR="002C1338" w:rsidRPr="005C43B0">
        <w:rPr>
          <w:lang w:val="ru-RU"/>
        </w:rPr>
        <w:t>;</w:t>
      </w:r>
    </w:p>
    <w:p w14:paraId="23B24B9A" w14:textId="762D7878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E5586B" w:rsidRPr="005C43B0">
        <w:rPr>
          <w:lang w:val="ru-RU"/>
        </w:rPr>
        <w:t>п</w:t>
      </w:r>
      <w:r w:rsidRPr="005C43B0">
        <w:rPr>
          <w:lang w:val="ru-RU"/>
        </w:rPr>
        <w:t>ереход к модели поставок на основе продуктов;</w:t>
      </w:r>
    </w:p>
    <w:p w14:paraId="0A0B14BC" w14:textId="54738D89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E5586B" w:rsidRPr="005C43B0">
        <w:rPr>
          <w:lang w:val="ru-RU"/>
        </w:rPr>
        <w:t>и</w:t>
      </w:r>
      <w:r w:rsidRPr="005C43B0">
        <w:rPr>
          <w:lang w:val="ru-RU"/>
        </w:rPr>
        <w:t>нтеграци</w:t>
      </w:r>
      <w:r w:rsidR="00E5586B" w:rsidRPr="005C43B0">
        <w:rPr>
          <w:lang w:val="ru-RU"/>
        </w:rPr>
        <w:t>ю</w:t>
      </w:r>
      <w:r w:rsidRPr="005C43B0">
        <w:rPr>
          <w:lang w:val="ru-RU"/>
        </w:rPr>
        <w:t xml:space="preserve"> </w:t>
      </w:r>
      <w:r w:rsidR="008539E9" w:rsidRPr="005C43B0">
        <w:rPr>
          <w:lang w:val="ru-RU"/>
        </w:rPr>
        <w:t xml:space="preserve">возможностей в области </w:t>
      </w:r>
      <w:r w:rsidRPr="005C43B0">
        <w:rPr>
          <w:lang w:val="ru-RU"/>
        </w:rPr>
        <w:t xml:space="preserve">цифровых </w:t>
      </w:r>
      <w:r w:rsidR="008539E9" w:rsidRPr="005C43B0">
        <w:rPr>
          <w:lang w:val="ru-RU"/>
        </w:rPr>
        <w:t>технологий</w:t>
      </w:r>
      <w:r w:rsidRPr="005C43B0">
        <w:rPr>
          <w:lang w:val="ru-RU"/>
        </w:rPr>
        <w:t>, обработки данных, ИИ и инфраструктуры.</w:t>
      </w:r>
    </w:p>
    <w:p w14:paraId="66273634" w14:textId="77777777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t>Новая структура организована вокруг пяти функциональных областей:</w:t>
      </w:r>
    </w:p>
    <w:p w14:paraId="095754CB" w14:textId="4D285721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2947AF" w:rsidRPr="005C43B0">
        <w:rPr>
          <w:lang w:val="ru-RU"/>
        </w:rPr>
        <w:t>Канцелярия</w:t>
      </w:r>
      <w:r w:rsidRPr="005C43B0">
        <w:rPr>
          <w:lang w:val="ru-RU"/>
        </w:rPr>
        <w:t xml:space="preserve"> </w:t>
      </w:r>
      <w:r w:rsidR="002947AF" w:rsidRPr="005C43B0">
        <w:rPr>
          <w:lang w:val="ru-RU"/>
        </w:rPr>
        <w:t>Д</w:t>
      </w:r>
      <w:r w:rsidRPr="005C43B0">
        <w:rPr>
          <w:lang w:val="ru-RU"/>
        </w:rPr>
        <w:t>иректора по информационным технологиям (стратегия, управление, портфель, инновации);</w:t>
      </w:r>
    </w:p>
    <w:p w14:paraId="765C926F" w14:textId="4F6D3CE0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8539E9" w:rsidRPr="005C43B0">
        <w:rPr>
          <w:lang w:val="ru-RU"/>
        </w:rPr>
        <w:t>ц</w:t>
      </w:r>
      <w:r w:rsidRPr="005C43B0">
        <w:rPr>
          <w:lang w:val="ru-RU"/>
        </w:rPr>
        <w:t xml:space="preserve">ифровые продукты и услуги (платформы </w:t>
      </w:r>
      <w:r w:rsidR="00A54A2D" w:rsidRPr="005C43B0">
        <w:rPr>
          <w:lang w:val="ru-RU"/>
        </w:rPr>
        <w:t>организации</w:t>
      </w:r>
      <w:r w:rsidRPr="005C43B0">
        <w:rPr>
          <w:lang w:val="ru-RU"/>
        </w:rPr>
        <w:t xml:space="preserve"> и членов)</w:t>
      </w:r>
      <w:r w:rsidR="008539E9" w:rsidRPr="005C43B0">
        <w:rPr>
          <w:lang w:val="ru-RU"/>
        </w:rPr>
        <w:t>;</w:t>
      </w:r>
    </w:p>
    <w:p w14:paraId="586AB059" w14:textId="747A2076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ИИ, управление данными и знаниями</w:t>
      </w:r>
      <w:r w:rsidR="008539E9" w:rsidRPr="005C43B0">
        <w:rPr>
          <w:lang w:val="ru-RU"/>
        </w:rPr>
        <w:t>;</w:t>
      </w:r>
    </w:p>
    <w:p w14:paraId="0FFC221F" w14:textId="7C84E764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8539E9" w:rsidRPr="005C43B0">
        <w:rPr>
          <w:lang w:val="ru-RU"/>
        </w:rPr>
        <w:t>и</w:t>
      </w:r>
      <w:r w:rsidRPr="005C43B0">
        <w:rPr>
          <w:lang w:val="ru-RU"/>
        </w:rPr>
        <w:t>нфраструктура и кибербезопасность;</w:t>
      </w:r>
    </w:p>
    <w:p w14:paraId="56B5C64B" w14:textId="610E8D78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8539E9" w:rsidRPr="005C43B0">
        <w:rPr>
          <w:lang w:val="ru-RU"/>
        </w:rPr>
        <w:t>безопасность</w:t>
      </w:r>
      <w:r w:rsidRPr="005C43B0">
        <w:rPr>
          <w:lang w:val="ru-RU"/>
        </w:rPr>
        <w:t xml:space="preserve"> и </w:t>
      </w:r>
      <w:r w:rsidR="008539E9" w:rsidRPr="005C43B0">
        <w:rPr>
          <w:lang w:val="ru-RU"/>
        </w:rPr>
        <w:t>защищенность</w:t>
      </w:r>
      <w:r w:rsidRPr="005C43B0">
        <w:rPr>
          <w:lang w:val="ru-RU"/>
        </w:rPr>
        <w:t>.</w:t>
      </w:r>
    </w:p>
    <w:p w14:paraId="16850C95" w14:textId="77777777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t>Эта модель позволяет обеспечить:</w:t>
      </w:r>
    </w:p>
    <w:p w14:paraId="094061BC" w14:textId="2EB986E5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8539E9" w:rsidRPr="005C43B0">
        <w:rPr>
          <w:lang w:val="ru-RU"/>
        </w:rPr>
        <w:t>с</w:t>
      </w:r>
      <w:r w:rsidRPr="005C43B0">
        <w:rPr>
          <w:lang w:val="ru-RU"/>
        </w:rPr>
        <w:t>квозное владение цифровыми продуктами;</w:t>
      </w:r>
    </w:p>
    <w:p w14:paraId="05F22638" w14:textId="77777777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более тесную согласованность с потоками создания стоимости;</w:t>
      </w:r>
    </w:p>
    <w:p w14:paraId="35B0D94F" w14:textId="0C0BDA42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 xml:space="preserve">повышение гибкости </w:t>
      </w:r>
      <w:r w:rsidR="002947AF" w:rsidRPr="005C43B0">
        <w:rPr>
          <w:lang w:val="ru-RU"/>
        </w:rPr>
        <w:t>предоставления услуг</w:t>
      </w:r>
      <w:r w:rsidRPr="005C43B0">
        <w:rPr>
          <w:lang w:val="ru-RU"/>
        </w:rPr>
        <w:t xml:space="preserve"> и подотчетности;</w:t>
      </w:r>
    </w:p>
    <w:p w14:paraId="5C8D708F" w14:textId="77777777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интеграцию возможностей ИИ и данных в операционную деятельность.</w:t>
      </w:r>
    </w:p>
    <w:p w14:paraId="3923F504" w14:textId="1E78C268" w:rsidR="008B0C10" w:rsidRPr="005C43B0" w:rsidRDefault="008B0C10" w:rsidP="009A54B3">
      <w:pPr>
        <w:pStyle w:val="Headingb"/>
        <w:jc w:val="both"/>
        <w:rPr>
          <w:lang w:val="ru-RU"/>
        </w:rPr>
      </w:pPr>
      <w:r w:rsidRPr="005C43B0">
        <w:rPr>
          <w:lang w:val="ru-RU"/>
        </w:rPr>
        <w:t>Следующие шаги</w:t>
      </w:r>
      <w:r w:rsidR="008539E9" w:rsidRPr="001D42A7">
        <w:rPr>
          <w:b w:val="0"/>
          <w:bCs/>
          <w:lang w:val="ru-RU"/>
        </w:rPr>
        <w:t>:</w:t>
      </w:r>
    </w:p>
    <w:p w14:paraId="337B76D7" w14:textId="3623F4FA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8539E9" w:rsidRPr="005C43B0">
        <w:rPr>
          <w:lang w:val="ru-RU"/>
        </w:rPr>
        <w:t>з</w:t>
      </w:r>
      <w:r w:rsidRPr="005C43B0">
        <w:rPr>
          <w:lang w:val="ru-RU"/>
        </w:rPr>
        <w:t>авершение модернизации и начало процесса реструктуризации с поэтапной реализацией, согласованной с дорожной картой цифровой трансформации</w:t>
      </w:r>
      <w:r w:rsidR="009D7831" w:rsidRPr="005C43B0">
        <w:rPr>
          <w:lang w:val="ru-RU"/>
        </w:rPr>
        <w:t>;</w:t>
      </w:r>
    </w:p>
    <w:p w14:paraId="228AEE86" w14:textId="102EF7D0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9D7831" w:rsidRPr="005C43B0">
        <w:rPr>
          <w:lang w:val="ru-RU"/>
        </w:rPr>
        <w:t>в</w:t>
      </w:r>
      <w:r w:rsidRPr="005C43B0">
        <w:rPr>
          <w:lang w:val="ru-RU"/>
        </w:rPr>
        <w:t xml:space="preserve">недрение </w:t>
      </w:r>
      <w:r w:rsidR="002947AF" w:rsidRPr="005C43B0">
        <w:rPr>
          <w:lang w:val="ru-RU"/>
        </w:rPr>
        <w:t>предоставления услуг</w:t>
      </w:r>
      <w:r w:rsidRPr="005C43B0">
        <w:rPr>
          <w:lang w:val="ru-RU"/>
        </w:rPr>
        <w:t xml:space="preserve"> на основе продуктов во всех приоритетных областях;</w:t>
      </w:r>
    </w:p>
    <w:p w14:paraId="46ED4B0B" w14:textId="1D62B0F8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9D7831" w:rsidRPr="005C43B0">
        <w:rPr>
          <w:lang w:val="ru-RU"/>
        </w:rPr>
        <w:t>у</w:t>
      </w:r>
      <w:r w:rsidRPr="005C43B0">
        <w:rPr>
          <w:lang w:val="ru-RU"/>
        </w:rPr>
        <w:t>силение ответственности и подотчетности платформ;</w:t>
      </w:r>
    </w:p>
    <w:p w14:paraId="1864BFF6" w14:textId="06B8B54D" w:rsidR="008B0C10" w:rsidRPr="005C43B0" w:rsidRDefault="008B0C10" w:rsidP="005C43B0">
      <w:pPr>
        <w:pStyle w:val="enumlev1"/>
        <w:rPr>
          <w:lang w:val="ru-RU"/>
        </w:rPr>
      </w:pPr>
      <w:r w:rsidRPr="005C43B0">
        <w:rPr>
          <w:lang w:val="ru-RU"/>
        </w:rPr>
        <w:lastRenderedPageBreak/>
        <w:t>–</w:t>
      </w:r>
      <w:r w:rsidRPr="005C43B0">
        <w:rPr>
          <w:lang w:val="ru-RU"/>
        </w:rPr>
        <w:tab/>
        <w:t xml:space="preserve">расширение возможностей </w:t>
      </w:r>
      <w:r w:rsidR="009D7831" w:rsidRPr="005C43B0">
        <w:rPr>
          <w:lang w:val="ru-RU"/>
        </w:rPr>
        <w:t xml:space="preserve">в области </w:t>
      </w:r>
      <w:r w:rsidRPr="005C43B0">
        <w:rPr>
          <w:lang w:val="ru-RU"/>
        </w:rPr>
        <w:t>ИИ и данных;</w:t>
      </w:r>
    </w:p>
    <w:p w14:paraId="6C250779" w14:textId="26506DD9" w:rsidR="008B0C10" w:rsidRPr="005C43B0" w:rsidRDefault="008B0C10" w:rsidP="005C43B0">
      <w:pPr>
        <w:pStyle w:val="enumlev1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 xml:space="preserve">развертывание федеративной/глобальной модели </w:t>
      </w:r>
      <w:r w:rsidR="002947AF" w:rsidRPr="005C43B0">
        <w:rPr>
          <w:lang w:val="ru-RU"/>
        </w:rPr>
        <w:t>предоставления услуг</w:t>
      </w:r>
      <w:r w:rsidRPr="005C43B0">
        <w:rPr>
          <w:lang w:val="ru-RU"/>
        </w:rPr>
        <w:t>;</w:t>
      </w:r>
    </w:p>
    <w:p w14:paraId="639C9541" w14:textId="39095153" w:rsidR="008B0C10" w:rsidRPr="005C43B0" w:rsidRDefault="008B0C10" w:rsidP="005C43B0">
      <w:pPr>
        <w:pStyle w:val="enumlev1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повышение квалификации кадров и развитие кадрового потенциала</w:t>
      </w:r>
      <w:r w:rsidR="009D7831" w:rsidRPr="005C43B0">
        <w:rPr>
          <w:lang w:val="ru-RU"/>
        </w:rPr>
        <w:t>.</w:t>
      </w:r>
    </w:p>
    <w:p w14:paraId="0916D8D3" w14:textId="77777777" w:rsidR="008B0C10" w:rsidRPr="005C43B0" w:rsidRDefault="008B0C10" w:rsidP="005C43B0">
      <w:pPr>
        <w:pStyle w:val="Heading1"/>
        <w:rPr>
          <w:lang w:val="ru-RU"/>
        </w:rPr>
      </w:pPr>
      <w:r w:rsidRPr="005C43B0">
        <w:rPr>
          <w:lang w:val="ru-RU"/>
        </w:rPr>
        <w:t>3</w:t>
      </w:r>
      <w:r w:rsidRPr="005C43B0">
        <w:rPr>
          <w:lang w:val="ru-RU"/>
        </w:rPr>
        <w:tab/>
        <w:t>Комплексные перспективы цифровой трансформации</w:t>
      </w:r>
    </w:p>
    <w:p w14:paraId="4C88D3F1" w14:textId="7AA99F28" w:rsidR="008B0C10" w:rsidRPr="005C43B0" w:rsidRDefault="009D7831" w:rsidP="009A54B3">
      <w:pPr>
        <w:jc w:val="both"/>
        <w:rPr>
          <w:lang w:val="ru-RU"/>
        </w:rPr>
      </w:pPr>
      <w:r w:rsidRPr="005C43B0">
        <w:rPr>
          <w:lang w:val="ru-RU"/>
        </w:rPr>
        <w:t>Теперь ч</w:t>
      </w:r>
      <w:r w:rsidR="008B0C10" w:rsidRPr="005C43B0">
        <w:rPr>
          <w:lang w:val="ru-RU"/>
        </w:rPr>
        <w:t>етыре цифровые основы объединены в целостную систему цифровой трансформации:</w:t>
      </w:r>
    </w:p>
    <w:p w14:paraId="3837B4B8" w14:textId="2BA79D90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9D7831" w:rsidRPr="005C43B0">
        <w:rPr>
          <w:lang w:val="ru-RU"/>
        </w:rPr>
        <w:t>с</w:t>
      </w:r>
      <w:r w:rsidRPr="005C43B0">
        <w:rPr>
          <w:lang w:val="ru-RU"/>
        </w:rPr>
        <w:t>тратегия и план определяют направление и исполнение</w:t>
      </w:r>
      <w:r w:rsidR="009D7831" w:rsidRPr="005C43B0">
        <w:rPr>
          <w:lang w:val="ru-RU"/>
        </w:rPr>
        <w:t>;</w:t>
      </w:r>
    </w:p>
    <w:p w14:paraId="4C1CCD76" w14:textId="24A157D1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  <w:t>EA обеспечивает структурную согласованность и устойчивость</w:t>
      </w:r>
      <w:r w:rsidR="00697DFA" w:rsidRPr="005C43B0">
        <w:rPr>
          <w:lang w:val="ru-RU"/>
        </w:rPr>
        <w:t>;</w:t>
      </w:r>
    </w:p>
    <w:p w14:paraId="080300D0" w14:textId="13EC5C6C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697DFA" w:rsidRPr="005C43B0">
        <w:rPr>
          <w:lang w:val="ru-RU"/>
        </w:rPr>
        <w:t>у</w:t>
      </w:r>
      <w:r w:rsidRPr="005C43B0">
        <w:rPr>
          <w:lang w:val="ru-RU"/>
        </w:rPr>
        <w:t>правление обеспечивает подотчетность и инвестиционную дисциплину</w:t>
      </w:r>
      <w:r w:rsidR="00697DFA" w:rsidRPr="005C43B0">
        <w:rPr>
          <w:lang w:val="ru-RU"/>
        </w:rPr>
        <w:t>;</w:t>
      </w:r>
    </w:p>
    <w:p w14:paraId="7642CFFA" w14:textId="06C68CE3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697DFA" w:rsidRPr="005C43B0">
        <w:rPr>
          <w:lang w:val="ru-RU"/>
        </w:rPr>
        <w:t>о</w:t>
      </w:r>
      <w:r w:rsidRPr="005C43B0">
        <w:rPr>
          <w:lang w:val="ru-RU"/>
        </w:rPr>
        <w:t>перационная модель обеспечивает возможность предоставления услуг и инноваций.</w:t>
      </w:r>
    </w:p>
    <w:p w14:paraId="7C318E4C" w14:textId="4E774D46" w:rsidR="008B0C10" w:rsidRPr="005C43B0" w:rsidRDefault="008B0C10" w:rsidP="009A54B3">
      <w:pPr>
        <w:jc w:val="both"/>
        <w:rPr>
          <w:lang w:val="ru-RU"/>
        </w:rPr>
      </w:pPr>
      <w:r w:rsidRPr="005C43B0">
        <w:rPr>
          <w:lang w:val="ru-RU"/>
        </w:rPr>
        <w:t>Все вместе они позволяют МСЭ перейти от разрозненных, требующих обслуживания ИТ к</w:t>
      </w:r>
      <w:r w:rsidR="005C43B0" w:rsidRPr="005C43B0">
        <w:rPr>
          <w:lang w:val="ru-RU"/>
        </w:rPr>
        <w:t> </w:t>
      </w:r>
      <w:r w:rsidRPr="005C43B0">
        <w:rPr>
          <w:lang w:val="ru-RU"/>
        </w:rPr>
        <w:t>интегрированной, управляемой цифровой организации с поддержкой ИИ.</w:t>
      </w:r>
    </w:p>
    <w:p w14:paraId="142CE9C8" w14:textId="0D67F729" w:rsidR="008B0C10" w:rsidRPr="005C43B0" w:rsidRDefault="008B0C10" w:rsidP="009A54B3">
      <w:pPr>
        <w:jc w:val="both"/>
        <w:rPr>
          <w:rFonts w:asciiTheme="minorHAnsi" w:hAnsiTheme="minorHAnsi" w:cstheme="minorHAnsi"/>
          <w:lang w:val="ru-RU"/>
        </w:rPr>
      </w:pPr>
      <w:r w:rsidRPr="005C43B0">
        <w:rPr>
          <w:lang w:val="ru-RU"/>
        </w:rPr>
        <w:t>Ожидается, что к 2027 году МСЭ достигнет</w:t>
      </w:r>
      <w:r w:rsidR="00002F15" w:rsidRPr="005C43B0">
        <w:rPr>
          <w:lang w:val="ru-RU"/>
        </w:rPr>
        <w:t xml:space="preserve"> следующих результатов</w:t>
      </w:r>
      <w:r w:rsidRPr="005C43B0">
        <w:rPr>
          <w:lang w:val="ru-RU"/>
        </w:rPr>
        <w:t>:</w:t>
      </w:r>
    </w:p>
    <w:p w14:paraId="1A114DFD" w14:textId="49912209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002F15" w:rsidRPr="005C43B0">
        <w:rPr>
          <w:lang w:val="ru-RU"/>
        </w:rPr>
        <w:t>с</w:t>
      </w:r>
      <w:r w:rsidRPr="005C43B0">
        <w:rPr>
          <w:lang w:val="ru-RU"/>
        </w:rPr>
        <w:t>овременное и устойчивое цифровое ядро</w:t>
      </w:r>
      <w:r w:rsidR="00002F15" w:rsidRPr="005C43B0">
        <w:rPr>
          <w:lang w:val="ru-RU"/>
        </w:rPr>
        <w:t>;</w:t>
      </w:r>
    </w:p>
    <w:p w14:paraId="24E99C75" w14:textId="0E01C314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2E2D1D" w:rsidRPr="005C43B0">
        <w:rPr>
          <w:lang w:val="ru-RU"/>
        </w:rPr>
        <w:t>повышение операционной эффективности и удобства пользователей</w:t>
      </w:r>
      <w:r w:rsidR="002E7FA6" w:rsidRPr="005C43B0">
        <w:rPr>
          <w:lang w:val="ru-RU"/>
        </w:rPr>
        <w:t>;</w:t>
      </w:r>
    </w:p>
    <w:p w14:paraId="3123FB2A" w14:textId="3EC1922A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2E7FA6" w:rsidRPr="005C43B0">
        <w:rPr>
          <w:lang w:val="ru-RU"/>
        </w:rPr>
        <w:t>с</w:t>
      </w:r>
      <w:r w:rsidRPr="005C43B0">
        <w:rPr>
          <w:lang w:val="ru-RU"/>
        </w:rPr>
        <w:t>оздание возможностей в области ИИ и данных в широком масштабе;</w:t>
      </w:r>
    </w:p>
    <w:p w14:paraId="4C6738BF" w14:textId="69FD0BCC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F770D0" w:rsidRPr="005C43B0">
        <w:rPr>
          <w:lang w:val="ru-RU"/>
        </w:rPr>
        <w:t xml:space="preserve">устойчивая </w:t>
      </w:r>
      <w:r w:rsidR="002E7FA6" w:rsidRPr="005C43B0">
        <w:rPr>
          <w:lang w:val="ru-RU"/>
        </w:rPr>
        <w:t>м</w:t>
      </w:r>
      <w:r w:rsidRPr="005C43B0">
        <w:rPr>
          <w:lang w:val="ru-RU"/>
        </w:rPr>
        <w:t xml:space="preserve">одель управления и </w:t>
      </w:r>
      <w:r w:rsidR="00F770D0" w:rsidRPr="005C43B0">
        <w:rPr>
          <w:lang w:val="ru-RU"/>
        </w:rPr>
        <w:t>операционной деятельности</w:t>
      </w:r>
      <w:r w:rsidRPr="005C43B0">
        <w:rPr>
          <w:lang w:val="ru-RU"/>
        </w:rPr>
        <w:t>.</w:t>
      </w:r>
    </w:p>
    <w:p w14:paraId="2EF8E3F6" w14:textId="707EE75F" w:rsidR="008B0C10" w:rsidRPr="005C43B0" w:rsidRDefault="002E7FA6" w:rsidP="009A54B3">
      <w:pPr>
        <w:pStyle w:val="Headingb"/>
        <w:jc w:val="both"/>
        <w:rPr>
          <w:lang w:val="ru-RU"/>
        </w:rPr>
      </w:pPr>
      <w:r w:rsidRPr="005C43B0">
        <w:rPr>
          <w:lang w:val="ru-RU"/>
        </w:rPr>
        <w:t>С</w:t>
      </w:r>
      <w:r w:rsidR="008B0C10" w:rsidRPr="005C43B0">
        <w:rPr>
          <w:lang w:val="ru-RU"/>
        </w:rPr>
        <w:t>ледующие шаги (сквозн</w:t>
      </w:r>
      <w:r w:rsidR="002947AF" w:rsidRPr="005C43B0">
        <w:rPr>
          <w:lang w:val="ru-RU"/>
        </w:rPr>
        <w:t>ой характер</w:t>
      </w:r>
      <w:r w:rsidR="008B0C10" w:rsidRPr="005C43B0">
        <w:rPr>
          <w:lang w:val="ru-RU"/>
        </w:rPr>
        <w:t>)</w:t>
      </w:r>
      <w:r w:rsidRPr="001D42A7">
        <w:rPr>
          <w:b w:val="0"/>
          <w:bCs/>
          <w:lang w:val="ru-RU"/>
        </w:rPr>
        <w:t>:</w:t>
      </w:r>
    </w:p>
    <w:p w14:paraId="1D4E0F6A" w14:textId="7DE1A5F6" w:rsidR="008B0C10" w:rsidRPr="005C43B0" w:rsidRDefault="002E7FA6" w:rsidP="009A54B3">
      <w:pPr>
        <w:jc w:val="both"/>
        <w:rPr>
          <w:lang w:val="ru-RU"/>
        </w:rPr>
      </w:pPr>
      <w:r w:rsidRPr="005C43B0">
        <w:rPr>
          <w:lang w:val="ru-RU"/>
        </w:rPr>
        <w:t>П</w:t>
      </w:r>
      <w:r w:rsidR="008B0C10" w:rsidRPr="005C43B0">
        <w:rPr>
          <w:lang w:val="ru-RU"/>
        </w:rPr>
        <w:t xml:space="preserve">риоритетные действия </w:t>
      </w:r>
      <w:r w:rsidRPr="005C43B0">
        <w:rPr>
          <w:lang w:val="ru-RU"/>
        </w:rPr>
        <w:t xml:space="preserve">в рамках всех компонентов </w:t>
      </w:r>
      <w:r w:rsidR="008B0C10" w:rsidRPr="005C43B0">
        <w:rPr>
          <w:lang w:val="ru-RU"/>
        </w:rPr>
        <w:t>включают</w:t>
      </w:r>
      <w:r w:rsidRPr="005C43B0">
        <w:rPr>
          <w:lang w:val="ru-RU"/>
        </w:rPr>
        <w:t xml:space="preserve"> следующее</w:t>
      </w:r>
      <w:r w:rsidR="008B0C10" w:rsidRPr="005C43B0">
        <w:rPr>
          <w:lang w:val="ru-RU"/>
        </w:rPr>
        <w:t>:</w:t>
      </w:r>
    </w:p>
    <w:p w14:paraId="56B20E14" w14:textId="11AB4195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2E7FA6" w:rsidRPr="005C43B0">
        <w:rPr>
          <w:lang w:val="ru-RU"/>
        </w:rPr>
        <w:t>о</w:t>
      </w:r>
      <w:r w:rsidRPr="005C43B0">
        <w:rPr>
          <w:lang w:val="ru-RU"/>
        </w:rPr>
        <w:t xml:space="preserve">фициальное утверждение и развертывание </w:t>
      </w:r>
      <w:r w:rsidR="002E7FA6" w:rsidRPr="005C43B0">
        <w:rPr>
          <w:lang w:val="ru-RU"/>
        </w:rPr>
        <w:t>систем;</w:t>
      </w:r>
    </w:p>
    <w:p w14:paraId="07D2F46E" w14:textId="019A8D08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2E7FA6" w:rsidRPr="005C43B0">
        <w:rPr>
          <w:lang w:val="ru-RU"/>
        </w:rPr>
        <w:t>н</w:t>
      </w:r>
      <w:r w:rsidRPr="005C43B0">
        <w:rPr>
          <w:lang w:val="ru-RU"/>
        </w:rPr>
        <w:t>ачало осуществления программ трансформации и управление ими</w:t>
      </w:r>
      <w:r w:rsidR="00AE3D15" w:rsidRPr="005C43B0">
        <w:rPr>
          <w:lang w:val="ru-RU"/>
        </w:rPr>
        <w:t>;</w:t>
      </w:r>
    </w:p>
    <w:p w14:paraId="42F7C74C" w14:textId="4F837173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833F1A" w:rsidRPr="005C43B0">
        <w:rPr>
          <w:lang w:val="ru-RU"/>
        </w:rPr>
        <w:t>укрепление</w:t>
      </w:r>
      <w:r w:rsidRPr="005C43B0">
        <w:rPr>
          <w:lang w:val="ru-RU"/>
        </w:rPr>
        <w:t xml:space="preserve"> архитектуры </w:t>
      </w:r>
      <w:r w:rsidR="00A54A2D" w:rsidRPr="005C43B0">
        <w:rPr>
          <w:lang w:val="ru-RU"/>
        </w:rPr>
        <w:t xml:space="preserve">организации </w:t>
      </w:r>
      <w:r w:rsidRPr="005C43B0">
        <w:rPr>
          <w:lang w:val="ru-RU"/>
        </w:rPr>
        <w:t>и управлени</w:t>
      </w:r>
      <w:r w:rsidR="00833F1A" w:rsidRPr="005C43B0">
        <w:rPr>
          <w:lang w:val="ru-RU"/>
        </w:rPr>
        <w:t>я</w:t>
      </w:r>
      <w:r w:rsidRPr="005C43B0">
        <w:rPr>
          <w:lang w:val="ru-RU"/>
        </w:rPr>
        <w:t xml:space="preserve"> данными</w:t>
      </w:r>
      <w:r w:rsidR="00AE3D15" w:rsidRPr="005C43B0">
        <w:rPr>
          <w:lang w:val="ru-RU"/>
        </w:rPr>
        <w:t>;</w:t>
      </w:r>
    </w:p>
    <w:p w14:paraId="36A59650" w14:textId="1867770D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833F1A" w:rsidRPr="005C43B0">
        <w:rPr>
          <w:lang w:val="ru-RU"/>
        </w:rPr>
        <w:t>в</w:t>
      </w:r>
      <w:r w:rsidRPr="005C43B0">
        <w:rPr>
          <w:lang w:val="ru-RU"/>
        </w:rPr>
        <w:t xml:space="preserve">недрение </w:t>
      </w:r>
      <w:r w:rsidR="0048533D" w:rsidRPr="005C43B0">
        <w:rPr>
          <w:lang w:val="ru-RU"/>
        </w:rPr>
        <w:t>системы</w:t>
      </w:r>
      <w:r w:rsidRPr="005C43B0">
        <w:rPr>
          <w:lang w:val="ru-RU"/>
        </w:rPr>
        <w:t xml:space="preserve"> показателей деятельности и отчетности</w:t>
      </w:r>
      <w:r w:rsidR="0048533D" w:rsidRPr="005C43B0">
        <w:rPr>
          <w:lang w:val="ru-RU"/>
        </w:rPr>
        <w:t>;</w:t>
      </w:r>
    </w:p>
    <w:p w14:paraId="09843D87" w14:textId="3C5A4759" w:rsidR="008B0C10" w:rsidRPr="005C43B0" w:rsidRDefault="008B0C10" w:rsidP="009A54B3">
      <w:pPr>
        <w:pStyle w:val="enumlev1"/>
        <w:jc w:val="both"/>
        <w:rPr>
          <w:lang w:val="ru-RU"/>
        </w:rPr>
      </w:pPr>
      <w:r w:rsidRPr="005C43B0">
        <w:rPr>
          <w:lang w:val="ru-RU"/>
        </w:rPr>
        <w:t>–</w:t>
      </w:r>
      <w:r w:rsidRPr="005C43B0">
        <w:rPr>
          <w:lang w:val="ru-RU"/>
        </w:rPr>
        <w:tab/>
      </w:r>
      <w:r w:rsidR="0048533D" w:rsidRPr="005C43B0">
        <w:rPr>
          <w:lang w:val="ru-RU"/>
        </w:rPr>
        <w:t>п</w:t>
      </w:r>
      <w:r w:rsidRPr="005C43B0">
        <w:rPr>
          <w:lang w:val="ru-RU"/>
        </w:rPr>
        <w:t xml:space="preserve">одготовка </w:t>
      </w:r>
      <w:r w:rsidR="0048533D" w:rsidRPr="005C43B0">
        <w:rPr>
          <w:lang w:val="ru-RU"/>
        </w:rPr>
        <w:t xml:space="preserve">к </w:t>
      </w:r>
      <w:r w:rsidRPr="005C43B0">
        <w:rPr>
          <w:lang w:val="ru-RU"/>
        </w:rPr>
        <w:t>следующе</w:t>
      </w:r>
      <w:r w:rsidR="0048533D" w:rsidRPr="005C43B0">
        <w:rPr>
          <w:lang w:val="ru-RU"/>
        </w:rPr>
        <w:t>му</w:t>
      </w:r>
      <w:r w:rsidRPr="005C43B0">
        <w:rPr>
          <w:lang w:val="ru-RU"/>
        </w:rPr>
        <w:t xml:space="preserve"> цикл</w:t>
      </w:r>
      <w:r w:rsidR="0048533D" w:rsidRPr="005C43B0">
        <w:rPr>
          <w:lang w:val="ru-RU"/>
        </w:rPr>
        <w:t>у стратегического планирования</w:t>
      </w:r>
      <w:r w:rsidRPr="005C43B0">
        <w:rPr>
          <w:lang w:val="ru-RU"/>
        </w:rPr>
        <w:t xml:space="preserve"> (2028−2031 г</w:t>
      </w:r>
      <w:r w:rsidR="002E2D1D" w:rsidRPr="005C43B0">
        <w:rPr>
          <w:lang w:val="ru-RU"/>
        </w:rPr>
        <w:t>г.</w:t>
      </w:r>
      <w:r w:rsidRPr="005C43B0">
        <w:rPr>
          <w:lang w:val="ru-RU"/>
        </w:rPr>
        <w:t>).</w:t>
      </w:r>
    </w:p>
    <w:p w14:paraId="729269C8" w14:textId="77777777" w:rsidR="00796BD3" w:rsidRPr="005C43B0" w:rsidRDefault="00C462C5" w:rsidP="005C43B0">
      <w:pPr>
        <w:spacing w:before="720"/>
        <w:jc w:val="center"/>
        <w:rPr>
          <w:lang w:val="ru-RU"/>
        </w:rPr>
      </w:pPr>
      <w:r w:rsidRPr="005C43B0">
        <w:rPr>
          <w:lang w:val="ru-RU"/>
        </w:rPr>
        <w:t>______________</w:t>
      </w:r>
    </w:p>
    <w:sectPr w:rsidR="00796BD3" w:rsidRPr="005C43B0" w:rsidSect="00796BD3">
      <w:footerReference w:type="default" r:id="rId27"/>
      <w:headerReference w:type="first" r:id="rId28"/>
      <w:footerReference w:type="first" r:id="rId2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7132" w14:textId="77777777" w:rsidR="00295863" w:rsidRDefault="00295863">
      <w:r>
        <w:separator/>
      </w:r>
    </w:p>
  </w:endnote>
  <w:endnote w:type="continuationSeparator" w:id="0">
    <w:p w14:paraId="17D25006" w14:textId="77777777" w:rsidR="00295863" w:rsidRDefault="0029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4FB2615" w14:textId="77777777" w:rsidTr="00E31DCE">
      <w:trPr>
        <w:jc w:val="center"/>
      </w:trPr>
      <w:tc>
        <w:tcPr>
          <w:tcW w:w="1803" w:type="dxa"/>
          <w:vAlign w:val="center"/>
        </w:tcPr>
        <w:p w14:paraId="5B78992C" w14:textId="267F75BC" w:rsidR="00672F8A" w:rsidRPr="001D42A7" w:rsidRDefault="001D42A7" w:rsidP="00672F8A">
          <w:pPr>
            <w:pStyle w:val="Header"/>
            <w:jc w:val="left"/>
            <w:rPr>
              <w:noProof/>
              <w:lang w:val="ru-RU"/>
            </w:rPr>
          </w:pPr>
          <w:r>
            <w:rPr>
              <w:noProof/>
              <w:lang w:val="ru-RU"/>
            </w:rPr>
            <w:t>2600735</w:t>
          </w:r>
        </w:p>
      </w:tc>
      <w:tc>
        <w:tcPr>
          <w:tcW w:w="8261" w:type="dxa"/>
        </w:tcPr>
        <w:p w14:paraId="3C990254" w14:textId="20096DCC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4B4356">
            <w:rPr>
              <w:bCs/>
            </w:rPr>
            <w:t>62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1F0DE1A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E9F3B41" w14:textId="77777777" w:rsidTr="00E31DCE">
      <w:trPr>
        <w:jc w:val="center"/>
      </w:trPr>
      <w:tc>
        <w:tcPr>
          <w:tcW w:w="1803" w:type="dxa"/>
          <w:vAlign w:val="center"/>
        </w:tcPr>
        <w:p w14:paraId="4312199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286C5254" w14:textId="0C102685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3537BE">
            <w:rPr>
              <w:bCs/>
            </w:rPr>
            <w:t>62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DB1052E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3073" w14:textId="77777777" w:rsidR="00295863" w:rsidRDefault="00295863">
      <w:r>
        <w:t>____________________</w:t>
      </w:r>
    </w:p>
  </w:footnote>
  <w:footnote w:type="continuationSeparator" w:id="0">
    <w:p w14:paraId="1F445CF3" w14:textId="77777777" w:rsidR="00295863" w:rsidRDefault="0029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F4BD2" w14:textId="77777777" w:rsidR="0014229E" w:rsidRPr="007E5FC4" w:rsidRDefault="007E5FC4" w:rsidP="007E5FC4">
    <w:pPr>
      <w:pStyle w:val="Header"/>
    </w:pPr>
    <w:r>
      <w:rPr>
        <w:noProof/>
      </w:rPr>
      <w:drawing>
        <wp:inline distT="0" distB="0" distL="0" distR="0" wp14:anchorId="4137A86B" wp14:editId="0F44F222">
          <wp:extent cx="5760085" cy="840740"/>
          <wp:effectExtent l="0" t="0" r="0" b="0"/>
          <wp:docPr id="21176913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691333" name="Picture 2117691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16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C10"/>
    <w:rsid w:val="00002F15"/>
    <w:rsid w:val="00005BE0"/>
    <w:rsid w:val="000115B7"/>
    <w:rsid w:val="0002183E"/>
    <w:rsid w:val="00022169"/>
    <w:rsid w:val="000569B4"/>
    <w:rsid w:val="0006007D"/>
    <w:rsid w:val="00080E82"/>
    <w:rsid w:val="000934DD"/>
    <w:rsid w:val="000B2DE7"/>
    <w:rsid w:val="000B4E93"/>
    <w:rsid w:val="000D7E6D"/>
    <w:rsid w:val="000E568E"/>
    <w:rsid w:val="00102AE7"/>
    <w:rsid w:val="0014229E"/>
    <w:rsid w:val="0014734F"/>
    <w:rsid w:val="001550A5"/>
    <w:rsid w:val="00156890"/>
    <w:rsid w:val="0015710D"/>
    <w:rsid w:val="00163A32"/>
    <w:rsid w:val="00165D06"/>
    <w:rsid w:val="00192B41"/>
    <w:rsid w:val="001B7B09"/>
    <w:rsid w:val="001D42A7"/>
    <w:rsid w:val="001E6719"/>
    <w:rsid w:val="001E7F50"/>
    <w:rsid w:val="00225368"/>
    <w:rsid w:val="00227FF0"/>
    <w:rsid w:val="0023084E"/>
    <w:rsid w:val="00276F05"/>
    <w:rsid w:val="00277DEA"/>
    <w:rsid w:val="00291EB6"/>
    <w:rsid w:val="002947AF"/>
    <w:rsid w:val="00295863"/>
    <w:rsid w:val="002C1338"/>
    <w:rsid w:val="002C3F32"/>
    <w:rsid w:val="002D2F57"/>
    <w:rsid w:val="002D48C5"/>
    <w:rsid w:val="002E2D1D"/>
    <w:rsid w:val="002E5AC8"/>
    <w:rsid w:val="002E6BCE"/>
    <w:rsid w:val="002E7FA6"/>
    <w:rsid w:val="0033025A"/>
    <w:rsid w:val="00345D2A"/>
    <w:rsid w:val="003537BE"/>
    <w:rsid w:val="00366016"/>
    <w:rsid w:val="00381936"/>
    <w:rsid w:val="003935CB"/>
    <w:rsid w:val="003B547E"/>
    <w:rsid w:val="003F099E"/>
    <w:rsid w:val="003F235E"/>
    <w:rsid w:val="00401FD7"/>
    <w:rsid w:val="004023E0"/>
    <w:rsid w:val="00403DD8"/>
    <w:rsid w:val="004070A0"/>
    <w:rsid w:val="00425CA7"/>
    <w:rsid w:val="00442515"/>
    <w:rsid w:val="00444BD9"/>
    <w:rsid w:val="0045686C"/>
    <w:rsid w:val="00465C35"/>
    <w:rsid w:val="0047677E"/>
    <w:rsid w:val="0048533D"/>
    <w:rsid w:val="0048639D"/>
    <w:rsid w:val="004918C4"/>
    <w:rsid w:val="00491CC3"/>
    <w:rsid w:val="00497703"/>
    <w:rsid w:val="004A0374"/>
    <w:rsid w:val="004A45B5"/>
    <w:rsid w:val="004A7EEF"/>
    <w:rsid w:val="004B4356"/>
    <w:rsid w:val="004D0129"/>
    <w:rsid w:val="00515795"/>
    <w:rsid w:val="00563F4D"/>
    <w:rsid w:val="005858F5"/>
    <w:rsid w:val="005A64D5"/>
    <w:rsid w:val="005B3DEC"/>
    <w:rsid w:val="005C43B0"/>
    <w:rsid w:val="00601994"/>
    <w:rsid w:val="00606CA2"/>
    <w:rsid w:val="00660449"/>
    <w:rsid w:val="00672F8A"/>
    <w:rsid w:val="00697DFA"/>
    <w:rsid w:val="006E2D42"/>
    <w:rsid w:val="00703676"/>
    <w:rsid w:val="00707304"/>
    <w:rsid w:val="00732269"/>
    <w:rsid w:val="00762555"/>
    <w:rsid w:val="0077110E"/>
    <w:rsid w:val="007722E3"/>
    <w:rsid w:val="00784980"/>
    <w:rsid w:val="00785ABD"/>
    <w:rsid w:val="00796BD3"/>
    <w:rsid w:val="007A2DD4"/>
    <w:rsid w:val="007D38B5"/>
    <w:rsid w:val="007E5FC4"/>
    <w:rsid w:val="007E7EA0"/>
    <w:rsid w:val="008053C0"/>
    <w:rsid w:val="00807255"/>
    <w:rsid w:val="0081023E"/>
    <w:rsid w:val="008173AA"/>
    <w:rsid w:val="00833F1A"/>
    <w:rsid w:val="00840A14"/>
    <w:rsid w:val="0084546D"/>
    <w:rsid w:val="008539E9"/>
    <w:rsid w:val="00883211"/>
    <w:rsid w:val="008B0C10"/>
    <w:rsid w:val="008B4595"/>
    <w:rsid w:val="008B62B4"/>
    <w:rsid w:val="008C7B5E"/>
    <w:rsid w:val="008D2D7B"/>
    <w:rsid w:val="008D5177"/>
    <w:rsid w:val="008E0737"/>
    <w:rsid w:val="008E74C0"/>
    <w:rsid w:val="008E7958"/>
    <w:rsid w:val="008F7C2C"/>
    <w:rsid w:val="00940E96"/>
    <w:rsid w:val="00950A82"/>
    <w:rsid w:val="009901C1"/>
    <w:rsid w:val="009A54B3"/>
    <w:rsid w:val="009A76A8"/>
    <w:rsid w:val="009B0BAE"/>
    <w:rsid w:val="009C1C89"/>
    <w:rsid w:val="009D7831"/>
    <w:rsid w:val="009F3448"/>
    <w:rsid w:val="00A01CF9"/>
    <w:rsid w:val="00A01F4F"/>
    <w:rsid w:val="00A109AF"/>
    <w:rsid w:val="00A20B63"/>
    <w:rsid w:val="00A2283E"/>
    <w:rsid w:val="00A3481C"/>
    <w:rsid w:val="00A405F9"/>
    <w:rsid w:val="00A54A2D"/>
    <w:rsid w:val="00A62256"/>
    <w:rsid w:val="00A660E5"/>
    <w:rsid w:val="00A71773"/>
    <w:rsid w:val="00A72528"/>
    <w:rsid w:val="00AE2C6A"/>
    <w:rsid w:val="00AE2C85"/>
    <w:rsid w:val="00AE3D15"/>
    <w:rsid w:val="00B0107F"/>
    <w:rsid w:val="00B12A37"/>
    <w:rsid w:val="00B314B0"/>
    <w:rsid w:val="00B37D55"/>
    <w:rsid w:val="00B41837"/>
    <w:rsid w:val="00B63EF2"/>
    <w:rsid w:val="00B83C6E"/>
    <w:rsid w:val="00BA7D89"/>
    <w:rsid w:val="00BC0D39"/>
    <w:rsid w:val="00BC7BC0"/>
    <w:rsid w:val="00BD4F93"/>
    <w:rsid w:val="00BD57B7"/>
    <w:rsid w:val="00BE00DD"/>
    <w:rsid w:val="00BE55F7"/>
    <w:rsid w:val="00BE63E2"/>
    <w:rsid w:val="00BF036A"/>
    <w:rsid w:val="00C259B4"/>
    <w:rsid w:val="00C462C5"/>
    <w:rsid w:val="00CD0F97"/>
    <w:rsid w:val="00CD2009"/>
    <w:rsid w:val="00CD6C54"/>
    <w:rsid w:val="00CF629C"/>
    <w:rsid w:val="00D13D46"/>
    <w:rsid w:val="00D17718"/>
    <w:rsid w:val="00D631AA"/>
    <w:rsid w:val="00D92EEA"/>
    <w:rsid w:val="00DA5D4E"/>
    <w:rsid w:val="00DA770A"/>
    <w:rsid w:val="00DF1F6F"/>
    <w:rsid w:val="00E05752"/>
    <w:rsid w:val="00E176BA"/>
    <w:rsid w:val="00E3541C"/>
    <w:rsid w:val="00E423EC"/>
    <w:rsid w:val="00E55121"/>
    <w:rsid w:val="00E5586B"/>
    <w:rsid w:val="00E87564"/>
    <w:rsid w:val="00E9332E"/>
    <w:rsid w:val="00EB4FCB"/>
    <w:rsid w:val="00EC6BC5"/>
    <w:rsid w:val="00F348D0"/>
    <w:rsid w:val="00F35898"/>
    <w:rsid w:val="00F477DE"/>
    <w:rsid w:val="00F5225B"/>
    <w:rsid w:val="00F770D0"/>
    <w:rsid w:val="00F90A8D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3E26F4"/>
  <w15:docId w15:val="{FF04B909-04D1-4748-9171-A1747C81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0-CL-C-0061/en" TargetMode="External"/><Relationship Id="rId13" Type="http://schemas.openxmlformats.org/officeDocument/2006/relationships/hyperlink" Target="https://www.itu.int/md/S22-CL-C-0057/en" TargetMode="External"/><Relationship Id="rId18" Type="http://schemas.openxmlformats.org/officeDocument/2006/relationships/hyperlink" Target="https://www.itu.int/md/S23-CL-INF-0013/en" TargetMode="External"/><Relationship Id="rId26" Type="http://schemas.openxmlformats.org/officeDocument/2006/relationships/hyperlink" Target="https://www.itu.int/md/S26-CL-INF-0006/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md/S24-CL-C-0031/en" TargetMode="External"/><Relationship Id="rId7" Type="http://schemas.openxmlformats.org/officeDocument/2006/relationships/hyperlink" Target="https://www.itu.int/en/council/Documents/basic-texts-2023/RES-071-R.pdf" TargetMode="External"/><Relationship Id="rId12" Type="http://schemas.openxmlformats.org/officeDocument/2006/relationships/hyperlink" Target="https://www.itu.int/md/S22-CL-C-0040/en" TargetMode="External"/><Relationship Id="rId17" Type="http://schemas.openxmlformats.org/officeDocument/2006/relationships/hyperlink" Target="https://www.itu.int/md/S23-CL-INF-0011/en" TargetMode="External"/><Relationship Id="rId25" Type="http://schemas.openxmlformats.org/officeDocument/2006/relationships/hyperlink" Target="https://www.itu.int/md/S26-CL-INF-0006/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tu.int/md/S23-CL-C-0062/en" TargetMode="External"/><Relationship Id="rId20" Type="http://schemas.openxmlformats.org/officeDocument/2006/relationships/hyperlink" Target="https://www.itu.int/md/S24-CL-C-0053/en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2-CL-INF-0013/en" TargetMode="External"/><Relationship Id="rId24" Type="http://schemas.openxmlformats.org/officeDocument/2006/relationships/hyperlink" Target="https://www.itu.int/md/S25-CL-C-0066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3-CL-C-0050/en" TargetMode="External"/><Relationship Id="rId23" Type="http://schemas.openxmlformats.org/officeDocument/2006/relationships/hyperlink" Target="https://www.itu.int/md/S25-CL-C-0055/en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tu.int/md/S21-CL-INF-0015/en" TargetMode="External"/><Relationship Id="rId19" Type="http://schemas.openxmlformats.org/officeDocument/2006/relationships/hyperlink" Target="https://www.itu.int/md/S24-CL-C-0019/e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0-CL-C-0074/en" TargetMode="External"/><Relationship Id="rId14" Type="http://schemas.openxmlformats.org/officeDocument/2006/relationships/hyperlink" Target="https://www.itu.int/md/S23-CL-C-0036/en" TargetMode="External"/><Relationship Id="rId22" Type="http://schemas.openxmlformats.org/officeDocument/2006/relationships/hyperlink" Target="https://www.itu.int/md/S25-CL-C-0050/en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1536</Words>
  <Characters>13006</Characters>
  <Application>Microsoft Office Word</Application>
  <DocSecurity>0</DocSecurity>
  <Lines>224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14492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Strengthening ITU's internal digital foundations for transformation - Strategy, enterprise architecture, ICT governance and IT operating model</dc:title>
  <dc:subject>ITU Council 2026</dc:subject>
  <cp:keywords>C26; C2026; Council 2026; PP26</cp:keywords>
  <dc:description/>
  <cp:lastPrinted>2006-03-28T15:12:00Z</cp:lastPrinted>
  <dcterms:created xsi:type="dcterms:W3CDTF">2026-04-22T12:31:00Z</dcterms:created>
  <dcterms:modified xsi:type="dcterms:W3CDTF">2026-04-22T12:32:00Z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